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633DB1B6" w14:textId="365AD2DB" w:rsidR="00C2682A" w:rsidRPr="00AB6D88" w:rsidRDefault="00235B66" w:rsidP="00FA5524">
                <w:pPr>
                  <w:rPr>
                    <w:rStyle w:val="PlaceholderText"/>
                    <w:rFonts w:cs="Arial"/>
                  </w:rPr>
                </w:pPr>
                <w:r w:rsidRPr="00235B66">
                  <w:rPr>
                    <w:rStyle w:val="PlaceholderText"/>
                    <w:rFonts w:cs="Arial"/>
                  </w:rPr>
                  <w:t>Association of the Luxembourg Fund Industry</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2369FF7D" w:rsidR="00C2682A" w:rsidRPr="00AB6D88" w:rsidRDefault="003C3E6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35B66">
                  <w:rPr>
                    <w:rFonts w:cs="Arial"/>
                  </w:rPr>
                  <w:t>Other Financial service providers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4BD68813" w14:textId="792DF36D" w:rsidR="00C2682A" w:rsidRPr="00AB6D88" w:rsidRDefault="00235B66"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5E84A9A2" w:rsidR="00C2682A" w:rsidRPr="00AB6D88" w:rsidRDefault="00235B66" w:rsidP="00FA5524">
                <w:pPr>
                  <w:rPr>
                    <w:rFonts w:cs="Arial"/>
                  </w:rPr>
                </w:pPr>
                <w:r>
                  <w:rPr>
                    <w:rFonts w:cs="Arial"/>
                  </w:rPr>
                  <w:t>Luxembourg</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65464CB3" w14:textId="77777777" w:rsidR="00364A38" w:rsidRDefault="00364A38" w:rsidP="00364A38">
      <w:permStart w:id="124340805" w:edGrp="everyone"/>
      <w:r>
        <w:t xml:space="preserve">The Association of the Luxembourg Fund Industry (ALFI) represents the face and voice of the Luxembourg asset management and investment fund community. The Association is committed to the development of the Luxembourg fund industry by striving to create new business opportunities, and through the exchange of information and knowledge. </w:t>
      </w:r>
    </w:p>
    <w:p w14:paraId="54F96E2E" w14:textId="77777777" w:rsidR="00364A38" w:rsidRDefault="00364A38" w:rsidP="00364A38"/>
    <w:p w14:paraId="0004BDEC" w14:textId="77777777" w:rsidR="00364A38" w:rsidRDefault="00364A38" w:rsidP="00364A38">
      <w:r>
        <w:t>Created in 1988, the Association today represents over 1,500 Luxembourg domiciled investment funds, asset management companies and a wide range of business that serve the sector. These include depositary banks, fund administrators, transfer agents, distributors, legal firms, consultants, tax advisory firms, auditors and accountants, specialised IT and communication companies. Luxembourg is the largest fund domicile in Europe and a worldwide leader in cross-border distribution of funds. Luxembourg domiciled investment funds are distributed in more than 70 countries around the world.</w:t>
      </w:r>
    </w:p>
    <w:p w14:paraId="50F6A6BA" w14:textId="77777777" w:rsidR="00364A38" w:rsidRDefault="00364A38" w:rsidP="00364A38"/>
    <w:p w14:paraId="21671CEB" w14:textId="77777777" w:rsidR="00364A38" w:rsidRDefault="00364A38" w:rsidP="00364A38">
      <w:r>
        <w:t>As stipulated, ALFI also represents the fund and asset management industry through the various stakeholders involved in the “fund value chain”. Accordingly, market players such as transfer agents, depositary banks, central administrations, FinTech companies, service providers, securities exchanges are represented within ALFI membership. Throughout the Digital and FinTech Forum of ALFI, these market players have expressed the very high relevance of this consultation and more generally of the establishment of a harmonized digital finance framework in terms of both principles and local interpretations. This interest is related to several Distributed Ledger Technology (“DLT”) projects contemplated or already undertaken across the industry.</w:t>
      </w:r>
    </w:p>
    <w:p w14:paraId="0BCD2191" w14:textId="77777777" w:rsidR="00364A38" w:rsidRDefault="00364A38" w:rsidP="00364A38"/>
    <w:p w14:paraId="578D6202" w14:textId="77777777" w:rsidR="00364A38" w:rsidRDefault="00364A38" w:rsidP="00364A38">
      <w:r>
        <w:t xml:space="preserve">Some members will be impacted indirectly by the </w:t>
      </w:r>
      <w:proofErr w:type="spellStart"/>
      <w:r>
        <w:t>MiFIR</w:t>
      </w:r>
      <w:proofErr w:type="spellEnd"/>
      <w:r>
        <w:t xml:space="preserve"> practical aspects of the DLT Pilot Regime through the provision of services to their clients and investors. Other participants are likely to be impacted more directly. Furthermore, while some of the DLT applications considered are not directly link to tokenized securities, those initiatives have provided ALFI members with an understanding of the pragmatic challenges posed by the DLT.</w:t>
      </w:r>
    </w:p>
    <w:p w14:paraId="65F5D89E" w14:textId="77777777" w:rsidR="00364A38" w:rsidRDefault="00364A38" w:rsidP="00364A38"/>
    <w:p w14:paraId="238402D6" w14:textId="77777777" w:rsidR="00364A38" w:rsidRDefault="00364A38" w:rsidP="00364A38">
      <w:r>
        <w:t xml:space="preserve">In order to provide evidence stemming from indirect exposures to the </w:t>
      </w:r>
      <w:r w:rsidRPr="008B60BC">
        <w:t>pre- and post-trade transparency and data reporting requirements</w:t>
      </w:r>
      <w:r>
        <w:t xml:space="preserve"> as well as to share generic DLT considerations also relevant in the </w:t>
      </w:r>
      <w:proofErr w:type="spellStart"/>
      <w:r>
        <w:t>MiFIR</w:t>
      </w:r>
      <w:proofErr w:type="spellEnd"/>
      <w:r>
        <w:t xml:space="preserve"> context, answers will be given on a number of selected questions focusing on the high-level implications rather than on the most technically detailed questions (left to the entities directly impacted such as MI, MTF, TSS).</w:t>
      </w:r>
    </w:p>
    <w:p w14:paraId="1A6D92A1" w14:textId="77777777" w:rsidR="00364A38" w:rsidRDefault="00364A38" w:rsidP="00364A38"/>
    <w:p w14:paraId="789ED784" w14:textId="77777777" w:rsidR="00364A38" w:rsidRDefault="00364A38" w:rsidP="00364A38">
      <w:r>
        <w:t>As a preamble, the key ALFI considerations triggered by this call for evidence relate to the following aspects:</w:t>
      </w:r>
    </w:p>
    <w:p w14:paraId="00BEE987" w14:textId="77777777" w:rsidR="00364A38" w:rsidRDefault="00364A38" w:rsidP="00364A38">
      <w:pPr>
        <w:rPr>
          <w:u w:val="single"/>
        </w:rPr>
      </w:pPr>
    </w:p>
    <w:p w14:paraId="37119C36" w14:textId="77777777" w:rsidR="00364A38" w:rsidRDefault="00364A38" w:rsidP="00364A38">
      <w:r w:rsidRPr="0051191D">
        <w:rPr>
          <w:u w:val="single"/>
        </w:rPr>
        <w:t>Substance over form</w:t>
      </w:r>
      <w:r>
        <w:t xml:space="preserve"> – The practical implementation of DLT Pilot Regime should be achieved with a technological neutral stance where the focus should be on the substance over the form. Accordingly, similar activities involving comparable risks should be subject to related requirements. It will </w:t>
      </w:r>
      <w:r w:rsidRPr="00FC056B">
        <w:t xml:space="preserve">be important to ensure </w:t>
      </w:r>
      <w:r>
        <w:t xml:space="preserve">that </w:t>
      </w:r>
      <w:r w:rsidRPr="00FC056B">
        <w:t>any amendments made to relevant RTS under MiFID II/R are technology-neutral to avoid any regulatory and/or process arbitrage between traditional and tokenised securities.</w:t>
      </w:r>
    </w:p>
    <w:p w14:paraId="39A297FD" w14:textId="77777777" w:rsidR="00364A38" w:rsidRDefault="00364A38" w:rsidP="00364A38">
      <w:pPr>
        <w:rPr>
          <w:u w:val="single"/>
        </w:rPr>
      </w:pPr>
    </w:p>
    <w:p w14:paraId="2DAD9815" w14:textId="77777777" w:rsidR="00364A38" w:rsidRDefault="00364A38" w:rsidP="00364A38">
      <w:r w:rsidRPr="00B71595">
        <w:rPr>
          <w:u w:val="single"/>
        </w:rPr>
        <w:t>Off-chain trading environment</w:t>
      </w:r>
      <w:r>
        <w:t xml:space="preserve"> – The questions related to the trading environment seem to assume an on-chain environment where the transactions would be realized on the distributed ledger. However, this seems not to reflect the direction taken by the industry where off-chain transactions, realized outside the distributed ledger, would constitute a non-negligible, if not dominant, part of the transactions. A framework aiming at regulating the trading environment should consider these arrangements too.</w:t>
      </w:r>
    </w:p>
    <w:p w14:paraId="77B028EE" w14:textId="77777777" w:rsidR="00364A38" w:rsidRDefault="00364A38" w:rsidP="00364A38">
      <w:pPr>
        <w:rPr>
          <w:u w:val="single"/>
        </w:rPr>
      </w:pPr>
    </w:p>
    <w:p w14:paraId="3C1F215B" w14:textId="77777777" w:rsidR="00364A38" w:rsidRDefault="00364A38" w:rsidP="00364A38">
      <w:r w:rsidRPr="00637A16">
        <w:rPr>
          <w:u w:val="single"/>
        </w:rPr>
        <w:lastRenderedPageBreak/>
        <w:t>Interpretation of principles</w:t>
      </w:r>
      <w:r>
        <w:t xml:space="preserve"> – The DLT Pilot Regime framework relies on principles to be harmoniously adopted. In practice, principles require practical interpretations at the level of the local National Competent Authorities (“NCA”). The prevalence of interpretations in the definition of the regulatory framework is reinforced by the multiplicity of DLT specifications (such as consensus mechanism, private versus public, permissioned versus </w:t>
      </w:r>
      <w:proofErr w:type="spellStart"/>
      <w:r>
        <w:t>permissionless</w:t>
      </w:r>
      <w:proofErr w:type="spellEnd"/>
      <w:r>
        <w:t>). A harmonization mechanism at the level of the local interpretations would be required to ensure a consistency of the deemed “acceptable and compliant” set-ups to reach a level playing field.</w:t>
      </w:r>
    </w:p>
    <w:p w14:paraId="114F734F" w14:textId="77777777" w:rsidR="00364A38" w:rsidRDefault="00364A38" w:rsidP="00364A38"/>
    <w:p w14:paraId="3007499C" w14:textId="77777777" w:rsidR="00364A38" w:rsidRDefault="00364A38" w:rsidP="00364A38">
      <w:r w:rsidRPr="00782C43">
        <w:rPr>
          <w:u w:val="single"/>
        </w:rPr>
        <w:t>Transition from sandbox to final regime</w:t>
      </w:r>
      <w:r w:rsidRPr="00782C43">
        <w:t xml:space="preserve"> – The DLT Pilot Regime is a sandbox regime and therefore raises questions on when and how it will translate in a final regime once it will be integrated into a complete environment (MIFID, settlement finality…). Derogatory rules are helping developing the DLT framework, however, they, if prolonged, risk to create an uneven playing field with the more traditional banking and financial systems. For example, this could prevent supervisory authorities to monitor and track the application of relevant standards (such as for MAR application under certain transaction regime scenarios). Additionally, this poses the question on the interest for operators to limit issuances and market sizes, creating a potential cliff edge effect, when arriving to the boundaries. More regulatory information on how to transition from one regime to the other would provide more clarity for the establishment of a consistent financial instruments (traditional and tokenised) market infrastructure regulatory framework.</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7B5DB18B" w14:textId="77777777" w:rsidR="00364A38" w:rsidRDefault="00364A38" w:rsidP="00364A38">
      <w:permStart w:id="1947404220" w:edGrp="everyone"/>
      <w:r>
        <w:t xml:space="preserve">Referring to Question 1, as an association representing </w:t>
      </w:r>
      <w:r w:rsidRPr="00DB7920">
        <w:t>investment funds, asset management companies and a wide range of business</w:t>
      </w:r>
      <w:r>
        <w:t>es</w:t>
      </w:r>
      <w:r w:rsidRPr="00DB7920">
        <w:t xml:space="preserve"> that serve the sector</w:t>
      </w:r>
      <w:r>
        <w:t>, the question regarding an ambition to operate a DLT MI is not directly applicable. The same applies for other following questions (e.g. Question 4) that will accordingly not be addressed.</w:t>
      </w:r>
    </w:p>
    <w:p w14:paraId="5471145C" w14:textId="77777777" w:rsidR="00364A38" w:rsidRDefault="00364A38" w:rsidP="00364A38"/>
    <w:p w14:paraId="1126F8CC" w14:textId="77777777" w:rsidR="00364A38" w:rsidRDefault="00364A38" w:rsidP="00364A38">
      <w:r>
        <w:t>Publicly available information can indicate the presence of a few entities that could classify as Market Infrastructures and could operate a DLT in Luxembourg.</w:t>
      </w:r>
    </w:p>
    <w:p w14:paraId="1F2368C0" w14:textId="77777777" w:rsidR="00364A38" w:rsidRDefault="00364A38" w:rsidP="00364A38"/>
    <w:p w14:paraId="2C7661E5" w14:textId="77777777" w:rsidR="00364A38" w:rsidRDefault="00364A38" w:rsidP="00364A38">
      <w:r>
        <w:t>It is important to underline that, beyond MI, Luxembourgish providers are tackling different pieces of the value chain (also other than MI). Accordingly, the DLT is looked under different perspectives at fundamental points of the value chain that significantly affect Luxembourg. Examples of such projects are currently under development (e.g. Transfer Agent services) and planned to be implemented in Luxembourg.</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33FED4DB" w14:textId="77777777" w:rsidR="00364A38" w:rsidRPr="00CA6AEA" w:rsidRDefault="00364A38" w:rsidP="00364A38">
      <w:pPr>
        <w:pStyle w:val="ListParagraph"/>
        <w:numPr>
          <w:ilvl w:val="0"/>
          <w:numId w:val="39"/>
        </w:numPr>
      </w:pPr>
      <w:permStart w:id="2005885194" w:edGrp="everyone"/>
      <w:r>
        <w:t>K</w:t>
      </w:r>
      <w:r w:rsidRPr="00CA6AEA">
        <w:t>ey elements supporting the increased use of DLT</w:t>
      </w:r>
    </w:p>
    <w:p w14:paraId="5238B0D2" w14:textId="77777777" w:rsidR="00364A38" w:rsidRDefault="00364A38" w:rsidP="00364A38"/>
    <w:p w14:paraId="63E44B44" w14:textId="77777777" w:rsidR="00364A38" w:rsidRDefault="00364A38" w:rsidP="00364A38">
      <w:r w:rsidRPr="00782C43">
        <w:t>The DLT framework should be as robust and strong as the current (regulatory) environment with the advantage of being fully integrated and in near real-time (benefits from a cash and treasury perspective).</w:t>
      </w:r>
    </w:p>
    <w:p w14:paraId="48286DE2" w14:textId="77777777" w:rsidR="00364A38" w:rsidRDefault="00364A38" w:rsidP="00364A38"/>
    <w:p w14:paraId="520C4C72" w14:textId="77777777" w:rsidR="00364A38" w:rsidRDefault="00364A38" w:rsidP="00364A38">
      <w:r>
        <w:t xml:space="preserve">One of the key elements supporting the </w:t>
      </w:r>
      <w:r w:rsidRPr="00280A7A">
        <w:t>increased use of DLT in the field of financial services</w:t>
      </w:r>
      <w:r>
        <w:t xml:space="preserve"> relates to cost reduction. Leveraging on the technological capabilities unlocked by DLT in terms of reduced intermediation, efficiency, security and transparency would allow the reduction of costs, including transaction </w:t>
      </w:r>
      <w:r>
        <w:lastRenderedPageBreak/>
        <w:t>costs, passed on to end investors. Accordingly, the majority of the observed initiatives related to the tokenisation of securities are supply driven and not triggered by specific investors’ demand to hold tokenised securities.</w:t>
      </w:r>
    </w:p>
    <w:p w14:paraId="3CDD86FC" w14:textId="77777777" w:rsidR="00364A38" w:rsidRDefault="00364A38" w:rsidP="00364A38"/>
    <w:p w14:paraId="199035A9" w14:textId="77777777" w:rsidR="00364A38" w:rsidRDefault="00364A38" w:rsidP="00364A38">
      <w:r w:rsidRPr="00782C43">
        <w:t>In addition, and in particular, DLT may provide specific benefits for less liquid instruments, new financing/investment products, and give an opportunity for no</w:t>
      </w:r>
      <w:r>
        <w:t>n</w:t>
      </w:r>
      <w:r w:rsidRPr="00782C43">
        <w:t xml:space="preserve">-liquid instruments to potentially create a </w:t>
      </w:r>
      <w:r>
        <w:t>representation</w:t>
      </w:r>
      <w:r w:rsidRPr="00782C43">
        <w:t xml:space="preserve"> that is tradeable (i.e. PERE funds shares, or ESG-related products, loans securitization, etc.).</w:t>
      </w:r>
    </w:p>
    <w:p w14:paraId="4C674C24" w14:textId="77777777" w:rsidR="00364A38" w:rsidRDefault="00364A38" w:rsidP="00364A38"/>
    <w:p w14:paraId="31E0E050" w14:textId="77777777" w:rsidR="00364A38" w:rsidRDefault="00364A38" w:rsidP="00364A38">
      <w:r>
        <w:t>Another important motivation lies with the ambition to become acquainted with the new technology through a concrete and tangible application. The tokenisation of securities provides market players with the opportunity to learn about the practical challenges specific to the technology as well as to uncover its potential for further applications. Therefore, for several participants, the tokenisation of securities gives the ability to test a new type of innovation with a larger scope of applications possible at a later stage.</w:t>
      </w:r>
    </w:p>
    <w:p w14:paraId="1B0A31BC" w14:textId="77777777" w:rsidR="00364A38" w:rsidRDefault="00364A38" w:rsidP="00364A38"/>
    <w:p w14:paraId="7122B683" w14:textId="77777777" w:rsidR="00364A38" w:rsidRDefault="00364A38" w:rsidP="00364A38">
      <w:r>
        <w:t>Finally, the use of DLT would support the financial industry in embracing the trends of decentralisation, disintermediation, information accessibility, and real time execution, that investors and consumers are increasingly provided with and increasingly seeking fo</w:t>
      </w:r>
      <w:r w:rsidRPr="00782C43">
        <w:t>r. This adoption of the technology will also help being more aligned with realities of our time.</w:t>
      </w:r>
    </w:p>
    <w:p w14:paraId="5BC0A8CA" w14:textId="77777777" w:rsidR="00364A38" w:rsidRDefault="00364A38" w:rsidP="00364A38"/>
    <w:p w14:paraId="09182820" w14:textId="77777777" w:rsidR="00364A38" w:rsidRDefault="00364A38" w:rsidP="00364A38">
      <w:r>
        <w:t>All in all, k</w:t>
      </w:r>
      <w:r w:rsidRPr="0071047F">
        <w:t>ey elements supporting the increased use of DLT in financial services include cost savings, process efficiencies (e</w:t>
      </w:r>
      <w:r>
        <w:t>.</w:t>
      </w:r>
      <w:r w:rsidRPr="0071047F">
        <w:t>g</w:t>
      </w:r>
      <w:r>
        <w:t>.</w:t>
      </w:r>
      <w:r w:rsidRPr="0071047F">
        <w:t xml:space="preserve"> through direct connections between issuers and investors), transparency, and better risk management.</w:t>
      </w:r>
    </w:p>
    <w:p w14:paraId="7EC805D3" w14:textId="77777777" w:rsidR="00364A38" w:rsidRDefault="00364A38" w:rsidP="00364A38"/>
    <w:p w14:paraId="5A946450" w14:textId="77777777" w:rsidR="00364A38" w:rsidRPr="00CA6AEA" w:rsidRDefault="00364A38" w:rsidP="00364A38">
      <w:pPr>
        <w:pStyle w:val="ListParagraph"/>
        <w:numPr>
          <w:ilvl w:val="0"/>
          <w:numId w:val="39"/>
        </w:numPr>
      </w:pPr>
      <w:r w:rsidRPr="00CA6AEA">
        <w:t>Remaining obstacles</w:t>
      </w:r>
    </w:p>
    <w:p w14:paraId="09D94A3A" w14:textId="77777777" w:rsidR="00364A38" w:rsidRDefault="00364A38" w:rsidP="00364A38"/>
    <w:p w14:paraId="70013B87" w14:textId="77777777" w:rsidR="00364A38" w:rsidRDefault="00364A38" w:rsidP="00364A38">
      <w:r>
        <w:t>The traditional environment has a long track record and the implementation of a new infrastructure has to be achieved incrementally. Therefore, a challenge exists in the interaction between a DLT and the traditional environments. This interoperability challenge results from the fact that the current infrastructure, also incrementally developed, has not been designed to interact with a DLT environment. In the context of tokenised securities, the interfacing with crypto custodian and trading facilitators are examples, among others, of such connexions that require further developments of the technology and agile market participants. Interoperability also remains a hurdle within the DLT frameworks due to the multiplicity and heterogeneity of potential distributed ledgers (networks).</w:t>
      </w:r>
    </w:p>
    <w:p w14:paraId="7A55AD8A" w14:textId="77777777" w:rsidR="00364A38" w:rsidRDefault="00364A38" w:rsidP="00364A38"/>
    <w:p w14:paraId="43EF7EF1" w14:textId="77777777" w:rsidR="00364A38" w:rsidRDefault="00364A38" w:rsidP="00364A38">
      <w:r>
        <w:t xml:space="preserve">This heterogeneity of the different possible set-ups offered by the DLT also poses challenges for the regulatory framework, including the DLT Pilot Regime and implication for </w:t>
      </w:r>
      <w:proofErr w:type="spellStart"/>
      <w:r>
        <w:t>MiFIR</w:t>
      </w:r>
      <w:proofErr w:type="spellEnd"/>
      <w:r>
        <w:t xml:space="preserve"> RTS, to remain technologically neutral. On the one hand, the framework should not favour a particular set-up. For example, some sentences of this call for evidence might be interpreted that permissioned DLT would be more common or more adapted to the requirements considered. In order to foster innovation and exploit the depth and </w:t>
      </w:r>
      <w:proofErr w:type="spellStart"/>
      <w:r>
        <w:t>breath</w:t>
      </w:r>
      <w:proofErr w:type="spellEnd"/>
      <w:r>
        <w:t xml:space="preserve"> of the benefits offered by the technology, the framework should not become excessively prescriptive with respect to specific DLT features. On the other hand, the local interpretations of the overarching principles should not result in discrepancies across NCAs with respect to the solutions “authorised”. A certain level playing field should be ensured at both the principle and interpretation level. This is particularly important to promote a certain openness to different DLT specifications and new developments.</w:t>
      </w:r>
    </w:p>
    <w:p w14:paraId="55E5CE79" w14:textId="77777777" w:rsidR="00364A38" w:rsidRDefault="00364A38" w:rsidP="00364A38"/>
    <w:p w14:paraId="6C2ED983" w14:textId="77777777" w:rsidR="00364A38" w:rsidRDefault="00364A38" w:rsidP="00364A38">
      <w:r>
        <w:t>Finally, the establishment of DLT based solutions overlaps with a larger scope of regulatory frameworks and concepts (e.g. corporate law, liability regime) than the financial regulations (market, securities, etc.). Uncertainty remains regarding the ability to reach a convergence on this larger scope of frameworks and concepts.</w:t>
      </w:r>
    </w:p>
    <w:p w14:paraId="5C5B6376" w14:textId="77777777" w:rsidR="00364A38" w:rsidRDefault="00364A38" w:rsidP="00364A38"/>
    <w:p w14:paraId="39037CDC" w14:textId="77777777" w:rsidR="00364A38" w:rsidRDefault="00364A38" w:rsidP="00364A38"/>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lastRenderedPageBreak/>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6389757A" w14:textId="77777777" w:rsidR="00364A38" w:rsidRDefault="00364A38" w:rsidP="00364A38">
      <w:permStart w:id="864513806" w:edGrp="everyone"/>
      <w:r>
        <w:t>There are currently a few market infrastructures allowing trading of DLT securities. While tokenised securities can generally be traded on unregulated platforms (“off-shore”), there are some examples of DLT trading facilities in the United States authorised and regulated by the S</w:t>
      </w:r>
      <w:r w:rsidRPr="00D26D5A">
        <w:t>ecurities and Exchange Commission</w:t>
      </w:r>
      <w:r>
        <w:t>.</w:t>
      </w:r>
    </w:p>
    <w:p w14:paraId="2B6CC2A1" w14:textId="77777777" w:rsidR="00364A38" w:rsidRDefault="00364A38" w:rsidP="00364A38"/>
    <w:p w14:paraId="06737741" w14:textId="77777777" w:rsidR="00364A38" w:rsidRDefault="00364A38" w:rsidP="00364A38">
      <w:r>
        <w:t>In general, including the considerations for market infrastructures, it is relevant to highlight that the DLT Pilot Regime is not aiming to provide a regulatory frame of reference for a new form of securities. The securities’ attractiveness is not derived from a particularly different feature of the securities themselves. The novelty stems from the technology which supports the issuance, recording, transfer and storage of these securities. Accordingly, the existing traditional trading systems, despite some technical adjustments, could be used in a DLT environment.</w:t>
      </w:r>
    </w:p>
    <w:p w14:paraId="16B2A726" w14:textId="77777777" w:rsidR="00364A38" w:rsidRDefault="00364A38" w:rsidP="00364A38"/>
    <w:p w14:paraId="5EC30890" w14:textId="77777777" w:rsidR="00364A38" w:rsidRDefault="00364A38" w:rsidP="00364A38">
      <w:r>
        <w:t xml:space="preserve">In relation to the preamble provided in Question 1, a distinction is to be made between on-chain and off-chain trading environments. An on-chain environment refers to a structure where the transactions are matched on the distributed ledger. An off-chain environment refers to a structure where the transactions are matched outside the distributed ledger. Although the latter could be overlooked, it is likely to be widely adopted and should therefore be considered in both the consultation and the application of </w:t>
      </w:r>
      <w:proofErr w:type="spellStart"/>
      <w:r>
        <w:t>MiFIR</w:t>
      </w:r>
      <w:proofErr w:type="spellEnd"/>
      <w:r>
        <w:t xml:space="preserve"> requirements to tokenised securities.</w:t>
      </w:r>
    </w:p>
    <w:p w14:paraId="7B2C5925" w14:textId="77777777" w:rsidR="00364A38" w:rsidRDefault="00364A38" w:rsidP="00364A38"/>
    <w:p w14:paraId="6F64E2AA" w14:textId="77777777" w:rsidR="00364A38" w:rsidRDefault="00364A38" w:rsidP="00364A38">
      <w:r>
        <w:t>As per the market structure and trading environment, the main hurdle remains in the challenge of interoperability. This interoperability challenge is posed for the connexion of different networks (distributed ledgers) together, the connexion with a legacy system and the connexion with additional operational layers (such as in the case of an off-chain environment).</w:t>
      </w:r>
    </w:p>
    <w:p w14:paraId="0C588846" w14:textId="77777777" w:rsidR="00364A38" w:rsidRDefault="00364A38" w:rsidP="00364A38"/>
    <w:p w14:paraId="3B70AA4A" w14:textId="77777777" w:rsidR="00364A38" w:rsidRDefault="00364A38" w:rsidP="00364A38">
      <w:r w:rsidRPr="00885090">
        <w:t xml:space="preserve">Beyond interoperability, the coexistence of alternative market infrastructures, also raises level playing field challenges. This may arise for securities that could be both on DLT and </w:t>
      </w:r>
      <w:r>
        <w:t>traditional</w:t>
      </w:r>
      <w:r w:rsidRPr="00885090">
        <w:t xml:space="preserve"> trading venues. </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6E22F212" w14:textId="77777777" w:rsidR="00364A38" w:rsidRDefault="00364A38" w:rsidP="006C397C">
      <w:permStart w:id="1293775397" w:edGrp="everyone"/>
      <w:r>
        <w:t>In line with the answers provided in Questions 1, focusing on the substance rather than the form, the tokenisation of securities does not represent a fundamental change with respect to the financial instruments’ characteristics.</w:t>
      </w:r>
    </w:p>
    <w:p w14:paraId="4DADA030" w14:textId="77777777" w:rsidR="00364A38" w:rsidRDefault="00364A38" w:rsidP="006C397C"/>
    <w:p w14:paraId="18E730D3" w14:textId="77777777" w:rsidR="00364A38" w:rsidRDefault="00364A38" w:rsidP="006C397C">
      <w:r>
        <w:t>T</w:t>
      </w:r>
      <w:r w:rsidRPr="00632C36">
        <w:t xml:space="preserve">okenised securities </w:t>
      </w:r>
      <w:r>
        <w:t>present</w:t>
      </w:r>
      <w:r w:rsidRPr="00632C36">
        <w:t xml:space="preserve"> benefit</w:t>
      </w:r>
      <w:r>
        <w:t>s like</w:t>
      </w:r>
      <w:r w:rsidRPr="00632C36">
        <w:t xml:space="preserve"> the possibility to have the conditions pertaining to additional asset servicing</w:t>
      </w:r>
      <w:r>
        <w:t xml:space="preserve"> functions hard coded within the asset.</w:t>
      </w:r>
      <w:r w:rsidRPr="00632C36">
        <w:t xml:space="preserve"> </w:t>
      </w:r>
      <w:r>
        <w:t xml:space="preserve">This could cover functions like the </w:t>
      </w:r>
      <w:r w:rsidRPr="00632C36">
        <w:t>payment of interests, dividend</w:t>
      </w:r>
      <w:r>
        <w:t>s</w:t>
      </w:r>
      <w:r w:rsidRPr="00632C36">
        <w:t xml:space="preserve"> or be linked to other conditions if they evolve </w:t>
      </w:r>
      <w:r>
        <w:t>in</w:t>
      </w:r>
      <w:r w:rsidRPr="00632C36">
        <w:t xml:space="preserve">to </w:t>
      </w:r>
      <w:r>
        <w:t xml:space="preserve">real </w:t>
      </w:r>
      <w:r w:rsidRPr="00632C36">
        <w:t>smart contract</w:t>
      </w:r>
      <w:r>
        <w:t>s</w:t>
      </w:r>
      <w:r w:rsidRPr="00632C36">
        <w:t xml:space="preserve"> </w:t>
      </w:r>
      <w:r>
        <w:t>as</w:t>
      </w:r>
      <w:r w:rsidRPr="00632C36">
        <w:t xml:space="preserve"> for example allowing holders to have "benefits" if they stay a certain amount of time invested.</w:t>
      </w:r>
    </w:p>
    <w:p w14:paraId="7848CAE4" w14:textId="77777777" w:rsidR="00364A38" w:rsidRDefault="00364A38" w:rsidP="006C397C"/>
    <w:p w14:paraId="1B9C8E88" w14:textId="77777777" w:rsidR="00364A38" w:rsidRDefault="00364A38" w:rsidP="006C397C">
      <w:r>
        <w:t>The novelties, main differences, new challenges/considerations associated with tokenised securities lie in two aspects:</w:t>
      </w:r>
    </w:p>
    <w:p w14:paraId="6014BB11" w14:textId="77777777" w:rsidR="00364A38" w:rsidRDefault="00364A38" w:rsidP="00364A38">
      <w:pPr>
        <w:pStyle w:val="ListParagraph"/>
        <w:numPr>
          <w:ilvl w:val="0"/>
          <w:numId w:val="39"/>
        </w:numPr>
      </w:pPr>
      <w:r>
        <w:lastRenderedPageBreak/>
        <w:t>The admission to trading of these instruments on exchanges implying the qualification as a financial instrument and the provision of transparent information, such as risk and environmental factors information, to potential investors.</w:t>
      </w:r>
    </w:p>
    <w:p w14:paraId="13697EA4" w14:textId="512C227C" w:rsidR="00C61092" w:rsidRDefault="00364A38" w:rsidP="00C61092">
      <w:pPr>
        <w:pStyle w:val="ListParagraph"/>
        <w:numPr>
          <w:ilvl w:val="0"/>
          <w:numId w:val="39"/>
        </w:numPr>
      </w:pPr>
      <w:bookmarkStart w:id="3" w:name="_GoBack"/>
      <w:bookmarkEnd w:id="3"/>
      <w:r w:rsidRPr="00632C36">
        <w:t>The way to recognise settlement finality, both within the framework, within the EU, but also regarding the non-EU holders</w:t>
      </w:r>
      <w:r w:rsidR="00C61092">
        <w:t>.</w:t>
      </w:r>
    </w:p>
    <w:permEnd w:id="1293775397"/>
    <w:p w14:paraId="1C5E841E" w14:textId="2533BEC6"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119B79D5" w14:textId="77777777" w:rsidR="00364A38" w:rsidRDefault="00364A38" w:rsidP="00364A38">
      <w:permStart w:id="1076438526" w:edGrp="everyone"/>
      <w:r>
        <w:t>Although it is expected that several players have built the technical capabilities to issue tokenized securities, very few have publicly disclosed their ambition and positioned themselves. This situation still creates uncertainty as to where the DLT financial instruments would be traded.</w:t>
      </w:r>
    </w:p>
    <w:p w14:paraId="149D9714" w14:textId="77777777" w:rsidR="00364A38" w:rsidRDefault="00364A38" w:rsidP="00364A38"/>
    <w:p w14:paraId="7CB9A4AB" w14:textId="77777777" w:rsidR="00364A38" w:rsidRDefault="00364A38" w:rsidP="00364A38">
      <w:r>
        <w:t>With the exception of Over-The-Counter (“OTC”) markets, this limited experience with markets for the trading of DLT financial instruments can be partially attributed in Europe to the pending entry into force of the DLT Pilot Regime. Nevertheless, the standard financial markets - organized market exchanges, proprietary exchanges and OTC - seem to be viable alternatives.</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6EDCC799" w:rsidR="00CC59BB" w:rsidRDefault="00364A38" w:rsidP="00CC59BB">
      <w:permStart w:id="1516253385" w:edGrp="everyone"/>
      <w:r>
        <w:t>Yes</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lastRenderedPageBreak/>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02814829" w14:textId="77777777" w:rsidR="00364A38" w:rsidRDefault="00364A38" w:rsidP="00364A38">
      <w:permStart w:id="1550012690" w:edGrp="everyone"/>
      <w:r>
        <w:t>The role of the DLT in the price discovery mechanism remains an open question. The regulatory framework (</w:t>
      </w:r>
      <w:proofErr w:type="spellStart"/>
      <w:r>
        <w:t>MiFIR</w:t>
      </w:r>
      <w:proofErr w:type="spellEnd"/>
      <w:r>
        <w:t>) encompasses a limited number of proven trading protocols. It is indeed not yet known whether the sandbox provided by the DLT Pilot Regime will result into the emergence of new and fundamentally different trading protocols. Currently, the perspectives to discover (form) price on the DLT (on-chain) are limited. At the time of writing, the on-chain built in capabilities would not widely support this function (e.g. reduced matching order capabilities). Accordingly, it can be assumed that price discovery could initially be predominantly achieved off-chain. In this context, the standard trading systems do not contradict with the off-chain structure but a particular operational attention is to be given to the interoperability between the on-chain and off-chain environment.</w:t>
      </w:r>
    </w:p>
    <w:p w14:paraId="34BA0AB6" w14:textId="77777777" w:rsidR="00364A38" w:rsidRDefault="00364A38" w:rsidP="00364A38"/>
    <w:p w14:paraId="6039BC56" w14:textId="77777777" w:rsidR="00364A38" w:rsidRDefault="00364A38" w:rsidP="00364A38">
      <w:r>
        <w:t>Additional considerations, for organized exchanges, are related to:</w:t>
      </w:r>
    </w:p>
    <w:p w14:paraId="21FB2661" w14:textId="77777777" w:rsidR="00364A38" w:rsidRPr="00180485" w:rsidRDefault="00364A38" w:rsidP="00364A38">
      <w:pPr>
        <w:pStyle w:val="ListParagraph"/>
        <w:numPr>
          <w:ilvl w:val="0"/>
          <w:numId w:val="40"/>
        </w:numPr>
      </w:pPr>
      <w:r>
        <w:t xml:space="preserve">the disclosure and qualification requirements of the tokenised securities admitted to trading as </w:t>
      </w:r>
      <w:r w:rsidRPr="00180485">
        <w:t>mentioned in Question 8.</w:t>
      </w:r>
    </w:p>
    <w:p w14:paraId="3AFC29BC" w14:textId="77777777" w:rsidR="00364A38" w:rsidRPr="00180485" w:rsidRDefault="00364A38" w:rsidP="00364A38">
      <w:pPr>
        <w:pStyle w:val="ListParagraph"/>
        <w:numPr>
          <w:ilvl w:val="0"/>
          <w:numId w:val="40"/>
        </w:numPr>
      </w:pPr>
      <w:r w:rsidRPr="00180485">
        <w:t>the interactions scheme between DLTs to allow for tokenised securities to be exchanged across platforms.</w:t>
      </w:r>
    </w:p>
    <w:p w14:paraId="76D9EA9C" w14:textId="77777777" w:rsidR="00364A38" w:rsidRPr="00831EB7" w:rsidRDefault="00364A38" w:rsidP="00364A38">
      <w:pPr>
        <w:pStyle w:val="ListParagraph"/>
        <w:ind w:left="1440"/>
        <w:rPr>
          <w:i/>
        </w:rPr>
      </w:pPr>
      <w:r w:rsidRPr="00180485">
        <w:rPr>
          <w:i/>
        </w:rPr>
        <w:t>This relates to the interoperability hurdle. As a matter of illustration, this could be done through the form of wallet providers as seen in the crypto-currency world. Those exchanges could potentially enable access to different DLTs in order to "swap" instruments but in effect it will likely be two separate trades, one on each respective DLT. This example shows the relevance of the potential layering beyond the DLT in establishing a market infrastructure.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0C6604F4" w14:textId="77777777" w:rsidR="00364A38" w:rsidRDefault="00364A38" w:rsidP="00364A38">
      <w:pPr>
        <w:rPr>
          <w:highlight w:val="yellow"/>
        </w:rPr>
      </w:pPr>
      <w:permStart w:id="1530005966" w:edGrp="everyone"/>
      <w:r>
        <w:lastRenderedPageBreak/>
        <w:t>As introduced in Question 1, technological neutrali</w:t>
      </w:r>
      <w:r w:rsidRPr="00180485">
        <w:t>ty is advocated for. Accordingly, similar and comparable requirements in term</w:t>
      </w:r>
      <w:r>
        <w:t>s</w:t>
      </w:r>
      <w:r w:rsidRPr="00180485">
        <w:t xml:space="preserve"> of pre-trade transparency should apply.</w:t>
      </w:r>
    </w:p>
    <w:p w14:paraId="40D8CCB9" w14:textId="77777777" w:rsidR="00364A38" w:rsidRDefault="00364A38" w:rsidP="00364A38"/>
    <w:p w14:paraId="5832A501" w14:textId="77777777" w:rsidR="00364A38" w:rsidRDefault="00364A38" w:rsidP="00364A38">
      <w:r>
        <w:t xml:space="preserve">While DLTs can take very different forms and shapes (e.g. access rights, validation rights, consensus methods), it is important that DLT specifications are not restricted in the DLT Pilot Regime to avoid hindering the innovation capability of the still evolving technology. </w:t>
      </w:r>
      <w:proofErr w:type="spellStart"/>
      <w:r>
        <w:t>P</w:t>
      </w:r>
      <w:r w:rsidRPr="00355CDA">
        <w:t>ermissionless</w:t>
      </w:r>
      <w:proofErr w:type="spellEnd"/>
      <w:r>
        <w:t xml:space="preserve"> DLT should therefore be considered as a real and viable (not only bound to theory) alternative for the tokenisation of securities. Accordingly, in order to avoid discrepancies or technological arbitrage, requirements should focus on similar principles across DLT specifications.</w:t>
      </w:r>
    </w:p>
    <w:p w14:paraId="29F1025D" w14:textId="77777777" w:rsidR="00364A38" w:rsidRDefault="00364A38" w:rsidP="00364A38"/>
    <w:p w14:paraId="1DF46BF3" w14:textId="77777777" w:rsidR="00364A38" w:rsidRDefault="00364A38" w:rsidP="00364A38">
      <w:r>
        <w:t xml:space="preserve">It is relevant to notice that other specifications, such as the off-chain characteristics, the interoperability mechanisms, the consensus methods are as important as the participation rights (permissioned vs </w:t>
      </w:r>
      <w:proofErr w:type="spellStart"/>
      <w:r>
        <w:t>permissionless</w:t>
      </w:r>
      <w:proofErr w:type="spellEnd"/>
      <w:r>
        <w:t xml:space="preserve">) when considering the transparency capabilities of a network (DLT). </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3828B210" w14:textId="77777777" w:rsidR="00364A38" w:rsidRDefault="00364A38" w:rsidP="00364A38">
      <w:permStart w:id="1367754514" w:edGrp="everyone"/>
      <w:r>
        <w:t>Similarly, to Question 15, the rich heterogeneity of existing DLT specifications should be considered in addressing this question. In particular,</w:t>
      </w:r>
    </w:p>
    <w:p w14:paraId="0C43E5D5" w14:textId="77777777" w:rsidR="00364A38" w:rsidRDefault="00364A38" w:rsidP="00364A38">
      <w:pPr>
        <w:pStyle w:val="ListParagraph"/>
        <w:numPr>
          <w:ilvl w:val="0"/>
          <w:numId w:val="39"/>
        </w:numPr>
      </w:pPr>
      <w:r>
        <w:t>the variety of consensus mechanisms (Proof of Work, Proof of Stake, Proof of History);</w:t>
      </w:r>
    </w:p>
    <w:p w14:paraId="23D4E3F0" w14:textId="77777777" w:rsidR="00364A38" w:rsidRDefault="00364A38" w:rsidP="00364A38">
      <w:pPr>
        <w:pStyle w:val="ListParagraph"/>
        <w:numPr>
          <w:ilvl w:val="0"/>
          <w:numId w:val="39"/>
        </w:numPr>
      </w:pPr>
      <w:r>
        <w:t>the structure of the off-chain layer(s); and</w:t>
      </w:r>
    </w:p>
    <w:p w14:paraId="39393392" w14:textId="77777777" w:rsidR="00364A38" w:rsidRDefault="00364A38" w:rsidP="00364A38">
      <w:pPr>
        <w:pStyle w:val="ListParagraph"/>
        <w:numPr>
          <w:ilvl w:val="0"/>
          <w:numId w:val="39"/>
        </w:numPr>
      </w:pPr>
      <w:r>
        <w:t xml:space="preserve">the interoperability mechanism </w:t>
      </w:r>
    </w:p>
    <w:p w14:paraId="627C4985" w14:textId="77777777" w:rsidR="00364A38" w:rsidRDefault="00364A38" w:rsidP="00364A38">
      <w:r>
        <w:t>have an impact on the timing of recording and execution of transactions.</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 xml:space="preserve">Is it necessary to amend the current fields and flags for post-trade transparency (modifications/cancellations/additions) for their application to DLT shares, </w:t>
      </w:r>
      <w:r w:rsidRPr="00185ADA">
        <w:lastRenderedPageBreak/>
        <w:t>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 xml:space="preserve">What are your views on the arrangements that DLT MTFs would need to establish to ensure the provision of complete and accurate reference data to ESMA?  </w:t>
      </w:r>
      <w:r w:rsidRPr="00185ADA">
        <w:lastRenderedPageBreak/>
        <w:t>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75C29D52" w14:textId="61F49461" w:rsidR="00CC59BB" w:rsidRDefault="00364A38" w:rsidP="00CC59BB">
      <w:permStart w:id="792208080" w:edGrp="everyone"/>
      <w:r w:rsidRPr="00180485">
        <w:t xml:space="preserve">Yes, the DLT framework brings a different way to perform exchange of values (e.g. </w:t>
      </w:r>
      <w:r>
        <w:t>delivery versus payment</w:t>
      </w:r>
      <w:r w:rsidRPr="00180485">
        <w:t xml:space="preserve">) but this remains a transaction recorded in a ledger, materialised on a different medium and in a different </w:t>
      </w:r>
      <w:proofErr w:type="gramStart"/>
      <w:r w:rsidRPr="00180485">
        <w:t>way.</w:t>
      </w:r>
      <w:permEnd w:id="792208080"/>
      <w:r w:rsidR="00CC59BB">
        <w:t>&lt;</w:t>
      </w:r>
      <w:proofErr w:type="gramEnd"/>
      <w:r w:rsidR="00CC59BB">
        <w: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lastRenderedPageBreak/>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lastRenderedPageBreak/>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lastRenderedPageBreak/>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029A" w14:textId="77777777" w:rsidR="003C3E60" w:rsidRDefault="003C3E60">
      <w:r>
        <w:separator/>
      </w:r>
    </w:p>
    <w:p w14:paraId="36DCC23C" w14:textId="77777777" w:rsidR="003C3E60" w:rsidRDefault="003C3E60"/>
  </w:endnote>
  <w:endnote w:type="continuationSeparator" w:id="0">
    <w:p w14:paraId="7C02B217" w14:textId="77777777" w:rsidR="003C3E60" w:rsidRDefault="003C3E60">
      <w:r>
        <w:continuationSeparator/>
      </w:r>
    </w:p>
    <w:p w14:paraId="0E77221B" w14:textId="77777777" w:rsidR="003C3E60" w:rsidRDefault="003C3E60"/>
  </w:endnote>
  <w:endnote w:type="continuationNotice" w:id="1">
    <w:p w14:paraId="1B7E07EF" w14:textId="77777777" w:rsidR="003C3E60" w:rsidRDefault="003C3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7B15"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FB02" w14:textId="77777777" w:rsidR="003C3E60" w:rsidRDefault="003C3E60">
      <w:r>
        <w:separator/>
      </w:r>
    </w:p>
    <w:p w14:paraId="03CB5079" w14:textId="77777777" w:rsidR="003C3E60" w:rsidRDefault="003C3E60"/>
  </w:footnote>
  <w:footnote w:type="continuationSeparator" w:id="0">
    <w:p w14:paraId="5021A828" w14:textId="77777777" w:rsidR="003C3E60" w:rsidRDefault="003C3E60">
      <w:r>
        <w:continuationSeparator/>
      </w:r>
    </w:p>
    <w:p w14:paraId="363CE1A5" w14:textId="77777777" w:rsidR="003C3E60" w:rsidRDefault="003C3E60"/>
  </w:footnote>
  <w:footnote w:type="continuationNotice" w:id="1">
    <w:p w14:paraId="71D4E29A" w14:textId="77777777" w:rsidR="003C3E60" w:rsidRDefault="003C3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1E5075"/>
    <w:multiLevelType w:val="hybridMultilevel"/>
    <w:tmpl w:val="9A52E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4974836"/>
    <w:multiLevelType w:val="hybridMultilevel"/>
    <w:tmpl w:val="EFA67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DB92804"/>
    <w:multiLevelType w:val="hybridMultilevel"/>
    <w:tmpl w:val="A49EC12E"/>
    <w:lvl w:ilvl="0" w:tplc="89C8616C">
      <w:start w:val="1"/>
      <w:numFmt w:val="decimal"/>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8"/>
  </w:num>
  <w:num w:numId="22">
    <w:abstractNumId w:val="24"/>
  </w:num>
  <w:num w:numId="23">
    <w:abstractNumId w:val="9"/>
  </w:num>
  <w:num w:numId="24">
    <w:abstractNumId w:val="29"/>
  </w:num>
  <w:num w:numId="25">
    <w:abstractNumId w:val="28"/>
  </w:num>
  <w:num w:numId="26">
    <w:abstractNumId w:val="19"/>
  </w:num>
  <w:num w:numId="27">
    <w:abstractNumId w:val="33"/>
  </w:num>
  <w:num w:numId="28">
    <w:abstractNumId w:val="40"/>
  </w:num>
  <w:num w:numId="29">
    <w:abstractNumId w:val="7"/>
  </w:num>
  <w:num w:numId="30">
    <w:abstractNumId w:val="2"/>
  </w:num>
  <w:num w:numId="31">
    <w:abstractNumId w:val="21"/>
  </w:num>
  <w:num w:numId="32">
    <w:abstractNumId w:val="20"/>
  </w:num>
  <w:num w:numId="33">
    <w:abstractNumId w:val="36"/>
  </w:num>
  <w:num w:numId="34">
    <w:abstractNumId w:val="35"/>
  </w:num>
  <w:num w:numId="35">
    <w:abstractNumId w:val="5"/>
  </w:num>
  <w:num w:numId="36">
    <w:abstractNumId w:val="37"/>
  </w:num>
  <w:num w:numId="37">
    <w:abstractNumId w:val="12"/>
  </w:num>
  <w:num w:numId="38">
    <w:abstractNumId w:val="34"/>
  </w:num>
  <w:num w:numId="39">
    <w:abstractNumId w:val="4"/>
  </w:num>
  <w:num w:numId="4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B66"/>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4A38"/>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3E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2C36"/>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1092"/>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uiPriority="9"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uiPriority w:val="9"/>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1216</Value>
      <Value>165</Value>
      <Value>484</Value>
      <Value>14</Value>
    </TaxCatchAll>
    <_dlc_DocId xmlns="20fbe147-bbda-4e53-b6b1-7e8bbff3fe19">ESMA70-460-26</_dlc_DocId>
    <_dlc_DocIdUrl xmlns="20fbe147-bbda-4e53-b6b1-7e8bbff3fe19">
      <Url>https://sherpa.esma.europa.eu/sites/MKT/SMK/_layouts/15/DocIdRedir.aspx?ID=ESMA70-460-26</Url>
      <Description>ESMA70-460-26</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2CD2EE27-6C9D-4095-B937-2F7D4E11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F49D3A-EEC6-47BC-AC3E-775BD0C210B6}">
  <ds:schemaRefs>
    <ds:schemaRef ds:uri="http://schemas.openxmlformats.org/officeDocument/2006/bibliography"/>
  </ds:schemaRefs>
</ds:datastoreItem>
</file>

<file path=customXml/itemProps6.xml><?xml version="1.0" encoding="utf-8"?>
<ds:datastoreItem xmlns:ds="http://schemas.openxmlformats.org/officeDocument/2006/customXml" ds:itemID="{05B90746-BCC1-4D88-9F19-B0B46CBA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18</Pages>
  <Words>5824</Words>
  <Characters>33199</Characters>
  <Application>Microsoft Office Word</Application>
  <DocSecurity>8</DocSecurity>
  <Lines>276</Lines>
  <Paragraphs>77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38946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Gildas Blanchard</cp:lastModifiedBy>
  <cp:revision>4</cp:revision>
  <cp:lastPrinted>2022-03-03T11:18:00Z</cp:lastPrinted>
  <dcterms:created xsi:type="dcterms:W3CDTF">2022-03-03T10:51:00Z</dcterms:created>
  <dcterms:modified xsi:type="dcterms:W3CDTF">2022-03-03T13:06:00Z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0x01010001BD15C3986B91498E0AE644B715B9EE1B001F5A8317797F334F88F9215DEB384D7B</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