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7BA33815" w14:textId="77777777" w:rsidTr="00315E96">
        <w:trPr>
          <w:trHeight w:val="284"/>
        </w:trPr>
        <w:tc>
          <w:tcPr>
            <w:tcW w:w="9412" w:type="dxa"/>
          </w:tcPr>
          <w:p w14:paraId="6CC278DA" w14:textId="1408D520" w:rsidR="00C2094B" w:rsidRPr="00583885" w:rsidRDefault="00A52EBB" w:rsidP="0071740A">
            <w:pPr>
              <w:pStyle w:val="Fuzeile"/>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6C2D5A">
              <w:rPr>
                <w:rFonts w:cs="Arial"/>
                <w:color w:val="FFFFFF" w:themeColor="background1"/>
                <w:sz w:val="22"/>
                <w:szCs w:val="22"/>
              </w:rPr>
              <w:t>17</w:t>
            </w:r>
            <w:r w:rsidR="00B61CD3">
              <w:rPr>
                <w:rFonts w:cs="Arial"/>
                <w:color w:val="FFFFFF" w:themeColor="background1"/>
                <w:sz w:val="22"/>
                <w:szCs w:val="22"/>
              </w:rPr>
              <w:t xml:space="preserve"> </w:t>
            </w:r>
            <w:r w:rsidR="006C2D5A">
              <w:rPr>
                <w:rFonts w:cs="Arial"/>
                <w:color w:val="FFFFFF" w:themeColor="background1"/>
                <w:sz w:val="22"/>
                <w:szCs w:val="22"/>
              </w:rPr>
              <w:t>November</w:t>
            </w:r>
            <w:r w:rsidR="00B61CD3">
              <w:rPr>
                <w:rFonts w:cs="Arial"/>
                <w:color w:val="FFFFFF" w:themeColor="background1"/>
                <w:sz w:val="22"/>
                <w:szCs w:val="22"/>
              </w:rPr>
              <w:t xml:space="preserve"> 202</w:t>
            </w:r>
            <w:r w:rsidR="006C2D5A">
              <w:rPr>
                <w:rFonts w:cs="Arial"/>
                <w:color w:val="FFFFFF" w:themeColor="background1"/>
                <w:sz w:val="22"/>
                <w:szCs w:val="22"/>
              </w:rPr>
              <w:t>1</w:t>
            </w:r>
          </w:p>
        </w:tc>
      </w:tr>
    </w:tbl>
    <w:p w14:paraId="3FAB6541" w14:textId="77777777" w:rsidR="00FD7A8D" w:rsidRPr="00616B9B" w:rsidRDefault="00FD7A8D" w:rsidP="00FD7A8D">
      <w:pPr>
        <w:rPr>
          <w:rFonts w:cs="Arial"/>
          <w:vanish/>
        </w:rPr>
      </w:pPr>
    </w:p>
    <w:tbl>
      <w:tblPr>
        <w:tblpPr w:leftFromText="8505" w:vertAnchor="page" w:horzAnchor="page" w:tblpX="1532" w:tblpY="4401"/>
        <w:tblW w:w="9113" w:type="dxa"/>
        <w:tblLayout w:type="fixed"/>
        <w:tblCellMar>
          <w:left w:w="0" w:type="dxa"/>
          <w:right w:w="0" w:type="dxa"/>
        </w:tblCellMar>
        <w:tblLook w:val="01E0" w:firstRow="1" w:lastRow="1" w:firstColumn="1" w:lastColumn="1" w:noHBand="0" w:noVBand="0"/>
      </w:tblPr>
      <w:tblGrid>
        <w:gridCol w:w="9113"/>
      </w:tblGrid>
      <w:tr w:rsidR="00060F72" w:rsidRPr="00616B9B" w14:paraId="75E3C024" w14:textId="77777777" w:rsidTr="006C2D5A">
        <w:trPr>
          <w:trHeight w:hRule="exact" w:val="1985"/>
        </w:trPr>
        <w:tc>
          <w:tcPr>
            <w:tcW w:w="9113" w:type="dxa"/>
            <w:vAlign w:val="bottom"/>
          </w:tcPr>
          <w:p w14:paraId="2D58508C" w14:textId="51699443" w:rsidR="00791EB4" w:rsidRDefault="00AE627C" w:rsidP="006C2D5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6C2D5A">
              <w:rPr>
                <w:rFonts w:cs="Arial"/>
              </w:rPr>
              <w:t xml:space="preserve">Discussion Paper </w:t>
            </w:r>
            <w:r w:rsidR="00F107EF" w:rsidRPr="00F107EF">
              <w:rPr>
                <w:rFonts w:cs="Arial"/>
              </w:rPr>
              <w:t xml:space="preserve">on the </w:t>
            </w:r>
            <w:r w:rsidR="006C2D5A">
              <w:rPr>
                <w:rFonts w:cs="Arial"/>
              </w:rPr>
              <w:t>review of the clearing thresholds under EMIR</w:t>
            </w:r>
          </w:p>
          <w:p w14:paraId="3016CDD9" w14:textId="77777777" w:rsidR="00B61CD3" w:rsidRPr="00616B9B" w:rsidRDefault="00B61CD3" w:rsidP="006C2D5A">
            <w:pPr>
              <w:pStyle w:val="01aDBTitle"/>
              <w:jc w:val="left"/>
              <w:rPr>
                <w:rFonts w:cs="Arial"/>
              </w:rPr>
            </w:pPr>
          </w:p>
        </w:tc>
      </w:tr>
      <w:tr w:rsidR="00060F72" w:rsidRPr="00616B9B" w14:paraId="1EE8FD41" w14:textId="77777777" w:rsidTr="006C2D5A">
        <w:trPr>
          <w:trHeight w:hRule="exact" w:val="605"/>
        </w:trPr>
        <w:tc>
          <w:tcPr>
            <w:tcW w:w="9113" w:type="dxa"/>
            <w:tcMar>
              <w:top w:w="142" w:type="dxa"/>
            </w:tcMar>
          </w:tcPr>
          <w:p w14:paraId="3D4F1BC4" w14:textId="77777777" w:rsidR="00D91010" w:rsidRPr="00616B9B" w:rsidRDefault="00013CCE" w:rsidP="006C2D5A">
            <w:pPr>
              <w:pStyle w:val="01bDBSubtitle"/>
              <w:rPr>
                <w:rFonts w:ascii="Arial" w:hAnsi="Arial" w:cs="Arial"/>
              </w:rPr>
            </w:pPr>
            <w:r w:rsidRPr="00616B9B">
              <w:rPr>
                <w:rFonts w:ascii="Arial" w:hAnsi="Arial" w:cs="Arial"/>
              </w:rPr>
              <w:t xml:space="preserve"> </w:t>
            </w:r>
          </w:p>
        </w:tc>
      </w:tr>
    </w:tbl>
    <w:p w14:paraId="6B48724A"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926DEB1" w14:textId="77777777" w:rsidTr="00315E96">
        <w:trPr>
          <w:trHeight w:hRule="exact" w:val="964"/>
        </w:trPr>
        <w:tc>
          <w:tcPr>
            <w:tcW w:w="2325" w:type="dxa"/>
          </w:tcPr>
          <w:p w14:paraId="55556C41" w14:textId="157648DD" w:rsidR="00620D7C" w:rsidRPr="00A52EBB" w:rsidRDefault="00620D7C" w:rsidP="00B1467D">
            <w:pPr>
              <w:pStyle w:val="02Date"/>
              <w:rPr>
                <w:rFonts w:cs="Arial"/>
              </w:rPr>
            </w:pPr>
            <w:r w:rsidRPr="00A52EBB">
              <w:rPr>
                <w:rFonts w:cs="Arial"/>
              </w:rPr>
              <w:lastRenderedPageBreak/>
              <w:t>Date:</w:t>
            </w:r>
            <w:r w:rsidR="00FD2893">
              <w:rPr>
                <w:rFonts w:cs="Arial"/>
              </w:rPr>
              <w:t xml:space="preserve"> </w:t>
            </w:r>
            <w:r w:rsidR="00FD2893" w:rsidRPr="00FD2893">
              <w:rPr>
                <w:rFonts w:cs="Arial"/>
              </w:rPr>
              <w:t>17 November 2021</w:t>
            </w:r>
          </w:p>
        </w:tc>
      </w:tr>
    </w:tbl>
    <w:p w14:paraId="733A0769"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143B428E" w14:textId="0C1916D2"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FD2893">
        <w:rPr>
          <w:rFonts w:cs="Arial"/>
        </w:rPr>
        <w:t>Discussio</w:t>
      </w:r>
      <w:r w:rsidR="000E49B7">
        <w:rPr>
          <w:rFonts w:cs="Arial"/>
        </w:rPr>
        <w:t xml:space="preserve">n Paper on the </w:t>
      </w:r>
      <w:r w:rsidR="00FD2893">
        <w:rPr>
          <w:rFonts w:cs="Arial"/>
        </w:rPr>
        <w:t>review of the clearing thresholds</w:t>
      </w:r>
      <w:r w:rsidR="00F107EF" w:rsidRPr="00F107EF">
        <w:rPr>
          <w:rFonts w:cs="Arial"/>
        </w:rPr>
        <w:t xml:space="preserve"> </w:t>
      </w:r>
      <w:r w:rsidR="00015B5E" w:rsidRPr="00EF0769">
        <w:rPr>
          <w:rFonts w:cs="Arial"/>
        </w:rPr>
        <w:t>published on the ESMA website</w:t>
      </w:r>
      <w:r w:rsidR="004E49B0" w:rsidRPr="00EF0769">
        <w:rPr>
          <w:rFonts w:cs="Arial"/>
        </w:rPr>
        <w:t>.</w:t>
      </w:r>
    </w:p>
    <w:p w14:paraId="4074FB5B" w14:textId="77777777" w:rsidR="001D000A" w:rsidRDefault="001D000A" w:rsidP="00F574D0">
      <w:pPr>
        <w:autoSpaceDE w:val="0"/>
        <w:autoSpaceDN w:val="0"/>
        <w:adjustRightInd w:val="0"/>
        <w:spacing w:before="120" w:after="120" w:line="276" w:lineRule="auto"/>
        <w:jc w:val="both"/>
        <w:rPr>
          <w:rStyle w:val="Strong4"/>
          <w:rFonts w:cs="Arial"/>
          <w:i/>
        </w:rPr>
      </w:pPr>
    </w:p>
    <w:p w14:paraId="62DBAD9F"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20A08541"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4924D5F2"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25307BC2" w14:textId="50250CD1"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FD2893">
        <w:rPr>
          <w:rFonts w:cs="Arial"/>
        </w:rPr>
        <w:t>D</w:t>
      </w:r>
      <w:r w:rsidR="00227C1A">
        <w:rPr>
          <w:rFonts w:cs="Arial"/>
        </w:rPr>
        <w:t>P_</w:t>
      </w:r>
      <w:r w:rsidR="00FD2893">
        <w:rPr>
          <w:rFonts w:cs="Arial"/>
        </w:rPr>
        <w:t>EMIR</w:t>
      </w:r>
      <w:r w:rsidR="00F107EF">
        <w:rPr>
          <w:rFonts w:cs="Arial"/>
        </w:rPr>
        <w:t>_</w:t>
      </w:r>
      <w:r w:rsidR="00FD2893">
        <w:rPr>
          <w:rFonts w:cs="Arial"/>
        </w:rPr>
        <w:t>CTs</w:t>
      </w:r>
      <w:r w:rsidR="00F574D0" w:rsidRPr="00293D78">
        <w:rPr>
          <w:rFonts w:cs="Arial"/>
        </w:rPr>
        <w:t>&gt; - i.e. the response to one question has to be framed by the 2 tags corresponding to the question; and</w:t>
      </w:r>
    </w:p>
    <w:p w14:paraId="500888F5"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727B03C8"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744CF542"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4769CA81"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408A957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1F9612CA"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B5B8734" w14:textId="77777777" w:rsidR="001D000A" w:rsidRDefault="001D000A" w:rsidP="000D17AA">
      <w:pPr>
        <w:pStyle w:val="04BodyText"/>
        <w:spacing w:before="120" w:after="120"/>
        <w:jc w:val="left"/>
        <w:rPr>
          <w:rFonts w:cs="Arial"/>
          <w:b/>
        </w:rPr>
      </w:pPr>
    </w:p>
    <w:p w14:paraId="615EBC17" w14:textId="77777777" w:rsidR="000D17AA" w:rsidRPr="00EF0769" w:rsidRDefault="00606240" w:rsidP="000D17AA">
      <w:pPr>
        <w:pStyle w:val="04BodyText"/>
        <w:spacing w:before="120" w:after="120"/>
        <w:jc w:val="left"/>
        <w:rPr>
          <w:rFonts w:cs="Arial"/>
          <w:b/>
        </w:rPr>
      </w:pPr>
      <w:r>
        <w:rPr>
          <w:rFonts w:cs="Arial"/>
          <w:b/>
        </w:rPr>
        <w:t>Naming protocol</w:t>
      </w:r>
    </w:p>
    <w:p w14:paraId="0A62B545"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07D0D5A9" w14:textId="165F019C" w:rsidR="000D17AA" w:rsidRPr="00EF0769" w:rsidRDefault="00021E83" w:rsidP="000D17AA">
      <w:pPr>
        <w:pStyle w:val="04BodyText"/>
        <w:spacing w:before="120" w:after="120"/>
        <w:jc w:val="left"/>
        <w:rPr>
          <w:rFonts w:cs="Arial"/>
        </w:rPr>
      </w:pPr>
      <w:r w:rsidRPr="00EF0769">
        <w:rPr>
          <w:rFonts w:cs="Arial"/>
        </w:rPr>
        <w:t>ESMA_</w:t>
      </w:r>
      <w:r w:rsidR="00FD2893">
        <w:rPr>
          <w:rFonts w:cs="Arial"/>
        </w:rPr>
        <w:t>D</w:t>
      </w:r>
      <w:r w:rsidR="00227C1A">
        <w:rPr>
          <w:rFonts w:cs="Arial"/>
        </w:rPr>
        <w:t>P_</w:t>
      </w:r>
      <w:r w:rsidR="00FD2893">
        <w:rPr>
          <w:rFonts w:cs="Arial"/>
        </w:rPr>
        <w:t>EMIR_CTs</w:t>
      </w:r>
      <w:r w:rsidR="00227C1A">
        <w:rPr>
          <w:rFonts w:cs="Arial"/>
        </w:rPr>
        <w:t>_</w:t>
      </w:r>
      <w:r w:rsidRPr="00EF0769">
        <w:rPr>
          <w:rFonts w:cs="Arial"/>
        </w:rPr>
        <w:t>NAMEOFCOMPANY_NAMEOFDOCUMENT</w:t>
      </w:r>
      <w:r w:rsidR="000D17AA" w:rsidRPr="00EF0769">
        <w:rPr>
          <w:rFonts w:cs="Arial"/>
        </w:rPr>
        <w:t>.</w:t>
      </w:r>
    </w:p>
    <w:p w14:paraId="71A173B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211518B1" w14:textId="4855BCC1" w:rsidR="000D17AA" w:rsidRPr="00EF0769" w:rsidRDefault="00021E83" w:rsidP="00FD2893">
      <w:pPr>
        <w:pStyle w:val="04BodyText"/>
        <w:spacing w:before="120" w:after="120"/>
        <w:jc w:val="left"/>
        <w:rPr>
          <w:rFonts w:cs="Arial"/>
        </w:rPr>
      </w:pPr>
      <w:r w:rsidRPr="00EF0769">
        <w:rPr>
          <w:rFonts w:cs="Arial"/>
        </w:rPr>
        <w:t>ESMA_</w:t>
      </w:r>
      <w:r w:rsidR="00FD2893" w:rsidRPr="00FD2893">
        <w:rPr>
          <w:rFonts w:cs="Arial"/>
        </w:rPr>
        <w:t xml:space="preserve"> </w:t>
      </w:r>
      <w:r w:rsidR="00FD2893">
        <w:rPr>
          <w:rFonts w:cs="Arial"/>
        </w:rPr>
        <w:t>DP_EMIR_CTs_</w:t>
      </w:r>
      <w:r w:rsidRPr="00EF0769">
        <w:rPr>
          <w:rFonts w:cs="Arial"/>
        </w:rPr>
        <w:t xml:space="preserve">ESMA_REPLYFORM </w:t>
      </w:r>
    </w:p>
    <w:p w14:paraId="4160FAFE"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4089C10F"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7FC02DAB" w14:textId="3BA9E356" w:rsidR="00F574D0" w:rsidRPr="00EF0769" w:rsidRDefault="00F574D0" w:rsidP="00F574D0">
      <w:pPr>
        <w:pStyle w:val="04BodyText"/>
        <w:spacing w:before="120" w:after="120"/>
        <w:rPr>
          <w:rFonts w:cs="Arial"/>
        </w:rPr>
      </w:pPr>
      <w:r w:rsidRPr="00EF0769">
        <w:rPr>
          <w:rFonts w:cs="Arial"/>
        </w:rPr>
        <w:t xml:space="preserve">Responses must reach us by </w:t>
      </w:r>
      <w:r w:rsidR="00F107EF">
        <w:rPr>
          <w:rFonts w:cs="Arial"/>
          <w:b/>
        </w:rPr>
        <w:t>1</w:t>
      </w:r>
      <w:r w:rsidR="00FD2893">
        <w:rPr>
          <w:rFonts w:cs="Arial"/>
          <w:b/>
        </w:rPr>
        <w:t>9</w:t>
      </w:r>
      <w:r w:rsidR="00227C1A">
        <w:rPr>
          <w:rFonts w:cs="Arial"/>
          <w:b/>
        </w:rPr>
        <w:t xml:space="preserve"> </w:t>
      </w:r>
      <w:r w:rsidR="00FD2893">
        <w:rPr>
          <w:rFonts w:cs="Arial"/>
          <w:b/>
        </w:rPr>
        <w:t>January</w:t>
      </w:r>
      <w:r w:rsidR="00F107EF">
        <w:rPr>
          <w:rFonts w:cs="Arial"/>
          <w:b/>
        </w:rPr>
        <w:t xml:space="preserve"> 202</w:t>
      </w:r>
      <w:r w:rsidR="00FD2893">
        <w:rPr>
          <w:rFonts w:cs="Arial"/>
          <w:b/>
        </w:rPr>
        <w:t>1</w:t>
      </w:r>
      <w:r w:rsidR="00021E83" w:rsidRPr="00EF0769">
        <w:rPr>
          <w:rFonts w:cs="Arial"/>
          <w:b/>
        </w:rPr>
        <w:t>.</w:t>
      </w:r>
    </w:p>
    <w:p w14:paraId="0AA4F56E"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75683D9F"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B10F399"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45E11B9"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77DA9136"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1701CED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B69ACB5"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60136CF9"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644888C3" w14:textId="77777777" w:rsidR="00332304" w:rsidRDefault="00332304">
      <w:pPr>
        <w:rPr>
          <w:rFonts w:cs="Arial"/>
          <w:b/>
          <w:bCs/>
          <w:kern w:val="32"/>
          <w:sz w:val="24"/>
          <w:szCs w:val="32"/>
        </w:rPr>
      </w:pPr>
      <w:r>
        <w:br w:type="page"/>
      </w:r>
    </w:p>
    <w:p w14:paraId="4DB387CA" w14:textId="77777777" w:rsidR="00F87897" w:rsidRPr="00AB6D88" w:rsidRDefault="00F87897" w:rsidP="00F87897">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191B647C" w14:textId="77777777" w:rsidTr="00FA5524">
        <w:tc>
          <w:tcPr>
            <w:tcW w:w="3929" w:type="dxa"/>
            <w:shd w:val="clear" w:color="auto" w:fill="auto"/>
          </w:tcPr>
          <w:p w14:paraId="7B6D403F" w14:textId="77777777" w:rsidR="00C2682A" w:rsidRPr="00E40A5C" w:rsidRDefault="00C2682A" w:rsidP="00FA5524">
            <w:pPr>
              <w:rPr>
                <w:rFonts w:cs="Arial"/>
                <w:sz w:val="22"/>
              </w:rPr>
            </w:pPr>
            <w:permStart w:id="908806099" w:edGrp="everyone" w:colFirst="1" w:colLast="1"/>
            <w:r w:rsidRPr="00E40A5C">
              <w:rPr>
                <w:rFonts w:cs="Arial"/>
                <w:sz w:val="22"/>
              </w:rPr>
              <w:t>Name of the company / organisation</w:t>
            </w:r>
          </w:p>
        </w:tc>
        <w:sdt>
          <w:sdtPr>
            <w:rPr>
              <w:rStyle w:val="Platzhaltertext"/>
              <w:rFonts w:cs="Arial"/>
            </w:rPr>
            <w:id w:val="651570699"/>
            <w:text/>
          </w:sdtPr>
          <w:sdtEndPr>
            <w:rPr>
              <w:rStyle w:val="Platzhaltertext"/>
            </w:rPr>
          </w:sdtEndPr>
          <w:sdtContent>
            <w:tc>
              <w:tcPr>
                <w:tcW w:w="5595" w:type="dxa"/>
                <w:shd w:val="clear" w:color="auto" w:fill="auto"/>
              </w:tcPr>
              <w:p w14:paraId="2946B85C" w14:textId="0E750884" w:rsidR="00C2682A" w:rsidRPr="00AB6D88" w:rsidRDefault="007704D0" w:rsidP="00FA5524">
                <w:pPr>
                  <w:rPr>
                    <w:rStyle w:val="Platzhaltertext"/>
                    <w:rFonts w:cs="Arial"/>
                  </w:rPr>
                </w:pPr>
                <w:proofErr w:type="spellStart"/>
                <w:r>
                  <w:rPr>
                    <w:rStyle w:val="Platzhaltertext"/>
                    <w:rFonts w:cs="Arial"/>
                  </w:rPr>
                  <w:t>Deutsches</w:t>
                </w:r>
                <w:proofErr w:type="spellEnd"/>
                <w:r>
                  <w:rPr>
                    <w:rStyle w:val="Platzhaltertext"/>
                    <w:rFonts w:cs="Arial"/>
                  </w:rPr>
                  <w:t xml:space="preserve"> </w:t>
                </w:r>
                <w:proofErr w:type="spellStart"/>
                <w:r>
                  <w:rPr>
                    <w:rStyle w:val="Platzhaltertext"/>
                    <w:rFonts w:cs="Arial"/>
                  </w:rPr>
                  <w:t>Aktieninstitut</w:t>
                </w:r>
                <w:proofErr w:type="spellEnd"/>
              </w:p>
            </w:tc>
          </w:sdtContent>
        </w:sdt>
      </w:tr>
      <w:tr w:rsidR="00C2682A" w:rsidRPr="00AB6D88" w14:paraId="1D9CBE45" w14:textId="77777777" w:rsidTr="00FA5524">
        <w:tc>
          <w:tcPr>
            <w:tcW w:w="3929" w:type="dxa"/>
            <w:shd w:val="clear" w:color="auto" w:fill="auto"/>
          </w:tcPr>
          <w:p w14:paraId="4AEAB254" w14:textId="77777777" w:rsidR="00C2682A" w:rsidRPr="00E40A5C" w:rsidRDefault="00C2682A" w:rsidP="00FA5524">
            <w:pPr>
              <w:rPr>
                <w:rFonts w:cs="Arial"/>
                <w:sz w:val="22"/>
              </w:rPr>
            </w:pPr>
            <w:permStart w:id="543449311" w:edGrp="everyone" w:colFirst="1" w:colLast="1"/>
            <w:permEnd w:id="908806099"/>
            <w:r w:rsidRPr="00E40A5C">
              <w:rPr>
                <w:rFonts w:cs="Arial"/>
                <w:sz w:val="22"/>
              </w:rPr>
              <w:t>Activity</w:t>
            </w:r>
          </w:p>
        </w:tc>
        <w:tc>
          <w:tcPr>
            <w:tcW w:w="5595" w:type="dxa"/>
            <w:shd w:val="clear" w:color="auto" w:fill="auto"/>
          </w:tcPr>
          <w:p w14:paraId="28C80CB8" w14:textId="7DE73A82" w:rsidR="00C2682A" w:rsidRPr="00AB6D88" w:rsidRDefault="00FB14FF"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704D0">
                  <w:rPr>
                    <w:rFonts w:cs="Arial"/>
                  </w:rPr>
                  <w:t>Non-financial counterparty</w:t>
                </w:r>
              </w:sdtContent>
            </w:sdt>
          </w:p>
        </w:tc>
      </w:tr>
      <w:tr w:rsidR="00C2682A" w:rsidRPr="00AB6D88" w14:paraId="38D352D6" w14:textId="77777777" w:rsidTr="00FA5524">
        <w:tc>
          <w:tcPr>
            <w:tcW w:w="3929" w:type="dxa"/>
            <w:shd w:val="clear" w:color="auto" w:fill="auto"/>
          </w:tcPr>
          <w:p w14:paraId="213C2539" w14:textId="77777777" w:rsidR="00C2682A" w:rsidRPr="00E40A5C" w:rsidRDefault="00C2682A" w:rsidP="00FA5524">
            <w:pPr>
              <w:rPr>
                <w:rFonts w:cs="Arial"/>
                <w:sz w:val="22"/>
              </w:rPr>
            </w:pPr>
            <w:permStart w:id="1344359580" w:edGrp="everyone" w:colFirst="1" w:colLast="1"/>
            <w:permEnd w:id="543449311"/>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1B6CD27A" w14:textId="5941F822" w:rsidR="00C2682A" w:rsidRPr="00AB6D88" w:rsidRDefault="007704D0" w:rsidP="00FA5524">
                <w:pPr>
                  <w:rPr>
                    <w:rFonts w:cs="Arial"/>
                  </w:rPr>
                </w:pPr>
                <w:r>
                  <w:rPr>
                    <w:rFonts w:ascii="MS Gothic" w:eastAsia="MS Gothic" w:hAnsi="MS Gothic" w:cs="Arial" w:hint="eastAsia"/>
                  </w:rPr>
                  <w:t>☒</w:t>
                </w:r>
              </w:p>
            </w:tc>
          </w:sdtContent>
        </w:sdt>
      </w:tr>
      <w:tr w:rsidR="00C2682A" w:rsidRPr="00AB6D88" w14:paraId="55D77BDD" w14:textId="77777777" w:rsidTr="00FA5524">
        <w:tc>
          <w:tcPr>
            <w:tcW w:w="3929" w:type="dxa"/>
            <w:shd w:val="clear" w:color="auto" w:fill="auto"/>
          </w:tcPr>
          <w:p w14:paraId="1E1D9E48" w14:textId="77777777" w:rsidR="00C2682A" w:rsidRPr="00E40A5C" w:rsidRDefault="00C2682A" w:rsidP="00FA5524">
            <w:pPr>
              <w:rPr>
                <w:rFonts w:cs="Arial"/>
                <w:sz w:val="22"/>
              </w:rPr>
            </w:pPr>
            <w:permStart w:id="2044803932" w:edGrp="everyone" w:colFirst="1" w:colLast="1"/>
            <w:permEnd w:id="1344359580"/>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714DEF05" w14:textId="448A5534" w:rsidR="00C2682A" w:rsidRPr="00AB6D88" w:rsidRDefault="007704D0" w:rsidP="00FA5524">
                <w:pPr>
                  <w:rPr>
                    <w:rFonts w:cs="Arial"/>
                  </w:rPr>
                </w:pPr>
                <w:r>
                  <w:rPr>
                    <w:rFonts w:cs="Arial"/>
                  </w:rPr>
                  <w:t>Germany</w:t>
                </w:r>
              </w:p>
            </w:tc>
          </w:sdtContent>
        </w:sdt>
      </w:tr>
      <w:permEnd w:id="2044803932"/>
    </w:tbl>
    <w:p w14:paraId="46B7C09A" w14:textId="77777777" w:rsidR="00C2682A" w:rsidRDefault="00C2682A" w:rsidP="00F87897">
      <w:pPr>
        <w:spacing w:after="120" w:line="264" w:lineRule="auto"/>
      </w:pPr>
    </w:p>
    <w:p w14:paraId="12649C54" w14:textId="77777777" w:rsidR="00F87897" w:rsidRDefault="00F87897" w:rsidP="00F87897">
      <w:pPr>
        <w:spacing w:after="120" w:line="264" w:lineRule="auto"/>
      </w:pPr>
    </w:p>
    <w:p w14:paraId="38CE07D3" w14:textId="77777777" w:rsidR="00F87897" w:rsidRDefault="00F87897" w:rsidP="00F87897">
      <w:pPr>
        <w:pStyle w:val="berschrift1"/>
        <w:numPr>
          <w:ilvl w:val="0"/>
          <w:numId w:val="0"/>
        </w:numPr>
        <w:ind w:left="431" w:hanging="431"/>
      </w:pPr>
      <w:r>
        <w:t>Introduction</w:t>
      </w:r>
    </w:p>
    <w:p w14:paraId="530F042A" w14:textId="77777777" w:rsidR="00F87897" w:rsidRPr="001D47A5" w:rsidRDefault="00F87897" w:rsidP="00F87897">
      <w:pPr>
        <w:rPr>
          <w:rStyle w:val="IntensiveHervorhebung"/>
        </w:rPr>
      </w:pPr>
      <w:r w:rsidRPr="001D47A5">
        <w:rPr>
          <w:rStyle w:val="IntensiveHervorhebung"/>
        </w:rPr>
        <w:t>Please make your introductory comments below, if any:</w:t>
      </w:r>
    </w:p>
    <w:p w14:paraId="021FA949" w14:textId="77777777" w:rsidR="00F87897" w:rsidRPr="00BF28DA" w:rsidRDefault="00F87897" w:rsidP="00F87897"/>
    <w:p w14:paraId="13AE09D3" w14:textId="4ED10415" w:rsidR="00F87897" w:rsidRPr="006F4535" w:rsidRDefault="00F87897" w:rsidP="00F87897">
      <w:r w:rsidRPr="006F4535">
        <w:t>&lt;ESMA_COMMENT_</w:t>
      </w:r>
      <w:r w:rsidR="00D76652">
        <w:rPr>
          <w:rFonts w:cs="Arial"/>
        </w:rPr>
        <w:t>DP_EMIR_CT</w:t>
      </w:r>
      <w:r w:rsidR="00581067">
        <w:rPr>
          <w:rFonts w:cs="Arial"/>
        </w:rPr>
        <w:t>s</w:t>
      </w:r>
      <w:r w:rsidRPr="006F4535">
        <w:t>&gt;</w:t>
      </w:r>
    </w:p>
    <w:p w14:paraId="16BB8EE4" w14:textId="12B48C80" w:rsidR="00F87897" w:rsidRDefault="007704D0" w:rsidP="00F87897">
      <w:permStart w:id="1269197972" w:edGrp="everyone"/>
      <w:proofErr w:type="spellStart"/>
      <w:r w:rsidRPr="007704D0">
        <w:t>Deutsches</w:t>
      </w:r>
      <w:proofErr w:type="spellEnd"/>
      <w:r w:rsidRPr="007704D0">
        <w:t xml:space="preserve"> </w:t>
      </w:r>
      <w:proofErr w:type="spellStart"/>
      <w:r w:rsidRPr="007704D0">
        <w:t>Aktieninstitut</w:t>
      </w:r>
      <w:proofErr w:type="spellEnd"/>
      <w:r w:rsidRPr="007704D0">
        <w:t xml:space="preserve"> (identification number: 38064081304-25) represents the entire German economy interested in the capital markets. The about 200 members of </w:t>
      </w:r>
      <w:proofErr w:type="spellStart"/>
      <w:r w:rsidRPr="007704D0">
        <w:t>Deutsches</w:t>
      </w:r>
      <w:proofErr w:type="spellEnd"/>
      <w:r w:rsidRPr="007704D0">
        <w:t xml:space="preserve"> </w:t>
      </w:r>
      <w:proofErr w:type="spellStart"/>
      <w:r w:rsidRPr="007704D0">
        <w:t>Aktieninstitut</w:t>
      </w:r>
      <w:proofErr w:type="spellEnd"/>
      <w:r w:rsidRPr="007704D0">
        <w:t xml:space="preserve"> are listed corporations, banks, stock exchanges, investors and other important market participants. </w:t>
      </w:r>
      <w:r w:rsidRPr="007704D0">
        <w:rPr>
          <w:lang w:val="de-DE"/>
        </w:rPr>
        <w:t xml:space="preserve">Deutsches Aktieninstitut </w:t>
      </w:r>
      <w:proofErr w:type="spellStart"/>
      <w:r w:rsidRPr="007704D0">
        <w:rPr>
          <w:lang w:val="de-DE"/>
        </w:rPr>
        <w:t>keeps</w:t>
      </w:r>
      <w:proofErr w:type="spellEnd"/>
      <w:r w:rsidRPr="007704D0">
        <w:rPr>
          <w:lang w:val="de-DE"/>
        </w:rPr>
        <w:t xml:space="preserve"> </w:t>
      </w:r>
      <w:proofErr w:type="spellStart"/>
      <w:r w:rsidRPr="007704D0">
        <w:rPr>
          <w:lang w:val="de-DE"/>
        </w:rPr>
        <w:t>offices</w:t>
      </w:r>
      <w:proofErr w:type="spellEnd"/>
      <w:r w:rsidRPr="007704D0">
        <w:rPr>
          <w:lang w:val="de-DE"/>
        </w:rPr>
        <w:t xml:space="preserve"> in Frankfurt, </w:t>
      </w:r>
      <w:proofErr w:type="spellStart"/>
      <w:r w:rsidRPr="007704D0">
        <w:rPr>
          <w:lang w:val="de-DE"/>
        </w:rPr>
        <w:t>Brussels</w:t>
      </w:r>
      <w:proofErr w:type="spellEnd"/>
      <w:r w:rsidRPr="007704D0">
        <w:rPr>
          <w:lang w:val="de-DE"/>
        </w:rPr>
        <w:t xml:space="preserve"> and in Berlin. </w:t>
      </w:r>
      <w:r w:rsidRPr="007704D0">
        <w:t>We followed the legislation process regarding EMIR very closely, expressing the view of non-financial comp</w:t>
      </w:r>
      <w:r>
        <w:t>a</w:t>
      </w:r>
      <w:r w:rsidRPr="007704D0">
        <w:t>nies using derivatives in their risk management.</w:t>
      </w:r>
    </w:p>
    <w:p w14:paraId="337EC253" w14:textId="55EDC95A" w:rsidR="00F87897" w:rsidRDefault="00F87897" w:rsidP="00F87897"/>
    <w:p w14:paraId="62DECEB6" w14:textId="16778C97" w:rsidR="00F87897" w:rsidRDefault="008036BC" w:rsidP="00F87897">
      <w:proofErr w:type="spellStart"/>
      <w:r>
        <w:t>Deutsches</w:t>
      </w:r>
      <w:proofErr w:type="spellEnd"/>
      <w:r>
        <w:t xml:space="preserve"> </w:t>
      </w:r>
      <w:proofErr w:type="spellStart"/>
      <w:r>
        <w:t>Aktieninstitut</w:t>
      </w:r>
      <w:proofErr w:type="spellEnd"/>
      <w:r>
        <w:t xml:space="preserve"> </w:t>
      </w:r>
      <w:r w:rsidR="00591484">
        <w:t>proposes…</w:t>
      </w:r>
    </w:p>
    <w:p w14:paraId="03594145" w14:textId="77777777" w:rsidR="00591484" w:rsidRDefault="00591484" w:rsidP="00F87897"/>
    <w:p w14:paraId="0AE600B7" w14:textId="26852B42" w:rsidR="00F87897" w:rsidRDefault="00591484" w:rsidP="00591484">
      <w:pPr>
        <w:pStyle w:val="Listenabsatz"/>
        <w:numPr>
          <w:ilvl w:val="0"/>
          <w:numId w:val="41"/>
        </w:numPr>
      </w:pPr>
      <w:r>
        <w:t>…to evaluate the hedging definition in order to better reflect financial instruments regarding sustainability and renewable energy;</w:t>
      </w:r>
    </w:p>
    <w:p w14:paraId="0CFAE3FF" w14:textId="24DAF9D1" w:rsidR="00591484" w:rsidRDefault="00591484" w:rsidP="00591484">
      <w:pPr>
        <w:pStyle w:val="Listenabsatz"/>
        <w:numPr>
          <w:ilvl w:val="0"/>
          <w:numId w:val="41"/>
        </w:numPr>
      </w:pPr>
      <w:r>
        <w:t xml:space="preserve">…to increase significantly the clearing thresholds in particular for suppliers of commodity derivatives thus </w:t>
      </w:r>
      <w:r w:rsidR="00A9379D">
        <w:t>broadening</w:t>
      </w:r>
      <w:r>
        <w:t xml:space="preserve"> the availability of these instruments, improving the market liquidity and facilitating the energy transition.</w:t>
      </w:r>
    </w:p>
    <w:permEnd w:id="1269197972"/>
    <w:p w14:paraId="4C700F18" w14:textId="77777777" w:rsidR="00F87897" w:rsidRDefault="00F87897" w:rsidP="00F87897"/>
    <w:p w14:paraId="346583E4" w14:textId="43967CFC" w:rsidR="00F87897" w:rsidRPr="00BF28DA" w:rsidRDefault="00F87897" w:rsidP="00F87897">
      <w:r w:rsidRPr="00BF28DA">
        <w:t>&lt;ESMA_COMMENT_</w:t>
      </w:r>
      <w:r w:rsidR="00D76652">
        <w:rPr>
          <w:rFonts w:cs="Arial"/>
        </w:rPr>
        <w:t>DP_EMIR_CTs</w:t>
      </w:r>
      <w:r w:rsidRPr="00BF28DA">
        <w:t>&gt;</w:t>
      </w:r>
    </w:p>
    <w:p w14:paraId="35818B1C" w14:textId="77777777" w:rsidR="00F87897" w:rsidRDefault="00F87897">
      <w:pPr>
        <w:rPr>
          <w:rFonts w:eastAsiaTheme="minorEastAsia" w:cstheme="minorBidi"/>
          <w:b/>
          <w:sz w:val="22"/>
          <w:szCs w:val="20"/>
          <w:lang w:eastAsia="en-US"/>
        </w:rPr>
      </w:pPr>
      <w:r>
        <w:br w:type="page"/>
      </w:r>
    </w:p>
    <w:p w14:paraId="45C27D60" w14:textId="3D0CD57E" w:rsidR="00A8728B" w:rsidRPr="00070630" w:rsidRDefault="004648DA" w:rsidP="00431B0A">
      <w:pPr>
        <w:pStyle w:val="CPQuestions"/>
      </w:pPr>
      <w:r w:rsidRPr="00ED3D8A">
        <w:lastRenderedPageBreak/>
        <w:t>Please explain if you see a need for further clarification on how to identify OTC contracts for the purpose of the calculation of the positions to be compared to the clearing thresholds</w:t>
      </w:r>
      <w:r w:rsidR="00276A5A">
        <w:t>.</w:t>
      </w:r>
    </w:p>
    <w:p w14:paraId="51509B4C" w14:textId="044F3473" w:rsidR="00A8728B" w:rsidRPr="006C2D5A" w:rsidRDefault="00A8728B" w:rsidP="00A8728B">
      <w:pPr>
        <w:rPr>
          <w:lang w:val="es-ES"/>
        </w:rPr>
      </w:pPr>
      <w:r w:rsidRPr="006C2D5A">
        <w:rPr>
          <w:lang w:val="es-ES"/>
        </w:rPr>
        <w:t>&lt;ESMA_QUESTION</w:t>
      </w:r>
      <w:r w:rsidR="00D920D1" w:rsidRPr="006C2D5A">
        <w:rPr>
          <w:lang w:val="es-ES"/>
        </w:rPr>
        <w:t>_</w:t>
      </w:r>
      <w:r w:rsidR="00D76652" w:rsidRPr="00D76652">
        <w:rPr>
          <w:rFonts w:cs="Arial"/>
          <w:lang w:val="es-ES"/>
        </w:rPr>
        <w:t xml:space="preserve"> DP_EMIR_CTs</w:t>
      </w:r>
      <w:r w:rsidR="004648DA">
        <w:rPr>
          <w:rFonts w:cs="Arial"/>
          <w:lang w:val="es-ES"/>
        </w:rPr>
        <w:t>_</w:t>
      </w:r>
      <w:r w:rsidR="00D76652">
        <w:rPr>
          <w:lang w:val="es-ES"/>
        </w:rPr>
        <w:t>1</w:t>
      </w:r>
      <w:r w:rsidRPr="006C2D5A">
        <w:rPr>
          <w:lang w:val="es-ES"/>
        </w:rPr>
        <w:t>&gt;</w:t>
      </w:r>
    </w:p>
    <w:p w14:paraId="374A65F6" w14:textId="77777777" w:rsidR="0029019F" w:rsidRDefault="0029019F" w:rsidP="00A8728B">
      <w:permStart w:id="2093768910" w:edGrp="everyone"/>
      <w:r>
        <w:t>Clarification would be helpful with regard to e</w:t>
      </w:r>
      <w:r w:rsidR="006659C1" w:rsidRPr="006659C1">
        <w:t xml:space="preserve">mbedded derivatives </w:t>
      </w:r>
      <w:r>
        <w:t xml:space="preserve">which are e.g. part of </w:t>
      </w:r>
      <w:r w:rsidR="006659C1" w:rsidRPr="006659C1">
        <w:t>sustainability linked bonds</w:t>
      </w:r>
      <w:r>
        <w:t>.</w:t>
      </w:r>
      <w:r w:rsidR="006659C1" w:rsidRPr="006659C1">
        <w:t xml:space="preserve"> The coupon of a sustainability linked bond </w:t>
      </w:r>
      <w:r>
        <w:t xml:space="preserve">reflects </w:t>
      </w:r>
      <w:r w:rsidR="006659C1" w:rsidRPr="006659C1">
        <w:t>the performance regarding key ESG indicators agreed by the issuer and the investors</w:t>
      </w:r>
      <w:r>
        <w:t xml:space="preserve"> in the term sheet</w:t>
      </w:r>
      <w:r w:rsidR="006659C1" w:rsidRPr="006659C1">
        <w:t xml:space="preserve">. Therefore, the coupon varies with the issuers capability to achieve these predefined ESG objectives within a certain time line. </w:t>
      </w:r>
    </w:p>
    <w:p w14:paraId="0E11ED63" w14:textId="77777777" w:rsidR="0029019F" w:rsidRDefault="0029019F" w:rsidP="00A8728B"/>
    <w:p w14:paraId="1C62A122" w14:textId="0B8EB9D6" w:rsidR="00A8728B" w:rsidRDefault="006659C1" w:rsidP="00A8728B">
      <w:r w:rsidRPr="006659C1">
        <w:t xml:space="preserve">So far, the German national competent authority </w:t>
      </w:r>
      <w:proofErr w:type="spellStart"/>
      <w:r w:rsidRPr="006659C1">
        <w:t>BaFin</w:t>
      </w:r>
      <w:proofErr w:type="spellEnd"/>
      <w:r w:rsidRPr="006659C1">
        <w:t xml:space="preserve"> provides clarity </w:t>
      </w:r>
      <w:r w:rsidR="0029019F">
        <w:t xml:space="preserve">regarding embedded derivatives </w:t>
      </w:r>
      <w:r w:rsidRPr="006659C1">
        <w:t xml:space="preserve">by referring to the purpose of the instrument. If financing is the main purpose of the instrument, the embedded derivative </w:t>
      </w:r>
      <w:r w:rsidR="0029019F">
        <w:t xml:space="preserve">will </w:t>
      </w:r>
      <w:r w:rsidRPr="006659C1">
        <w:t xml:space="preserve">not </w:t>
      </w:r>
      <w:r w:rsidR="0029019F">
        <w:t xml:space="preserve">be </w:t>
      </w:r>
      <w:r w:rsidRPr="006659C1">
        <w:t xml:space="preserve">classified as derivative. </w:t>
      </w:r>
      <w:r w:rsidR="0029019F">
        <w:t xml:space="preserve">As </w:t>
      </w:r>
      <w:r w:rsidRPr="006659C1">
        <w:t>sustainability linked bonds</w:t>
      </w:r>
      <w:r w:rsidR="0029019F">
        <w:t xml:space="preserve"> are clearly issued for financing purposes</w:t>
      </w:r>
      <w:r w:rsidRPr="006659C1">
        <w:t xml:space="preserve">, </w:t>
      </w:r>
      <w:r w:rsidR="0029019F">
        <w:t xml:space="preserve">the derivative embedded in the bond is </w:t>
      </w:r>
      <w:r w:rsidRPr="006659C1">
        <w:t xml:space="preserve">not regarded as </w:t>
      </w:r>
      <w:r w:rsidR="0029019F">
        <w:t xml:space="preserve">a </w:t>
      </w:r>
      <w:r w:rsidR="00E26D61" w:rsidRPr="006659C1">
        <w:t>derivative</w:t>
      </w:r>
      <w:r w:rsidRPr="006659C1">
        <w:t xml:space="preserve"> from a regulatory</w:t>
      </w:r>
      <w:r w:rsidR="0029019F">
        <w:t xml:space="preserve"> perspective</w:t>
      </w:r>
      <w:r w:rsidRPr="006659C1">
        <w:t>. This should be clarified by the European legislator as well.</w:t>
      </w:r>
      <w:permEnd w:id="2093768910"/>
    </w:p>
    <w:p w14:paraId="0ECC45C2" w14:textId="0E7FD0BA" w:rsidR="00A8728B" w:rsidRPr="00D76652" w:rsidRDefault="00A8728B" w:rsidP="00A8728B">
      <w:pPr>
        <w:rPr>
          <w:lang w:val="es-ES"/>
        </w:rPr>
      </w:pPr>
      <w:r w:rsidRPr="00D76652">
        <w:rPr>
          <w:lang w:val="es-ES"/>
        </w:rPr>
        <w:t>&lt;ESMA_QUESTION</w:t>
      </w:r>
      <w:r w:rsidR="00D920D1" w:rsidRPr="00D76652">
        <w:rPr>
          <w:lang w:val="es-ES"/>
        </w:rPr>
        <w:t>_</w:t>
      </w:r>
      <w:r w:rsidR="00D76652" w:rsidRPr="00D76652">
        <w:rPr>
          <w:rFonts w:cs="Arial"/>
          <w:lang w:val="es-ES"/>
        </w:rPr>
        <w:t xml:space="preserve"> DP_EMIR_CTs</w:t>
      </w:r>
      <w:r w:rsidR="004648DA">
        <w:rPr>
          <w:rFonts w:cs="Arial"/>
          <w:lang w:val="es-ES"/>
        </w:rPr>
        <w:t>_1</w:t>
      </w:r>
      <w:r w:rsidRPr="00D76652">
        <w:rPr>
          <w:lang w:val="es-ES"/>
        </w:rPr>
        <w:t>&gt;</w:t>
      </w:r>
    </w:p>
    <w:p w14:paraId="4D9CE3FD" w14:textId="77777777" w:rsidR="00C228C1" w:rsidRPr="00D76652" w:rsidRDefault="00C228C1" w:rsidP="00A8728B">
      <w:pPr>
        <w:rPr>
          <w:lang w:val="es-ES"/>
        </w:rPr>
      </w:pPr>
    </w:p>
    <w:p w14:paraId="16E349D0" w14:textId="565B1675" w:rsidR="00431DA4" w:rsidRPr="00431DA4" w:rsidRDefault="004648DA" w:rsidP="00EF383B">
      <w:pPr>
        <w:pStyle w:val="CPQuestions"/>
      </w:pPr>
      <w:r w:rsidRPr="00ED3D8A">
        <w:t>Please explain if you see a need for further clarification to identify OTC contracts that can be considered as reducing risks directly relating to commercial activity or treasury financing activity. And please mention any additional aspects to be further considered with regards to the hedging exemption</w:t>
      </w:r>
      <w:r w:rsidR="00276A5A">
        <w:t>.</w:t>
      </w:r>
    </w:p>
    <w:p w14:paraId="28936F6E" w14:textId="7A758485" w:rsidR="00A8728B" w:rsidRPr="006C2D5A" w:rsidRDefault="00A8728B" w:rsidP="00A8728B">
      <w:pPr>
        <w:rPr>
          <w:lang w:val="es-ES"/>
        </w:rPr>
      </w:pPr>
      <w:r w:rsidRPr="006C2D5A">
        <w:rPr>
          <w:lang w:val="es-ES"/>
        </w:rPr>
        <w:t>&lt;ESMA_QUESTION</w:t>
      </w:r>
      <w:r w:rsidR="00D920D1" w:rsidRPr="006C2D5A">
        <w:rPr>
          <w:lang w:val="es-ES"/>
        </w:rPr>
        <w:t>_</w:t>
      </w:r>
      <w:r w:rsidR="00D76652" w:rsidRPr="00D76652">
        <w:rPr>
          <w:rFonts w:cs="Arial"/>
          <w:lang w:val="es-ES"/>
        </w:rPr>
        <w:t xml:space="preserve"> DP_EMIR_CTs</w:t>
      </w:r>
      <w:r w:rsidR="004648DA">
        <w:rPr>
          <w:rFonts w:cs="Arial"/>
          <w:lang w:val="es-ES"/>
        </w:rPr>
        <w:t>_2</w:t>
      </w:r>
      <w:r w:rsidRPr="006C2D5A">
        <w:rPr>
          <w:lang w:val="es-ES"/>
        </w:rPr>
        <w:t>&gt;</w:t>
      </w:r>
    </w:p>
    <w:p w14:paraId="3B2691A6" w14:textId="7D606F94" w:rsidR="00A8728B" w:rsidRDefault="007704D0" w:rsidP="00A8728B">
      <w:permStart w:id="2039636534" w:edGrp="everyone"/>
      <w:r>
        <w:t xml:space="preserve">Basically, the hedging definition works well in </w:t>
      </w:r>
      <w:r w:rsidR="00C40312">
        <w:t xml:space="preserve">the risk management </w:t>
      </w:r>
      <w:r>
        <w:t xml:space="preserve">practice </w:t>
      </w:r>
      <w:r w:rsidR="00C40312">
        <w:t>of non-financial companies.</w:t>
      </w:r>
    </w:p>
    <w:p w14:paraId="77A56C0F" w14:textId="7552131B" w:rsidR="00A8728B" w:rsidRDefault="00A8728B" w:rsidP="00A8728B"/>
    <w:p w14:paraId="1CBC76E7" w14:textId="1C9577D0" w:rsidR="00C40312" w:rsidRDefault="00C40312" w:rsidP="00A8728B">
      <w:r>
        <w:t xml:space="preserve">Nevertheless, especially regarding </w:t>
      </w:r>
      <w:r w:rsidR="0004017B">
        <w:t xml:space="preserve">instruments concerning </w:t>
      </w:r>
      <w:r>
        <w:t>the energy transition cases of doubt aroused in the past:</w:t>
      </w:r>
    </w:p>
    <w:p w14:paraId="2D22291A" w14:textId="128F8950" w:rsidR="0004017B" w:rsidRDefault="0004017B" w:rsidP="00A8728B"/>
    <w:p w14:paraId="279384C0" w14:textId="0D494738" w:rsidR="0004017B" w:rsidRDefault="0004017B" w:rsidP="00A8728B">
      <w:r>
        <w:t>Sustainability linked derivatives</w:t>
      </w:r>
      <w:r w:rsidR="00A654E2">
        <w:t xml:space="preserve"> (SLDs)</w:t>
      </w:r>
      <w:r>
        <w:t xml:space="preserve">: </w:t>
      </w:r>
      <w:r w:rsidR="00A654E2">
        <w:t xml:space="preserve">SLDs provide a link between traditional derivative markets and ESG objectives. SLDs </w:t>
      </w:r>
      <w:r w:rsidR="00A654E2" w:rsidRPr="00A654E2">
        <w:t xml:space="preserve">include a component linked to defined </w:t>
      </w:r>
      <w:r w:rsidR="00A654E2">
        <w:t>ES</w:t>
      </w:r>
      <w:r w:rsidR="001065B9">
        <w:t>G</w:t>
      </w:r>
      <w:r w:rsidR="00A654E2">
        <w:t xml:space="preserve"> indicators</w:t>
      </w:r>
      <w:r w:rsidR="002A692C">
        <w:t>.</w:t>
      </w:r>
      <w:r w:rsidR="00A654E2">
        <w:t xml:space="preserve"> </w:t>
      </w:r>
      <w:r w:rsidR="002A692C">
        <w:t>S</w:t>
      </w:r>
      <w:r w:rsidR="00A654E2" w:rsidRPr="00A654E2">
        <w:t xml:space="preserve">hould these be achieved more favourable terms </w:t>
      </w:r>
      <w:r w:rsidR="00A654E2">
        <w:t xml:space="preserve">(e.g. a positive spread) </w:t>
      </w:r>
      <w:r w:rsidR="00A654E2" w:rsidRPr="00A654E2">
        <w:t>may result</w:t>
      </w:r>
      <w:r w:rsidR="00A654E2">
        <w:t xml:space="preserve">. </w:t>
      </w:r>
    </w:p>
    <w:p w14:paraId="3FBC381A" w14:textId="77777777" w:rsidR="00C40312" w:rsidRDefault="00C40312" w:rsidP="00A8728B"/>
    <w:p w14:paraId="3838BF76" w14:textId="4E36CD6F" w:rsidR="00E17E07" w:rsidRDefault="00A05B8F" w:rsidP="00A8728B">
      <w:r>
        <w:t xml:space="preserve">Virtual power purchase agreements (virtual PPAs): </w:t>
      </w:r>
      <w:r w:rsidRPr="00A05B8F">
        <w:t>Under a</w:t>
      </w:r>
      <w:r>
        <w:t xml:space="preserve"> </w:t>
      </w:r>
      <w:r w:rsidR="00075655">
        <w:t>virtual P</w:t>
      </w:r>
      <w:r>
        <w:t>PA</w:t>
      </w:r>
      <w:r w:rsidRPr="00A05B8F">
        <w:t xml:space="preserve">, </w:t>
      </w:r>
      <w:r>
        <w:t xml:space="preserve">the supplier of renewable energy </w:t>
      </w:r>
      <w:r w:rsidRPr="00A05B8F">
        <w:t>agree</w:t>
      </w:r>
      <w:r>
        <w:t>s</w:t>
      </w:r>
      <w:r w:rsidRPr="00A05B8F">
        <w:t xml:space="preserve"> </w:t>
      </w:r>
      <w:r>
        <w:t xml:space="preserve">with his client </w:t>
      </w:r>
      <w:r w:rsidRPr="00A05B8F">
        <w:t xml:space="preserve">on a fixed rate for wholesale electricity. If the market price of electricity is higher than the contracted price, the </w:t>
      </w:r>
      <w:r>
        <w:t xml:space="preserve">supplier </w:t>
      </w:r>
      <w:r w:rsidRPr="00A05B8F">
        <w:t xml:space="preserve">pays the </w:t>
      </w:r>
      <w:r>
        <w:t xml:space="preserve">client the </w:t>
      </w:r>
      <w:r w:rsidRPr="00A05B8F">
        <w:t xml:space="preserve">difference. If the market price falls below the contracted price, </w:t>
      </w:r>
      <w:r>
        <w:t xml:space="preserve">the client </w:t>
      </w:r>
      <w:r w:rsidRPr="00A05B8F">
        <w:t>must pay the difference</w:t>
      </w:r>
      <w:r>
        <w:t xml:space="preserve"> (a </w:t>
      </w:r>
      <w:r w:rsidRPr="00A05B8F">
        <w:t>cash settled fix-for-floating swap</w:t>
      </w:r>
      <w:r>
        <w:t xml:space="preserve">). In return, the client receives a certificate proving that the power purchased is based on renewable energy, hence helping </w:t>
      </w:r>
      <w:r w:rsidR="00A650D4">
        <w:t xml:space="preserve">the client </w:t>
      </w:r>
      <w:r>
        <w:t>to comply with ESG requirements</w:t>
      </w:r>
      <w:r w:rsidR="00490567">
        <w:t xml:space="preserve"> and contributing to the net zero carbon emissions goal set by the politics</w:t>
      </w:r>
      <w:r>
        <w:t xml:space="preserve">. </w:t>
      </w:r>
      <w:r w:rsidR="00075655">
        <w:t xml:space="preserve">Virtual PPAs provide flexibility for the supplier and the client as there is only the need for cash settlement and no need for physical delivery. </w:t>
      </w:r>
    </w:p>
    <w:p w14:paraId="63C372CF" w14:textId="44F70D45" w:rsidR="00075655" w:rsidRDefault="00075655" w:rsidP="00A8728B"/>
    <w:p w14:paraId="2E5A2C68" w14:textId="54C4F226" w:rsidR="00075655" w:rsidRDefault="00075655" w:rsidP="00A8728B">
      <w:r>
        <w:t>Both instruments are linked to the commercial business of the non-financial company, as they provide incentives to become more ESG compliant</w:t>
      </w:r>
      <w:r w:rsidR="009843B0">
        <w:t xml:space="preserve"> and enable the energy transition</w:t>
      </w:r>
      <w:r>
        <w:t xml:space="preserve">. </w:t>
      </w:r>
      <w:r w:rsidRPr="00075655">
        <w:t xml:space="preserve">Therefore, it should be clarified that SLDs </w:t>
      </w:r>
      <w:r>
        <w:t xml:space="preserve">(especially the ESG component) and virtual PPAs </w:t>
      </w:r>
      <w:r w:rsidRPr="00075655">
        <w:t>are covered by the hedging definition.</w:t>
      </w:r>
      <w:r>
        <w:t xml:space="preserve"> </w:t>
      </w:r>
    </w:p>
    <w:p w14:paraId="228A6CBB" w14:textId="730FA07E" w:rsidR="009C01B5" w:rsidRDefault="009C01B5" w:rsidP="00A8728B"/>
    <w:p w14:paraId="398CF0E5" w14:textId="14700744" w:rsidR="009C01B5" w:rsidRDefault="009C01B5" w:rsidP="00A8728B">
      <w:r w:rsidRPr="009C01B5">
        <w:t xml:space="preserve">Another issue is </w:t>
      </w:r>
      <w:r w:rsidR="00397925">
        <w:t xml:space="preserve">a </w:t>
      </w:r>
      <w:r w:rsidRPr="009C01B5">
        <w:t xml:space="preserve">derivative entered into with an external counterparty </w:t>
      </w:r>
      <w:r w:rsidR="00397925">
        <w:t xml:space="preserve">(e.g. the bank) </w:t>
      </w:r>
      <w:r w:rsidRPr="009C01B5">
        <w:t xml:space="preserve">and </w:t>
      </w:r>
      <w:r w:rsidR="006D49F7">
        <w:t xml:space="preserve">corresponding </w:t>
      </w:r>
      <w:bookmarkStart w:id="3" w:name="_GoBack"/>
      <w:bookmarkEnd w:id="3"/>
      <w:r w:rsidRPr="009C01B5">
        <w:t>intra</w:t>
      </w:r>
      <w:r w:rsidR="00397925">
        <w:t>-</w:t>
      </w:r>
      <w:r w:rsidRPr="009C01B5">
        <w:t>group derivatives</w:t>
      </w:r>
      <w:r w:rsidR="00397925">
        <w:t>, which are both</w:t>
      </w:r>
      <w:r w:rsidRPr="009C01B5">
        <w:t xml:space="preserve"> </w:t>
      </w:r>
      <w:r w:rsidR="00397925">
        <w:t xml:space="preserve">counted </w:t>
      </w:r>
      <w:r w:rsidRPr="009C01B5">
        <w:t>against the clearing threshold if, for example, the reason for hedging ceases to apply.</w:t>
      </w:r>
      <w:r w:rsidR="00397925">
        <w:t xml:space="preserve"> </w:t>
      </w:r>
      <w:r w:rsidR="00397925" w:rsidRPr="00397925">
        <w:t xml:space="preserve">In this case, the intragroup transactions increase the </w:t>
      </w:r>
      <w:r w:rsidR="00397925">
        <w:t xml:space="preserve">number </w:t>
      </w:r>
      <w:r w:rsidR="00397925" w:rsidRPr="00397925">
        <w:t xml:space="preserve">of derivatives that must be counted against the clearing thresholds, although these transactions do not increase the </w:t>
      </w:r>
      <w:r w:rsidR="00397925">
        <w:t>g</w:t>
      </w:r>
      <w:r w:rsidR="00397925" w:rsidRPr="00397925">
        <w:t xml:space="preserve">roup's overall risk. Therefore, we </w:t>
      </w:r>
      <w:r w:rsidR="00397925">
        <w:t xml:space="preserve">ask ESMA </w:t>
      </w:r>
      <w:r w:rsidR="00397925" w:rsidRPr="00397925">
        <w:t>that in this case only the external transaction and no intra</w:t>
      </w:r>
      <w:r w:rsidR="00397925">
        <w:t>-</w:t>
      </w:r>
      <w:r w:rsidR="00397925" w:rsidRPr="00397925">
        <w:t>group transactions have to be calculated against the clearing threshold.</w:t>
      </w:r>
    </w:p>
    <w:permEnd w:id="2039636534"/>
    <w:p w14:paraId="68B3DFE7" w14:textId="5BB89D69" w:rsidR="00A8728B" w:rsidRDefault="00A8728B" w:rsidP="00A8728B"/>
    <w:p w14:paraId="51AE5A1B" w14:textId="3B94778D" w:rsidR="00A8728B" w:rsidRPr="00D76652" w:rsidRDefault="00A8728B" w:rsidP="00A8728B">
      <w:pPr>
        <w:rPr>
          <w:lang w:val="es-ES"/>
        </w:rPr>
      </w:pPr>
      <w:r w:rsidRPr="00D76652">
        <w:rPr>
          <w:lang w:val="es-ES"/>
        </w:rPr>
        <w:t>&lt;ESMA_QUESTION</w:t>
      </w:r>
      <w:r w:rsidR="00D920D1" w:rsidRPr="00D76652">
        <w:rPr>
          <w:lang w:val="es-ES"/>
        </w:rPr>
        <w:t>_</w:t>
      </w:r>
      <w:r w:rsidR="00D76652" w:rsidRPr="00D76652">
        <w:rPr>
          <w:rFonts w:cs="Arial"/>
          <w:lang w:val="es-ES"/>
        </w:rPr>
        <w:t>DP_EMIR_CTs</w:t>
      </w:r>
      <w:r w:rsidR="004648DA">
        <w:rPr>
          <w:rFonts w:cs="Arial"/>
          <w:lang w:val="es-ES"/>
        </w:rPr>
        <w:t>_2</w:t>
      </w:r>
      <w:r w:rsidRPr="00D76652">
        <w:rPr>
          <w:lang w:val="es-ES"/>
        </w:rPr>
        <w:t>&gt;</w:t>
      </w:r>
    </w:p>
    <w:p w14:paraId="28C39E9E" w14:textId="77777777" w:rsidR="002E1760" w:rsidRPr="00D76652" w:rsidRDefault="002E1760" w:rsidP="00A8728B">
      <w:pPr>
        <w:rPr>
          <w:lang w:val="es-ES"/>
        </w:rPr>
      </w:pPr>
    </w:p>
    <w:p w14:paraId="73A8E0F2" w14:textId="52206645" w:rsidR="002E1760" w:rsidRPr="00431DA4" w:rsidRDefault="004648DA" w:rsidP="00293D78">
      <w:pPr>
        <w:pStyle w:val="CPQuestions"/>
      </w:pPr>
      <w:r w:rsidRPr="00425096">
        <w:t>Please provide information and examples on how counterparties count fungible ETDs and OTC derivatives for the purpose of the calculation of the clearing thresholds</w:t>
      </w:r>
      <w:r w:rsidR="00B61CD3" w:rsidRPr="00B61CD3">
        <w:t>?</w:t>
      </w:r>
    </w:p>
    <w:p w14:paraId="30CAA40B" w14:textId="2452752A" w:rsidR="002E1760" w:rsidRPr="006C2D5A" w:rsidRDefault="002E1760" w:rsidP="002E1760">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3&gt;</w:t>
      </w:r>
    </w:p>
    <w:p w14:paraId="690404D9" w14:textId="77777777" w:rsidR="002E1760" w:rsidRDefault="002E1760" w:rsidP="002E1760">
      <w:permStart w:id="1876965468" w:edGrp="everyone"/>
      <w:r>
        <w:t>TYPE YOUR TEXT HERE</w:t>
      </w:r>
      <w:permEnd w:id="1876965468"/>
    </w:p>
    <w:p w14:paraId="5A3AE447" w14:textId="5A689F39" w:rsidR="002E1760" w:rsidRPr="004648DA" w:rsidRDefault="002E1760" w:rsidP="002E1760">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3&gt;</w:t>
      </w:r>
    </w:p>
    <w:p w14:paraId="205463C4" w14:textId="77777777" w:rsidR="002E1760" w:rsidRPr="004648DA" w:rsidRDefault="002E1760" w:rsidP="00A8728B">
      <w:pPr>
        <w:rPr>
          <w:lang w:val="es-ES"/>
        </w:rPr>
      </w:pPr>
    </w:p>
    <w:p w14:paraId="6084263A" w14:textId="6084A96E" w:rsidR="002E1760" w:rsidRPr="00431DA4" w:rsidRDefault="004648DA" w:rsidP="00293D78">
      <w:pPr>
        <w:pStyle w:val="CPQuestions"/>
      </w:pPr>
      <w:r w:rsidRPr="00425096">
        <w:t>Please provide data and arguments to illustrate the potential impact of the lack of an equivalence decision under Article 2a of EMIR and what could be done to alleviate your concerns (besides an equivalence decision)? Please specify the kind of transactions and activities that would be affected and the purpose of those, and whether there are alternatives</w:t>
      </w:r>
      <w:r w:rsidR="00B61CD3">
        <w:t>.</w:t>
      </w:r>
    </w:p>
    <w:p w14:paraId="48BB589C" w14:textId="24C09D54" w:rsidR="002E1760" w:rsidRPr="006C2D5A" w:rsidRDefault="002E1760" w:rsidP="002E1760">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4&gt;</w:t>
      </w:r>
    </w:p>
    <w:p w14:paraId="564334D5" w14:textId="37961803" w:rsidR="002E1760" w:rsidRDefault="00C77105" w:rsidP="002E1760">
      <w:permStart w:id="2122265796" w:edGrp="everyone"/>
      <w:r>
        <w:t xml:space="preserve">As </w:t>
      </w:r>
      <w:r w:rsidR="00DB2697">
        <w:t>provider especially of energy derivatives have to classify derivatives traded on UK exchanges as OTC derivatives, they will decrease their supply of OTC derivatives</w:t>
      </w:r>
      <w:r w:rsidR="00490567">
        <w:t>. Otherwise,</w:t>
      </w:r>
      <w:r w:rsidR="00DB2697">
        <w:t xml:space="preserve"> </w:t>
      </w:r>
      <w:r w:rsidR="00490567">
        <w:t xml:space="preserve">they </w:t>
      </w:r>
      <w:r w:rsidR="00DB2697">
        <w:t xml:space="preserve">face the risk crossing the clearing thresholds and becoming obliged to clear their derivatives portfolio. </w:t>
      </w:r>
      <w:r w:rsidR="00490567">
        <w:t xml:space="preserve">A shortened supply </w:t>
      </w:r>
      <w:r w:rsidR="00DB2697">
        <w:t xml:space="preserve">will negatively impact the liquidity on OTC derivatives markets, therefore prices and availability.  </w:t>
      </w:r>
      <w:permEnd w:id="2122265796"/>
    </w:p>
    <w:p w14:paraId="6B4EB940" w14:textId="2B1072FC" w:rsidR="002E1760" w:rsidRPr="004648DA" w:rsidRDefault="002E1760" w:rsidP="002E1760">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4&gt;</w:t>
      </w:r>
    </w:p>
    <w:p w14:paraId="4625BF57" w14:textId="77777777" w:rsidR="002E1760" w:rsidRPr="004648DA" w:rsidRDefault="002E1760" w:rsidP="002E1760">
      <w:pPr>
        <w:rPr>
          <w:lang w:val="es-ES"/>
        </w:rPr>
      </w:pPr>
    </w:p>
    <w:p w14:paraId="312A4672" w14:textId="278AC4CC" w:rsidR="002E1760" w:rsidRPr="00431DA4" w:rsidRDefault="004648DA" w:rsidP="00293D78">
      <w:pPr>
        <w:pStyle w:val="CPQuestions"/>
      </w:pPr>
      <w:r w:rsidRPr="00ED3D8A">
        <w:t>Please describe the scenarios when transactions do not qualify as hedging transactions</w:t>
      </w:r>
      <w:r w:rsidR="00B61CD3">
        <w:t>.</w:t>
      </w:r>
    </w:p>
    <w:p w14:paraId="3DDD5516" w14:textId="44DBAEE4" w:rsidR="00227C1A" w:rsidRPr="006C2D5A" w:rsidRDefault="00227C1A" w:rsidP="00227C1A">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0062022D" w:rsidRPr="006C2D5A">
        <w:rPr>
          <w:lang w:val="es-ES"/>
        </w:rPr>
        <w:t>5</w:t>
      </w:r>
      <w:r w:rsidRPr="006C2D5A">
        <w:rPr>
          <w:lang w:val="es-ES"/>
        </w:rPr>
        <w:t>&gt;</w:t>
      </w:r>
    </w:p>
    <w:p w14:paraId="6F160661" w14:textId="47EEC827" w:rsidR="00227C1A" w:rsidRDefault="00B51389" w:rsidP="00227C1A">
      <w:permStart w:id="6888419" w:edGrp="everyone"/>
      <w:r>
        <w:t>Regarding our concern, that liquidity on the commodity derivatives markets will be negatively impacted, see our answer to Q4.</w:t>
      </w:r>
      <w:permEnd w:id="6888419"/>
    </w:p>
    <w:p w14:paraId="3AFFABD4" w14:textId="781CC891" w:rsidR="00227C1A" w:rsidRPr="004648DA" w:rsidRDefault="00227C1A" w:rsidP="00227C1A">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0062022D" w:rsidRPr="004648DA">
        <w:rPr>
          <w:lang w:val="es-ES"/>
        </w:rPr>
        <w:t>5</w:t>
      </w:r>
      <w:r w:rsidRPr="004648DA">
        <w:rPr>
          <w:lang w:val="es-ES"/>
        </w:rPr>
        <w:t>&gt;</w:t>
      </w:r>
    </w:p>
    <w:p w14:paraId="7D6FAFC4" w14:textId="77777777" w:rsidR="002E1760" w:rsidRPr="004648DA" w:rsidRDefault="002E1760" w:rsidP="002E1760">
      <w:pPr>
        <w:rPr>
          <w:lang w:val="es-ES"/>
        </w:rPr>
      </w:pPr>
    </w:p>
    <w:p w14:paraId="40B6E48B" w14:textId="7934202B" w:rsidR="002E1760" w:rsidRPr="00431DA4" w:rsidRDefault="004648DA" w:rsidP="00293D78">
      <w:pPr>
        <w:pStyle w:val="CPQuestions"/>
      </w:pPr>
      <w:r w:rsidRPr="00ED3D8A">
        <w:t>Please describe your views on how the EMIR framework works (also compared to other regimes) for the purpose of the clearing thresholds and the requirements triggered by those? Please provide examples and supporting data</w:t>
      </w:r>
      <w:r w:rsidR="00B61CD3">
        <w:t>.</w:t>
      </w:r>
    </w:p>
    <w:p w14:paraId="436A8987" w14:textId="04174F1E" w:rsidR="0062022D" w:rsidRPr="006C2D5A" w:rsidRDefault="0062022D" w:rsidP="0062022D">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00A263DF" w:rsidRPr="006C2D5A">
        <w:rPr>
          <w:lang w:val="es-ES"/>
        </w:rPr>
        <w:t>6</w:t>
      </w:r>
      <w:r w:rsidRPr="006C2D5A">
        <w:rPr>
          <w:lang w:val="es-ES"/>
        </w:rPr>
        <w:t>&gt;</w:t>
      </w:r>
    </w:p>
    <w:p w14:paraId="20E979B9" w14:textId="4F57E70C" w:rsidR="0058570D" w:rsidRDefault="006C624E" w:rsidP="0062022D">
      <w:permStart w:id="548757607" w:edGrp="everyone"/>
      <w:r>
        <w:t xml:space="preserve">For the following reasons we see the need for improvements </w:t>
      </w:r>
      <w:r w:rsidR="002A692C">
        <w:t xml:space="preserve">in terms of higher thresholds especially for commodity derivatives </w:t>
      </w:r>
      <w:r>
        <w:t>in the EMIR framework:</w:t>
      </w:r>
    </w:p>
    <w:p w14:paraId="6C6EA4F8" w14:textId="33F436DF" w:rsidR="006C624E" w:rsidRDefault="006C624E" w:rsidP="0062022D"/>
    <w:p w14:paraId="3AE9DB95" w14:textId="465A733D" w:rsidR="006C624E" w:rsidRDefault="00BA4B4D" w:rsidP="006C624E">
      <w:pPr>
        <w:pStyle w:val="Listenabsatz"/>
        <w:numPr>
          <w:ilvl w:val="0"/>
          <w:numId w:val="38"/>
        </w:numPr>
      </w:pPr>
      <w:r>
        <w:t xml:space="preserve">Financial innovation </w:t>
      </w:r>
      <w:r w:rsidR="00490567">
        <w:t>particularly</w:t>
      </w:r>
      <w:r w:rsidR="006C624E">
        <w:t xml:space="preserve"> regarding sustainability </w:t>
      </w:r>
      <w:r w:rsidR="00A50F08">
        <w:t xml:space="preserve">linked </w:t>
      </w:r>
      <w:r w:rsidR="006C624E">
        <w:t xml:space="preserve">instruments </w:t>
      </w:r>
      <w:r w:rsidR="00A50F08">
        <w:t xml:space="preserve">may </w:t>
      </w:r>
      <w:r w:rsidR="006C624E">
        <w:t xml:space="preserve">lead to uncertainties for non-financial companies whether a derivative could be classified as hedging (see our answer to Q1 and Q2). </w:t>
      </w:r>
      <w:r w:rsidR="00A50F08">
        <w:t xml:space="preserve">Although the </w:t>
      </w:r>
      <w:r w:rsidR="006C624E">
        <w:t xml:space="preserve">legislator is asked to declare </w:t>
      </w:r>
      <w:r w:rsidR="00A50F08">
        <w:t xml:space="preserve">the above-mentioned </w:t>
      </w:r>
      <w:r w:rsidR="006C624E">
        <w:t xml:space="preserve">instruments as hedging, other instruments </w:t>
      </w:r>
      <w:r w:rsidR="00A50F08">
        <w:t xml:space="preserve">may </w:t>
      </w:r>
      <w:r w:rsidR="002A692C">
        <w:t xml:space="preserve">enter the market in future and </w:t>
      </w:r>
      <w:r w:rsidR="006C624E">
        <w:t>requir</w:t>
      </w:r>
      <w:r w:rsidR="00490567">
        <w:t>e</w:t>
      </w:r>
      <w:r w:rsidR="006C624E">
        <w:t xml:space="preserve"> further clarification. In order to avoid that non-financial </w:t>
      </w:r>
      <w:proofErr w:type="gramStart"/>
      <w:r w:rsidR="006C624E">
        <w:t>companies</w:t>
      </w:r>
      <w:proofErr w:type="gramEnd"/>
      <w:r w:rsidR="006C624E">
        <w:t xml:space="preserve"> face the risk to cross the clearing thresholds or restrict the use of these instruments</w:t>
      </w:r>
      <w:r w:rsidR="002A692C">
        <w:t xml:space="preserve"> resulting in inefficiencies</w:t>
      </w:r>
      <w:r w:rsidR="006C624E">
        <w:t xml:space="preserve">, the legislator should provide more leeway </w:t>
      </w:r>
      <w:r>
        <w:t xml:space="preserve">for to handle forthcoming instruments and associated legal uncertainties </w:t>
      </w:r>
      <w:r w:rsidR="006C624E">
        <w:t>by increasing the thresholds.</w:t>
      </w:r>
    </w:p>
    <w:p w14:paraId="0EBEF33F" w14:textId="01C258F0" w:rsidR="006C624E" w:rsidRDefault="006C624E" w:rsidP="006C624E">
      <w:pPr>
        <w:pStyle w:val="Listenabsatz"/>
        <w:numPr>
          <w:ilvl w:val="0"/>
          <w:numId w:val="38"/>
        </w:numPr>
      </w:pPr>
      <w:r>
        <w:t xml:space="preserve">The </w:t>
      </w:r>
      <w:r w:rsidRPr="006C624E">
        <w:t xml:space="preserve">EU EMIR framework provides EU energy firms with limited headroom to offer suitable OTC hedging transactions to renewable energy producers and its clients in the EU and elsewhere in </w:t>
      </w:r>
      <w:r w:rsidRPr="006C624E">
        <w:lastRenderedPageBreak/>
        <w:t xml:space="preserve">the world. </w:t>
      </w:r>
      <w:r>
        <w:t xml:space="preserve">These capacities are </w:t>
      </w:r>
      <w:r w:rsidR="00BA4B4D">
        <w:t xml:space="preserve">even more </w:t>
      </w:r>
      <w:r>
        <w:t xml:space="preserve">restricted by the lacking equivalence decisions for UK exchanges. </w:t>
      </w:r>
      <w:r w:rsidRPr="006C624E">
        <w:t>As banks more and more leaving these markets there is only little chance that the financial sector compensates th</w:t>
      </w:r>
      <w:r w:rsidR="00BA4B4D">
        <w:t>e</w:t>
      </w:r>
      <w:r w:rsidRPr="006C624E">
        <w:t xml:space="preserve"> supply</w:t>
      </w:r>
      <w:r w:rsidR="00BA4B4D">
        <w:t xml:space="preserve"> of commodity derivatives</w:t>
      </w:r>
      <w:r w:rsidRPr="006C624E">
        <w:t>. Direct adverse effects on the liquidity of OTC derivatives markets, the energy transition and European competitiveness will be the consequence.</w:t>
      </w:r>
    </w:p>
    <w:p w14:paraId="75E7E3B7" w14:textId="77777777" w:rsidR="0058570D" w:rsidRDefault="0058570D" w:rsidP="0062022D"/>
    <w:p w14:paraId="692AE27F" w14:textId="49BAFE6B" w:rsidR="0062022D" w:rsidRDefault="00A50F08" w:rsidP="0062022D">
      <w:r>
        <w:t xml:space="preserve">Last but not least, compared to other jurisdictions </w:t>
      </w:r>
      <w:r w:rsidR="00621998">
        <w:t xml:space="preserve">like Australia, Singapore or the US, </w:t>
      </w:r>
      <w:r>
        <w:t xml:space="preserve">the EU EMIR rules are very restrictive </w:t>
      </w:r>
      <w:r w:rsidR="00621998">
        <w:t xml:space="preserve">as </w:t>
      </w:r>
      <w:r w:rsidR="00263480">
        <w:t>a study commissioned by the European Federation of Energy Traders (EFET)</w:t>
      </w:r>
      <w:r w:rsidR="00621998">
        <w:t xml:space="preserve"> shows</w:t>
      </w:r>
      <w:r w:rsidR="00263480">
        <w:t xml:space="preserve">. </w:t>
      </w:r>
      <w:r w:rsidR="00263480" w:rsidRPr="00263480">
        <w:t xml:space="preserve">The study </w:t>
      </w:r>
      <w:r w:rsidR="00BA4B4D">
        <w:t xml:space="preserve">focuses on </w:t>
      </w:r>
      <w:r w:rsidR="00263480" w:rsidRPr="00263480">
        <w:t xml:space="preserve">the international treatment of OTC commodity derivative transactions relating to the clearing and margining obligation with a particular </w:t>
      </w:r>
      <w:r w:rsidR="00BA4B4D" w:rsidRPr="00263480">
        <w:t>emphasis</w:t>
      </w:r>
      <w:r w:rsidR="00263480" w:rsidRPr="00263480">
        <w:t xml:space="preserve"> on non-financial market participants and their regulatory obligations.</w:t>
      </w:r>
      <w:r w:rsidR="007564E1">
        <w:t xml:space="preserve"> </w:t>
      </w:r>
    </w:p>
    <w:p w14:paraId="2081FD0D" w14:textId="77777777" w:rsidR="00263480" w:rsidRDefault="00263480" w:rsidP="00263480"/>
    <w:p w14:paraId="747C57CC" w14:textId="28159221" w:rsidR="00263480" w:rsidRDefault="00263480" w:rsidP="00263480">
      <w:r>
        <w:t>The headline conclusion of the analysis is that the EU EMIR regime includes the lowest clearing threshold applicable to the largest set of entities, products and activities:</w:t>
      </w:r>
    </w:p>
    <w:p w14:paraId="550B1395" w14:textId="77777777" w:rsidR="00263480" w:rsidRDefault="00263480" w:rsidP="00263480"/>
    <w:p w14:paraId="4472D2DF" w14:textId="5E93CEA2" w:rsidR="00D250D4" w:rsidRDefault="00D250D4" w:rsidP="00D250D4">
      <w:pPr>
        <w:pStyle w:val="Listenabsatz"/>
        <w:numPr>
          <w:ilvl w:val="0"/>
          <w:numId w:val="35"/>
        </w:numPr>
      </w:pPr>
      <w:r>
        <w:t xml:space="preserve">Australia and Singapore limit the application of OTC-clearing regulations to financial institutions and, consequently, non-financial market participants are not limited to trade OTC markets as they are not subject to any clearing threshold test (hence, there is no hedging exemption for non-financial firms either); </w:t>
      </w:r>
    </w:p>
    <w:p w14:paraId="111BA7D7" w14:textId="0F893ED4" w:rsidR="00D250D4" w:rsidRDefault="00D250D4" w:rsidP="00D250D4">
      <w:pPr>
        <w:pStyle w:val="Listenabsatz"/>
        <w:numPr>
          <w:ilvl w:val="0"/>
          <w:numId w:val="35"/>
        </w:numPr>
      </w:pPr>
      <w:r>
        <w:t>The US and the EU offer privileges for hedging transactions of non-financial companies which are not considered for the clearing threshold. However, the definition of eligible commercial risks for hedging under EU EMIR is rather restrictive and the privilege correspondingly narrow</w:t>
      </w:r>
      <w:r w:rsidR="002A692C">
        <w:t>;</w:t>
      </w:r>
      <w:r>
        <w:t xml:space="preserve"> </w:t>
      </w:r>
    </w:p>
    <w:p w14:paraId="3A45B726" w14:textId="13C4093A" w:rsidR="00D250D4" w:rsidRDefault="003B2F44" w:rsidP="00D250D4">
      <w:pPr>
        <w:pStyle w:val="Listenabsatz"/>
        <w:numPr>
          <w:ilvl w:val="0"/>
          <w:numId w:val="35"/>
        </w:numPr>
      </w:pPr>
      <w:r>
        <w:t>T</w:t>
      </w:r>
      <w:r w:rsidR="00D250D4">
        <w:t xml:space="preserve">he </w:t>
      </w:r>
      <w:r>
        <w:t xml:space="preserve">US offer a commodity clearing threshold of </w:t>
      </w:r>
      <w:r w:rsidR="00E775F7">
        <w:t xml:space="preserve">8 bn USD per group, </w:t>
      </w:r>
      <w:r w:rsidR="008B27BA">
        <w:t xml:space="preserve">the threshold is </w:t>
      </w:r>
      <w:r w:rsidR="00E775F7">
        <w:t>20 bn SGD per entity in Singapore and 100 bn AUD per entity in Australia</w:t>
      </w:r>
      <w:r w:rsidR="00D250D4">
        <w:t>;</w:t>
      </w:r>
    </w:p>
    <w:p w14:paraId="61412E95" w14:textId="0AFA2AB9" w:rsidR="00263480" w:rsidRDefault="00263480" w:rsidP="00D250D4">
      <w:pPr>
        <w:pStyle w:val="Listenabsatz"/>
        <w:numPr>
          <w:ilvl w:val="0"/>
          <w:numId w:val="35"/>
        </w:numPr>
      </w:pPr>
      <w:r>
        <w:t>Only the EU applies its regime to all trading activities around the globe without restriction, i.e. all world-wide energy and commodity derivatives activities count against the EMIR clearing threshold, even if no EU-product, EU-venue or EU-entity is involved;</w:t>
      </w:r>
    </w:p>
    <w:p w14:paraId="471B66DF" w14:textId="12BA8F29" w:rsidR="007564E1" w:rsidRDefault="00263480" w:rsidP="00D250D4">
      <w:pPr>
        <w:pStyle w:val="Listenabsatz"/>
        <w:numPr>
          <w:ilvl w:val="0"/>
          <w:numId w:val="35"/>
        </w:numPr>
      </w:pPr>
      <w:r>
        <w:t>Only the EU includes any centrally cleared OTC derivatives as well as physically settled exchange traded derivatives into the threshold calculation</w:t>
      </w:r>
      <w:r w:rsidR="00D250D4">
        <w:t>.</w:t>
      </w:r>
    </w:p>
    <w:permEnd w:id="548757607"/>
    <w:p w14:paraId="24AD628D" w14:textId="77777777" w:rsidR="0062022D" w:rsidRDefault="0062022D" w:rsidP="0062022D"/>
    <w:p w14:paraId="2D4015E7" w14:textId="689CC30F" w:rsidR="0062022D" w:rsidRPr="004648DA" w:rsidRDefault="0062022D" w:rsidP="0062022D">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00A263DF" w:rsidRPr="004648DA">
        <w:rPr>
          <w:lang w:val="es-ES"/>
        </w:rPr>
        <w:t>6</w:t>
      </w:r>
      <w:r w:rsidRPr="004648DA">
        <w:rPr>
          <w:lang w:val="es-ES"/>
        </w:rPr>
        <w:t>&gt;</w:t>
      </w:r>
    </w:p>
    <w:p w14:paraId="0E950AC0" w14:textId="77777777" w:rsidR="0062022D" w:rsidRPr="004648DA" w:rsidRDefault="0062022D" w:rsidP="009003B8">
      <w:pPr>
        <w:jc w:val="both"/>
        <w:rPr>
          <w:i/>
          <w:lang w:val="es-ES"/>
        </w:rPr>
      </w:pPr>
    </w:p>
    <w:p w14:paraId="06CA1456" w14:textId="4945A76D" w:rsidR="002E1760" w:rsidRPr="00431DA4" w:rsidRDefault="004648DA" w:rsidP="00293D78">
      <w:pPr>
        <w:pStyle w:val="CPQuestions"/>
      </w:pPr>
      <w:r w:rsidRPr="00ED3D8A">
        <w:t>Considering the current coverage provided by the clearing thresholds in relation to credit derivatives and the different type of counterparties (FCs and NFCs); is there any aspect or issue you consider ESMA should look into or pay attention to?  Please, in your answer, provide as granular details and any relevant data to illustrate your response</w:t>
      </w:r>
      <w:r w:rsidR="00A263DF">
        <w:t>.</w:t>
      </w:r>
    </w:p>
    <w:p w14:paraId="117ADDA5" w14:textId="1327D851" w:rsidR="00A263DF" w:rsidRPr="006C2D5A" w:rsidRDefault="00A263DF" w:rsidP="00A263DF">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7&gt;</w:t>
      </w:r>
    </w:p>
    <w:p w14:paraId="3195B179" w14:textId="77777777" w:rsidR="00A263DF" w:rsidRDefault="00A263DF" w:rsidP="00A263DF">
      <w:permStart w:id="1600484054" w:edGrp="everyone"/>
      <w:r>
        <w:t>TYPE YOUR TEXT HERE</w:t>
      </w:r>
      <w:permEnd w:id="1600484054"/>
    </w:p>
    <w:p w14:paraId="56C64114" w14:textId="0402E969" w:rsidR="00A263DF" w:rsidRPr="004648DA" w:rsidRDefault="00A263DF" w:rsidP="00A263DF">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7&gt;</w:t>
      </w:r>
    </w:p>
    <w:p w14:paraId="0EBB791B" w14:textId="77777777" w:rsidR="00C228C1" w:rsidRPr="004648DA" w:rsidRDefault="00C228C1" w:rsidP="00A263DF">
      <w:pPr>
        <w:rPr>
          <w:lang w:val="es-ES"/>
        </w:rPr>
      </w:pPr>
    </w:p>
    <w:p w14:paraId="4921B64F" w14:textId="35020D71" w:rsidR="002E1760" w:rsidRPr="00431DA4" w:rsidRDefault="004648DA" w:rsidP="00293D78">
      <w:pPr>
        <w:pStyle w:val="CPQuestions"/>
      </w:pPr>
      <w:r w:rsidRPr="00425096">
        <w:t>Considering the current coverage provided by the clearing thresholds in relation to interest rate derivatives and the different type of counterparties (FCs and NFCs); is there any aspect or issue you consider ESMA should look into or pay attention to?  Please, in your answer, provide as granular details and any relevant data to illustrate your response</w:t>
      </w:r>
      <w:r w:rsidR="008418E3">
        <w:t>.</w:t>
      </w:r>
    </w:p>
    <w:p w14:paraId="2D5BC2B3" w14:textId="45F7500C" w:rsidR="00A263DF" w:rsidRPr="006C2D5A" w:rsidRDefault="00A263DF" w:rsidP="00A263DF">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00C228C1" w:rsidRPr="006C2D5A">
        <w:rPr>
          <w:lang w:val="es-ES"/>
        </w:rPr>
        <w:t>8</w:t>
      </w:r>
      <w:r w:rsidRPr="006C2D5A">
        <w:rPr>
          <w:lang w:val="es-ES"/>
        </w:rPr>
        <w:t>&gt;</w:t>
      </w:r>
    </w:p>
    <w:p w14:paraId="34492A3D" w14:textId="77777777" w:rsidR="00A263DF" w:rsidRDefault="00A263DF" w:rsidP="00A263DF">
      <w:permStart w:id="1768257119" w:edGrp="everyone"/>
      <w:r>
        <w:t>TYPE YOUR TEXT HERE</w:t>
      </w:r>
      <w:permEnd w:id="1768257119"/>
    </w:p>
    <w:p w14:paraId="75E63E7F" w14:textId="08643D0D" w:rsidR="00A263DF" w:rsidRPr="004648DA" w:rsidRDefault="00A263DF" w:rsidP="00A263DF">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00C228C1" w:rsidRPr="004648DA">
        <w:rPr>
          <w:lang w:val="es-ES"/>
        </w:rPr>
        <w:t>8</w:t>
      </w:r>
      <w:r w:rsidRPr="004648DA">
        <w:rPr>
          <w:lang w:val="es-ES"/>
        </w:rPr>
        <w:t>&gt;</w:t>
      </w:r>
    </w:p>
    <w:p w14:paraId="1CF89443" w14:textId="77777777" w:rsidR="00C228C1" w:rsidRPr="004648DA" w:rsidRDefault="00C228C1" w:rsidP="00A263DF">
      <w:pPr>
        <w:rPr>
          <w:lang w:val="es-ES"/>
        </w:rPr>
      </w:pPr>
    </w:p>
    <w:p w14:paraId="075C8737" w14:textId="35EE7028" w:rsidR="002E1760" w:rsidRPr="00431DA4" w:rsidRDefault="004648DA" w:rsidP="00293D78">
      <w:pPr>
        <w:pStyle w:val="CPQuestions"/>
      </w:pPr>
      <w:r w:rsidRPr="00ED3D8A">
        <w:t>Considering the current coverage provided by the clearing thresholds in relation to commodity derivatives and the different type of counterparties (FCs and NFCs); is there any aspect or issue you consider ESMA should look into or pay attention to?  Please, in your answer, provide as granular details and any relevant data to illustrate your response</w:t>
      </w:r>
      <w:r w:rsidR="008418E3">
        <w:t>.</w:t>
      </w:r>
    </w:p>
    <w:p w14:paraId="03BBF74A" w14:textId="483E9893" w:rsidR="002E1760" w:rsidRPr="006C2D5A" w:rsidRDefault="002E1760" w:rsidP="002E1760">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9&gt;</w:t>
      </w:r>
    </w:p>
    <w:p w14:paraId="5D0A8F19" w14:textId="77777777" w:rsidR="002E1760" w:rsidRDefault="002E1760" w:rsidP="002E1760">
      <w:permStart w:id="1767771289" w:edGrp="everyone"/>
      <w:r>
        <w:t>TYPE YOUR TEXT HERE</w:t>
      </w:r>
      <w:permEnd w:id="1767771289"/>
    </w:p>
    <w:p w14:paraId="79209B47" w14:textId="62ED12DD" w:rsidR="002E1760" w:rsidRPr="004648DA" w:rsidRDefault="002E1760" w:rsidP="002E1760">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9&gt;</w:t>
      </w:r>
    </w:p>
    <w:p w14:paraId="72F1F3E4" w14:textId="77777777" w:rsidR="00C228C1" w:rsidRPr="004648DA" w:rsidRDefault="00C228C1" w:rsidP="002E1760">
      <w:pPr>
        <w:rPr>
          <w:lang w:val="es-ES"/>
        </w:rPr>
      </w:pPr>
    </w:p>
    <w:p w14:paraId="472670D5" w14:textId="1A4AE006" w:rsidR="002E1760" w:rsidRPr="00431DA4" w:rsidRDefault="004648DA" w:rsidP="00293D78">
      <w:pPr>
        <w:pStyle w:val="CPQuestions"/>
      </w:pPr>
      <w:r w:rsidRPr="00ED3D8A">
        <w:t>Considering the current coverage provided by the clearing thresholds in relation to equity derivatives and the different type of counterparties (FCs and NFCs); is there any aspect or issue you consider ESMA should look into or pay attention to?  Please, in your answer, provide as granular details and any relevant data to illustrate your response</w:t>
      </w:r>
      <w:r w:rsidR="00FC7836">
        <w:t>.</w:t>
      </w:r>
    </w:p>
    <w:p w14:paraId="28C370B9" w14:textId="364C2F3B" w:rsidR="008418E3" w:rsidRPr="006C2D5A" w:rsidRDefault="008418E3" w:rsidP="008418E3">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10&gt;</w:t>
      </w:r>
    </w:p>
    <w:p w14:paraId="6CC83EC6" w14:textId="77777777" w:rsidR="008418E3" w:rsidRDefault="008418E3" w:rsidP="008418E3">
      <w:permStart w:id="349206319" w:edGrp="everyone"/>
      <w:r>
        <w:t>TYPE YOUR TEXT HERE</w:t>
      </w:r>
      <w:permEnd w:id="349206319"/>
    </w:p>
    <w:p w14:paraId="591D1C67" w14:textId="73F3409A" w:rsidR="008418E3" w:rsidRPr="004648DA" w:rsidRDefault="008418E3" w:rsidP="008418E3">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10&gt;</w:t>
      </w:r>
    </w:p>
    <w:p w14:paraId="4CD7799A" w14:textId="77777777" w:rsidR="00C228C1" w:rsidRPr="004648DA" w:rsidRDefault="00C228C1" w:rsidP="008418E3">
      <w:pPr>
        <w:rPr>
          <w:lang w:val="es-ES"/>
        </w:rPr>
      </w:pPr>
    </w:p>
    <w:p w14:paraId="0160EF27" w14:textId="615AF5D7" w:rsidR="009003B8" w:rsidRDefault="004648DA" w:rsidP="00293D78">
      <w:pPr>
        <w:pStyle w:val="CPQuestions"/>
      </w:pPr>
      <w:r>
        <w:t>Considering the current coverage provided by the clearing thresholds in relation to currency derivatives and the different type of counterparties (FCs and NFCs); is there any aspect or issue you consider ESMA should look into or pay attention to? Please, in your answer, provide as granular details and any relevant data to illustrate your response</w:t>
      </w:r>
      <w:r w:rsidR="00292E82">
        <w:t>.</w:t>
      </w:r>
    </w:p>
    <w:p w14:paraId="7EC35559" w14:textId="0522E787" w:rsidR="00F469F8" w:rsidRPr="006C2D5A" w:rsidRDefault="00F469F8" w:rsidP="00F469F8">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11&gt;</w:t>
      </w:r>
    </w:p>
    <w:p w14:paraId="26AE41A7" w14:textId="77777777" w:rsidR="00F469F8" w:rsidRDefault="00F469F8" w:rsidP="00F469F8">
      <w:permStart w:id="408818572" w:edGrp="everyone"/>
      <w:r>
        <w:t>TYPE YOUR TEXT HERE</w:t>
      </w:r>
      <w:permEnd w:id="408818572"/>
    </w:p>
    <w:p w14:paraId="06196E86" w14:textId="24B8C19B" w:rsidR="00F469F8" w:rsidRPr="004648DA" w:rsidRDefault="00F469F8" w:rsidP="00F469F8">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11&gt;</w:t>
      </w:r>
    </w:p>
    <w:p w14:paraId="18B1CFC4" w14:textId="77777777" w:rsidR="00C228C1" w:rsidRPr="004648DA" w:rsidRDefault="00C228C1" w:rsidP="00F469F8">
      <w:pPr>
        <w:rPr>
          <w:lang w:val="es-ES"/>
        </w:rPr>
      </w:pPr>
    </w:p>
    <w:p w14:paraId="787C57CF" w14:textId="5C29364A" w:rsidR="00F469F8" w:rsidRDefault="004648DA" w:rsidP="00F469F8">
      <w:pPr>
        <w:pStyle w:val="CPQuestions"/>
      </w:pPr>
      <w:r>
        <w:t>Beyond the different treatments between FCs and NFCs in the calculation, are there differences between the different types of counterparties that might justify a different calibration of the actual clearing thresholds? In addition, please consider if a different calibration of the current clearing thresholds by type of counterparty should apply in the same manner to all asset classes. Please provide any supporting data that might help illustrate your response</w:t>
      </w:r>
      <w:r w:rsidR="00F469F8">
        <w:t>.</w:t>
      </w:r>
    </w:p>
    <w:p w14:paraId="55419696" w14:textId="68198CCC" w:rsidR="00F469F8" w:rsidRPr="006C2D5A" w:rsidRDefault="00F469F8" w:rsidP="00F469F8">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1</w:t>
      </w:r>
      <w:r w:rsidR="002868FC" w:rsidRPr="006C2D5A">
        <w:rPr>
          <w:lang w:val="es-ES"/>
        </w:rPr>
        <w:t>2</w:t>
      </w:r>
      <w:r w:rsidRPr="006C2D5A">
        <w:rPr>
          <w:lang w:val="es-ES"/>
        </w:rPr>
        <w:t>&gt;</w:t>
      </w:r>
    </w:p>
    <w:p w14:paraId="503AD208" w14:textId="77777777" w:rsidR="00F469F8" w:rsidRDefault="00F469F8" w:rsidP="00F469F8">
      <w:permStart w:id="276172944" w:edGrp="everyone"/>
      <w:r>
        <w:t>TYPE YOUR TEXT HERE</w:t>
      </w:r>
      <w:permEnd w:id="276172944"/>
    </w:p>
    <w:p w14:paraId="7B985911" w14:textId="796659E2" w:rsidR="00F469F8" w:rsidRPr="004648DA" w:rsidRDefault="00F469F8" w:rsidP="00F469F8">
      <w:pPr>
        <w:rPr>
          <w:lang w:val="es-ES"/>
        </w:rPr>
      </w:pPr>
      <w:r w:rsidRPr="004648DA">
        <w:rPr>
          <w:lang w:val="es-ES"/>
        </w:rPr>
        <w:t>&lt;ESMA_QUESTION_</w:t>
      </w:r>
      <w:r w:rsidR="004648DA" w:rsidRPr="004648DA">
        <w:rPr>
          <w:lang w:val="es-ES"/>
        </w:rPr>
        <w:t>DP_EMIR_CTs</w:t>
      </w:r>
      <w:r w:rsidR="00F107EF" w:rsidRPr="004648DA">
        <w:rPr>
          <w:lang w:val="es-ES"/>
        </w:rPr>
        <w:t>_</w:t>
      </w:r>
      <w:r w:rsidRPr="004648DA">
        <w:rPr>
          <w:lang w:val="es-ES"/>
        </w:rPr>
        <w:t>1</w:t>
      </w:r>
      <w:r w:rsidR="002868FC" w:rsidRPr="004648DA">
        <w:rPr>
          <w:lang w:val="es-ES"/>
        </w:rPr>
        <w:t>2</w:t>
      </w:r>
      <w:r w:rsidRPr="004648DA">
        <w:rPr>
          <w:lang w:val="es-ES"/>
        </w:rPr>
        <w:t>&gt;</w:t>
      </w:r>
    </w:p>
    <w:p w14:paraId="1E9DCB0D" w14:textId="77777777" w:rsidR="009003B8" w:rsidRPr="004648DA" w:rsidRDefault="009003B8" w:rsidP="002E1760">
      <w:pPr>
        <w:rPr>
          <w:lang w:val="es-ES"/>
        </w:rPr>
      </w:pPr>
    </w:p>
    <w:p w14:paraId="26837E87" w14:textId="7834EC9D" w:rsidR="00646C30" w:rsidRDefault="004648DA" w:rsidP="00646C30">
      <w:pPr>
        <w:pStyle w:val="CPQuestions"/>
      </w:pPr>
      <w:r w:rsidRPr="00ED3D8A">
        <w:rPr>
          <w:rFonts w:cs="Arial"/>
          <w:lang w:val="en-US"/>
        </w:rPr>
        <w:t>Looking at the simulations presented in the paper and at the impact they would have, do you have any views on the sensitivities of the thresholds</w:t>
      </w:r>
      <w:r w:rsidR="00C228C1">
        <w:t>?</w:t>
      </w:r>
    </w:p>
    <w:p w14:paraId="1D99BB7D" w14:textId="38F01FFA" w:rsidR="00646C30" w:rsidRPr="006C2D5A" w:rsidRDefault="00646C30" w:rsidP="00646C30">
      <w:pPr>
        <w:rPr>
          <w:lang w:val="es-ES"/>
        </w:rPr>
      </w:pPr>
      <w:r w:rsidRPr="006C2D5A">
        <w:rPr>
          <w:lang w:val="es-ES"/>
        </w:rPr>
        <w:lastRenderedPageBreak/>
        <w:t>&lt;ESMA_QUESTION_</w:t>
      </w:r>
      <w:r w:rsidR="004648DA">
        <w:rPr>
          <w:lang w:val="es-ES"/>
        </w:rPr>
        <w:t>DP_EMIR_CTs</w:t>
      </w:r>
      <w:r w:rsidR="00F107EF" w:rsidRPr="006C2D5A">
        <w:rPr>
          <w:lang w:val="es-ES"/>
        </w:rPr>
        <w:t>_</w:t>
      </w:r>
      <w:r w:rsidRPr="006C2D5A">
        <w:rPr>
          <w:lang w:val="es-ES"/>
        </w:rPr>
        <w:t>1</w:t>
      </w:r>
      <w:r w:rsidR="00101BF1" w:rsidRPr="006C2D5A">
        <w:rPr>
          <w:lang w:val="es-ES"/>
        </w:rPr>
        <w:t>3</w:t>
      </w:r>
      <w:r w:rsidRPr="006C2D5A">
        <w:rPr>
          <w:lang w:val="es-ES"/>
        </w:rPr>
        <w:t>&gt;</w:t>
      </w:r>
    </w:p>
    <w:p w14:paraId="2DBA77F6" w14:textId="77777777" w:rsidR="00646C30" w:rsidRDefault="00646C30" w:rsidP="00646C30">
      <w:permStart w:id="507131457" w:edGrp="everyone"/>
      <w:r>
        <w:t>TYPE YOUR TEXT HERE</w:t>
      </w:r>
      <w:permEnd w:id="507131457"/>
    </w:p>
    <w:p w14:paraId="6598F221" w14:textId="0F233E4E" w:rsidR="00646C30" w:rsidRPr="004648DA" w:rsidRDefault="00646C30" w:rsidP="00646C30">
      <w:pPr>
        <w:rPr>
          <w:lang w:val="es-ES"/>
        </w:rPr>
      </w:pPr>
      <w:r w:rsidRPr="004648DA">
        <w:rPr>
          <w:lang w:val="es-ES"/>
        </w:rPr>
        <w:t>&lt;ESMA_QUESTION_</w:t>
      </w:r>
      <w:r w:rsidR="004648DA" w:rsidRPr="004648DA">
        <w:rPr>
          <w:lang w:val="es-ES"/>
        </w:rPr>
        <w:t>DP_EMIR_CTs</w:t>
      </w:r>
      <w:r w:rsidR="00F107EF" w:rsidRPr="004648DA">
        <w:rPr>
          <w:lang w:val="es-ES"/>
        </w:rPr>
        <w:t>_</w:t>
      </w:r>
      <w:r w:rsidRPr="004648DA">
        <w:rPr>
          <w:lang w:val="es-ES"/>
        </w:rPr>
        <w:t>1</w:t>
      </w:r>
      <w:r w:rsidR="002F1683" w:rsidRPr="004648DA">
        <w:rPr>
          <w:lang w:val="es-ES"/>
        </w:rPr>
        <w:t>3</w:t>
      </w:r>
      <w:r w:rsidRPr="004648DA">
        <w:rPr>
          <w:lang w:val="es-ES"/>
        </w:rPr>
        <w:t>&gt;</w:t>
      </w:r>
    </w:p>
    <w:p w14:paraId="378DCD0E" w14:textId="77777777" w:rsidR="002868FC" w:rsidRPr="004648DA" w:rsidRDefault="002868FC" w:rsidP="002E1760">
      <w:pPr>
        <w:rPr>
          <w:lang w:val="es-ES"/>
        </w:rPr>
      </w:pPr>
    </w:p>
    <w:p w14:paraId="3FC13B15" w14:textId="77777777" w:rsidR="00646C30" w:rsidRPr="004648DA" w:rsidRDefault="00646C30" w:rsidP="002E1760">
      <w:pPr>
        <w:rPr>
          <w:lang w:val="es-ES"/>
        </w:rPr>
      </w:pPr>
    </w:p>
    <w:sectPr w:rsidR="00646C30" w:rsidRPr="004648DA"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0402F" w14:textId="77777777" w:rsidR="00F803B0" w:rsidRDefault="00F803B0">
      <w:r>
        <w:separator/>
      </w:r>
    </w:p>
    <w:p w14:paraId="443AFA34" w14:textId="77777777" w:rsidR="00F803B0" w:rsidRDefault="00F803B0"/>
  </w:endnote>
  <w:endnote w:type="continuationSeparator" w:id="0">
    <w:p w14:paraId="265384ED" w14:textId="77777777" w:rsidR="00F803B0" w:rsidRDefault="00F803B0">
      <w:r>
        <w:continuationSeparator/>
      </w:r>
    </w:p>
    <w:p w14:paraId="6D1F3097" w14:textId="77777777" w:rsidR="00F803B0" w:rsidRDefault="00F803B0"/>
  </w:endnote>
  <w:endnote w:type="continuationNotice" w:id="1">
    <w:p w14:paraId="4494010B" w14:textId="77777777" w:rsidR="00F803B0" w:rsidRDefault="00F80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panose1 w:val="00000000000000000000"/>
    <w:charset w:val="00"/>
    <w:family w:val="auto"/>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2156CD92" w14:textId="77777777" w:rsidTr="00315E96">
      <w:trPr>
        <w:trHeight w:val="284"/>
      </w:trPr>
      <w:tc>
        <w:tcPr>
          <w:tcW w:w="8460" w:type="dxa"/>
        </w:tcPr>
        <w:p w14:paraId="7EF54571" w14:textId="77777777" w:rsidR="00F107EF" w:rsidRPr="00315E96" w:rsidRDefault="00F107EF" w:rsidP="00315E96">
          <w:pPr>
            <w:pStyle w:val="00Footer"/>
            <w:rPr>
              <w:lang w:val="fr-FR"/>
            </w:rPr>
          </w:pPr>
        </w:p>
      </w:tc>
      <w:tc>
        <w:tcPr>
          <w:tcW w:w="952" w:type="dxa"/>
        </w:tcPr>
        <w:p w14:paraId="2275EECC"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1A191C21" w14:textId="77777777" w:rsidR="00F107EF" w:rsidRDefault="00F107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C807E" w14:textId="77777777" w:rsidR="00B61CD3" w:rsidRDefault="00B61CD3" w:rsidP="00B61CD3">
    <w:pPr>
      <w:pStyle w:val="Fuzeile"/>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2C49E" w14:textId="77777777" w:rsidR="00F107EF" w:rsidRDefault="00F107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4A338" w14:textId="77777777" w:rsidR="00F803B0" w:rsidRDefault="00F803B0">
      <w:r>
        <w:separator/>
      </w:r>
    </w:p>
    <w:p w14:paraId="155666A6" w14:textId="77777777" w:rsidR="00F803B0" w:rsidRDefault="00F803B0"/>
  </w:footnote>
  <w:footnote w:type="continuationSeparator" w:id="0">
    <w:p w14:paraId="32EF02FD" w14:textId="77777777" w:rsidR="00F803B0" w:rsidRDefault="00F803B0">
      <w:r>
        <w:continuationSeparator/>
      </w:r>
    </w:p>
    <w:p w14:paraId="1652762F" w14:textId="77777777" w:rsidR="00F803B0" w:rsidRDefault="00F803B0"/>
  </w:footnote>
  <w:footnote w:type="continuationNotice" w:id="1">
    <w:p w14:paraId="53E841AA" w14:textId="77777777" w:rsidR="00F803B0" w:rsidRDefault="00F803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CBAFB" w14:textId="77777777" w:rsidR="00F107EF" w:rsidRDefault="00F107EF">
    <w:pPr>
      <w:pStyle w:val="Kopfzeile"/>
    </w:pPr>
    <w:r>
      <w:rPr>
        <w:noProof/>
        <w:lang w:eastAsia="en-GB"/>
      </w:rPr>
      <w:drawing>
        <wp:anchor distT="0" distB="0" distL="114300" distR="114300" simplePos="0" relativeHeight="251658240" behindDoc="0" locked="0" layoutInCell="1" allowOverlap="1" wp14:anchorId="4A0C2F0A" wp14:editId="507575C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45339F98" wp14:editId="687E575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72744C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94631" w14:textId="77777777" w:rsidR="00F107EF" w:rsidRDefault="00F107EF" w:rsidP="00013CCE">
    <w:pPr>
      <w:pStyle w:val="Kopfzeile"/>
      <w:jc w:val="right"/>
    </w:pPr>
    <w:r>
      <w:rPr>
        <w:noProof/>
        <w:lang w:eastAsia="en-GB"/>
      </w:rPr>
      <w:drawing>
        <wp:anchor distT="0" distB="0" distL="114300" distR="114300" simplePos="0" relativeHeight="251657216" behindDoc="0" locked="0" layoutInCell="1" allowOverlap="1" wp14:anchorId="51E8BB1B" wp14:editId="685EDE3C">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1A80A56D" wp14:editId="54570337">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96225"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124FAE55" w14:textId="77777777" w:rsidTr="000C06C9">
      <w:trPr>
        <w:trHeight w:val="284"/>
      </w:trPr>
      <w:tc>
        <w:tcPr>
          <w:tcW w:w="8460" w:type="dxa"/>
        </w:tcPr>
        <w:p w14:paraId="3F7B8663" w14:textId="77777777" w:rsidR="00F107EF" w:rsidRPr="000C3B6D" w:rsidRDefault="00F107EF" w:rsidP="000C06C9">
          <w:pPr>
            <w:pStyle w:val="00Footer"/>
            <w:rPr>
              <w:lang w:val="fr-FR"/>
            </w:rPr>
          </w:pPr>
        </w:p>
      </w:tc>
      <w:tc>
        <w:tcPr>
          <w:tcW w:w="952" w:type="dxa"/>
        </w:tcPr>
        <w:p w14:paraId="00DF51BF" w14:textId="77777777" w:rsidR="00F107EF" w:rsidRPr="00146B34" w:rsidRDefault="00F107EF" w:rsidP="000C06C9">
          <w:pPr>
            <w:pStyle w:val="00aPagenumber"/>
            <w:rPr>
              <w:lang w:val="fr-FR"/>
            </w:rPr>
          </w:pPr>
        </w:p>
      </w:tc>
    </w:tr>
  </w:tbl>
  <w:p w14:paraId="15DFB139" w14:textId="77777777" w:rsidR="00F107EF" w:rsidRPr="00DB46C3" w:rsidRDefault="00F107EF">
    <w:pPr>
      <w:rPr>
        <w:lang w:val="fr-FR"/>
      </w:rPr>
    </w:pPr>
  </w:p>
  <w:p w14:paraId="419E9B7B" w14:textId="77777777" w:rsidR="00F107EF" w:rsidRPr="002F4496" w:rsidRDefault="00F107EF">
    <w:pPr>
      <w:pStyle w:val="Kopfzeile"/>
      <w:rPr>
        <w:lang w:val="fr-FR"/>
      </w:rPr>
    </w:pPr>
  </w:p>
  <w:p w14:paraId="7CBF8F9D" w14:textId="77777777" w:rsidR="00F107EF" w:rsidRPr="002F4496" w:rsidRDefault="00F107EF" w:rsidP="000C06C9">
    <w:pPr>
      <w:pStyle w:val="Kopfzeile"/>
      <w:tabs>
        <w:tab w:val="clear" w:pos="4536"/>
        <w:tab w:val="clear" w:pos="9072"/>
        <w:tab w:val="left" w:pos="8227"/>
      </w:tabs>
      <w:rPr>
        <w:lang w:val="fr-FR"/>
      </w:rPr>
    </w:pPr>
  </w:p>
  <w:p w14:paraId="5BF57EF5" w14:textId="77777777" w:rsidR="00F107EF" w:rsidRPr="002F4496" w:rsidRDefault="00F107EF" w:rsidP="00583885">
    <w:pPr>
      <w:pStyle w:val="Kopfzeile"/>
      <w:jc w:val="right"/>
      <w:rPr>
        <w:lang w:val="fr-FR"/>
      </w:rPr>
    </w:pPr>
  </w:p>
  <w:p w14:paraId="74145FD5" w14:textId="77777777" w:rsidR="00F107EF" w:rsidRPr="002F4496" w:rsidRDefault="00F107EF">
    <w:pPr>
      <w:pStyle w:val="Kopfzeile"/>
      <w:rPr>
        <w:lang w:val="fr-FR"/>
      </w:rPr>
    </w:pPr>
  </w:p>
  <w:p w14:paraId="4CAD5E9F" w14:textId="77777777" w:rsidR="00F107EF" w:rsidRPr="002F4496" w:rsidRDefault="00F107EF">
    <w:pPr>
      <w:pStyle w:val="Kopfzeile"/>
      <w:rPr>
        <w:lang w:val="fr-FR"/>
      </w:rPr>
    </w:pPr>
  </w:p>
  <w:p w14:paraId="3213D780" w14:textId="77777777" w:rsidR="00F107EF" w:rsidRPr="002F4496" w:rsidRDefault="00F107EF">
    <w:pPr>
      <w:pStyle w:val="Kopfzeile"/>
      <w:rPr>
        <w:lang w:val="fr-FR"/>
      </w:rPr>
    </w:pPr>
  </w:p>
  <w:p w14:paraId="3E3F05E5" w14:textId="77777777" w:rsidR="00F107EF" w:rsidRPr="002F4496" w:rsidRDefault="00F107EF">
    <w:pPr>
      <w:pStyle w:val="Kopfzeile"/>
      <w:rPr>
        <w:highlight w:val="yellow"/>
        <w:lang w:val="fr-FR"/>
      </w:rPr>
    </w:pPr>
  </w:p>
  <w:p w14:paraId="12D1E51B" w14:textId="77777777" w:rsidR="00F107EF" w:rsidRDefault="00F107EF">
    <w:pPr>
      <w:pStyle w:val="Kopfzeile"/>
    </w:pPr>
    <w:r>
      <w:rPr>
        <w:noProof/>
        <w:lang w:eastAsia="en-GB"/>
      </w:rPr>
      <mc:AlternateContent>
        <mc:Choice Requires="wps">
          <w:drawing>
            <wp:anchor distT="0" distB="0" distL="114299" distR="114299" simplePos="0" relativeHeight="251660288" behindDoc="0" locked="0" layoutInCell="1" allowOverlap="1" wp14:anchorId="29232CCC" wp14:editId="457A637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A7D134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03462EB6" wp14:editId="367AC03A">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B24A40"/>
    <w:multiLevelType w:val="hybridMultilevel"/>
    <w:tmpl w:val="8A9E6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C3C6171"/>
    <w:multiLevelType w:val="hybridMultilevel"/>
    <w:tmpl w:val="63E6DBAE"/>
    <w:lvl w:ilvl="0" w:tplc="08090001">
      <w:start w:val="1"/>
      <w:numFmt w:val="bullet"/>
      <w:lvlText w:val=""/>
      <w:lvlJc w:val="left"/>
      <w:pPr>
        <w:ind w:left="720" w:hanging="360"/>
      </w:pPr>
      <w:rPr>
        <w:rFonts w:ascii="Symbol" w:hAnsi="Symbol" w:hint="default"/>
      </w:rPr>
    </w:lvl>
    <w:lvl w:ilvl="1" w:tplc="1A80EE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5D55FD6"/>
    <w:multiLevelType w:val="hybridMultilevel"/>
    <w:tmpl w:val="CB3A13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3A6457C"/>
    <w:multiLevelType w:val="hybridMultilevel"/>
    <w:tmpl w:val="2DD6D5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B1A1C32"/>
    <w:multiLevelType w:val="hybridMultilevel"/>
    <w:tmpl w:val="39C236E4"/>
    <w:lvl w:ilvl="0" w:tplc="A17C87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227037A"/>
    <w:multiLevelType w:val="hybridMultilevel"/>
    <w:tmpl w:val="10DE5832"/>
    <w:lvl w:ilvl="0" w:tplc="B31CD85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3"/>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2"/>
  </w:num>
  <w:num w:numId="15">
    <w:abstractNumId w:val="10"/>
  </w:num>
  <w:num w:numId="16">
    <w:abstractNumId w:val="1"/>
  </w:num>
  <w:num w:numId="17">
    <w:abstractNumId w:val="14"/>
  </w:num>
  <w:num w:numId="18">
    <w:abstractNumId w:val="15"/>
  </w:num>
  <w:num w:numId="19">
    <w:abstractNumId w:val="17"/>
  </w:num>
  <w:num w:numId="20">
    <w:abstractNumId w:val="27"/>
  </w:num>
  <w:num w:numId="21">
    <w:abstractNumId w:val="38"/>
  </w:num>
  <w:num w:numId="22">
    <w:abstractNumId w:val="25"/>
  </w:num>
  <w:num w:numId="23">
    <w:abstractNumId w:val="9"/>
  </w:num>
  <w:num w:numId="24">
    <w:abstractNumId w:val="30"/>
  </w:num>
  <w:num w:numId="25">
    <w:abstractNumId w:val="29"/>
  </w:num>
  <w:num w:numId="26">
    <w:abstractNumId w:val="19"/>
  </w:num>
  <w:num w:numId="27">
    <w:abstractNumId w:val="33"/>
  </w:num>
  <w:num w:numId="28">
    <w:abstractNumId w:val="41"/>
  </w:num>
  <w:num w:numId="29">
    <w:abstractNumId w:val="7"/>
  </w:num>
  <w:num w:numId="30">
    <w:abstractNumId w:val="3"/>
  </w:num>
  <w:num w:numId="31">
    <w:abstractNumId w:val="21"/>
  </w:num>
  <w:num w:numId="32">
    <w:abstractNumId w:val="20"/>
  </w:num>
  <w:num w:numId="33">
    <w:abstractNumId w:val="36"/>
  </w:num>
  <w:num w:numId="34">
    <w:abstractNumId w:val="35"/>
  </w:num>
  <w:num w:numId="35">
    <w:abstractNumId w:val="5"/>
  </w:num>
  <w:num w:numId="36">
    <w:abstractNumId w:val="37"/>
  </w:num>
  <w:num w:numId="37">
    <w:abstractNumId w:val="11"/>
  </w:num>
  <w:num w:numId="38">
    <w:abstractNumId w:val="24"/>
  </w:num>
  <w:num w:numId="39">
    <w:abstractNumId w:val="39"/>
  </w:num>
  <w:num w:numId="40">
    <w:abstractNumId w:val="34"/>
  </w:num>
  <w:num w:numId="41">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paA8q7oc5iK+hjxM5j4YuFtAgUHmYZp93wJym7jn0Dr5tP6YbraqZC+l3OygXVZ9T9wSuOEa7XLn1gz3wmX42w==" w:salt="WZRSxJUKWYNPhHhTEZiS4A=="/>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017B"/>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5655"/>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3DB6"/>
    <w:rsid w:val="000F55B7"/>
    <w:rsid w:val="000F604F"/>
    <w:rsid w:val="000F7399"/>
    <w:rsid w:val="00101BF1"/>
    <w:rsid w:val="001027F1"/>
    <w:rsid w:val="00104F2E"/>
    <w:rsid w:val="001065B9"/>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480"/>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19F"/>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A692C"/>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B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97925"/>
    <w:rsid w:val="003A51C5"/>
    <w:rsid w:val="003A5DAC"/>
    <w:rsid w:val="003A6591"/>
    <w:rsid w:val="003A6E9A"/>
    <w:rsid w:val="003B08C8"/>
    <w:rsid w:val="003B2567"/>
    <w:rsid w:val="003B2F44"/>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17D8"/>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48DA"/>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0567"/>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6B42"/>
    <w:rsid w:val="005778DE"/>
    <w:rsid w:val="00580B3F"/>
    <w:rsid w:val="00581067"/>
    <w:rsid w:val="005825F2"/>
    <w:rsid w:val="00583885"/>
    <w:rsid w:val="0058570D"/>
    <w:rsid w:val="005860AF"/>
    <w:rsid w:val="00587F1D"/>
    <w:rsid w:val="00590348"/>
    <w:rsid w:val="00591161"/>
    <w:rsid w:val="00591484"/>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998"/>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59C1"/>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2D5A"/>
    <w:rsid w:val="006C4334"/>
    <w:rsid w:val="006C4B0F"/>
    <w:rsid w:val="006C5E96"/>
    <w:rsid w:val="006C624E"/>
    <w:rsid w:val="006D01F0"/>
    <w:rsid w:val="006D399F"/>
    <w:rsid w:val="006D49F7"/>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4E1"/>
    <w:rsid w:val="00756BFF"/>
    <w:rsid w:val="00756D77"/>
    <w:rsid w:val="00760041"/>
    <w:rsid w:val="007605C7"/>
    <w:rsid w:val="00760B08"/>
    <w:rsid w:val="00760EDA"/>
    <w:rsid w:val="0076136E"/>
    <w:rsid w:val="00761F4E"/>
    <w:rsid w:val="00762150"/>
    <w:rsid w:val="00762621"/>
    <w:rsid w:val="00763F36"/>
    <w:rsid w:val="007648A0"/>
    <w:rsid w:val="00766F4D"/>
    <w:rsid w:val="00770268"/>
    <w:rsid w:val="007704D0"/>
    <w:rsid w:val="007706B9"/>
    <w:rsid w:val="007707ED"/>
    <w:rsid w:val="00771C3B"/>
    <w:rsid w:val="007726F9"/>
    <w:rsid w:val="007728E7"/>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6B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0648"/>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7BA"/>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3B0"/>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1B5"/>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5B8F"/>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0F08"/>
    <w:rsid w:val="00A50F9D"/>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0D4"/>
    <w:rsid w:val="00A654E2"/>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379D"/>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694C"/>
    <w:rsid w:val="00B472AB"/>
    <w:rsid w:val="00B47CE4"/>
    <w:rsid w:val="00B503A8"/>
    <w:rsid w:val="00B5121D"/>
    <w:rsid w:val="00B51389"/>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1AA"/>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4B4D"/>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0312"/>
    <w:rsid w:val="00C413FC"/>
    <w:rsid w:val="00C4144D"/>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105"/>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3BFB"/>
    <w:rsid w:val="00CD4EB0"/>
    <w:rsid w:val="00CD512D"/>
    <w:rsid w:val="00CD5831"/>
    <w:rsid w:val="00CD6F6E"/>
    <w:rsid w:val="00CE157F"/>
    <w:rsid w:val="00CE1966"/>
    <w:rsid w:val="00CE1ED4"/>
    <w:rsid w:val="00CE2216"/>
    <w:rsid w:val="00CE3014"/>
    <w:rsid w:val="00CE30E5"/>
    <w:rsid w:val="00CE45E8"/>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0D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652"/>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69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17E07"/>
    <w:rsid w:val="00E21407"/>
    <w:rsid w:val="00E22668"/>
    <w:rsid w:val="00E227D3"/>
    <w:rsid w:val="00E22BFF"/>
    <w:rsid w:val="00E22CB0"/>
    <w:rsid w:val="00E23798"/>
    <w:rsid w:val="00E2585D"/>
    <w:rsid w:val="00E25DBD"/>
    <w:rsid w:val="00E25FA2"/>
    <w:rsid w:val="00E26D61"/>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5F7"/>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3B0"/>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893"/>
    <w:rsid w:val="00FD5EC4"/>
    <w:rsid w:val="00FD7858"/>
    <w:rsid w:val="00FD7A8D"/>
    <w:rsid w:val="00FE1330"/>
    <w:rsid w:val="00FE1CE5"/>
    <w:rsid w:val="00FE2832"/>
    <w:rsid w:val="00FE2D38"/>
    <w:rsid w:val="00FE3929"/>
    <w:rsid w:val="00FE3E32"/>
    <w:rsid w:val="00FE641C"/>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4B438DF3"/>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qFormat/>
    <w:rsid w:val="00646C30"/>
    <w:rPr>
      <w:rFonts w:ascii="Arial" w:hAnsi="Arial"/>
      <w:szCs w:val="24"/>
      <w:lang w:eastAsia="de-DE"/>
    </w:rPr>
  </w:style>
  <w:style w:type="paragraph" w:styleId="berschrift1">
    <w:name w:val="heading 1"/>
    <w:basedOn w:val="Standard"/>
    <w:next w:val="Standard"/>
    <w:link w:val="berschrift1Zchn"/>
    <w:qFormat/>
    <w:locked/>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lock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Paragraphe de liste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jc w:val="both"/>
    </w:pPr>
    <w:rPr>
      <w:b/>
      <w:szCs w:val="20"/>
      <w:u w:val="single"/>
    </w:rPr>
  </w:style>
  <w:style w:type="paragraph" w:customStyle="1" w:styleId="Bullet">
    <w:name w:val="Bullet"/>
    <w:basedOn w:val="Standard"/>
    <w:locke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locked/>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Standard"/>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locked/>
    <w:rsid w:val="000D2D0B"/>
    <w:pPr>
      <w:spacing w:before="120" w:after="120"/>
      <w:ind w:left="850"/>
      <w:jc w:val="both"/>
    </w:pPr>
    <w:rPr>
      <w:rFonts w:ascii="Times New Roman" w:hAnsi="Times New Roman"/>
      <w:sz w:val="24"/>
      <w:lang w:eastAsia="en-US"/>
    </w:rPr>
  </w:style>
  <w:style w:type="paragraph" w:customStyle="1" w:styleId="Text2">
    <w:name w:val="Text 2"/>
    <w:basedOn w:val="Standard"/>
    <w:locked/>
    <w:rsid w:val="000D2D0B"/>
    <w:pPr>
      <w:spacing w:before="120" w:after="120"/>
      <w:ind w:left="1417"/>
      <w:jc w:val="both"/>
    </w:pPr>
    <w:rPr>
      <w:rFonts w:ascii="Times New Roman" w:hAnsi="Times New Roman"/>
      <w:sz w:val="24"/>
      <w:lang w:eastAsia="en-US"/>
    </w:rPr>
  </w:style>
  <w:style w:type="paragraph" w:customStyle="1" w:styleId="Text3">
    <w:name w:val="Text 3"/>
    <w:basedOn w:val="Standard"/>
    <w:locked/>
    <w:rsid w:val="000D2D0B"/>
    <w:pPr>
      <w:spacing w:before="120" w:after="120"/>
      <w:ind w:left="1984"/>
      <w:jc w:val="both"/>
    </w:pPr>
    <w:rPr>
      <w:rFonts w:ascii="Times New Roman" w:hAnsi="Times New Roman"/>
      <w:sz w:val="24"/>
      <w:lang w:eastAsia="en-US"/>
    </w:rPr>
  </w:style>
  <w:style w:type="paragraph" w:customStyle="1" w:styleId="Text4">
    <w:name w:val="Text 4"/>
    <w:basedOn w:val="Standard"/>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locke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Standard"/>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locked/>
    <w:rsid w:val="000D2D0B"/>
    <w:pPr>
      <w:spacing w:after="240"/>
    </w:pPr>
    <w:rPr>
      <w:rFonts w:ascii="Times New Roman" w:hAnsi="Times New Roman"/>
      <w:sz w:val="24"/>
      <w:lang w:eastAsia="en-US"/>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locke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locked/>
    <w:rsid w:val="000D2D0B"/>
    <w:rPr>
      <w:rFonts w:cs="Arial"/>
      <w:sz w:val="24"/>
      <w:lang w:eastAsia="en-US"/>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Standard"/>
    <w:locked/>
    <w:rsid w:val="000D2D0B"/>
    <w:pPr>
      <w:jc w:val="center"/>
    </w:pPr>
    <w:rPr>
      <w:rFonts w:ascii="Times New Roman" w:hAnsi="Times New Roman"/>
      <w:b/>
      <w:sz w:val="24"/>
      <w:lang w:eastAsia="en-US"/>
    </w:rPr>
  </w:style>
  <w:style w:type="paragraph" w:customStyle="1" w:styleId="Statut">
    <w:name w:val="Statut"/>
    <w:basedOn w:val="Standard"/>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locke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lang w:eastAsia="en-US"/>
    </w:rPr>
  </w:style>
  <w:style w:type="paragraph" w:customStyle="1" w:styleId="Rfrencecroise">
    <w:name w:val="Référence croisée"/>
    <w:basedOn w:val="Standard"/>
    <w:locke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lang w:eastAsia="en-US"/>
    </w:rPr>
  </w:style>
  <w:style w:type="paragraph" w:styleId="Listennummer2">
    <w:name w:val="List Number 2"/>
    <w:basedOn w:val="Standard"/>
    <w:locke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locke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eastAsia="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557</Value>
      <Value>165</Value>
      <Value>1872</Value>
      <Value>14</Value>
    </TaxCatchAll>
    <_dlc_DocId xmlns="20fbe147-bbda-4e53-b6b1-7e8bbff3fe19">ESMA70-451-149</_dlc_DocId>
    <_dlc_DocIdUrl xmlns="20fbe147-bbda-4e53-b6b1-7e8bbff3fe19">
      <Url>https://sherpa.esma.europa.eu/sites/MKT/SMK/_layouts/15/DocIdRedir.aspx?ID=ESMA70-451-149</Url>
      <Description>ESMA70-451-149</Description>
    </_dlc_DocIdUrl>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e7965682-b06b-4956-a8ca-d94498dfae3d</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7759f44a-d057-4de2-8be6-5ed35b270d6d</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MIR Policy Document" ma:contentTypeID="0x01010001BD15C3986B91498E0AE644B715B9EE1600D0681B833EDF3A4EB616DB87D6CF8550" ma:contentTypeVersion="7" ma:contentTypeDescription="" ma:contentTypeScope="" ma:versionID="63f1a4c88ea4e5d069ee0b2c6d7b8592">
  <xsd:schema xmlns:xsd="http://www.w3.org/2001/XMLSchema" xmlns:xs="http://www.w3.org/2001/XMLSchema" xmlns:p="http://schemas.microsoft.com/office/2006/metadata/properties" xmlns:ns2="20fbe147-bbda-4e53-b6b1-7e8bbff3fe19" targetNamespace="http://schemas.microsoft.com/office/2006/metadata/properties" ma:root="true" ma:fieldsID="b66f860e23390907e7d30307db85ed55" ns2:_="">
    <xsd:import namespace="20fbe147-bbda-4e53-b6b1-7e8bbff3fe19"/>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da858090-4035-4ae5-9032-0cc872dab94e"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068fac2e-9d21-403b-ba52-6ad64381cff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04e156a7-4389-4348-bdc5-772e1b15193f"/>
    <ds:schemaRef ds:uri="http://purl.org/dc/dcmitype/"/>
    <ds:schemaRef ds:uri="http://schemas.microsoft.com/office/infopath/2007/PartnerControls"/>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92F2361E-0EBC-4331-A75E-A839ABC9C630}"/>
</file>

<file path=customXml/itemProps5.xml><?xml version="1.0" encoding="utf-8"?>
<ds:datastoreItem xmlns:ds="http://schemas.openxmlformats.org/officeDocument/2006/customXml" ds:itemID="{819C0EE6-9606-454D-8C28-2A078B879DD0}">
  <ds:schemaRefs>
    <ds:schemaRef ds:uri="http://schemas.openxmlformats.org/officeDocument/2006/bibliography"/>
  </ds:schemaRefs>
</ds:datastoreItem>
</file>

<file path=customXml/itemProps6.xml><?xml version="1.0" encoding="utf-8"?>
<ds:datastoreItem xmlns:ds="http://schemas.openxmlformats.org/officeDocument/2006/customXml" ds:itemID="{39F971FB-9950-4280-AB3E-8E911EE26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2233</Words>
  <Characters>13203</Characters>
  <Application>Microsoft Office Word</Application>
  <DocSecurity>8</DocSecurity>
  <Lines>110</Lines>
  <Paragraphs>30</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15406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Norbert Kuhn</cp:lastModifiedBy>
  <cp:revision>24</cp:revision>
  <cp:lastPrinted>2015-02-18T11:01:00Z</cp:lastPrinted>
  <dcterms:created xsi:type="dcterms:W3CDTF">2022-01-04T08:28:00Z</dcterms:created>
  <dcterms:modified xsi:type="dcterms:W3CDTF">2022-01-18T10:20:00Z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0x01010001BD15C3986B91498E0AE644B715B9EE1600D0681B833EDF3A4EB616DB87D6CF8550</vt:lpwstr>
  </property>
  <property fmtid="{D5CDD505-2E9C-101B-9397-08002B2CF9AE}" pid="3" name="_dlc_DocIdItemGuid">
    <vt:lpwstr>9ff42351-547e-444f-a358-b45d2346ad84</vt:lpwstr>
  </property>
  <property fmtid="{D5CDD505-2E9C-101B-9397-08002B2CF9AE}" pid="4" name="EsmaAudience">
    <vt:lpwstr/>
  </property>
  <property fmtid="{D5CDD505-2E9C-101B-9397-08002B2CF9AE}" pid="5" name="TeamName">
    <vt:lpwstr>557;#Communications|7759f44a-d057-4de2-8be6-5ed35b270d6d</vt:lpwstr>
  </property>
  <property fmtid="{D5CDD505-2E9C-101B-9397-08002B2CF9AE}" pid="6" name="Topic">
    <vt:lpwstr>1872;#Publications|e7965682-b06b-4956-a8ca-d94498dfae3d</vt:lpwstr>
  </property>
  <property fmtid="{D5CDD505-2E9C-101B-9397-08002B2CF9AE}" pid="7" name="ConfidentialityLevel">
    <vt:lpwstr>14;#Regular|07f1e362-856b-423d-bea6-a14079762141</vt:lpwstr>
  </property>
  <property fmtid="{D5CDD505-2E9C-101B-9397-08002B2CF9AE}" pid="8" name="DocumentType">
    <vt:lpwstr>165;#Form / Request|efe27f23-61a2-47e7-916e-544dd02c80f4</vt:lpwstr>
  </property>
  <property fmtid="{D5CDD505-2E9C-101B-9397-08002B2CF9AE}" pid="9" name="SubTopic">
    <vt:lpwstr/>
  </property>
</Properties>
</file>