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tbl>
          <w:tblPr>
            <w:tblpPr w:leftFromText="8505" w:vertAnchor="page" w:horzAnchor="margin" w:tblpXSpec="center" w:tblpY="3580"/>
            <w:tblW w:w="10490" w:type="dxa"/>
            <w:tblLayout w:type="fixed"/>
            <w:tblCellMar>
              <w:left w:w="0" w:type="dxa"/>
              <w:right w:w="0" w:type="dxa"/>
            </w:tblCellMar>
            <w:tblLook w:val="01E0" w:firstRow="1" w:lastRow="1" w:firstColumn="1" w:lastColumn="1" w:noHBand="0" w:noVBand="0"/>
          </w:tblPr>
          <w:tblGrid>
            <w:gridCol w:w="10490"/>
          </w:tblGrid>
          <w:tr w:rsidR="002A6D4E" w:rsidRPr="00E3664A" w14:paraId="49DED20E" w14:textId="77777777" w:rsidTr="002A6D4E">
            <w:trPr>
              <w:trHeight w:hRule="exact" w:val="1492"/>
            </w:trPr>
            <w:tc>
              <w:tcPr>
                <w:tcW w:w="10490" w:type="dxa"/>
                <w:vAlign w:val="bottom"/>
              </w:tcPr>
              <w:p w14:paraId="4077AAC3" w14:textId="77777777" w:rsidR="002A6D4E" w:rsidRPr="00E3664A" w:rsidRDefault="002A6D4E" w:rsidP="002A6D4E">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A6D4E" w:rsidRPr="00E3664A" w14:paraId="5DAA5BE6" w14:textId="77777777" w:rsidTr="002A6D4E">
            <w:trPr>
              <w:trHeight w:hRule="exact" w:val="1336"/>
            </w:trPr>
            <w:tc>
              <w:tcPr>
                <w:tcW w:w="10490" w:type="dxa"/>
                <w:tcMar>
                  <w:top w:w="142" w:type="dxa"/>
                </w:tcMar>
              </w:tcPr>
              <w:p w14:paraId="042D4D6A" w14:textId="77777777" w:rsidR="002A6D4E" w:rsidRPr="002A6D4E" w:rsidRDefault="002A6D4E" w:rsidP="002A6D4E">
                <w:pPr>
                  <w:rPr>
                    <w:rFonts w:ascii="Arial" w:eastAsiaTheme="majorEastAsia" w:hAnsi="Arial" w:cs="Arial"/>
                    <w:b/>
                    <w:sz w:val="28"/>
                    <w:szCs w:val="28"/>
                    <w:lang w:eastAsia="en-GB"/>
                  </w:rPr>
                </w:pPr>
                <w:r w:rsidRPr="002A6D4E">
                  <w:rPr>
                    <w:rFonts w:ascii="Arial" w:eastAsiaTheme="majorEastAsia" w:hAnsi="Arial" w:cs="Arial"/>
                    <w:b/>
                    <w:sz w:val="28"/>
                    <w:szCs w:val="28"/>
                    <w:lang w:eastAsia="en-GB"/>
                  </w:rPr>
                  <w:t xml:space="preserve">Report on highly liquid financial instruments with regards to the investment policy of central counterparties (EMIR Article 85(3a(e))) </w:t>
                </w:r>
              </w:p>
              <w:p w14:paraId="58FF8551" w14:textId="77777777" w:rsidR="002A6D4E" w:rsidRPr="00E3664A" w:rsidRDefault="002A6D4E" w:rsidP="002A6D4E">
                <w:pPr>
                  <w:pStyle w:val="Heading2"/>
                  <w:numPr>
                    <w:ilvl w:val="0"/>
                    <w:numId w:val="0"/>
                  </w:numPr>
                  <w:spacing w:before="0"/>
                  <w:rPr>
                    <w:rFonts w:ascii="Arial" w:hAnsi="Arial" w:cs="Arial"/>
                  </w:rPr>
                </w:pPr>
              </w:p>
            </w:tc>
          </w:tr>
        </w:tbl>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ED5513">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381F467E"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Pr="00A92D8C">
            <w:rPr>
              <w:rFonts w:ascii="Arial" w:eastAsiaTheme="minorEastAsia" w:hAnsi="Arial" w:cs="Arial"/>
              <w:b/>
              <w:szCs w:val="20"/>
            </w:rPr>
            <w:t>2</w:t>
          </w:r>
          <w:r w:rsidR="002A6D4E">
            <w:rPr>
              <w:rFonts w:ascii="Arial" w:eastAsiaTheme="minorEastAsia" w:hAnsi="Arial" w:cs="Arial"/>
              <w:b/>
              <w:szCs w:val="20"/>
            </w:rPr>
            <w:t>4</w:t>
          </w:r>
          <w:r w:rsidRPr="00A92D8C">
            <w:rPr>
              <w:rFonts w:ascii="Arial" w:eastAsiaTheme="minorEastAsia" w:hAnsi="Arial" w:cs="Arial"/>
              <w:b/>
              <w:szCs w:val="20"/>
            </w:rPr>
            <w:t xml:space="preserve"> </w:t>
          </w:r>
          <w:r w:rsidR="002A6D4E">
            <w:rPr>
              <w:rFonts w:ascii="Arial" w:eastAsiaTheme="minorEastAsia" w:hAnsi="Arial" w:cs="Arial"/>
              <w:b/>
              <w:szCs w:val="20"/>
            </w:rPr>
            <w:t>January</w:t>
          </w:r>
          <w:r w:rsidRPr="00A92D8C">
            <w:rPr>
              <w:rFonts w:ascii="Arial" w:eastAsiaTheme="minorEastAsia" w:hAnsi="Arial" w:cs="Arial"/>
              <w:b/>
              <w:szCs w:val="20"/>
            </w:rPr>
            <w:t xml:space="preserve"> 202</w:t>
          </w:r>
          <w:r w:rsidR="002A6D4E">
            <w:rPr>
              <w:rFonts w:ascii="Arial" w:eastAsiaTheme="minorEastAsia" w:hAnsi="Arial" w:cs="Arial"/>
              <w:b/>
              <w:szCs w:val="20"/>
            </w:rPr>
            <w:t>2</w:t>
          </w:r>
          <w:r w:rsidRPr="00A92D8C">
            <w:rPr>
              <w:rFonts w:ascii="Arial" w:eastAsiaTheme="minorEastAsia" w:hAnsi="Arial" w:cs="Arial"/>
              <w:b/>
              <w:szCs w:val="20"/>
            </w:rPr>
            <w:t>.</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6"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70A50C0E" w:rsidR="002427D5" w:rsidRPr="00E3664A" w:rsidRDefault="002427D5" w:rsidP="08EC68F4">
          <w:pPr>
            <w:pStyle w:val="ListParagraph"/>
            <w:numPr>
              <w:ilvl w:val="0"/>
              <w:numId w:val="4"/>
            </w:numPr>
            <w:spacing w:after="250" w:line="276" w:lineRule="auto"/>
            <w:rPr>
              <w:rFonts w:ascii="Arial" w:eastAsiaTheme="minorEastAsia" w:hAnsi="Arial" w:cs="Arial"/>
              <w:lang w:eastAsia="en-US"/>
            </w:rPr>
          </w:pPr>
          <w:r w:rsidRPr="3F0C4E82">
            <w:rPr>
              <w:rFonts w:ascii="Arial" w:eastAsiaTheme="minorEastAsia" w:hAnsi="Arial" w:cs="Arial"/>
              <w:lang w:eastAsia="en-US"/>
            </w:rPr>
            <w:t>Please do not remove tags of the type &lt;ESMA_QUESTION_</w:t>
          </w:r>
          <w:r w:rsidR="45859F23" w:rsidRPr="3F0C4E82">
            <w:rPr>
              <w:rFonts w:ascii="Arial" w:eastAsiaTheme="minorEastAsia" w:hAnsi="Arial" w:cs="Arial"/>
              <w:lang w:eastAsia="en-US"/>
            </w:rPr>
            <w:t xml:space="preserve">CCP </w:t>
          </w:r>
          <w:r w:rsidR="45EB5968" w:rsidRPr="3F0C4E82">
            <w:rPr>
              <w:rFonts w:ascii="Arial" w:eastAsiaTheme="minorEastAsia" w:hAnsi="Arial" w:cs="Arial"/>
              <w:lang w:eastAsia="en-US"/>
            </w:rPr>
            <w:t>investment policy</w:t>
          </w:r>
          <w:r w:rsidRPr="3F0C4E82">
            <w:rPr>
              <w:rFonts w:ascii="Arial" w:eastAsiaTheme="minorEastAsia" w:hAnsi="Arial" w:cs="Arial"/>
              <w:lang w:eastAsia="en-US"/>
            </w:rPr>
            <w:t>_1&gt;. Your response to each question has to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66D5C8B5" w:rsidR="002427D5" w:rsidRPr="00E3664A" w:rsidRDefault="002427D5" w:rsidP="08EC68F4">
          <w:pPr>
            <w:pStyle w:val="ListParagraph"/>
            <w:numPr>
              <w:ilvl w:val="0"/>
              <w:numId w:val="4"/>
            </w:numPr>
            <w:spacing w:after="250" w:line="276" w:lineRule="auto"/>
            <w:rPr>
              <w:rFonts w:ascii="Arial" w:eastAsiaTheme="minorEastAsia" w:hAnsi="Arial" w:cs="Arial"/>
              <w:lang w:eastAsia="en-US"/>
            </w:rPr>
          </w:pPr>
          <w:r w:rsidRPr="3F0C4E82">
            <w:rPr>
              <w:rFonts w:ascii="Arial" w:eastAsiaTheme="minorEastAsia" w:hAnsi="Arial" w:cs="Arial"/>
              <w:lang w:eastAsia="en-US"/>
            </w:rPr>
            <w:t xml:space="preserve">When you have drafted your response, name your response form according to the following convention: </w:t>
          </w:r>
          <w:proofErr w:type="spellStart"/>
          <w:r w:rsidRPr="3F0C4E82">
            <w:rPr>
              <w:rFonts w:ascii="Arial" w:eastAsiaTheme="minorEastAsia" w:hAnsi="Arial" w:cs="Arial"/>
              <w:lang w:eastAsia="en-US"/>
            </w:rPr>
            <w:t>ESMA_</w:t>
          </w:r>
          <w:r w:rsidR="451346A8" w:rsidRPr="3F0C4E82">
            <w:rPr>
              <w:rFonts w:ascii="Arial" w:eastAsiaTheme="minorEastAsia" w:hAnsi="Arial" w:cs="Arial"/>
              <w:lang w:eastAsia="en-US"/>
            </w:rPr>
            <w:t>CCP</w:t>
          </w:r>
          <w:r w:rsidR="495D57BE" w:rsidRPr="3F0C4E82">
            <w:rPr>
              <w:rFonts w:ascii="Arial" w:eastAsiaTheme="minorEastAsia" w:hAnsi="Arial" w:cs="Arial"/>
              <w:lang w:eastAsia="en-US"/>
            </w:rPr>
            <w:t>investmentpolicy</w:t>
          </w:r>
          <w:r w:rsidRPr="3F0C4E82">
            <w:rPr>
              <w:rFonts w:ascii="Arial" w:eastAsiaTheme="minorEastAsia" w:hAnsi="Arial" w:cs="Arial"/>
              <w:lang w:eastAsia="en-US"/>
            </w:rPr>
            <w:t>_nameofrespondent_RESPONSEFORM</w:t>
          </w:r>
          <w:proofErr w:type="spellEnd"/>
          <w:r w:rsidRPr="3F0C4E82">
            <w:rPr>
              <w:rFonts w:ascii="Arial" w:eastAsiaTheme="minorEastAsia" w:hAnsi="Arial" w:cs="Arial"/>
              <w:lang w:eastAsia="en-US"/>
            </w:rPr>
            <w:t xml:space="preserve">. For example, for a respondent named ABCD, the response form would be entitled </w:t>
          </w:r>
          <w:proofErr w:type="spellStart"/>
          <w:r w:rsidRPr="3F0C4E82">
            <w:rPr>
              <w:rFonts w:ascii="Arial" w:eastAsiaTheme="minorEastAsia" w:hAnsi="Arial" w:cs="Arial"/>
              <w:lang w:eastAsia="en-US"/>
            </w:rPr>
            <w:t>ESMA_</w:t>
          </w:r>
          <w:r w:rsidR="76774DDD" w:rsidRPr="3F0C4E82">
            <w:rPr>
              <w:rFonts w:ascii="Arial" w:eastAsiaTheme="minorEastAsia" w:hAnsi="Arial" w:cs="Arial"/>
              <w:lang w:eastAsia="en-US"/>
            </w:rPr>
            <w:t>CCPinvestmentpolicy</w:t>
          </w:r>
          <w:r w:rsidRPr="3F0C4E82">
            <w:rPr>
              <w:rFonts w:ascii="Arial" w:eastAsiaTheme="minorEastAsia" w:hAnsi="Arial" w:cs="Arial"/>
              <w:lang w:eastAsia="en-US"/>
            </w:rPr>
            <w:t>_ABCD_RESPONSEFORM</w:t>
          </w:r>
          <w:proofErr w:type="spellEnd"/>
          <w:r w:rsidRPr="3F0C4E82">
            <w:rPr>
              <w:rFonts w:ascii="Arial" w:eastAsiaTheme="minorEastAsia" w:hAnsi="Arial" w:cs="Arial"/>
              <w:lang w:eastAsia="en-US"/>
            </w:rPr>
            <w:t>.</w:t>
          </w:r>
        </w:p>
        <w:p w14:paraId="11889093" w14:textId="586031A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7"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Wingdings" w:eastAsiaTheme="minorEastAsia" w:hAnsi="Wingdings" w:cs="Wingdings"/>
              <w:lang w:eastAsia="en-US"/>
            </w:rPr>
            <w:t></w:t>
          </w:r>
          <w:r w:rsidRPr="00E3664A">
            <w:rPr>
              <w:rFonts w:ascii="Arial" w:eastAsiaTheme="minorEastAsia" w:hAnsi="Arial" w:cs="Arial"/>
              <w:szCs w:val="20"/>
              <w:lang w:eastAsia="en-US"/>
            </w:rPr>
            <w:t xml:space="preserve"> “Consultation </w:t>
          </w:r>
          <w:r w:rsidRPr="00812ADD">
            <w:rPr>
              <w:rFonts w:ascii="Arial" w:hAnsi="Arial" w:cs="Arial"/>
              <w:lang w:eastAsia="en-US"/>
            </w:rPr>
            <w:t xml:space="preserve">on </w:t>
          </w:r>
          <w:r w:rsidR="00344479" w:rsidRPr="00344479">
            <w:rPr>
              <w:rFonts w:ascii="Arial" w:hAnsi="Arial" w:cs="Arial"/>
              <w:lang w:eastAsia="en-US"/>
            </w:rPr>
            <w:t>financial instruments eligible for investments by CCPs, including EU Money Market Funds</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8"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9"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ED5513">
        <w:tc>
          <w:tcPr>
            <w:tcW w:w="3929" w:type="dxa"/>
            <w:shd w:val="clear" w:color="auto" w:fill="auto"/>
          </w:tcPr>
          <w:p w14:paraId="1512B1A0" w14:textId="77777777" w:rsidR="002427D5" w:rsidRPr="00E3664A" w:rsidRDefault="002427D5" w:rsidP="00ED5513">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78BBC6E2" w:rsidR="002427D5" w:rsidRPr="00E3664A" w:rsidRDefault="00967A07" w:rsidP="00ED5513">
                <w:pPr>
                  <w:rPr>
                    <w:rFonts w:ascii="Arial" w:hAnsi="Arial" w:cs="Arial"/>
                    <w:color w:val="808080"/>
                    <w:sz w:val="20"/>
                    <w:lang w:eastAsia="de-DE"/>
                  </w:rPr>
                </w:pPr>
                <w:r>
                  <w:rPr>
                    <w:rFonts w:ascii="Arial" w:hAnsi="Arial" w:cs="Arial"/>
                    <w:color w:val="808080"/>
                    <w:sz w:val="20"/>
                    <w:lang w:eastAsia="de-DE"/>
                  </w:rPr>
                  <w:t>International Swaps and Derivatives Association</w:t>
                </w:r>
              </w:p>
            </w:tc>
          </w:sdtContent>
        </w:sdt>
      </w:tr>
      <w:tr w:rsidR="002427D5" w:rsidRPr="00E3664A" w14:paraId="18CDC0C0" w14:textId="77777777" w:rsidTr="00ED5513">
        <w:tc>
          <w:tcPr>
            <w:tcW w:w="3929" w:type="dxa"/>
            <w:shd w:val="clear" w:color="auto" w:fill="auto"/>
          </w:tcPr>
          <w:p w14:paraId="1640145C" w14:textId="77777777" w:rsidR="002427D5" w:rsidRPr="00E3664A" w:rsidRDefault="002427D5" w:rsidP="00ED5513">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12DE4A0E" w:rsidR="002427D5" w:rsidRPr="00E3664A" w:rsidRDefault="00C75088" w:rsidP="00ED5513">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67A07">
                  <w:rPr>
                    <w:rFonts w:ascii="Arial" w:hAnsi="Arial" w:cs="Arial"/>
                    <w:sz w:val="20"/>
                    <w:lang w:eastAsia="de-DE"/>
                  </w:rPr>
                  <w:t>Banking sector</w:t>
                </w:r>
              </w:sdtContent>
            </w:sdt>
          </w:p>
        </w:tc>
      </w:tr>
      <w:tr w:rsidR="002427D5" w:rsidRPr="00E3664A" w14:paraId="639EA6F7" w14:textId="77777777" w:rsidTr="00ED5513">
        <w:tc>
          <w:tcPr>
            <w:tcW w:w="3929" w:type="dxa"/>
            <w:shd w:val="clear" w:color="auto" w:fill="auto"/>
          </w:tcPr>
          <w:p w14:paraId="2868473D" w14:textId="77777777" w:rsidR="002427D5" w:rsidRPr="00E3664A" w:rsidRDefault="002427D5" w:rsidP="00ED5513">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381BF8F" w14:textId="48F10E13" w:rsidR="002427D5" w:rsidRPr="00E3664A" w:rsidRDefault="00FE0D49" w:rsidP="00ED5513">
                <w:pPr>
                  <w:rPr>
                    <w:rFonts w:ascii="Arial" w:hAnsi="Arial" w:cs="Arial"/>
                    <w:sz w:val="20"/>
                    <w:lang w:eastAsia="de-DE"/>
                  </w:rPr>
                </w:pPr>
                <w:r>
                  <w:rPr>
                    <w:rFonts w:ascii="MS Gothic" w:eastAsia="MS Gothic" w:hAnsi="MS Gothic" w:cs="Arial" w:hint="eastAsia"/>
                    <w:sz w:val="20"/>
                    <w:lang w:eastAsia="de-DE"/>
                  </w:rPr>
                  <w:t>☒</w:t>
                </w:r>
              </w:p>
            </w:tc>
          </w:sdtContent>
        </w:sdt>
      </w:tr>
      <w:tr w:rsidR="002427D5" w:rsidRPr="00E3664A" w14:paraId="51FE6734" w14:textId="77777777" w:rsidTr="00ED5513">
        <w:tc>
          <w:tcPr>
            <w:tcW w:w="3929" w:type="dxa"/>
            <w:shd w:val="clear" w:color="auto" w:fill="auto"/>
          </w:tcPr>
          <w:p w14:paraId="58783FA6" w14:textId="77777777" w:rsidR="002427D5" w:rsidRPr="00E3664A" w:rsidRDefault="002427D5" w:rsidP="00ED5513">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31196862" w:rsidR="002427D5" w:rsidRPr="00E3664A" w:rsidRDefault="00967A07" w:rsidP="00ED5513">
                <w:pPr>
                  <w:rPr>
                    <w:rFonts w:ascii="Arial" w:hAnsi="Arial" w:cs="Arial"/>
                    <w:sz w:val="20"/>
                    <w:lang w:eastAsia="de-DE"/>
                  </w:rPr>
                </w:pPr>
                <w:r>
                  <w:rPr>
                    <w:rFonts w:ascii="Arial" w:hAnsi="Arial" w:cs="Arial"/>
                    <w:sz w:val="20"/>
                    <w:lang w:eastAsia="de-DE"/>
                  </w:rPr>
                  <w:t>International</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4B66CCEF" w14:textId="5D78CC72" w:rsidR="002427D5" w:rsidRPr="00E3664A" w:rsidRDefault="002427D5" w:rsidP="08EC68F4">
      <w:pPr>
        <w:spacing w:after="250" w:line="276" w:lineRule="auto"/>
        <w:jc w:val="both"/>
        <w:rPr>
          <w:rFonts w:ascii="Arial" w:eastAsiaTheme="minorEastAsia" w:hAnsi="Arial" w:cs="Arial"/>
        </w:rPr>
      </w:pPr>
      <w:r w:rsidRPr="08EC68F4">
        <w:rPr>
          <w:rFonts w:ascii="Arial" w:eastAsiaTheme="minorEastAsia" w:hAnsi="Arial" w:cs="Arial"/>
        </w:rPr>
        <w:t>&lt;ESMA_COMMENT_</w:t>
      </w:r>
      <w:r w:rsidR="64166549" w:rsidRPr="08EC68F4">
        <w:rPr>
          <w:rFonts w:ascii="Arial" w:eastAsiaTheme="minorEastAsia" w:hAnsi="Arial" w:cs="Arial"/>
        </w:rPr>
        <w:t>CCP investment policy</w:t>
      </w:r>
      <w:r w:rsidRPr="08EC68F4">
        <w:rPr>
          <w:rFonts w:ascii="Arial" w:eastAsiaTheme="minorEastAsia" w:hAnsi="Arial" w:cs="Arial"/>
        </w:rPr>
        <w:t>_00&gt;</w:t>
      </w:r>
    </w:p>
    <w:p w14:paraId="057D42FC" w14:textId="4EE4D260" w:rsidR="001D6E3F" w:rsidRPr="00D12298" w:rsidRDefault="001D6E3F" w:rsidP="001D6E3F">
      <w:pPr>
        <w:spacing w:after="250" w:line="276" w:lineRule="auto"/>
        <w:ind w:left="720"/>
        <w:jc w:val="both"/>
        <w:rPr>
          <w:rFonts w:ascii="Arial" w:eastAsiaTheme="minorEastAsia" w:hAnsi="Arial" w:cs="Arial"/>
          <w:szCs w:val="20"/>
        </w:rPr>
      </w:pPr>
      <w:r w:rsidRPr="00D12298">
        <w:rPr>
          <w:rFonts w:ascii="Arial" w:eastAsiaTheme="minorEastAsia" w:hAnsi="Arial" w:cs="Arial"/>
          <w:szCs w:val="20"/>
        </w:rPr>
        <w:t xml:space="preserve">The International Swaps and Derivatives Association (ISDA) represent the largest number of global and national participants in clearing, banking and financial markets. </w:t>
      </w:r>
      <w:r w:rsidR="00BA3030">
        <w:rPr>
          <w:rFonts w:ascii="Arial" w:eastAsiaTheme="minorEastAsia" w:hAnsi="Arial" w:cs="Arial"/>
          <w:szCs w:val="20"/>
        </w:rPr>
        <w:t xml:space="preserve">ISDA </w:t>
      </w:r>
      <w:r w:rsidRPr="00D12298">
        <w:rPr>
          <w:rFonts w:ascii="Arial" w:eastAsiaTheme="minorEastAsia" w:hAnsi="Arial" w:cs="Arial"/>
          <w:szCs w:val="20"/>
        </w:rPr>
        <w:t>appreciate</w:t>
      </w:r>
      <w:r w:rsidR="00BA3030">
        <w:rPr>
          <w:rFonts w:ascii="Arial" w:eastAsiaTheme="minorEastAsia" w:hAnsi="Arial" w:cs="Arial"/>
          <w:szCs w:val="20"/>
        </w:rPr>
        <w:t>s</w:t>
      </w:r>
      <w:r w:rsidRPr="00D12298">
        <w:rPr>
          <w:rFonts w:ascii="Arial" w:eastAsiaTheme="minorEastAsia" w:hAnsi="Arial" w:cs="Arial"/>
          <w:szCs w:val="20"/>
        </w:rPr>
        <w:t xml:space="preserve"> this opportunity to comment on this consultation.</w:t>
      </w:r>
    </w:p>
    <w:p w14:paraId="4E5115A7" w14:textId="5E4C77E8" w:rsidR="001D6E3F" w:rsidRDefault="00E404CB" w:rsidP="00EC2AB5">
      <w:pPr>
        <w:spacing w:after="250" w:line="276" w:lineRule="auto"/>
        <w:ind w:left="720"/>
        <w:jc w:val="both"/>
        <w:rPr>
          <w:rFonts w:ascii="Arial" w:eastAsiaTheme="minorEastAsia" w:hAnsi="Arial" w:cs="Arial"/>
          <w:szCs w:val="20"/>
        </w:rPr>
      </w:pPr>
      <w:r>
        <w:rPr>
          <w:rFonts w:ascii="Arial" w:eastAsiaTheme="minorEastAsia" w:hAnsi="Arial" w:cs="Arial"/>
          <w:szCs w:val="20"/>
        </w:rPr>
        <w:t xml:space="preserve">We welcome the report </w:t>
      </w:r>
      <w:r w:rsidR="002A3670" w:rsidRPr="002A3670">
        <w:rPr>
          <w:rFonts w:ascii="Arial" w:eastAsiaTheme="minorEastAsia" w:hAnsi="Arial" w:cs="Arial"/>
          <w:szCs w:val="20"/>
        </w:rPr>
        <w:t>on highly liquid financial instruments with regards to the investment policy of central counterparties</w:t>
      </w:r>
      <w:r w:rsidR="002A3670">
        <w:rPr>
          <w:rFonts w:ascii="Arial" w:eastAsiaTheme="minorEastAsia" w:hAnsi="Arial" w:cs="Arial"/>
          <w:szCs w:val="20"/>
        </w:rPr>
        <w:t xml:space="preserve"> (the Report)</w:t>
      </w:r>
      <w:r w:rsidR="00504973">
        <w:rPr>
          <w:rFonts w:ascii="Arial" w:eastAsiaTheme="minorEastAsia" w:hAnsi="Arial" w:cs="Arial"/>
          <w:szCs w:val="20"/>
        </w:rPr>
        <w:t xml:space="preserve"> and the analysis performed by ESMA.</w:t>
      </w:r>
    </w:p>
    <w:p w14:paraId="36A0DEE4" w14:textId="509F98D0" w:rsidR="00EC2AB5" w:rsidRDefault="00EC2AB5" w:rsidP="00EC2AB5">
      <w:pPr>
        <w:spacing w:after="250" w:line="276" w:lineRule="auto"/>
        <w:ind w:left="720"/>
        <w:jc w:val="both"/>
        <w:rPr>
          <w:rFonts w:ascii="Arial" w:eastAsiaTheme="minorEastAsia" w:hAnsi="Arial" w:cs="Arial"/>
          <w:szCs w:val="20"/>
        </w:rPr>
      </w:pPr>
      <w:r>
        <w:rPr>
          <w:rFonts w:ascii="Arial" w:eastAsiaTheme="minorEastAsia" w:hAnsi="Arial" w:cs="Arial"/>
          <w:szCs w:val="20"/>
        </w:rPr>
        <w:t xml:space="preserve">The report shows that other </w:t>
      </w:r>
      <w:r w:rsidR="00995EEA">
        <w:rPr>
          <w:rFonts w:ascii="Arial" w:eastAsiaTheme="minorEastAsia" w:hAnsi="Arial" w:cs="Arial"/>
          <w:szCs w:val="20"/>
        </w:rPr>
        <w:t>jurisdictions</w:t>
      </w:r>
      <w:r>
        <w:rPr>
          <w:rFonts w:ascii="Arial" w:eastAsiaTheme="minorEastAsia" w:hAnsi="Arial" w:cs="Arial"/>
          <w:szCs w:val="20"/>
        </w:rPr>
        <w:t xml:space="preserve"> </w:t>
      </w:r>
      <w:r w:rsidR="00561557">
        <w:rPr>
          <w:rFonts w:ascii="Arial" w:eastAsiaTheme="minorEastAsia" w:hAnsi="Arial" w:cs="Arial"/>
          <w:szCs w:val="20"/>
        </w:rPr>
        <w:t xml:space="preserve">allow CCPs a wider list of investments, or are more principle based than EU regulation. While we believe that risk is the </w:t>
      </w:r>
      <w:r w:rsidR="00995EEA">
        <w:rPr>
          <w:rFonts w:ascii="Arial" w:eastAsiaTheme="minorEastAsia" w:hAnsi="Arial" w:cs="Arial"/>
          <w:szCs w:val="20"/>
        </w:rPr>
        <w:t>paramount</w:t>
      </w:r>
      <w:r w:rsidR="00561557">
        <w:rPr>
          <w:rFonts w:ascii="Arial" w:eastAsiaTheme="minorEastAsia" w:hAnsi="Arial" w:cs="Arial"/>
          <w:szCs w:val="20"/>
        </w:rPr>
        <w:t xml:space="preserve"> </w:t>
      </w:r>
      <w:r w:rsidR="00995EEA">
        <w:rPr>
          <w:rFonts w:ascii="Arial" w:eastAsiaTheme="minorEastAsia" w:hAnsi="Arial" w:cs="Arial"/>
          <w:szCs w:val="20"/>
        </w:rPr>
        <w:t>consideration</w:t>
      </w:r>
      <w:r w:rsidR="00561557">
        <w:rPr>
          <w:rFonts w:ascii="Arial" w:eastAsiaTheme="minorEastAsia" w:hAnsi="Arial" w:cs="Arial"/>
          <w:szCs w:val="20"/>
        </w:rPr>
        <w:t xml:space="preserve"> i</w:t>
      </w:r>
      <w:r w:rsidR="00EC1581">
        <w:rPr>
          <w:rFonts w:ascii="Arial" w:eastAsiaTheme="minorEastAsia" w:hAnsi="Arial" w:cs="Arial"/>
          <w:szCs w:val="20"/>
        </w:rPr>
        <w:t>n relation to CCP investment policies, we believe that regulation does not need to be overly prescriptive and could be more principle based</w:t>
      </w:r>
      <w:r w:rsidR="00D34AD1">
        <w:rPr>
          <w:rFonts w:ascii="Arial" w:eastAsiaTheme="minorEastAsia" w:hAnsi="Arial" w:cs="Arial"/>
          <w:szCs w:val="20"/>
        </w:rPr>
        <w:t xml:space="preserve">. We agree that any benefits of a wider range of CCP investments need to be commensurate with the risk of these </w:t>
      </w:r>
      <w:r w:rsidR="004D38F7">
        <w:rPr>
          <w:rFonts w:ascii="Arial" w:eastAsiaTheme="minorEastAsia" w:hAnsi="Arial" w:cs="Arial"/>
          <w:szCs w:val="20"/>
        </w:rPr>
        <w:t>investments but</w:t>
      </w:r>
      <w:r w:rsidR="00D34AD1">
        <w:rPr>
          <w:rFonts w:ascii="Arial" w:eastAsiaTheme="minorEastAsia" w:hAnsi="Arial" w:cs="Arial"/>
          <w:szCs w:val="20"/>
        </w:rPr>
        <w:t xml:space="preserve"> </w:t>
      </w:r>
      <w:r w:rsidR="00A7396B">
        <w:rPr>
          <w:rFonts w:ascii="Arial" w:eastAsiaTheme="minorEastAsia" w:hAnsi="Arial" w:cs="Arial"/>
          <w:szCs w:val="20"/>
        </w:rPr>
        <w:t>propose</w:t>
      </w:r>
      <w:r w:rsidR="00D34AD1">
        <w:rPr>
          <w:rFonts w:ascii="Arial" w:eastAsiaTheme="minorEastAsia" w:hAnsi="Arial" w:cs="Arial"/>
          <w:szCs w:val="20"/>
        </w:rPr>
        <w:t xml:space="preserve"> to leave the CCP and its governance forums including supervisors </w:t>
      </w:r>
      <w:r w:rsidR="00A7396B">
        <w:rPr>
          <w:rFonts w:ascii="Arial" w:eastAsiaTheme="minorEastAsia" w:hAnsi="Arial" w:cs="Arial"/>
          <w:szCs w:val="20"/>
        </w:rPr>
        <w:t>more leeway to determine where the best trade-off between risk and benefits lies for its particular circumstances.</w:t>
      </w:r>
    </w:p>
    <w:p w14:paraId="4B027616" w14:textId="73C7AC18" w:rsidR="00A7396B" w:rsidRDefault="009630B6" w:rsidP="00EC2AB5">
      <w:pPr>
        <w:spacing w:after="250" w:line="276" w:lineRule="auto"/>
        <w:ind w:left="720"/>
        <w:jc w:val="both"/>
        <w:rPr>
          <w:rFonts w:ascii="Arial" w:eastAsiaTheme="minorEastAsia" w:hAnsi="Arial" w:cs="Arial"/>
          <w:szCs w:val="20"/>
        </w:rPr>
      </w:pPr>
      <w:r>
        <w:rPr>
          <w:rFonts w:ascii="Arial" w:eastAsiaTheme="minorEastAsia" w:hAnsi="Arial" w:cs="Arial"/>
          <w:szCs w:val="20"/>
        </w:rPr>
        <w:t>We</w:t>
      </w:r>
      <w:r w:rsidR="00284FC4">
        <w:rPr>
          <w:rFonts w:ascii="Arial" w:eastAsiaTheme="minorEastAsia" w:hAnsi="Arial" w:cs="Arial"/>
          <w:szCs w:val="20"/>
        </w:rPr>
        <w:t xml:space="preserve"> agree with ESMA’s proposals to extend the list of allowed investments, especially </w:t>
      </w:r>
      <w:r w:rsidR="00CB7B6D">
        <w:rPr>
          <w:rFonts w:ascii="Arial" w:eastAsiaTheme="minorEastAsia" w:hAnsi="Arial" w:cs="Arial"/>
          <w:szCs w:val="20"/>
        </w:rPr>
        <w:t xml:space="preserve">explicitly </w:t>
      </w:r>
      <w:r w:rsidR="00284FC4">
        <w:rPr>
          <w:rFonts w:ascii="Arial" w:eastAsiaTheme="minorEastAsia" w:hAnsi="Arial" w:cs="Arial"/>
          <w:szCs w:val="20"/>
        </w:rPr>
        <w:t xml:space="preserve">including </w:t>
      </w:r>
      <w:r w:rsidR="00CB7B6D">
        <w:rPr>
          <w:rFonts w:ascii="Arial" w:eastAsiaTheme="minorEastAsia" w:hAnsi="Arial" w:cs="Arial"/>
          <w:szCs w:val="20"/>
        </w:rPr>
        <w:t xml:space="preserve">bonds issued by </w:t>
      </w:r>
      <w:r w:rsidR="00284FC4">
        <w:rPr>
          <w:rFonts w:ascii="Arial" w:eastAsiaTheme="minorEastAsia" w:hAnsi="Arial" w:cs="Arial"/>
          <w:szCs w:val="20"/>
        </w:rPr>
        <w:t>the European Union.</w:t>
      </w:r>
    </w:p>
    <w:p w14:paraId="07E7EF87" w14:textId="29458A10" w:rsidR="00711737" w:rsidRPr="00711737" w:rsidRDefault="00BF2CBF" w:rsidP="0043456C">
      <w:pPr>
        <w:spacing w:after="250" w:line="276" w:lineRule="auto"/>
        <w:ind w:left="720"/>
        <w:jc w:val="both"/>
        <w:rPr>
          <w:rFonts w:ascii="Arial" w:eastAsiaTheme="minorEastAsia" w:hAnsi="Arial" w:cs="Arial"/>
          <w:szCs w:val="20"/>
        </w:rPr>
      </w:pPr>
      <w:r>
        <w:rPr>
          <w:rFonts w:ascii="Arial" w:eastAsiaTheme="minorEastAsia" w:hAnsi="Arial" w:cs="Arial"/>
          <w:szCs w:val="20"/>
        </w:rPr>
        <w:t xml:space="preserve">Discussions about money market funds (MMF) are ongoing. We however note </w:t>
      </w:r>
      <w:r w:rsidR="002518F1">
        <w:rPr>
          <w:rFonts w:ascii="Arial" w:eastAsiaTheme="minorEastAsia" w:hAnsi="Arial" w:cs="Arial"/>
          <w:szCs w:val="20"/>
        </w:rPr>
        <w:t xml:space="preserve">that the </w:t>
      </w:r>
      <w:r w:rsidR="00400CF4" w:rsidRPr="00400CF4">
        <w:rPr>
          <w:rFonts w:ascii="Arial" w:eastAsiaTheme="minorEastAsia" w:hAnsi="Arial" w:cs="Arial"/>
          <w:szCs w:val="20"/>
        </w:rPr>
        <w:t>most conservative MMFs, public debt constant net asset value (PDCNAV) funds</w:t>
      </w:r>
      <w:r w:rsidR="002518F1">
        <w:rPr>
          <w:rFonts w:ascii="Arial" w:eastAsiaTheme="minorEastAsia" w:hAnsi="Arial" w:cs="Arial"/>
          <w:szCs w:val="20"/>
        </w:rPr>
        <w:t>,</w:t>
      </w:r>
      <w:r w:rsidR="00400CF4" w:rsidRPr="00400CF4">
        <w:rPr>
          <w:rFonts w:ascii="Arial" w:eastAsiaTheme="minorEastAsia" w:hAnsi="Arial" w:cs="Arial"/>
          <w:szCs w:val="20"/>
        </w:rPr>
        <w:t xml:space="preserve"> experienced high inflows </w:t>
      </w:r>
      <w:r w:rsidR="0043456C">
        <w:rPr>
          <w:rFonts w:ascii="Arial" w:eastAsiaTheme="minorEastAsia" w:hAnsi="Arial" w:cs="Arial"/>
          <w:szCs w:val="20"/>
        </w:rPr>
        <w:t xml:space="preserve">and </w:t>
      </w:r>
      <w:r w:rsidR="00400CF4" w:rsidRPr="00400CF4">
        <w:rPr>
          <w:rFonts w:ascii="Arial" w:eastAsiaTheme="minorEastAsia" w:hAnsi="Arial" w:cs="Arial"/>
          <w:szCs w:val="20"/>
        </w:rPr>
        <w:t>represented a safe haven in times of market turmoil</w:t>
      </w:r>
      <w:r w:rsidR="0043456C">
        <w:rPr>
          <w:rFonts w:ascii="Arial" w:eastAsiaTheme="minorEastAsia" w:hAnsi="Arial" w:cs="Arial"/>
          <w:szCs w:val="20"/>
        </w:rPr>
        <w:t xml:space="preserve">. We </w:t>
      </w:r>
      <w:r w:rsidR="00711737" w:rsidRPr="00711737">
        <w:rPr>
          <w:rFonts w:ascii="Arial" w:eastAsiaTheme="minorEastAsia" w:hAnsi="Arial" w:cs="Arial"/>
          <w:szCs w:val="20"/>
        </w:rPr>
        <w:t xml:space="preserve">believe there should be no reason to delay including </w:t>
      </w:r>
      <w:r w:rsidR="00EC0598" w:rsidRPr="00EC0598">
        <w:rPr>
          <w:rFonts w:ascii="Arial" w:eastAsiaTheme="minorEastAsia" w:hAnsi="Arial" w:cs="Arial"/>
          <w:szCs w:val="20"/>
        </w:rPr>
        <w:t>a specific sub-set of MMFs which are of the same credit quality and as highly liquid as other instruments eligible for CCP investments</w:t>
      </w:r>
      <w:r w:rsidR="00EC0598">
        <w:rPr>
          <w:rFonts w:ascii="Arial" w:eastAsiaTheme="minorEastAsia" w:hAnsi="Arial" w:cs="Arial"/>
          <w:szCs w:val="20"/>
        </w:rPr>
        <w:t xml:space="preserve">, in particular </w:t>
      </w:r>
      <w:r w:rsidR="00711737" w:rsidRPr="00711737">
        <w:rPr>
          <w:rFonts w:ascii="Arial" w:eastAsiaTheme="minorEastAsia" w:hAnsi="Arial" w:cs="Arial"/>
          <w:szCs w:val="20"/>
        </w:rPr>
        <w:t>PDCNAV MMFs</w:t>
      </w:r>
      <w:r w:rsidR="00AC6F39">
        <w:rPr>
          <w:rFonts w:ascii="Arial" w:eastAsiaTheme="minorEastAsia" w:hAnsi="Arial" w:cs="Arial"/>
          <w:szCs w:val="20"/>
        </w:rPr>
        <w:t xml:space="preserve">, </w:t>
      </w:r>
      <w:r w:rsidR="00711737" w:rsidRPr="00711737">
        <w:rPr>
          <w:rFonts w:ascii="Arial" w:eastAsiaTheme="minorEastAsia" w:hAnsi="Arial" w:cs="Arial"/>
          <w:szCs w:val="20"/>
        </w:rPr>
        <w:t>as eligible instruments for investment by EU CCPs.</w:t>
      </w:r>
    </w:p>
    <w:p w14:paraId="5FC3FDB6" w14:textId="77777777" w:rsidR="001D6E3F" w:rsidRPr="0065338B" w:rsidRDefault="001D6E3F" w:rsidP="001D6E3F">
      <w:pPr>
        <w:spacing w:after="250" w:line="276" w:lineRule="auto"/>
        <w:ind w:left="720"/>
        <w:jc w:val="both"/>
        <w:rPr>
          <w:rFonts w:ascii="Arial" w:eastAsiaTheme="minorEastAsia" w:hAnsi="Arial" w:cs="Arial"/>
          <w:szCs w:val="20"/>
        </w:rPr>
      </w:pPr>
    </w:p>
    <w:p w14:paraId="7CE90774" w14:textId="77777777" w:rsidR="001D6E3F" w:rsidRPr="0065338B" w:rsidRDefault="001D6E3F" w:rsidP="001D6E3F">
      <w:pPr>
        <w:spacing w:after="250" w:line="276" w:lineRule="auto"/>
        <w:ind w:left="720"/>
        <w:jc w:val="both"/>
        <w:rPr>
          <w:rFonts w:ascii="Arial" w:eastAsiaTheme="minorEastAsia" w:hAnsi="Arial" w:cs="Arial"/>
          <w:b/>
          <w:bCs/>
          <w:szCs w:val="20"/>
        </w:rPr>
      </w:pPr>
      <w:r w:rsidRPr="0065338B">
        <w:rPr>
          <w:rFonts w:ascii="Arial" w:eastAsiaTheme="minorEastAsia" w:hAnsi="Arial" w:cs="Arial"/>
          <w:b/>
          <w:bCs/>
          <w:szCs w:val="20"/>
        </w:rPr>
        <w:lastRenderedPageBreak/>
        <w:t>About ISDA</w:t>
      </w:r>
    </w:p>
    <w:p w14:paraId="12CFF344" w14:textId="77777777" w:rsidR="001D6E3F" w:rsidRPr="00246002" w:rsidRDefault="001D6E3F" w:rsidP="001D6E3F">
      <w:pPr>
        <w:spacing w:after="250" w:line="276" w:lineRule="auto"/>
        <w:ind w:left="720"/>
        <w:jc w:val="both"/>
        <w:rPr>
          <w:rFonts w:ascii="Arial" w:eastAsiaTheme="minorEastAsia" w:hAnsi="Arial" w:cs="Arial"/>
          <w:szCs w:val="20"/>
        </w:rPr>
      </w:pPr>
      <w:r w:rsidRPr="00246002">
        <w:rPr>
          <w:rFonts w:ascii="Arial" w:eastAsiaTheme="minorEastAsia" w:hAnsi="Arial" w:cs="Arial"/>
          <w:szCs w:val="20"/>
        </w:rPr>
        <w:t>Since 1985, ISDA has worked to make the global derivatives markets safer and more efficient. Today, ISDA has over 960 member institutions from 78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www.isda.org. Follow us on Twitter, LinkedIn, Facebook and YouTube.</w:t>
      </w:r>
    </w:p>
    <w:p w14:paraId="6BE684B0" w14:textId="77777777" w:rsidR="001D6E3F" w:rsidRPr="00C85C8B" w:rsidRDefault="001D6E3F" w:rsidP="002427D5">
      <w:pPr>
        <w:spacing w:after="250" w:line="276" w:lineRule="auto"/>
        <w:jc w:val="both"/>
        <w:rPr>
          <w:rFonts w:ascii="Arial" w:eastAsiaTheme="minorEastAsia" w:hAnsi="Arial" w:cs="Arial"/>
          <w:szCs w:val="20"/>
        </w:rPr>
      </w:pPr>
    </w:p>
    <w:p w14:paraId="01063D92" w14:textId="4B60AB03" w:rsidR="002427D5" w:rsidRPr="00E3664A" w:rsidRDefault="002427D5" w:rsidP="08EC68F4">
      <w:pPr>
        <w:spacing w:after="250" w:line="276" w:lineRule="auto"/>
        <w:jc w:val="both"/>
        <w:rPr>
          <w:rFonts w:ascii="Arial" w:eastAsiaTheme="minorEastAsia" w:hAnsi="Arial" w:cs="Arial"/>
        </w:rPr>
      </w:pPr>
      <w:r w:rsidRPr="08EC68F4">
        <w:rPr>
          <w:rFonts w:ascii="Arial" w:eastAsiaTheme="minorEastAsia" w:hAnsi="Arial" w:cs="Arial"/>
        </w:rPr>
        <w:t>&lt;ESMA_COMMENT_</w:t>
      </w:r>
      <w:r w:rsidR="1E8354FF" w:rsidRPr="08EC68F4">
        <w:rPr>
          <w:rFonts w:ascii="Arial" w:eastAsiaTheme="minorEastAsia" w:hAnsi="Arial" w:cs="Arial"/>
        </w:rPr>
        <w:t xml:space="preserve"> CCP investment policy</w:t>
      </w:r>
      <w:r w:rsidRPr="08EC68F4">
        <w:rPr>
          <w:rFonts w:ascii="Arial" w:eastAsiaTheme="minorEastAsia" w:hAnsi="Arial" w:cs="Arial"/>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0B952358" w14:textId="77777777" w:rsidR="002427D5" w:rsidRPr="00AA60F5" w:rsidRDefault="002427D5" w:rsidP="002427D5">
      <w:pPr>
        <w:spacing w:line="276" w:lineRule="auto"/>
        <w:rPr>
          <w:rFonts w:ascii="Arial" w:hAnsi="Arial" w:cs="Arial"/>
          <w:b/>
          <w:sz w:val="28"/>
          <w:szCs w:val="28"/>
        </w:rPr>
      </w:pPr>
      <w:r w:rsidRPr="00AA60F5">
        <w:rPr>
          <w:rFonts w:ascii="Arial" w:hAnsi="Arial" w:cs="Arial"/>
          <w:b/>
          <w:sz w:val="28"/>
          <w:szCs w:val="28"/>
        </w:rPr>
        <w:t xml:space="preserve">Questions </w:t>
      </w:r>
    </w:p>
    <w:p w14:paraId="1A0A45E4" w14:textId="2BBB6742" w:rsidR="002427D5" w:rsidRPr="00AA60F5" w:rsidRDefault="002427D5" w:rsidP="002427D5">
      <w:pPr>
        <w:spacing w:line="276" w:lineRule="auto"/>
        <w:rPr>
          <w:rFonts w:ascii="Arial" w:hAnsi="Arial" w:cs="Arial"/>
          <w:b/>
          <w:sz w:val="24"/>
          <w:szCs w:val="24"/>
        </w:rPr>
      </w:pPr>
    </w:p>
    <w:p w14:paraId="17280749" w14:textId="4EE8EC3C"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Does the above section describe accurately the requirements on CCP investments outside the EU? Are there other jurisdictions that ESMA should consider to inform its analysis?</w:t>
      </w:r>
    </w:p>
    <w:p w14:paraId="75AC2B9F" w14:textId="77777777" w:rsidR="002427D5" w:rsidRPr="003B0BF2" w:rsidRDefault="002427D5" w:rsidP="00AA60F5">
      <w:pPr>
        <w:pStyle w:val="Questionstyle"/>
        <w:numPr>
          <w:ilvl w:val="0"/>
          <w:numId w:val="0"/>
        </w:numPr>
        <w:rPr>
          <w:rFonts w:ascii="Arial" w:hAnsi="Arial" w:cs="Arial"/>
          <w:sz w:val="24"/>
          <w:szCs w:val="24"/>
        </w:rPr>
      </w:pPr>
    </w:p>
    <w:p w14:paraId="69126420" w14:textId="0DE77413" w:rsidR="002427D5" w:rsidRPr="003B0BF2" w:rsidRDefault="002427D5" w:rsidP="00AA60F5">
      <w:pPr>
        <w:pStyle w:val="Questionstyle"/>
        <w:numPr>
          <w:ilvl w:val="0"/>
          <w:numId w:val="0"/>
        </w:numPr>
        <w:rPr>
          <w:rFonts w:ascii="Arial" w:hAnsi="Arial" w:cs="Arial"/>
          <w:sz w:val="24"/>
          <w:szCs w:val="24"/>
        </w:rPr>
      </w:pPr>
      <w:r w:rsidRPr="08EC68F4">
        <w:rPr>
          <w:rFonts w:ascii="Arial" w:hAnsi="Arial" w:cs="Arial"/>
          <w:sz w:val="24"/>
          <w:szCs w:val="24"/>
        </w:rPr>
        <w:t>&lt;ESMA_QUESTION_</w:t>
      </w:r>
      <w:r w:rsidR="2F74A411" w:rsidRPr="08EC68F4">
        <w:rPr>
          <w:rFonts w:ascii="Arial" w:hAnsi="Arial" w:cs="Arial"/>
          <w:sz w:val="24"/>
          <w:szCs w:val="24"/>
        </w:rPr>
        <w:t>CCP investment policy</w:t>
      </w:r>
      <w:r w:rsidRPr="08EC68F4">
        <w:rPr>
          <w:rFonts w:ascii="Arial" w:hAnsi="Arial" w:cs="Arial"/>
          <w:sz w:val="24"/>
          <w:szCs w:val="24"/>
        </w:rPr>
        <w:t>_01&gt;</w:t>
      </w:r>
    </w:p>
    <w:p w14:paraId="7E2A0532" w14:textId="249656BE" w:rsidR="009F5B31" w:rsidRDefault="009F5B31" w:rsidP="002427D5">
      <w:pPr>
        <w:rPr>
          <w:rFonts w:ascii="Arial" w:hAnsi="Arial" w:cs="Arial"/>
          <w:sz w:val="24"/>
          <w:szCs w:val="24"/>
        </w:rPr>
      </w:pPr>
      <w:r>
        <w:rPr>
          <w:rFonts w:ascii="Arial" w:hAnsi="Arial" w:cs="Arial"/>
          <w:sz w:val="24"/>
          <w:szCs w:val="24"/>
        </w:rPr>
        <w:t xml:space="preserve">We </w:t>
      </w:r>
      <w:r w:rsidR="00DF52E0">
        <w:rPr>
          <w:rFonts w:ascii="Arial" w:hAnsi="Arial" w:cs="Arial"/>
          <w:sz w:val="24"/>
          <w:szCs w:val="24"/>
        </w:rPr>
        <w:t xml:space="preserve">welcome that ESMA has collected requirements on CCP investment in global </w:t>
      </w:r>
      <w:r w:rsidR="002C7A61">
        <w:rPr>
          <w:rFonts w:ascii="Arial" w:hAnsi="Arial" w:cs="Arial"/>
          <w:sz w:val="24"/>
          <w:szCs w:val="24"/>
        </w:rPr>
        <w:t xml:space="preserve">guidelines and other jurisdictions. </w:t>
      </w:r>
      <w:r w:rsidR="00993279">
        <w:rPr>
          <w:rFonts w:ascii="Arial" w:hAnsi="Arial" w:cs="Arial"/>
          <w:sz w:val="24"/>
          <w:szCs w:val="24"/>
        </w:rPr>
        <w:t xml:space="preserve">agree that the section above question 1 </w:t>
      </w:r>
      <w:r w:rsidR="00BC5A75">
        <w:rPr>
          <w:rFonts w:ascii="Arial" w:hAnsi="Arial" w:cs="Arial"/>
          <w:sz w:val="24"/>
          <w:szCs w:val="24"/>
        </w:rPr>
        <w:t xml:space="preserve">overall </w:t>
      </w:r>
      <w:r w:rsidR="00993279" w:rsidRPr="00993279">
        <w:rPr>
          <w:rFonts w:ascii="Arial" w:hAnsi="Arial" w:cs="Arial"/>
          <w:sz w:val="24"/>
          <w:szCs w:val="24"/>
        </w:rPr>
        <w:t>describe</w:t>
      </w:r>
      <w:r w:rsidR="00993279">
        <w:rPr>
          <w:rFonts w:ascii="Arial" w:hAnsi="Arial" w:cs="Arial"/>
          <w:sz w:val="24"/>
          <w:szCs w:val="24"/>
        </w:rPr>
        <w:t>s</w:t>
      </w:r>
      <w:r w:rsidR="00993279" w:rsidRPr="00993279">
        <w:rPr>
          <w:rFonts w:ascii="Arial" w:hAnsi="Arial" w:cs="Arial"/>
          <w:sz w:val="24"/>
          <w:szCs w:val="24"/>
        </w:rPr>
        <w:t xml:space="preserve"> accurately the requirements on CCP investments outside the EU</w:t>
      </w:r>
      <w:r w:rsidR="00BC5A75">
        <w:rPr>
          <w:rFonts w:ascii="Arial" w:hAnsi="Arial" w:cs="Arial"/>
          <w:sz w:val="24"/>
          <w:szCs w:val="24"/>
        </w:rPr>
        <w:t xml:space="preserve">. We don’t think that adding other jurisdiction </w:t>
      </w:r>
      <w:r w:rsidR="000E28F1">
        <w:rPr>
          <w:rFonts w:ascii="Arial" w:hAnsi="Arial" w:cs="Arial"/>
          <w:sz w:val="24"/>
          <w:szCs w:val="24"/>
        </w:rPr>
        <w:t xml:space="preserve">to this analysis </w:t>
      </w:r>
      <w:r w:rsidR="00BC5A75">
        <w:rPr>
          <w:rFonts w:ascii="Arial" w:hAnsi="Arial" w:cs="Arial"/>
          <w:sz w:val="24"/>
          <w:szCs w:val="24"/>
        </w:rPr>
        <w:t xml:space="preserve">will create much additional </w:t>
      </w:r>
      <w:r w:rsidR="000E28F1">
        <w:rPr>
          <w:rFonts w:ascii="Arial" w:hAnsi="Arial" w:cs="Arial"/>
          <w:sz w:val="24"/>
          <w:szCs w:val="24"/>
        </w:rPr>
        <w:t>value.</w:t>
      </w:r>
      <w:r w:rsidR="002D3085">
        <w:rPr>
          <w:rFonts w:ascii="Arial" w:hAnsi="Arial" w:cs="Arial"/>
          <w:sz w:val="24"/>
          <w:szCs w:val="24"/>
        </w:rPr>
        <w:t xml:space="preserve"> </w:t>
      </w:r>
      <w:r w:rsidR="005609E5">
        <w:rPr>
          <w:rFonts w:ascii="Arial" w:hAnsi="Arial" w:cs="Arial"/>
          <w:sz w:val="24"/>
          <w:szCs w:val="24"/>
        </w:rPr>
        <w:t xml:space="preserve">The </w:t>
      </w:r>
      <w:r w:rsidR="00922DA4">
        <w:rPr>
          <w:rFonts w:ascii="Arial" w:hAnsi="Arial" w:cs="Arial"/>
          <w:sz w:val="24"/>
          <w:szCs w:val="24"/>
        </w:rPr>
        <w:t>summary</w:t>
      </w:r>
      <w:r w:rsidR="005609E5">
        <w:rPr>
          <w:rFonts w:ascii="Arial" w:hAnsi="Arial" w:cs="Arial"/>
          <w:sz w:val="24"/>
          <w:szCs w:val="24"/>
        </w:rPr>
        <w:t xml:space="preserve"> shows that many jurisdictions, all deemed equivalent to the EU</w:t>
      </w:r>
      <w:r w:rsidR="00595239">
        <w:rPr>
          <w:rFonts w:ascii="Arial" w:hAnsi="Arial" w:cs="Arial"/>
          <w:sz w:val="24"/>
          <w:szCs w:val="24"/>
        </w:rPr>
        <w:t>,</w:t>
      </w:r>
      <w:r w:rsidR="005609E5">
        <w:rPr>
          <w:rFonts w:ascii="Arial" w:hAnsi="Arial" w:cs="Arial"/>
          <w:sz w:val="24"/>
          <w:szCs w:val="24"/>
        </w:rPr>
        <w:t xml:space="preserve"> already allow the use of MMF for </w:t>
      </w:r>
      <w:r w:rsidR="00922DA4">
        <w:rPr>
          <w:rFonts w:ascii="Arial" w:hAnsi="Arial" w:cs="Arial"/>
          <w:sz w:val="24"/>
          <w:szCs w:val="24"/>
        </w:rPr>
        <w:t>investment</w:t>
      </w:r>
      <w:r w:rsidR="005609E5">
        <w:rPr>
          <w:rFonts w:ascii="Arial" w:hAnsi="Arial" w:cs="Arial"/>
          <w:sz w:val="24"/>
          <w:szCs w:val="24"/>
        </w:rPr>
        <w:t xml:space="preserve"> of </w:t>
      </w:r>
      <w:r w:rsidR="00922DA4">
        <w:rPr>
          <w:rFonts w:ascii="Arial" w:hAnsi="Arial" w:cs="Arial"/>
          <w:sz w:val="24"/>
          <w:szCs w:val="24"/>
        </w:rPr>
        <w:t>cash margin at CCPs.</w:t>
      </w:r>
    </w:p>
    <w:p w14:paraId="43072554" w14:textId="51653065" w:rsidR="002427D5" w:rsidRPr="003B0BF2" w:rsidRDefault="002427D5" w:rsidP="002427D5">
      <w:pPr>
        <w:rPr>
          <w:rFonts w:ascii="Arial" w:hAnsi="Arial" w:cs="Arial"/>
          <w:sz w:val="24"/>
          <w:szCs w:val="24"/>
        </w:rPr>
      </w:pPr>
      <w:r w:rsidRPr="08EC68F4">
        <w:rPr>
          <w:rFonts w:ascii="Arial" w:hAnsi="Arial" w:cs="Arial"/>
          <w:sz w:val="24"/>
          <w:szCs w:val="24"/>
        </w:rPr>
        <w:t>&lt;ESMA_QUESTION_</w:t>
      </w:r>
      <w:r w:rsidR="3B8E2905" w:rsidRPr="08EC68F4">
        <w:rPr>
          <w:rFonts w:ascii="Arial" w:hAnsi="Arial" w:cs="Arial"/>
          <w:sz w:val="24"/>
          <w:szCs w:val="24"/>
        </w:rPr>
        <w:t xml:space="preserve"> CCP investment policy</w:t>
      </w:r>
      <w:r w:rsidRPr="08EC68F4">
        <w:rPr>
          <w:rFonts w:ascii="Arial" w:hAnsi="Arial" w:cs="Arial"/>
          <w:sz w:val="24"/>
          <w:szCs w:val="24"/>
        </w:rPr>
        <w:t>_01&gt;</w:t>
      </w:r>
    </w:p>
    <w:p w14:paraId="042FD42C" w14:textId="48463F3C" w:rsidR="002427D5" w:rsidRPr="003B0BF2" w:rsidRDefault="002427D5" w:rsidP="002427D5">
      <w:pPr>
        <w:rPr>
          <w:rFonts w:ascii="Arial" w:hAnsi="Arial" w:cs="Arial"/>
          <w:b/>
          <w:sz w:val="24"/>
          <w:szCs w:val="24"/>
        </w:rPr>
      </w:pPr>
    </w:p>
    <w:p w14:paraId="39EB53F5" w14:textId="56215B97"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Does the above section provide an accurate description of CCP practices regarding their investment and collateral policies?</w:t>
      </w:r>
    </w:p>
    <w:p w14:paraId="1400ABC8" w14:textId="1B6427C9" w:rsidR="002427D5" w:rsidRPr="003B0BF2" w:rsidRDefault="002427D5" w:rsidP="002427D5">
      <w:pPr>
        <w:rPr>
          <w:rFonts w:ascii="Arial" w:hAnsi="Arial" w:cs="Arial"/>
          <w:sz w:val="24"/>
          <w:szCs w:val="24"/>
        </w:rPr>
      </w:pPr>
      <w:r w:rsidRPr="3F0C4E82">
        <w:rPr>
          <w:rFonts w:ascii="Arial" w:hAnsi="Arial" w:cs="Arial"/>
          <w:sz w:val="24"/>
          <w:szCs w:val="24"/>
        </w:rPr>
        <w:t>&lt;ESMA_QUESTION_</w:t>
      </w:r>
      <w:r w:rsidR="589A729C" w:rsidRPr="3F0C4E82">
        <w:rPr>
          <w:rFonts w:ascii="Arial" w:hAnsi="Arial" w:cs="Arial"/>
          <w:sz w:val="24"/>
          <w:szCs w:val="24"/>
        </w:rPr>
        <w:t xml:space="preserve"> CCP investment policy </w:t>
      </w:r>
      <w:r w:rsidRPr="3F0C4E82">
        <w:rPr>
          <w:rFonts w:ascii="Arial" w:hAnsi="Arial" w:cs="Arial"/>
          <w:sz w:val="24"/>
          <w:szCs w:val="24"/>
        </w:rPr>
        <w:t>_02&gt;</w:t>
      </w:r>
    </w:p>
    <w:p w14:paraId="472BD986" w14:textId="02E66634" w:rsidR="00C93B89" w:rsidRDefault="00F2014E" w:rsidP="002427D5">
      <w:pPr>
        <w:rPr>
          <w:rFonts w:ascii="Arial" w:hAnsi="Arial" w:cs="Arial"/>
          <w:sz w:val="24"/>
          <w:szCs w:val="24"/>
        </w:rPr>
      </w:pPr>
      <w:r>
        <w:rPr>
          <w:rFonts w:ascii="Arial" w:hAnsi="Arial" w:cs="Arial"/>
          <w:sz w:val="24"/>
          <w:szCs w:val="24"/>
        </w:rPr>
        <w:t xml:space="preserve">We agree with the description of CCP practices </w:t>
      </w:r>
      <w:r w:rsidR="00740707" w:rsidRPr="00740707">
        <w:rPr>
          <w:rFonts w:ascii="Arial" w:hAnsi="Arial" w:cs="Arial"/>
          <w:sz w:val="24"/>
          <w:szCs w:val="24"/>
        </w:rPr>
        <w:t>regarding their investment and collateral policies</w:t>
      </w:r>
      <w:r w:rsidR="00740707">
        <w:rPr>
          <w:rFonts w:ascii="Arial" w:hAnsi="Arial" w:cs="Arial"/>
          <w:sz w:val="24"/>
          <w:szCs w:val="24"/>
        </w:rPr>
        <w:t>, but would like to make a few points:</w:t>
      </w:r>
    </w:p>
    <w:p w14:paraId="5BEB7CEE" w14:textId="34B353BC" w:rsidR="00740707" w:rsidRDefault="001F5919" w:rsidP="001F5919">
      <w:pPr>
        <w:rPr>
          <w:rFonts w:ascii="Arial" w:hAnsi="Arial" w:cs="Arial"/>
          <w:sz w:val="24"/>
          <w:szCs w:val="24"/>
        </w:rPr>
      </w:pPr>
      <w:r>
        <w:rPr>
          <w:rFonts w:ascii="Arial" w:hAnsi="Arial" w:cs="Arial"/>
          <w:sz w:val="24"/>
          <w:szCs w:val="24"/>
        </w:rPr>
        <w:t>Paragraph 35 states that “</w:t>
      </w:r>
      <w:r w:rsidRPr="001F5919">
        <w:rPr>
          <w:rFonts w:ascii="Arial" w:hAnsi="Arial" w:cs="Arial"/>
          <w:i/>
          <w:iCs/>
          <w:sz w:val="24"/>
          <w:szCs w:val="24"/>
        </w:rPr>
        <w:t>an EU CCP can either deposit the cash received from</w:t>
      </w:r>
      <w:r>
        <w:rPr>
          <w:rFonts w:ascii="Arial" w:hAnsi="Arial" w:cs="Arial"/>
          <w:i/>
          <w:iCs/>
          <w:sz w:val="24"/>
          <w:szCs w:val="24"/>
        </w:rPr>
        <w:t xml:space="preserve"> </w:t>
      </w:r>
      <w:r w:rsidRPr="001F5919">
        <w:rPr>
          <w:rFonts w:ascii="Arial" w:hAnsi="Arial" w:cs="Arial"/>
          <w:i/>
          <w:iCs/>
          <w:sz w:val="24"/>
          <w:szCs w:val="24"/>
        </w:rPr>
        <w:t>clearing members in a central bank or in another financial institution, or reinvest it in</w:t>
      </w:r>
      <w:r>
        <w:rPr>
          <w:rFonts w:ascii="Arial" w:hAnsi="Arial" w:cs="Arial"/>
          <w:i/>
          <w:iCs/>
          <w:sz w:val="24"/>
          <w:szCs w:val="24"/>
        </w:rPr>
        <w:t xml:space="preserve"> </w:t>
      </w:r>
      <w:r w:rsidRPr="001F5919">
        <w:rPr>
          <w:rFonts w:ascii="Arial" w:hAnsi="Arial" w:cs="Arial"/>
          <w:i/>
          <w:iCs/>
          <w:sz w:val="24"/>
          <w:szCs w:val="24"/>
        </w:rPr>
        <w:t>highly liquid debt instruments.</w:t>
      </w:r>
      <w:r>
        <w:rPr>
          <w:rFonts w:ascii="Arial" w:hAnsi="Arial" w:cs="Arial"/>
          <w:sz w:val="24"/>
          <w:szCs w:val="24"/>
        </w:rPr>
        <w:t>”</w:t>
      </w:r>
      <w:r w:rsidR="00025F83">
        <w:rPr>
          <w:rFonts w:ascii="Arial" w:hAnsi="Arial" w:cs="Arial"/>
          <w:sz w:val="24"/>
          <w:szCs w:val="24"/>
        </w:rPr>
        <w:t xml:space="preserve"> Our understanding is that </w:t>
      </w:r>
      <w:r w:rsidR="006668B4">
        <w:rPr>
          <w:rFonts w:ascii="Arial" w:hAnsi="Arial" w:cs="Arial"/>
          <w:sz w:val="24"/>
          <w:szCs w:val="24"/>
        </w:rPr>
        <w:t xml:space="preserve">the majority of </w:t>
      </w:r>
      <w:r w:rsidR="0038614E">
        <w:rPr>
          <w:rFonts w:ascii="Arial" w:hAnsi="Arial" w:cs="Arial"/>
          <w:sz w:val="24"/>
          <w:szCs w:val="24"/>
        </w:rPr>
        <w:t>CCPs</w:t>
      </w:r>
      <w:r w:rsidR="002F1402">
        <w:rPr>
          <w:rFonts w:ascii="Arial" w:hAnsi="Arial" w:cs="Arial"/>
          <w:sz w:val="24"/>
          <w:szCs w:val="24"/>
        </w:rPr>
        <w:t xml:space="preserve"> </w:t>
      </w:r>
      <w:r w:rsidR="00126ADB">
        <w:rPr>
          <w:rFonts w:ascii="Arial" w:hAnsi="Arial" w:cs="Arial"/>
          <w:sz w:val="24"/>
          <w:szCs w:val="24"/>
        </w:rPr>
        <w:t xml:space="preserve">(outside certain CCPs in Asia) </w:t>
      </w:r>
      <w:r w:rsidR="0038614E">
        <w:rPr>
          <w:rFonts w:ascii="Arial" w:hAnsi="Arial" w:cs="Arial"/>
          <w:sz w:val="24"/>
          <w:szCs w:val="24"/>
        </w:rPr>
        <w:t>will not dep</w:t>
      </w:r>
      <w:r w:rsidR="004263A1">
        <w:rPr>
          <w:rFonts w:ascii="Arial" w:hAnsi="Arial" w:cs="Arial"/>
          <w:sz w:val="24"/>
          <w:szCs w:val="24"/>
        </w:rPr>
        <w:t xml:space="preserve">osit cash in accounts at other financial institutions, which would </w:t>
      </w:r>
      <w:r w:rsidR="004A366E">
        <w:rPr>
          <w:rFonts w:ascii="Arial" w:hAnsi="Arial" w:cs="Arial"/>
          <w:sz w:val="24"/>
          <w:szCs w:val="24"/>
        </w:rPr>
        <w:t xml:space="preserve">be a large credit risk, but in reverse repos. While these two forms of investment </w:t>
      </w:r>
      <w:r w:rsidR="00D073D2">
        <w:rPr>
          <w:rFonts w:ascii="Arial" w:hAnsi="Arial" w:cs="Arial"/>
          <w:sz w:val="24"/>
          <w:szCs w:val="24"/>
        </w:rPr>
        <w:t xml:space="preserve">might </w:t>
      </w:r>
      <w:r w:rsidR="004A366E">
        <w:rPr>
          <w:rFonts w:ascii="Arial" w:hAnsi="Arial" w:cs="Arial"/>
          <w:sz w:val="24"/>
          <w:szCs w:val="24"/>
        </w:rPr>
        <w:t xml:space="preserve">technically </w:t>
      </w:r>
      <w:r w:rsidR="00D073D2">
        <w:rPr>
          <w:rFonts w:ascii="Arial" w:hAnsi="Arial" w:cs="Arial"/>
          <w:sz w:val="24"/>
          <w:szCs w:val="24"/>
        </w:rPr>
        <w:t xml:space="preserve">fall </w:t>
      </w:r>
      <w:r w:rsidR="004A366E">
        <w:rPr>
          <w:rFonts w:ascii="Arial" w:hAnsi="Arial" w:cs="Arial"/>
          <w:sz w:val="24"/>
          <w:szCs w:val="24"/>
        </w:rPr>
        <w:t xml:space="preserve">under the same heading, the </w:t>
      </w:r>
      <w:r w:rsidR="000C036A">
        <w:rPr>
          <w:rFonts w:ascii="Arial" w:hAnsi="Arial" w:cs="Arial"/>
          <w:sz w:val="24"/>
          <w:szCs w:val="24"/>
        </w:rPr>
        <w:t>credit risk of bank deposits and reverse repos is considerably different.</w:t>
      </w:r>
      <w:r w:rsidR="003A7435">
        <w:rPr>
          <w:rFonts w:ascii="Arial" w:hAnsi="Arial" w:cs="Arial"/>
          <w:sz w:val="24"/>
          <w:szCs w:val="24"/>
        </w:rPr>
        <w:t xml:space="preserve"> This also affect</w:t>
      </w:r>
      <w:r w:rsidR="00E466EA">
        <w:rPr>
          <w:rFonts w:ascii="Arial" w:hAnsi="Arial" w:cs="Arial"/>
          <w:sz w:val="24"/>
          <w:szCs w:val="24"/>
        </w:rPr>
        <w:t>s</w:t>
      </w:r>
      <w:r w:rsidR="003A7435">
        <w:rPr>
          <w:rFonts w:ascii="Arial" w:hAnsi="Arial" w:cs="Arial"/>
          <w:sz w:val="24"/>
          <w:szCs w:val="24"/>
        </w:rPr>
        <w:t xml:space="preserve"> the </w:t>
      </w:r>
      <w:r w:rsidR="00E466EA">
        <w:rPr>
          <w:rFonts w:ascii="Arial" w:hAnsi="Arial" w:cs="Arial"/>
          <w:sz w:val="24"/>
          <w:szCs w:val="24"/>
        </w:rPr>
        <w:t xml:space="preserve">chart </w:t>
      </w:r>
      <w:r w:rsidR="003A7435">
        <w:rPr>
          <w:rFonts w:ascii="Arial" w:hAnsi="Arial" w:cs="Arial"/>
          <w:sz w:val="24"/>
          <w:szCs w:val="24"/>
        </w:rPr>
        <w:t>below paragraph 36.</w:t>
      </w:r>
      <w:r w:rsidR="00B30033">
        <w:rPr>
          <w:rFonts w:ascii="Arial" w:hAnsi="Arial" w:cs="Arial"/>
          <w:sz w:val="24"/>
          <w:szCs w:val="24"/>
        </w:rPr>
        <w:t xml:space="preserve"> It would be helpful if th</w:t>
      </w:r>
      <w:r w:rsidR="00E466EA">
        <w:rPr>
          <w:rFonts w:ascii="Arial" w:hAnsi="Arial" w:cs="Arial"/>
          <w:sz w:val="24"/>
          <w:szCs w:val="24"/>
        </w:rPr>
        <w:t xml:space="preserve">is chart </w:t>
      </w:r>
      <w:r w:rsidR="00B87C9D">
        <w:rPr>
          <w:rFonts w:ascii="Arial" w:hAnsi="Arial" w:cs="Arial"/>
          <w:sz w:val="24"/>
          <w:szCs w:val="24"/>
        </w:rPr>
        <w:t xml:space="preserve">made a difference between reverse repos and unsecured cash deposits </w:t>
      </w:r>
      <w:r w:rsidR="002458DB">
        <w:rPr>
          <w:rFonts w:ascii="Arial" w:hAnsi="Arial" w:cs="Arial"/>
          <w:sz w:val="24"/>
          <w:szCs w:val="24"/>
        </w:rPr>
        <w:t>a</w:t>
      </w:r>
      <w:r w:rsidR="00B87C9D">
        <w:rPr>
          <w:rFonts w:ascii="Arial" w:hAnsi="Arial" w:cs="Arial"/>
          <w:sz w:val="24"/>
          <w:szCs w:val="24"/>
        </w:rPr>
        <w:t>t commercial banks.</w:t>
      </w:r>
    </w:p>
    <w:p w14:paraId="0E7BC0DE" w14:textId="7BC4DF7B" w:rsidR="00B87C9D" w:rsidRDefault="00B87C9D" w:rsidP="001F5919">
      <w:pPr>
        <w:rPr>
          <w:rFonts w:ascii="Arial" w:hAnsi="Arial" w:cs="Arial"/>
          <w:sz w:val="24"/>
          <w:szCs w:val="24"/>
        </w:rPr>
      </w:pPr>
      <w:r>
        <w:rPr>
          <w:rFonts w:ascii="Arial" w:hAnsi="Arial" w:cs="Arial"/>
          <w:sz w:val="24"/>
          <w:szCs w:val="24"/>
        </w:rPr>
        <w:t xml:space="preserve">In this context it would also be helpful to </w:t>
      </w:r>
      <w:r w:rsidR="00B67A37">
        <w:rPr>
          <w:rFonts w:ascii="Arial" w:hAnsi="Arial" w:cs="Arial"/>
          <w:sz w:val="24"/>
          <w:szCs w:val="24"/>
        </w:rPr>
        <w:t xml:space="preserve">analyse the depth of the repo market in jurisdictions where CCPs use </w:t>
      </w:r>
      <w:r w:rsidR="002458DB">
        <w:rPr>
          <w:rFonts w:ascii="Arial" w:hAnsi="Arial" w:cs="Arial"/>
          <w:sz w:val="24"/>
          <w:szCs w:val="24"/>
        </w:rPr>
        <w:t xml:space="preserve">material levels of </w:t>
      </w:r>
      <w:r w:rsidR="00B67A37">
        <w:rPr>
          <w:rFonts w:ascii="Arial" w:hAnsi="Arial" w:cs="Arial"/>
          <w:sz w:val="24"/>
          <w:szCs w:val="24"/>
        </w:rPr>
        <w:t xml:space="preserve">cash </w:t>
      </w:r>
      <w:r w:rsidR="002458DB">
        <w:rPr>
          <w:rFonts w:ascii="Arial" w:hAnsi="Arial" w:cs="Arial"/>
          <w:sz w:val="24"/>
          <w:szCs w:val="24"/>
        </w:rPr>
        <w:t>deposits</w:t>
      </w:r>
      <w:r w:rsidR="00B67A37">
        <w:rPr>
          <w:rFonts w:ascii="Arial" w:hAnsi="Arial" w:cs="Arial"/>
          <w:sz w:val="24"/>
          <w:szCs w:val="24"/>
        </w:rPr>
        <w:t xml:space="preserve"> at commercial banks</w:t>
      </w:r>
      <w:r w:rsidR="00255137">
        <w:rPr>
          <w:rFonts w:ascii="Arial" w:hAnsi="Arial" w:cs="Arial"/>
          <w:sz w:val="24"/>
          <w:szCs w:val="24"/>
        </w:rPr>
        <w:t>, citing no available better choices for investment of member cash.</w:t>
      </w:r>
    </w:p>
    <w:p w14:paraId="3D90F8DD" w14:textId="65412A67" w:rsidR="003A7435" w:rsidRDefault="00311887" w:rsidP="001F5919">
      <w:pPr>
        <w:rPr>
          <w:rFonts w:ascii="Arial" w:hAnsi="Arial" w:cs="Arial"/>
          <w:sz w:val="24"/>
          <w:szCs w:val="24"/>
        </w:rPr>
      </w:pPr>
      <w:r>
        <w:rPr>
          <w:rFonts w:ascii="Arial" w:hAnsi="Arial" w:cs="Arial"/>
          <w:sz w:val="24"/>
          <w:szCs w:val="24"/>
        </w:rPr>
        <w:t>The same figure shows that a lot of CCPs have access to central bank accounts to deposit cash IM, which is the safest way</w:t>
      </w:r>
      <w:r w:rsidR="00D23003">
        <w:rPr>
          <w:rFonts w:ascii="Arial" w:hAnsi="Arial" w:cs="Arial"/>
          <w:sz w:val="24"/>
          <w:szCs w:val="24"/>
        </w:rPr>
        <w:t xml:space="preserve"> to invest cash margin and is also the best option in terms of liquidity management. </w:t>
      </w:r>
      <w:r w:rsidR="008412FF">
        <w:rPr>
          <w:rFonts w:ascii="Arial" w:hAnsi="Arial" w:cs="Arial"/>
          <w:sz w:val="24"/>
          <w:szCs w:val="24"/>
        </w:rPr>
        <w:t>Central bank accounts to deposit cash are however usually only available in the home currency of the CCP.</w:t>
      </w:r>
    </w:p>
    <w:p w14:paraId="3B3ECFA2" w14:textId="1477E175" w:rsidR="00817662" w:rsidRDefault="00DC540E" w:rsidP="001F5919">
      <w:pPr>
        <w:rPr>
          <w:rFonts w:ascii="Arial" w:hAnsi="Arial" w:cs="Arial"/>
          <w:sz w:val="24"/>
          <w:szCs w:val="24"/>
        </w:rPr>
      </w:pPr>
      <w:r>
        <w:rPr>
          <w:rFonts w:ascii="Arial" w:hAnsi="Arial" w:cs="Arial"/>
          <w:sz w:val="24"/>
          <w:szCs w:val="24"/>
        </w:rPr>
        <w:t xml:space="preserve">The dashboard shows that </w:t>
      </w:r>
      <w:r w:rsidR="00C63715">
        <w:rPr>
          <w:rFonts w:ascii="Arial" w:hAnsi="Arial" w:cs="Arial"/>
          <w:sz w:val="24"/>
          <w:szCs w:val="24"/>
        </w:rPr>
        <w:t xml:space="preserve">in particular </w:t>
      </w:r>
      <w:r>
        <w:rPr>
          <w:rFonts w:ascii="Arial" w:hAnsi="Arial" w:cs="Arial"/>
          <w:sz w:val="24"/>
          <w:szCs w:val="24"/>
        </w:rPr>
        <w:t>U</w:t>
      </w:r>
      <w:r w:rsidR="00C63715">
        <w:rPr>
          <w:rFonts w:ascii="Arial" w:hAnsi="Arial" w:cs="Arial"/>
          <w:sz w:val="24"/>
          <w:szCs w:val="24"/>
        </w:rPr>
        <w:t>S</w:t>
      </w:r>
      <w:r>
        <w:rPr>
          <w:rFonts w:ascii="Arial" w:hAnsi="Arial" w:cs="Arial"/>
          <w:sz w:val="24"/>
          <w:szCs w:val="24"/>
        </w:rPr>
        <w:t xml:space="preserve"> </w:t>
      </w:r>
      <w:r w:rsidR="008412FF">
        <w:rPr>
          <w:rFonts w:ascii="Arial" w:hAnsi="Arial" w:cs="Arial"/>
          <w:sz w:val="24"/>
          <w:szCs w:val="24"/>
        </w:rPr>
        <w:t xml:space="preserve">CCPs </w:t>
      </w:r>
      <w:r>
        <w:rPr>
          <w:rFonts w:ascii="Arial" w:hAnsi="Arial" w:cs="Arial"/>
          <w:sz w:val="24"/>
          <w:szCs w:val="24"/>
        </w:rPr>
        <w:t xml:space="preserve">invest a very large </w:t>
      </w:r>
      <w:r w:rsidR="00462378">
        <w:rPr>
          <w:rFonts w:ascii="Arial" w:hAnsi="Arial" w:cs="Arial"/>
          <w:sz w:val="24"/>
          <w:szCs w:val="24"/>
        </w:rPr>
        <w:t>part</w:t>
      </w:r>
      <w:r>
        <w:rPr>
          <w:rFonts w:ascii="Arial" w:hAnsi="Arial" w:cs="Arial"/>
          <w:sz w:val="24"/>
          <w:szCs w:val="24"/>
        </w:rPr>
        <w:t xml:space="preserve"> of cash margin in central bank accounts. This is for safety and </w:t>
      </w:r>
      <w:r w:rsidR="00817662">
        <w:rPr>
          <w:rFonts w:ascii="Arial" w:hAnsi="Arial" w:cs="Arial"/>
          <w:sz w:val="24"/>
          <w:szCs w:val="24"/>
        </w:rPr>
        <w:t xml:space="preserve">liquidity, but we believe also </w:t>
      </w:r>
      <w:r w:rsidR="005465AD">
        <w:rPr>
          <w:rFonts w:ascii="Arial" w:hAnsi="Arial" w:cs="Arial"/>
          <w:sz w:val="24"/>
          <w:szCs w:val="24"/>
        </w:rPr>
        <w:t>because</w:t>
      </w:r>
      <w:r w:rsidR="00817662">
        <w:rPr>
          <w:rFonts w:ascii="Arial" w:hAnsi="Arial" w:cs="Arial"/>
          <w:sz w:val="24"/>
          <w:szCs w:val="24"/>
        </w:rPr>
        <w:t xml:space="preserve"> investment returns offered by the Federal Reserve are </w:t>
      </w:r>
      <w:r w:rsidR="008723FB">
        <w:rPr>
          <w:rFonts w:ascii="Arial" w:hAnsi="Arial" w:cs="Arial"/>
          <w:sz w:val="24"/>
          <w:szCs w:val="24"/>
        </w:rPr>
        <w:t xml:space="preserve">currently more favourable </w:t>
      </w:r>
      <w:r w:rsidR="00817662">
        <w:rPr>
          <w:rFonts w:ascii="Arial" w:hAnsi="Arial" w:cs="Arial"/>
          <w:sz w:val="24"/>
          <w:szCs w:val="24"/>
        </w:rPr>
        <w:t>than the returns money market fund currently offer.</w:t>
      </w:r>
    </w:p>
    <w:p w14:paraId="64DA041D" w14:textId="77777777" w:rsidR="00D23003" w:rsidRPr="003B0BF2" w:rsidRDefault="00D23003" w:rsidP="001F5919">
      <w:pPr>
        <w:rPr>
          <w:rFonts w:ascii="Arial" w:hAnsi="Arial" w:cs="Arial"/>
          <w:sz w:val="24"/>
          <w:szCs w:val="24"/>
        </w:rPr>
      </w:pPr>
    </w:p>
    <w:p w14:paraId="19FEC513" w14:textId="73E8EB25" w:rsidR="002427D5" w:rsidRPr="003B0BF2" w:rsidRDefault="002427D5" w:rsidP="002427D5">
      <w:pPr>
        <w:rPr>
          <w:rFonts w:ascii="Arial" w:hAnsi="Arial" w:cs="Arial"/>
          <w:sz w:val="24"/>
          <w:szCs w:val="24"/>
        </w:rPr>
      </w:pPr>
      <w:r w:rsidRPr="3F0C4E82">
        <w:rPr>
          <w:rFonts w:ascii="Arial" w:hAnsi="Arial" w:cs="Arial"/>
          <w:sz w:val="24"/>
          <w:szCs w:val="24"/>
        </w:rPr>
        <w:t>&lt;ESMA_QUESTION_</w:t>
      </w:r>
      <w:r w:rsidR="73AF8A82" w:rsidRPr="3F0C4E82">
        <w:rPr>
          <w:rFonts w:ascii="Arial" w:hAnsi="Arial" w:cs="Arial"/>
          <w:sz w:val="24"/>
          <w:szCs w:val="24"/>
        </w:rPr>
        <w:t xml:space="preserve"> CCP investment policy</w:t>
      </w:r>
      <w:r w:rsidRPr="3F0C4E82">
        <w:rPr>
          <w:rFonts w:ascii="Arial" w:hAnsi="Arial" w:cs="Arial"/>
          <w:sz w:val="24"/>
          <w:szCs w:val="24"/>
        </w:rPr>
        <w:t>_02&gt;</w:t>
      </w:r>
    </w:p>
    <w:p w14:paraId="5DDB222C" w14:textId="562932BC" w:rsidR="002427D5" w:rsidRPr="003B0BF2" w:rsidRDefault="002427D5" w:rsidP="002427D5">
      <w:pPr>
        <w:rPr>
          <w:rFonts w:ascii="Arial" w:hAnsi="Arial" w:cs="Arial"/>
          <w:b/>
          <w:sz w:val="24"/>
          <w:szCs w:val="24"/>
        </w:rPr>
      </w:pPr>
    </w:p>
    <w:p w14:paraId="3ABADBA2" w14:textId="65094671"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Does the above section accurately describe the trade-offs faced by CCPs when developing their investments strategies? What other factors or trade-offs can influence CCP investment strategies?</w:t>
      </w:r>
    </w:p>
    <w:p w14:paraId="2D88B40A" w14:textId="763C7896" w:rsidR="002427D5" w:rsidRPr="003B0BF2" w:rsidRDefault="002427D5" w:rsidP="002427D5">
      <w:pPr>
        <w:rPr>
          <w:rFonts w:ascii="Arial" w:hAnsi="Arial" w:cs="Arial"/>
          <w:sz w:val="24"/>
          <w:szCs w:val="24"/>
        </w:rPr>
      </w:pPr>
      <w:bookmarkStart w:id="0" w:name="_Hlk76119363"/>
      <w:r w:rsidRPr="3F0C4E82">
        <w:rPr>
          <w:rFonts w:ascii="Arial" w:hAnsi="Arial" w:cs="Arial"/>
          <w:sz w:val="24"/>
          <w:szCs w:val="24"/>
        </w:rPr>
        <w:t>&lt;ESMA_QUESTION_</w:t>
      </w:r>
      <w:r w:rsidR="322D2D05" w:rsidRPr="3F0C4E82">
        <w:rPr>
          <w:rFonts w:ascii="Arial" w:hAnsi="Arial" w:cs="Arial"/>
          <w:sz w:val="24"/>
          <w:szCs w:val="24"/>
        </w:rPr>
        <w:t xml:space="preserve"> CCP investment policy</w:t>
      </w:r>
      <w:r w:rsidRPr="3F0C4E82">
        <w:rPr>
          <w:rFonts w:ascii="Arial" w:hAnsi="Arial" w:cs="Arial"/>
          <w:sz w:val="24"/>
          <w:szCs w:val="24"/>
        </w:rPr>
        <w:t>_03&gt;</w:t>
      </w:r>
    </w:p>
    <w:p w14:paraId="1DD4C4CB" w14:textId="56110B09" w:rsidR="004D7B6F" w:rsidRDefault="007E39B2" w:rsidP="002427D5">
      <w:pPr>
        <w:rPr>
          <w:rFonts w:ascii="Arial" w:hAnsi="Arial" w:cs="Arial"/>
          <w:sz w:val="24"/>
          <w:szCs w:val="24"/>
        </w:rPr>
      </w:pPr>
      <w:r>
        <w:rPr>
          <w:rFonts w:ascii="Arial" w:hAnsi="Arial" w:cs="Arial"/>
          <w:sz w:val="24"/>
          <w:szCs w:val="24"/>
        </w:rPr>
        <w:t xml:space="preserve">We agree with the description of </w:t>
      </w:r>
      <w:r w:rsidRPr="007E39B2">
        <w:rPr>
          <w:rFonts w:ascii="Arial" w:hAnsi="Arial" w:cs="Arial"/>
          <w:sz w:val="24"/>
          <w:szCs w:val="24"/>
        </w:rPr>
        <w:t>the trade-offs faced by CCPs when developing their investments strategies</w:t>
      </w:r>
      <w:r>
        <w:rPr>
          <w:rFonts w:ascii="Arial" w:hAnsi="Arial" w:cs="Arial"/>
          <w:sz w:val="24"/>
          <w:szCs w:val="24"/>
        </w:rPr>
        <w:t xml:space="preserve">, </w:t>
      </w:r>
      <w:r w:rsidR="0002505D">
        <w:rPr>
          <w:rFonts w:ascii="Arial" w:hAnsi="Arial" w:cs="Arial"/>
          <w:sz w:val="24"/>
          <w:szCs w:val="24"/>
        </w:rPr>
        <w:t>especially</w:t>
      </w:r>
      <w:r>
        <w:rPr>
          <w:rFonts w:ascii="Arial" w:hAnsi="Arial" w:cs="Arial"/>
          <w:sz w:val="24"/>
          <w:szCs w:val="24"/>
        </w:rPr>
        <w:t xml:space="preserve"> the statement that </w:t>
      </w:r>
      <w:r w:rsidR="009E7C73">
        <w:rPr>
          <w:rFonts w:ascii="Arial" w:hAnsi="Arial" w:cs="Arial"/>
          <w:sz w:val="24"/>
          <w:szCs w:val="24"/>
        </w:rPr>
        <w:t xml:space="preserve">the </w:t>
      </w:r>
      <w:r w:rsidR="0002505D" w:rsidRPr="0002505D">
        <w:rPr>
          <w:rFonts w:ascii="Arial" w:hAnsi="Arial" w:cs="Arial"/>
          <w:sz w:val="24"/>
          <w:szCs w:val="24"/>
        </w:rPr>
        <w:t>most secure form to hold cash remains in central bank accounts</w:t>
      </w:r>
      <w:r w:rsidR="001E629E">
        <w:rPr>
          <w:rFonts w:ascii="Arial" w:hAnsi="Arial" w:cs="Arial"/>
          <w:sz w:val="24"/>
          <w:szCs w:val="24"/>
        </w:rPr>
        <w:t>. W</w:t>
      </w:r>
      <w:r w:rsidR="004D7B6F">
        <w:rPr>
          <w:rFonts w:ascii="Arial" w:hAnsi="Arial" w:cs="Arial"/>
          <w:sz w:val="24"/>
          <w:szCs w:val="24"/>
        </w:rPr>
        <w:t>e encourage central banks and regulators across the globe to offer as much access to central bank deposits in as many currencies as possible for CCPs.</w:t>
      </w:r>
    </w:p>
    <w:p w14:paraId="1B9CBDE5" w14:textId="2F539855" w:rsidR="00632A16" w:rsidRDefault="00632A16" w:rsidP="002427D5">
      <w:pPr>
        <w:rPr>
          <w:rFonts w:ascii="Arial" w:hAnsi="Arial" w:cs="Arial"/>
          <w:sz w:val="24"/>
          <w:szCs w:val="24"/>
        </w:rPr>
      </w:pPr>
      <w:r>
        <w:rPr>
          <w:rFonts w:ascii="Arial" w:hAnsi="Arial" w:cs="Arial"/>
          <w:sz w:val="24"/>
          <w:szCs w:val="24"/>
        </w:rPr>
        <w:t xml:space="preserve">CCPs require </w:t>
      </w:r>
      <w:r w:rsidR="002F70DE">
        <w:rPr>
          <w:rFonts w:ascii="Arial" w:hAnsi="Arial" w:cs="Arial"/>
          <w:sz w:val="24"/>
          <w:szCs w:val="24"/>
        </w:rPr>
        <w:t>a broad range of investment opportunities though, for instance in cases wher</w:t>
      </w:r>
      <w:r w:rsidR="00C46C97">
        <w:rPr>
          <w:rFonts w:ascii="Arial" w:hAnsi="Arial" w:cs="Arial"/>
          <w:sz w:val="24"/>
          <w:szCs w:val="24"/>
        </w:rPr>
        <w:t>e</w:t>
      </w:r>
    </w:p>
    <w:p w14:paraId="3507CFD8" w14:textId="01433F27" w:rsidR="00C46C97" w:rsidRPr="009E7D21" w:rsidRDefault="00EB6228" w:rsidP="009E7D21">
      <w:pPr>
        <w:pStyle w:val="ListParagraph"/>
        <w:numPr>
          <w:ilvl w:val="0"/>
          <w:numId w:val="12"/>
        </w:numPr>
        <w:rPr>
          <w:rFonts w:ascii="Arial" w:hAnsi="Arial" w:cs="Arial"/>
          <w:sz w:val="24"/>
          <w:szCs w:val="24"/>
        </w:rPr>
      </w:pPr>
      <w:r w:rsidRPr="009E7D21">
        <w:rPr>
          <w:rFonts w:ascii="Arial" w:hAnsi="Arial" w:cs="Arial"/>
          <w:sz w:val="24"/>
          <w:szCs w:val="24"/>
        </w:rPr>
        <w:t>c</w:t>
      </w:r>
      <w:r w:rsidR="00C46C97" w:rsidRPr="009E7D21">
        <w:rPr>
          <w:rFonts w:ascii="Arial" w:hAnsi="Arial" w:cs="Arial"/>
          <w:sz w:val="24"/>
          <w:szCs w:val="24"/>
        </w:rPr>
        <w:t xml:space="preserve">entral bank </w:t>
      </w:r>
      <w:r w:rsidR="001F4801" w:rsidRPr="009E7D21">
        <w:rPr>
          <w:rFonts w:ascii="Arial" w:hAnsi="Arial" w:cs="Arial"/>
          <w:sz w:val="24"/>
          <w:szCs w:val="24"/>
        </w:rPr>
        <w:t>deposits</w:t>
      </w:r>
      <w:r w:rsidR="00C46C97" w:rsidRPr="009E7D21">
        <w:rPr>
          <w:rFonts w:ascii="Arial" w:hAnsi="Arial" w:cs="Arial"/>
          <w:sz w:val="24"/>
          <w:szCs w:val="24"/>
        </w:rPr>
        <w:t xml:space="preserve"> are not available</w:t>
      </w:r>
      <w:r w:rsidR="001F4801" w:rsidRPr="009E7D21">
        <w:rPr>
          <w:rFonts w:ascii="Arial" w:hAnsi="Arial" w:cs="Arial"/>
          <w:sz w:val="24"/>
          <w:szCs w:val="24"/>
        </w:rPr>
        <w:t>, either because this is not an option in the CCP’s jurisdiction, or the central bank only accepts deposits in the home currency</w:t>
      </w:r>
    </w:p>
    <w:p w14:paraId="351156D9" w14:textId="403C4167" w:rsidR="00EB6228" w:rsidRPr="009E7D21" w:rsidRDefault="00EB6228" w:rsidP="009E7D21">
      <w:pPr>
        <w:pStyle w:val="ListParagraph"/>
        <w:numPr>
          <w:ilvl w:val="0"/>
          <w:numId w:val="12"/>
        </w:numPr>
        <w:rPr>
          <w:rFonts w:ascii="Arial" w:hAnsi="Arial" w:cs="Arial"/>
          <w:sz w:val="24"/>
          <w:szCs w:val="24"/>
        </w:rPr>
      </w:pPr>
      <w:r w:rsidRPr="009E7D21">
        <w:rPr>
          <w:rFonts w:ascii="Arial" w:hAnsi="Arial" w:cs="Arial"/>
          <w:sz w:val="24"/>
          <w:szCs w:val="24"/>
        </w:rPr>
        <w:t xml:space="preserve">cash needs to be invested overnight after the central </w:t>
      </w:r>
      <w:r w:rsidR="00CD0663" w:rsidRPr="009E7D21">
        <w:rPr>
          <w:rFonts w:ascii="Arial" w:hAnsi="Arial" w:cs="Arial"/>
          <w:sz w:val="24"/>
          <w:szCs w:val="24"/>
        </w:rPr>
        <w:t>bank’s</w:t>
      </w:r>
      <w:r w:rsidR="00D67B6A" w:rsidRPr="009E7D21">
        <w:rPr>
          <w:rFonts w:ascii="Arial" w:hAnsi="Arial" w:cs="Arial"/>
          <w:sz w:val="24"/>
          <w:szCs w:val="24"/>
        </w:rPr>
        <w:t xml:space="preserve"> investment window has closed.</w:t>
      </w:r>
    </w:p>
    <w:p w14:paraId="5297C23D" w14:textId="25685F41" w:rsidR="00D67B6A" w:rsidRPr="009E7D21" w:rsidRDefault="00D67B6A" w:rsidP="009E7D21">
      <w:pPr>
        <w:pStyle w:val="ListParagraph"/>
        <w:numPr>
          <w:ilvl w:val="0"/>
          <w:numId w:val="12"/>
        </w:numPr>
        <w:rPr>
          <w:rFonts w:ascii="Arial" w:hAnsi="Arial" w:cs="Arial"/>
          <w:sz w:val="24"/>
          <w:szCs w:val="24"/>
        </w:rPr>
      </w:pPr>
      <w:r w:rsidRPr="009E7D21">
        <w:rPr>
          <w:rFonts w:ascii="Arial" w:hAnsi="Arial" w:cs="Arial"/>
          <w:sz w:val="24"/>
          <w:szCs w:val="24"/>
        </w:rPr>
        <w:t>The CCP</w:t>
      </w:r>
      <w:r w:rsidR="00CD0663" w:rsidRPr="009E7D21">
        <w:rPr>
          <w:rFonts w:ascii="Arial" w:hAnsi="Arial" w:cs="Arial"/>
          <w:sz w:val="24"/>
          <w:szCs w:val="24"/>
        </w:rPr>
        <w:t>, potentially directed by its members, seek</w:t>
      </w:r>
      <w:r w:rsidR="004E1925">
        <w:rPr>
          <w:rFonts w:ascii="Arial" w:hAnsi="Arial" w:cs="Arial"/>
          <w:sz w:val="24"/>
          <w:szCs w:val="24"/>
        </w:rPr>
        <w:t>s</w:t>
      </w:r>
      <w:r w:rsidR="00CD0663" w:rsidRPr="009E7D21">
        <w:rPr>
          <w:rFonts w:ascii="Arial" w:hAnsi="Arial" w:cs="Arial"/>
          <w:sz w:val="24"/>
          <w:szCs w:val="24"/>
        </w:rPr>
        <w:t xml:space="preserve"> better investment returns within strict risk controls.</w:t>
      </w:r>
    </w:p>
    <w:p w14:paraId="38F459CF" w14:textId="77777777" w:rsidR="00C46C97" w:rsidRDefault="00C46C97" w:rsidP="002427D5">
      <w:pPr>
        <w:rPr>
          <w:rFonts w:ascii="Arial" w:hAnsi="Arial" w:cs="Arial"/>
          <w:sz w:val="24"/>
          <w:szCs w:val="24"/>
        </w:rPr>
      </w:pPr>
    </w:p>
    <w:p w14:paraId="45179450" w14:textId="525F0683" w:rsidR="00B1594A" w:rsidRDefault="00B936F9" w:rsidP="002427D5">
      <w:pPr>
        <w:rPr>
          <w:rFonts w:ascii="Arial" w:hAnsi="Arial" w:cs="Arial"/>
          <w:sz w:val="24"/>
          <w:szCs w:val="24"/>
        </w:rPr>
      </w:pPr>
      <w:r>
        <w:rPr>
          <w:rFonts w:ascii="Arial" w:hAnsi="Arial" w:cs="Arial"/>
          <w:sz w:val="24"/>
          <w:szCs w:val="24"/>
        </w:rPr>
        <w:t xml:space="preserve">We agree that there are trade-offs for CCPs for investments where central bank </w:t>
      </w:r>
      <w:r w:rsidR="00294897">
        <w:rPr>
          <w:rFonts w:ascii="Arial" w:hAnsi="Arial" w:cs="Arial"/>
          <w:sz w:val="24"/>
          <w:szCs w:val="24"/>
        </w:rPr>
        <w:t>deposits</w:t>
      </w:r>
      <w:r>
        <w:rPr>
          <w:rFonts w:ascii="Arial" w:hAnsi="Arial" w:cs="Arial"/>
          <w:sz w:val="24"/>
          <w:szCs w:val="24"/>
        </w:rPr>
        <w:t xml:space="preserve"> </w:t>
      </w:r>
      <w:r w:rsidR="00ED7EFA">
        <w:rPr>
          <w:rFonts w:ascii="Arial" w:hAnsi="Arial" w:cs="Arial"/>
          <w:sz w:val="24"/>
          <w:szCs w:val="24"/>
        </w:rPr>
        <w:t>are not an option</w:t>
      </w:r>
      <w:r>
        <w:rPr>
          <w:rFonts w:ascii="Arial" w:hAnsi="Arial" w:cs="Arial"/>
          <w:sz w:val="24"/>
          <w:szCs w:val="24"/>
        </w:rPr>
        <w:t xml:space="preserve">. </w:t>
      </w:r>
      <w:r w:rsidR="008B5597">
        <w:rPr>
          <w:rFonts w:ascii="Arial" w:hAnsi="Arial" w:cs="Arial"/>
          <w:sz w:val="24"/>
          <w:szCs w:val="24"/>
        </w:rPr>
        <w:t xml:space="preserve">Money Market Funds would be helpful to give a CCP more flexibility, as long as CCPs use only the most conservative types of MMF (see </w:t>
      </w:r>
      <w:r w:rsidR="00492E58">
        <w:rPr>
          <w:rFonts w:ascii="Arial" w:hAnsi="Arial" w:cs="Arial"/>
          <w:sz w:val="24"/>
          <w:szCs w:val="24"/>
        </w:rPr>
        <w:t xml:space="preserve">the </w:t>
      </w:r>
      <w:r w:rsidR="00294897">
        <w:rPr>
          <w:rFonts w:ascii="Arial" w:hAnsi="Arial" w:cs="Arial"/>
          <w:sz w:val="24"/>
          <w:szCs w:val="24"/>
        </w:rPr>
        <w:t>response</w:t>
      </w:r>
      <w:r w:rsidR="00492E58">
        <w:rPr>
          <w:rFonts w:ascii="Arial" w:hAnsi="Arial" w:cs="Arial"/>
          <w:sz w:val="24"/>
          <w:szCs w:val="24"/>
        </w:rPr>
        <w:t>s</w:t>
      </w:r>
      <w:r w:rsidR="00294897">
        <w:rPr>
          <w:rFonts w:ascii="Arial" w:hAnsi="Arial" w:cs="Arial"/>
          <w:sz w:val="24"/>
          <w:szCs w:val="24"/>
        </w:rPr>
        <w:t xml:space="preserve"> to questions further below for more details).</w:t>
      </w:r>
    </w:p>
    <w:p w14:paraId="32AFA07A" w14:textId="3F6A9B7D" w:rsidR="002427D5" w:rsidRPr="003B0BF2" w:rsidRDefault="002427D5" w:rsidP="002427D5">
      <w:pPr>
        <w:rPr>
          <w:rFonts w:ascii="Arial" w:hAnsi="Arial" w:cs="Arial"/>
          <w:sz w:val="24"/>
          <w:szCs w:val="24"/>
        </w:rPr>
      </w:pPr>
      <w:r w:rsidRPr="3F0C4E82">
        <w:rPr>
          <w:rFonts w:ascii="Arial" w:hAnsi="Arial" w:cs="Arial"/>
          <w:sz w:val="24"/>
          <w:szCs w:val="24"/>
        </w:rPr>
        <w:t>&lt;ESMA_QUESTION_</w:t>
      </w:r>
      <w:r w:rsidR="5F583685" w:rsidRPr="3F0C4E82">
        <w:rPr>
          <w:rFonts w:ascii="Arial" w:hAnsi="Arial" w:cs="Arial"/>
          <w:sz w:val="24"/>
          <w:szCs w:val="24"/>
        </w:rPr>
        <w:t>CCP investment policy</w:t>
      </w:r>
      <w:r w:rsidRPr="3F0C4E82">
        <w:rPr>
          <w:rFonts w:ascii="Arial" w:hAnsi="Arial" w:cs="Arial"/>
          <w:sz w:val="24"/>
          <w:szCs w:val="24"/>
        </w:rPr>
        <w:t>_03&gt;</w:t>
      </w:r>
    </w:p>
    <w:bookmarkEnd w:id="0"/>
    <w:p w14:paraId="16AC2A56" w14:textId="77777777" w:rsidR="002427D5" w:rsidRPr="003B0BF2" w:rsidRDefault="002427D5" w:rsidP="002427D5">
      <w:pPr>
        <w:rPr>
          <w:rFonts w:ascii="Arial" w:hAnsi="Arial" w:cs="Arial"/>
          <w:sz w:val="24"/>
          <w:szCs w:val="24"/>
        </w:rPr>
      </w:pPr>
    </w:p>
    <w:p w14:paraId="65E0D9B1" w14:textId="6AAB732B"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premise that changes to the list of financial instruments for CCP investments should be in line with the PFMI?</w:t>
      </w:r>
    </w:p>
    <w:p w14:paraId="7E0C3AD5" w14:textId="5BD6B7F9"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0A863D8E" w:rsidRPr="3F0C4E82">
        <w:rPr>
          <w:rFonts w:ascii="Arial" w:hAnsi="Arial" w:cs="Arial"/>
          <w:sz w:val="24"/>
          <w:szCs w:val="24"/>
        </w:rPr>
        <w:t xml:space="preserve"> CCP investment policy</w:t>
      </w:r>
      <w:r w:rsidRPr="3F0C4E82">
        <w:rPr>
          <w:rFonts w:ascii="Arial" w:hAnsi="Arial" w:cs="Arial"/>
          <w:sz w:val="24"/>
          <w:szCs w:val="24"/>
        </w:rPr>
        <w:t>_04&gt;</w:t>
      </w:r>
    </w:p>
    <w:p w14:paraId="66DF7ACF" w14:textId="7BEA4F0B" w:rsidR="000866FF" w:rsidRDefault="000866FF" w:rsidP="002427D5">
      <w:pPr>
        <w:rPr>
          <w:rFonts w:ascii="Arial" w:hAnsi="Arial" w:cs="Arial"/>
          <w:sz w:val="24"/>
          <w:szCs w:val="24"/>
        </w:rPr>
      </w:pPr>
      <w:r>
        <w:rPr>
          <w:rFonts w:ascii="Arial" w:hAnsi="Arial" w:cs="Arial"/>
          <w:sz w:val="24"/>
          <w:szCs w:val="24"/>
        </w:rPr>
        <w:t>We absolutely support that all changes to CCP investments, as with other facets of risk management frameworks, must be in line with the PFMI.</w:t>
      </w:r>
    </w:p>
    <w:p w14:paraId="66657D03" w14:textId="225D871E" w:rsidR="000866FF" w:rsidRPr="003B0BF2" w:rsidRDefault="003419AD" w:rsidP="002427D5">
      <w:pPr>
        <w:rPr>
          <w:rFonts w:ascii="Arial" w:hAnsi="Arial" w:cs="Arial"/>
          <w:sz w:val="24"/>
          <w:szCs w:val="24"/>
        </w:rPr>
      </w:pPr>
      <w:r>
        <w:rPr>
          <w:rFonts w:ascii="Arial" w:hAnsi="Arial" w:cs="Arial"/>
          <w:sz w:val="24"/>
          <w:szCs w:val="24"/>
        </w:rPr>
        <w:t xml:space="preserve">We agree with the statement in paragraph 69 that </w:t>
      </w:r>
      <w:r w:rsidRPr="003419AD">
        <w:rPr>
          <w:rFonts w:ascii="Arial" w:hAnsi="Arial" w:cs="Arial"/>
          <w:sz w:val="24"/>
          <w:szCs w:val="24"/>
        </w:rPr>
        <w:t>diversification of investments can reduce risks</w:t>
      </w:r>
      <w:r>
        <w:rPr>
          <w:rFonts w:ascii="Arial" w:hAnsi="Arial" w:cs="Arial"/>
          <w:sz w:val="24"/>
          <w:szCs w:val="24"/>
        </w:rPr>
        <w:t xml:space="preserve"> and note that for instance the use of MMF </w:t>
      </w:r>
      <w:r w:rsidR="00D55EFE">
        <w:rPr>
          <w:rFonts w:ascii="Arial" w:hAnsi="Arial" w:cs="Arial"/>
          <w:sz w:val="24"/>
          <w:szCs w:val="24"/>
        </w:rPr>
        <w:t>c</w:t>
      </w:r>
      <w:r>
        <w:rPr>
          <w:rFonts w:ascii="Arial" w:hAnsi="Arial" w:cs="Arial"/>
          <w:sz w:val="24"/>
          <w:szCs w:val="24"/>
        </w:rPr>
        <w:t>ould also</w:t>
      </w:r>
      <w:r w:rsidR="00D55EFE">
        <w:rPr>
          <w:rFonts w:ascii="Arial" w:hAnsi="Arial" w:cs="Arial"/>
          <w:sz w:val="24"/>
          <w:szCs w:val="24"/>
        </w:rPr>
        <w:t xml:space="preserve"> provide operational benefits, especially for smaller CCPs that cannot afford a treasury trading desk</w:t>
      </w:r>
      <w:r w:rsidR="003B5A89">
        <w:rPr>
          <w:rFonts w:ascii="Arial" w:hAnsi="Arial" w:cs="Arial"/>
          <w:sz w:val="24"/>
          <w:szCs w:val="24"/>
        </w:rPr>
        <w:t>, or for investment in currencies which are not the home currency of the CCP, or which are in a different time zone.</w:t>
      </w:r>
    </w:p>
    <w:p w14:paraId="4950333D" w14:textId="3A2B7FB4"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4C170CA1" w:rsidRPr="3F0C4E82">
        <w:rPr>
          <w:rFonts w:ascii="Arial" w:hAnsi="Arial" w:cs="Arial"/>
          <w:sz w:val="24"/>
          <w:szCs w:val="24"/>
        </w:rPr>
        <w:t xml:space="preserve"> CCP investment policy</w:t>
      </w:r>
      <w:r w:rsidRPr="3F0C4E82">
        <w:rPr>
          <w:rFonts w:ascii="Arial" w:hAnsi="Arial" w:cs="Arial"/>
          <w:sz w:val="24"/>
          <w:szCs w:val="24"/>
        </w:rPr>
        <w:t>_04&gt;</w:t>
      </w:r>
      <w:r w:rsidRPr="3F0C4E82">
        <w:rPr>
          <w:rFonts w:ascii="Arial" w:hAnsi="Arial" w:cs="Arial"/>
          <w:b/>
          <w:bCs/>
          <w:sz w:val="24"/>
          <w:szCs w:val="24"/>
        </w:rPr>
        <w:t xml:space="preserve"> </w:t>
      </w:r>
    </w:p>
    <w:p w14:paraId="24CA8154" w14:textId="77777777" w:rsidR="002427D5" w:rsidRPr="003B0BF2" w:rsidRDefault="002427D5" w:rsidP="002427D5">
      <w:pPr>
        <w:rPr>
          <w:rFonts w:ascii="Arial" w:hAnsi="Arial" w:cs="Arial"/>
          <w:sz w:val="24"/>
          <w:szCs w:val="24"/>
        </w:rPr>
      </w:pPr>
    </w:p>
    <w:p w14:paraId="07D04903" w14:textId="4D57BCDF"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policy approach that benefits should outweigh risks to support a policy change?</w:t>
      </w:r>
    </w:p>
    <w:p w14:paraId="5C8DB53B" w14:textId="3D46C84B"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4DB2AB2B" w:rsidRPr="3F0C4E82">
        <w:rPr>
          <w:rFonts w:ascii="Arial" w:hAnsi="Arial" w:cs="Arial"/>
          <w:sz w:val="24"/>
          <w:szCs w:val="24"/>
        </w:rPr>
        <w:t xml:space="preserve"> CCP investment policy</w:t>
      </w:r>
      <w:r w:rsidRPr="3F0C4E82">
        <w:rPr>
          <w:rFonts w:ascii="Arial" w:hAnsi="Arial" w:cs="Arial"/>
          <w:sz w:val="24"/>
          <w:szCs w:val="24"/>
        </w:rPr>
        <w:t>_05&gt;</w:t>
      </w:r>
    </w:p>
    <w:p w14:paraId="0A6E4D85" w14:textId="40F57098" w:rsidR="004835B8" w:rsidRDefault="004835B8" w:rsidP="002427D5">
      <w:pPr>
        <w:rPr>
          <w:rFonts w:ascii="Arial" w:hAnsi="Arial" w:cs="Arial"/>
          <w:sz w:val="24"/>
          <w:szCs w:val="24"/>
        </w:rPr>
      </w:pPr>
      <w:r>
        <w:rPr>
          <w:rFonts w:ascii="Arial" w:hAnsi="Arial" w:cs="Arial"/>
          <w:sz w:val="24"/>
          <w:szCs w:val="24"/>
        </w:rPr>
        <w:t xml:space="preserve">We fully agree that </w:t>
      </w:r>
      <w:r w:rsidR="00A93B93">
        <w:rPr>
          <w:rFonts w:ascii="Arial" w:hAnsi="Arial" w:cs="Arial"/>
          <w:sz w:val="24"/>
          <w:szCs w:val="24"/>
        </w:rPr>
        <w:t>the policy approach should only be changed if the benefits outweigh risks. G</w:t>
      </w:r>
      <w:r w:rsidR="00F66637">
        <w:rPr>
          <w:rFonts w:ascii="Arial" w:hAnsi="Arial" w:cs="Arial"/>
          <w:sz w:val="24"/>
          <w:szCs w:val="24"/>
        </w:rPr>
        <w:t xml:space="preserve">iven the nuances of CCP risk management frameworks, we believe the policy should </w:t>
      </w:r>
      <w:r w:rsidR="007A6569">
        <w:rPr>
          <w:rFonts w:ascii="Arial" w:hAnsi="Arial" w:cs="Arial"/>
          <w:sz w:val="24"/>
          <w:szCs w:val="24"/>
        </w:rPr>
        <w:t>allow CCPs to adapt their risk management framework in a way that benefits outweigh risks in their particular case.</w:t>
      </w:r>
      <w:r w:rsidR="00F95894">
        <w:rPr>
          <w:rFonts w:ascii="Arial" w:hAnsi="Arial" w:cs="Arial"/>
          <w:sz w:val="24"/>
          <w:szCs w:val="24"/>
        </w:rPr>
        <w:t xml:space="preserve"> It is difficult for regulation to prescribe where this </w:t>
      </w:r>
      <w:r w:rsidR="00D47613">
        <w:rPr>
          <w:rFonts w:ascii="Arial" w:hAnsi="Arial" w:cs="Arial"/>
          <w:sz w:val="24"/>
          <w:szCs w:val="24"/>
        </w:rPr>
        <w:t>balance between risk and benefits lies for each CCP</w:t>
      </w:r>
      <w:r w:rsidR="00A67C8B" w:rsidRPr="00A67C8B">
        <w:rPr>
          <w:rFonts w:ascii="Arial" w:hAnsi="Arial" w:cs="Arial"/>
          <w:sz w:val="24"/>
          <w:szCs w:val="24"/>
        </w:rPr>
        <w:t xml:space="preserve">, particularly given how much can and does change in the market and in other regulation in the </w:t>
      </w:r>
      <w:r w:rsidR="00A67C8B">
        <w:rPr>
          <w:rFonts w:ascii="Arial" w:hAnsi="Arial" w:cs="Arial"/>
          <w:sz w:val="24"/>
          <w:szCs w:val="24"/>
        </w:rPr>
        <w:t>time</w:t>
      </w:r>
      <w:r w:rsidR="00A67C8B" w:rsidRPr="00A67C8B">
        <w:rPr>
          <w:rFonts w:ascii="Arial" w:hAnsi="Arial" w:cs="Arial"/>
          <w:sz w:val="24"/>
          <w:szCs w:val="24"/>
        </w:rPr>
        <w:t xml:space="preserve"> before a regulatory issue is commonly revisited</w:t>
      </w:r>
      <w:r w:rsidR="00D47613">
        <w:rPr>
          <w:rFonts w:ascii="Arial" w:hAnsi="Arial" w:cs="Arial"/>
          <w:sz w:val="24"/>
          <w:szCs w:val="24"/>
        </w:rPr>
        <w:t>.</w:t>
      </w:r>
    </w:p>
    <w:p w14:paraId="574EEFAD" w14:textId="7E50BDEE" w:rsidR="00A93B93" w:rsidRPr="003B0BF2" w:rsidRDefault="00D52A85" w:rsidP="002427D5">
      <w:pPr>
        <w:rPr>
          <w:rFonts w:ascii="Arial" w:hAnsi="Arial" w:cs="Arial"/>
          <w:sz w:val="24"/>
          <w:szCs w:val="24"/>
        </w:rPr>
      </w:pPr>
      <w:r>
        <w:rPr>
          <w:rFonts w:ascii="Arial" w:hAnsi="Arial" w:cs="Arial"/>
          <w:sz w:val="24"/>
          <w:szCs w:val="24"/>
        </w:rPr>
        <w:t xml:space="preserve">We believe that ESMA shouldn’t refrain from </w:t>
      </w:r>
      <w:r w:rsidR="0007788B">
        <w:rPr>
          <w:rFonts w:ascii="Arial" w:hAnsi="Arial" w:cs="Arial"/>
          <w:sz w:val="24"/>
          <w:szCs w:val="24"/>
        </w:rPr>
        <w:t xml:space="preserve">enacting policy changes because there might be </w:t>
      </w:r>
      <w:r w:rsidR="00555996">
        <w:rPr>
          <w:rFonts w:ascii="Arial" w:hAnsi="Arial" w:cs="Arial"/>
          <w:sz w:val="24"/>
          <w:szCs w:val="24"/>
        </w:rPr>
        <w:t xml:space="preserve">specific </w:t>
      </w:r>
      <w:r w:rsidR="0007788B">
        <w:rPr>
          <w:rFonts w:ascii="Arial" w:hAnsi="Arial" w:cs="Arial"/>
          <w:sz w:val="24"/>
          <w:szCs w:val="24"/>
        </w:rPr>
        <w:t xml:space="preserve">cases where benefits don’t outweigh risks. </w:t>
      </w:r>
    </w:p>
    <w:p w14:paraId="21BDBAE4" w14:textId="22ED4033" w:rsidR="00193BB0" w:rsidRDefault="008F5358" w:rsidP="3F0C4E82">
      <w:pPr>
        <w:rPr>
          <w:rFonts w:ascii="Arial" w:hAnsi="Arial" w:cs="Arial"/>
          <w:sz w:val="24"/>
          <w:szCs w:val="24"/>
        </w:rPr>
      </w:pPr>
      <w:r w:rsidRPr="008F5358">
        <w:rPr>
          <w:rFonts w:ascii="Arial" w:hAnsi="Arial" w:cs="Arial"/>
          <w:sz w:val="24"/>
          <w:szCs w:val="24"/>
        </w:rPr>
        <w:t>CCPs themselves apply stringent risk controls. CCPs’ central function is risk management and CCPs have carefully constructed risk controls and governance</w:t>
      </w:r>
      <w:r w:rsidR="005A0C7E">
        <w:rPr>
          <w:rFonts w:ascii="Arial" w:hAnsi="Arial" w:cs="Arial"/>
          <w:sz w:val="24"/>
          <w:szCs w:val="24"/>
        </w:rPr>
        <w:t xml:space="preserve">. </w:t>
      </w:r>
      <w:r w:rsidR="00F24242">
        <w:rPr>
          <w:rFonts w:ascii="Arial" w:hAnsi="Arial" w:cs="Arial"/>
          <w:sz w:val="24"/>
          <w:szCs w:val="24"/>
        </w:rPr>
        <w:t xml:space="preserve">A </w:t>
      </w:r>
      <w:r w:rsidR="005A0C7E">
        <w:rPr>
          <w:rFonts w:ascii="Arial" w:hAnsi="Arial" w:cs="Arial"/>
          <w:sz w:val="24"/>
          <w:szCs w:val="24"/>
        </w:rPr>
        <w:t xml:space="preserve">CCP’s </w:t>
      </w:r>
      <w:r w:rsidR="00F24242">
        <w:rPr>
          <w:rFonts w:ascii="Arial" w:hAnsi="Arial" w:cs="Arial"/>
          <w:sz w:val="24"/>
          <w:szCs w:val="24"/>
        </w:rPr>
        <w:t xml:space="preserve">members </w:t>
      </w:r>
      <w:r w:rsidR="007E43A2">
        <w:rPr>
          <w:rFonts w:ascii="Arial" w:hAnsi="Arial" w:cs="Arial"/>
          <w:sz w:val="24"/>
          <w:szCs w:val="24"/>
        </w:rPr>
        <w:t xml:space="preserve">also have an interest in extremely </w:t>
      </w:r>
      <w:r w:rsidR="003C1E9A">
        <w:rPr>
          <w:rFonts w:ascii="Arial" w:hAnsi="Arial" w:cs="Arial"/>
          <w:sz w:val="24"/>
          <w:szCs w:val="24"/>
        </w:rPr>
        <w:t>conservative</w:t>
      </w:r>
      <w:r w:rsidR="007E43A2">
        <w:rPr>
          <w:rFonts w:ascii="Arial" w:hAnsi="Arial" w:cs="Arial"/>
          <w:sz w:val="24"/>
          <w:szCs w:val="24"/>
        </w:rPr>
        <w:t xml:space="preserve"> risk management framework</w:t>
      </w:r>
      <w:r w:rsidR="005A4DF9">
        <w:rPr>
          <w:rFonts w:ascii="Arial" w:hAnsi="Arial" w:cs="Arial"/>
          <w:sz w:val="24"/>
          <w:szCs w:val="24"/>
        </w:rPr>
        <w:t>s</w:t>
      </w:r>
      <w:r w:rsidR="007E43A2">
        <w:rPr>
          <w:rFonts w:ascii="Arial" w:hAnsi="Arial" w:cs="Arial"/>
          <w:sz w:val="24"/>
          <w:szCs w:val="24"/>
        </w:rPr>
        <w:t xml:space="preserve">. </w:t>
      </w:r>
      <w:r w:rsidR="00BE7EF7">
        <w:rPr>
          <w:rFonts w:ascii="Arial" w:hAnsi="Arial" w:cs="Arial"/>
          <w:sz w:val="24"/>
          <w:szCs w:val="24"/>
        </w:rPr>
        <w:t xml:space="preserve">Their </w:t>
      </w:r>
      <w:r w:rsidR="008C4BD2">
        <w:rPr>
          <w:rFonts w:ascii="Arial" w:hAnsi="Arial" w:cs="Arial"/>
          <w:sz w:val="24"/>
          <w:szCs w:val="24"/>
        </w:rPr>
        <w:t>participation</w:t>
      </w:r>
      <w:r w:rsidR="00BE7EF7">
        <w:rPr>
          <w:rFonts w:ascii="Arial" w:hAnsi="Arial" w:cs="Arial"/>
          <w:sz w:val="24"/>
          <w:szCs w:val="24"/>
        </w:rPr>
        <w:t xml:space="preserve"> in for instance the risk committee of a CCP will give them as a group a lever to ensure </w:t>
      </w:r>
      <w:r w:rsidR="008C4BD2">
        <w:rPr>
          <w:rFonts w:ascii="Arial" w:hAnsi="Arial" w:cs="Arial"/>
          <w:sz w:val="24"/>
          <w:szCs w:val="24"/>
        </w:rPr>
        <w:t xml:space="preserve">investment policies that won’t take undue risks. </w:t>
      </w:r>
      <w:r w:rsidRPr="008F5358">
        <w:rPr>
          <w:rFonts w:ascii="Arial" w:hAnsi="Arial" w:cs="Arial"/>
          <w:sz w:val="24"/>
          <w:szCs w:val="24"/>
        </w:rPr>
        <w:t xml:space="preserve">CCPs are heavily regulated and supervised, often by multiple regulators, helping to ensure day-to-day governance and also allowing finer control of CCP investment as regulation evolves (such as the introduction of the MMF regulation) and the market </w:t>
      </w:r>
      <w:r w:rsidR="003C1E9A">
        <w:rPr>
          <w:rFonts w:ascii="Arial" w:hAnsi="Arial" w:cs="Arial"/>
          <w:sz w:val="24"/>
          <w:szCs w:val="24"/>
        </w:rPr>
        <w:t xml:space="preserve">conditions like the interest rate levels </w:t>
      </w:r>
      <w:r w:rsidRPr="008F5358">
        <w:rPr>
          <w:rFonts w:ascii="Arial" w:hAnsi="Arial" w:cs="Arial"/>
          <w:sz w:val="24"/>
          <w:szCs w:val="24"/>
        </w:rPr>
        <w:t>changes</w:t>
      </w:r>
      <w:r w:rsidR="003C1E9A">
        <w:rPr>
          <w:rFonts w:ascii="Arial" w:hAnsi="Arial" w:cs="Arial"/>
          <w:sz w:val="24"/>
          <w:szCs w:val="24"/>
        </w:rPr>
        <w:t>.</w:t>
      </w:r>
      <w:r w:rsidR="000B0F32">
        <w:rPr>
          <w:rFonts w:ascii="Arial" w:hAnsi="Arial" w:cs="Arial"/>
          <w:sz w:val="24"/>
          <w:szCs w:val="24"/>
        </w:rPr>
        <w:t xml:space="preserve"> </w:t>
      </w:r>
      <w:r w:rsidR="00E9543D">
        <w:rPr>
          <w:rFonts w:ascii="Arial" w:hAnsi="Arial" w:cs="Arial"/>
          <w:sz w:val="24"/>
          <w:szCs w:val="24"/>
        </w:rPr>
        <w:t xml:space="preserve">Neither of these governance </w:t>
      </w:r>
      <w:r w:rsidR="007110EC">
        <w:rPr>
          <w:rFonts w:ascii="Arial" w:hAnsi="Arial" w:cs="Arial"/>
          <w:sz w:val="24"/>
          <w:szCs w:val="24"/>
        </w:rPr>
        <w:t>structures</w:t>
      </w:r>
      <w:r w:rsidR="00E9543D">
        <w:rPr>
          <w:rFonts w:ascii="Arial" w:hAnsi="Arial" w:cs="Arial"/>
          <w:sz w:val="24"/>
          <w:szCs w:val="24"/>
        </w:rPr>
        <w:t xml:space="preserve"> will accept changes </w:t>
      </w:r>
      <w:r w:rsidR="005A68B4">
        <w:rPr>
          <w:rFonts w:ascii="Arial" w:hAnsi="Arial" w:cs="Arial"/>
          <w:sz w:val="24"/>
          <w:szCs w:val="24"/>
        </w:rPr>
        <w:t>that</w:t>
      </w:r>
      <w:r w:rsidR="00E9543D">
        <w:rPr>
          <w:rFonts w:ascii="Arial" w:hAnsi="Arial" w:cs="Arial"/>
          <w:sz w:val="24"/>
          <w:szCs w:val="24"/>
        </w:rPr>
        <w:t xml:space="preserve"> would introduce risks that outweigh benefits.</w:t>
      </w:r>
    </w:p>
    <w:p w14:paraId="47D977A9" w14:textId="77777777" w:rsidR="00193BB0" w:rsidRDefault="00193BB0" w:rsidP="3F0C4E82">
      <w:pPr>
        <w:rPr>
          <w:rFonts w:ascii="Arial" w:hAnsi="Arial" w:cs="Arial"/>
          <w:sz w:val="24"/>
          <w:szCs w:val="24"/>
        </w:rPr>
      </w:pPr>
    </w:p>
    <w:p w14:paraId="0064AA9F" w14:textId="173ADA68"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2A1194EA" w:rsidRPr="3F0C4E82">
        <w:rPr>
          <w:rFonts w:ascii="Arial" w:hAnsi="Arial" w:cs="Arial"/>
          <w:sz w:val="24"/>
          <w:szCs w:val="24"/>
        </w:rPr>
        <w:t xml:space="preserve"> CCP investment policy</w:t>
      </w:r>
      <w:r w:rsidRPr="3F0C4E82">
        <w:rPr>
          <w:rFonts w:ascii="Arial" w:hAnsi="Arial" w:cs="Arial"/>
          <w:sz w:val="24"/>
          <w:szCs w:val="24"/>
        </w:rPr>
        <w:t>_05&gt;</w:t>
      </w:r>
    </w:p>
    <w:p w14:paraId="30F24797" w14:textId="77777777" w:rsidR="002427D5" w:rsidRPr="003B0BF2" w:rsidRDefault="002427D5" w:rsidP="002427D5">
      <w:pPr>
        <w:rPr>
          <w:rFonts w:ascii="Arial" w:hAnsi="Arial" w:cs="Arial"/>
          <w:sz w:val="24"/>
          <w:szCs w:val="24"/>
        </w:rPr>
      </w:pPr>
    </w:p>
    <w:p w14:paraId="59B13DAD" w14:textId="669E0FCA"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approach to focus on the list of conditions to define highly liquid instruments bearing minimal credit and market risk? Do you believe it would be appropriate to align EMIR with other definitions of highly liquid instruments in the EU financial legislation, such as CRR?</w:t>
      </w:r>
    </w:p>
    <w:p w14:paraId="7F980B8E" w14:textId="62750E35"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4D0646EA" w:rsidRPr="3F0C4E82">
        <w:rPr>
          <w:rFonts w:ascii="Arial" w:hAnsi="Arial" w:cs="Arial"/>
          <w:sz w:val="24"/>
          <w:szCs w:val="24"/>
        </w:rPr>
        <w:t xml:space="preserve"> CCP investment policy</w:t>
      </w:r>
      <w:r w:rsidRPr="3F0C4E82">
        <w:rPr>
          <w:rFonts w:ascii="Arial" w:hAnsi="Arial" w:cs="Arial"/>
          <w:sz w:val="24"/>
          <w:szCs w:val="24"/>
        </w:rPr>
        <w:t>_06&gt;</w:t>
      </w:r>
    </w:p>
    <w:p w14:paraId="7B9B9E71" w14:textId="1A3029FD" w:rsidR="00285E9C" w:rsidRDefault="00285E9C" w:rsidP="002427D5">
      <w:pPr>
        <w:rPr>
          <w:rFonts w:ascii="Arial" w:hAnsi="Arial" w:cs="Arial"/>
          <w:sz w:val="24"/>
          <w:szCs w:val="24"/>
        </w:rPr>
      </w:pPr>
      <w:r>
        <w:rPr>
          <w:rFonts w:ascii="Arial" w:hAnsi="Arial" w:cs="Arial"/>
          <w:sz w:val="24"/>
          <w:szCs w:val="24"/>
        </w:rPr>
        <w:t xml:space="preserve">We agree with </w:t>
      </w:r>
      <w:r w:rsidRPr="003B0BF2">
        <w:rPr>
          <w:rFonts w:ascii="Arial" w:hAnsi="Arial" w:cs="Arial"/>
          <w:sz w:val="24"/>
          <w:szCs w:val="24"/>
        </w:rPr>
        <w:t>ESMA’s approach to focus on the list of conditions to define highly liquid instruments bearing minimal credit and market ris</w:t>
      </w:r>
      <w:r w:rsidR="00484715">
        <w:rPr>
          <w:rFonts w:ascii="Arial" w:hAnsi="Arial" w:cs="Arial"/>
          <w:sz w:val="24"/>
          <w:szCs w:val="24"/>
        </w:rPr>
        <w:t>k.</w:t>
      </w:r>
    </w:p>
    <w:p w14:paraId="44C7853C" w14:textId="4A2415EB" w:rsidR="00484715" w:rsidRPr="003B0BF2" w:rsidRDefault="00484715" w:rsidP="002427D5">
      <w:pPr>
        <w:rPr>
          <w:rFonts w:ascii="Arial" w:hAnsi="Arial" w:cs="Arial"/>
          <w:sz w:val="24"/>
          <w:szCs w:val="24"/>
        </w:rPr>
      </w:pPr>
      <w:r>
        <w:rPr>
          <w:rFonts w:ascii="Arial" w:hAnsi="Arial" w:cs="Arial"/>
          <w:sz w:val="24"/>
          <w:szCs w:val="24"/>
        </w:rPr>
        <w:t xml:space="preserve">It will at least be appropriate to analyse whether EMIR could be aligned </w:t>
      </w:r>
      <w:r w:rsidRPr="00484715">
        <w:rPr>
          <w:rFonts w:ascii="Arial" w:hAnsi="Arial" w:cs="Arial"/>
          <w:sz w:val="24"/>
          <w:szCs w:val="24"/>
        </w:rPr>
        <w:t>with other definitions of highly liquid instruments in the EU financial legislation, such as CRR</w:t>
      </w:r>
      <w:r>
        <w:rPr>
          <w:rFonts w:ascii="Arial" w:hAnsi="Arial" w:cs="Arial"/>
          <w:sz w:val="24"/>
          <w:szCs w:val="24"/>
        </w:rPr>
        <w:t>, as long as the</w:t>
      </w:r>
      <w:r w:rsidR="00483779">
        <w:rPr>
          <w:rFonts w:ascii="Arial" w:hAnsi="Arial" w:cs="Arial"/>
          <w:sz w:val="24"/>
          <w:szCs w:val="24"/>
        </w:rPr>
        <w:t xml:space="preserve"> context of these definitions is the same.</w:t>
      </w:r>
      <w:r w:rsidR="00145F8D">
        <w:rPr>
          <w:rFonts w:ascii="Arial" w:hAnsi="Arial" w:cs="Arial"/>
          <w:sz w:val="24"/>
          <w:szCs w:val="24"/>
        </w:rPr>
        <w:t xml:space="preserve"> </w:t>
      </w:r>
      <w:r w:rsidR="00145F8D" w:rsidRPr="00145F8D">
        <w:rPr>
          <w:rFonts w:ascii="Arial" w:hAnsi="Arial" w:cs="Arial"/>
          <w:sz w:val="24"/>
          <w:szCs w:val="24"/>
        </w:rPr>
        <w:t xml:space="preserve">Such analysis should take into account the differences between purpose of </w:t>
      </w:r>
      <w:r w:rsidR="008521D3">
        <w:rPr>
          <w:rFonts w:ascii="Arial" w:hAnsi="Arial" w:cs="Arial"/>
          <w:sz w:val="24"/>
          <w:szCs w:val="24"/>
        </w:rPr>
        <w:t xml:space="preserve">the </w:t>
      </w:r>
      <w:r w:rsidR="00145F8D" w:rsidRPr="00145F8D">
        <w:rPr>
          <w:rFonts w:ascii="Arial" w:hAnsi="Arial" w:cs="Arial"/>
          <w:sz w:val="24"/>
          <w:szCs w:val="24"/>
        </w:rPr>
        <w:t>CRR and purpose of the CCP investment policy controls and the differences in how investment banks and CCP apply their respective risk controls.</w:t>
      </w:r>
    </w:p>
    <w:p w14:paraId="32B68D8A" w14:textId="16407096"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04364A4F" w:rsidRPr="3F0C4E82">
        <w:rPr>
          <w:rFonts w:ascii="Arial" w:hAnsi="Arial" w:cs="Arial"/>
          <w:sz w:val="24"/>
          <w:szCs w:val="24"/>
        </w:rPr>
        <w:t xml:space="preserve"> CCP investment policy</w:t>
      </w:r>
      <w:r w:rsidRPr="3F0C4E82">
        <w:rPr>
          <w:rFonts w:ascii="Arial" w:hAnsi="Arial" w:cs="Arial"/>
          <w:sz w:val="24"/>
          <w:szCs w:val="24"/>
        </w:rPr>
        <w:t>_06&gt;</w:t>
      </w:r>
    </w:p>
    <w:p w14:paraId="65DBF48B" w14:textId="338891DC" w:rsidR="002427D5" w:rsidRPr="003B0BF2" w:rsidRDefault="002427D5" w:rsidP="002427D5">
      <w:pPr>
        <w:rPr>
          <w:rFonts w:ascii="Arial" w:hAnsi="Arial" w:cs="Arial"/>
          <w:sz w:val="24"/>
          <w:szCs w:val="24"/>
        </w:rPr>
      </w:pPr>
    </w:p>
    <w:p w14:paraId="1362C89F" w14:textId="01B7E30D" w:rsidR="00344479" w:rsidRPr="003B0BF2" w:rsidRDefault="002427D5" w:rsidP="00344479">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With regards to condition (a) on public entities outlined in Annex II:</w:t>
      </w:r>
    </w:p>
    <w:p w14:paraId="72270124" w14:textId="77777777" w:rsidR="00344479" w:rsidRPr="003B0BF2" w:rsidRDefault="00344479" w:rsidP="00344479">
      <w:pPr>
        <w:pStyle w:val="Questionstyle"/>
        <w:numPr>
          <w:ilvl w:val="0"/>
          <w:numId w:val="0"/>
        </w:numPr>
        <w:ind w:left="709"/>
        <w:rPr>
          <w:rFonts w:ascii="Arial" w:hAnsi="Arial" w:cs="Arial"/>
          <w:sz w:val="24"/>
          <w:szCs w:val="24"/>
        </w:rPr>
      </w:pPr>
    </w:p>
    <w:p w14:paraId="27BA9E6F" w14:textId="6BC9652A"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 xml:space="preserve">Should the list of international organisations be expanded beyond the EFSF and the ESM to explicitly include the EU? </w:t>
      </w:r>
    </w:p>
    <w:p w14:paraId="4211E388"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Should it include other international organisations (IMF? BIS? Others?)?</w:t>
      </w:r>
    </w:p>
    <w:p w14:paraId="4352A249"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Do you agree with ESMA’s legal analysis that it is not necessary to explicitly include regional governments and local authorities as these should be covered by the generic term of government under condition (a)(i)? Should ESMA consider adding conditions similar to those outlined in Article 115 of the CRR?</w:t>
      </w:r>
    </w:p>
    <w:p w14:paraId="5428A81B"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 xml:space="preserve">Should ESMA consider limiting the list of governments and central banks in particular to those from third-countries deemed to have equivalent regulatory and supervisory arrangements? </w:t>
      </w:r>
    </w:p>
    <w:p w14:paraId="424158A1" w14:textId="5A513371" w:rsidR="002427D5"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Do you agree that the list of multilateral development bank listed under Article 177(2) of CRR is suitable?</w:t>
      </w:r>
    </w:p>
    <w:p w14:paraId="5FF1F40D" w14:textId="1A9F70D5" w:rsidR="002427D5" w:rsidRPr="003B0BF2" w:rsidRDefault="002427D5" w:rsidP="3F0C4E82">
      <w:pPr>
        <w:rPr>
          <w:rFonts w:ascii="Arial" w:hAnsi="Arial" w:cs="Arial"/>
          <w:sz w:val="24"/>
          <w:szCs w:val="24"/>
        </w:rPr>
      </w:pPr>
      <w:bookmarkStart w:id="1" w:name="_Hlk76119475"/>
      <w:r w:rsidRPr="3F0C4E82">
        <w:rPr>
          <w:rFonts w:ascii="Arial" w:hAnsi="Arial" w:cs="Arial"/>
          <w:sz w:val="24"/>
          <w:szCs w:val="24"/>
        </w:rPr>
        <w:t>&lt;ESMA_QUESTION_</w:t>
      </w:r>
      <w:r w:rsidR="02118703" w:rsidRPr="3F0C4E82">
        <w:rPr>
          <w:rFonts w:ascii="Arial" w:hAnsi="Arial" w:cs="Arial"/>
          <w:sz w:val="24"/>
          <w:szCs w:val="24"/>
        </w:rPr>
        <w:t xml:space="preserve"> CCP investment policy</w:t>
      </w:r>
      <w:r w:rsidRPr="3F0C4E82">
        <w:rPr>
          <w:rFonts w:ascii="Arial" w:hAnsi="Arial" w:cs="Arial"/>
          <w:sz w:val="24"/>
          <w:szCs w:val="24"/>
        </w:rPr>
        <w:t>_07&gt;</w:t>
      </w:r>
    </w:p>
    <w:p w14:paraId="27FE7A67" w14:textId="350CBBFE" w:rsidR="00203DC4" w:rsidRDefault="00203DC4" w:rsidP="002427D5">
      <w:pPr>
        <w:rPr>
          <w:rFonts w:ascii="Arial" w:hAnsi="Arial" w:cs="Arial"/>
          <w:sz w:val="24"/>
          <w:szCs w:val="24"/>
        </w:rPr>
      </w:pPr>
      <w:r w:rsidRPr="00203DC4">
        <w:rPr>
          <w:rFonts w:ascii="Arial" w:hAnsi="Arial" w:cs="Arial"/>
          <w:sz w:val="24"/>
          <w:szCs w:val="24"/>
        </w:rPr>
        <w:t>We agree with the suggestion to expand the list of eligible public entity investments, as suggested, provided that they meet the conditions applicable to highly liquid financial instruments as set out in Annex II.</w:t>
      </w:r>
    </w:p>
    <w:p w14:paraId="4494C4E2" w14:textId="147390C0" w:rsidR="00ED70DA" w:rsidRDefault="00ED70DA" w:rsidP="002427D5">
      <w:pPr>
        <w:rPr>
          <w:rFonts w:ascii="Arial" w:hAnsi="Arial" w:cs="Arial"/>
          <w:sz w:val="24"/>
          <w:szCs w:val="24"/>
        </w:rPr>
      </w:pPr>
      <w:r>
        <w:rPr>
          <w:rFonts w:ascii="Arial" w:hAnsi="Arial" w:cs="Arial"/>
          <w:sz w:val="24"/>
          <w:szCs w:val="24"/>
        </w:rPr>
        <w:t xml:space="preserve">We also agree with the </w:t>
      </w:r>
      <w:r w:rsidR="000B2962" w:rsidRPr="000B2962">
        <w:rPr>
          <w:rFonts w:ascii="Arial" w:hAnsi="Arial" w:cs="Arial"/>
          <w:sz w:val="24"/>
          <w:szCs w:val="24"/>
        </w:rPr>
        <w:t>list of international organisations be expanded beyond the EFSF and the ESM to explicitly include the EU</w:t>
      </w:r>
      <w:r w:rsidR="00B71450">
        <w:rPr>
          <w:rFonts w:ascii="Arial" w:hAnsi="Arial" w:cs="Arial"/>
          <w:sz w:val="24"/>
          <w:szCs w:val="24"/>
        </w:rPr>
        <w:t>, IMF</w:t>
      </w:r>
      <w:r w:rsidR="00073AA5">
        <w:rPr>
          <w:rFonts w:ascii="Arial" w:hAnsi="Arial" w:cs="Arial"/>
          <w:sz w:val="24"/>
          <w:szCs w:val="24"/>
        </w:rPr>
        <w:t xml:space="preserve">, </w:t>
      </w:r>
      <w:r w:rsidR="00B71450">
        <w:rPr>
          <w:rFonts w:ascii="Arial" w:hAnsi="Arial" w:cs="Arial"/>
          <w:sz w:val="24"/>
          <w:szCs w:val="24"/>
        </w:rPr>
        <w:t>BIS</w:t>
      </w:r>
      <w:r w:rsidR="00C21DF9">
        <w:rPr>
          <w:rFonts w:ascii="Arial" w:hAnsi="Arial" w:cs="Arial"/>
          <w:sz w:val="24"/>
          <w:szCs w:val="24"/>
        </w:rPr>
        <w:t xml:space="preserve"> </w:t>
      </w:r>
      <w:r w:rsidR="00073AA5">
        <w:rPr>
          <w:rFonts w:ascii="Arial" w:hAnsi="Arial" w:cs="Arial"/>
          <w:sz w:val="24"/>
          <w:szCs w:val="24"/>
        </w:rPr>
        <w:t>and similar entities.</w:t>
      </w:r>
    </w:p>
    <w:p w14:paraId="48F7399E" w14:textId="388253F7" w:rsidR="006F5060" w:rsidRDefault="000F2B90" w:rsidP="002427D5">
      <w:pPr>
        <w:rPr>
          <w:rFonts w:ascii="Arial" w:hAnsi="Arial" w:cs="Arial"/>
          <w:sz w:val="24"/>
          <w:szCs w:val="24"/>
        </w:rPr>
      </w:pPr>
      <w:r>
        <w:rPr>
          <w:rFonts w:ascii="Arial" w:hAnsi="Arial" w:cs="Arial"/>
          <w:sz w:val="24"/>
          <w:szCs w:val="24"/>
        </w:rPr>
        <w:t xml:space="preserve">To sub-question iv, we don’t believe that </w:t>
      </w:r>
      <w:r w:rsidRPr="000F2B90">
        <w:rPr>
          <w:rFonts w:ascii="Arial" w:hAnsi="Arial" w:cs="Arial"/>
          <w:sz w:val="24"/>
          <w:szCs w:val="24"/>
        </w:rPr>
        <w:t>equivalent regulatory and supervisory arrangements</w:t>
      </w:r>
      <w:r w:rsidR="004B288A">
        <w:rPr>
          <w:rFonts w:ascii="Arial" w:hAnsi="Arial" w:cs="Arial"/>
          <w:sz w:val="24"/>
          <w:szCs w:val="24"/>
        </w:rPr>
        <w:t xml:space="preserve"> are relevant for government bonds: all that should count is the credit quality and market risk of these government bonds.</w:t>
      </w:r>
    </w:p>
    <w:p w14:paraId="23B35850" w14:textId="5A26502A"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59B89C2B" w:rsidRPr="3F0C4E82">
        <w:rPr>
          <w:rFonts w:ascii="Arial" w:hAnsi="Arial" w:cs="Arial"/>
          <w:sz w:val="24"/>
          <w:szCs w:val="24"/>
        </w:rPr>
        <w:t xml:space="preserve"> CCP investment policy</w:t>
      </w:r>
      <w:r w:rsidRPr="3F0C4E82">
        <w:rPr>
          <w:rFonts w:ascii="Arial" w:hAnsi="Arial" w:cs="Arial"/>
          <w:sz w:val="24"/>
          <w:szCs w:val="24"/>
        </w:rPr>
        <w:t>_07&gt;</w:t>
      </w:r>
    </w:p>
    <w:bookmarkEnd w:id="1"/>
    <w:p w14:paraId="6896FF9E" w14:textId="14B0D9BA" w:rsidR="002427D5" w:rsidRPr="003B0BF2" w:rsidRDefault="002427D5" w:rsidP="002427D5">
      <w:pPr>
        <w:rPr>
          <w:rFonts w:ascii="Arial" w:hAnsi="Arial" w:cs="Arial"/>
          <w:sz w:val="24"/>
          <w:szCs w:val="24"/>
        </w:rPr>
      </w:pPr>
    </w:p>
    <w:p w14:paraId="3EF98387" w14:textId="090A27AD"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Should ESMA consider expanding condition (a) to certain debt instruments issued or backed by private entities? If so, to which type of corporate debt securities (Commercial Paper, Certificates of Deposits, covered bonds, etc.)? Under what conditions? How would the benefits outweigh the added risks?</w:t>
      </w:r>
    </w:p>
    <w:p w14:paraId="0537B09B" w14:textId="213F68D7"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7F5440B5"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_08&gt;</w:t>
      </w:r>
    </w:p>
    <w:p w14:paraId="000149E2" w14:textId="34862070" w:rsidR="00B14755" w:rsidRPr="00902A61" w:rsidRDefault="00B14755" w:rsidP="00902A61">
      <w:pPr>
        <w:rPr>
          <w:rFonts w:ascii="Arial" w:hAnsi="Arial" w:cs="Arial"/>
          <w:sz w:val="24"/>
          <w:szCs w:val="24"/>
        </w:rPr>
      </w:pPr>
      <w:r w:rsidRPr="00902A61">
        <w:rPr>
          <w:rFonts w:ascii="Arial" w:hAnsi="Arial" w:cs="Arial"/>
          <w:sz w:val="24"/>
          <w:szCs w:val="24"/>
        </w:rPr>
        <w:t xml:space="preserve">We do not object to the inclusion of corporate debt securities in the list of eligible investments, subject to strict criteria to ensure they are </w:t>
      </w:r>
      <w:r w:rsidR="008D6A00">
        <w:rPr>
          <w:rFonts w:ascii="Arial" w:hAnsi="Arial" w:cs="Arial"/>
          <w:sz w:val="24"/>
          <w:szCs w:val="24"/>
        </w:rPr>
        <w:t xml:space="preserve">as </w:t>
      </w:r>
      <w:r w:rsidRPr="00902A61">
        <w:rPr>
          <w:rFonts w:ascii="Arial" w:hAnsi="Arial" w:cs="Arial"/>
          <w:sz w:val="24"/>
          <w:szCs w:val="24"/>
        </w:rPr>
        <w:t>highly liquid</w:t>
      </w:r>
      <w:r w:rsidR="00B964A4">
        <w:rPr>
          <w:rFonts w:ascii="Arial" w:hAnsi="Arial" w:cs="Arial"/>
          <w:sz w:val="24"/>
          <w:szCs w:val="24"/>
        </w:rPr>
        <w:t xml:space="preserve">, </w:t>
      </w:r>
      <w:r w:rsidR="008D6A00">
        <w:rPr>
          <w:rFonts w:ascii="Arial" w:hAnsi="Arial" w:cs="Arial"/>
          <w:sz w:val="24"/>
          <w:szCs w:val="24"/>
        </w:rPr>
        <w:t xml:space="preserve">and </w:t>
      </w:r>
      <w:r w:rsidR="00B964A4">
        <w:rPr>
          <w:rFonts w:ascii="Arial" w:hAnsi="Arial" w:cs="Arial"/>
          <w:sz w:val="24"/>
          <w:szCs w:val="24"/>
        </w:rPr>
        <w:t xml:space="preserve">of </w:t>
      </w:r>
      <w:r w:rsidR="008D6A00">
        <w:rPr>
          <w:rFonts w:ascii="Arial" w:hAnsi="Arial" w:cs="Arial"/>
          <w:sz w:val="24"/>
          <w:szCs w:val="24"/>
        </w:rPr>
        <w:t xml:space="preserve">as </w:t>
      </w:r>
      <w:r w:rsidR="00B964A4">
        <w:rPr>
          <w:rFonts w:ascii="Arial" w:hAnsi="Arial" w:cs="Arial"/>
          <w:sz w:val="24"/>
          <w:szCs w:val="24"/>
        </w:rPr>
        <w:t xml:space="preserve">high credit quality as </w:t>
      </w:r>
      <w:r w:rsidR="008D6A00">
        <w:rPr>
          <w:rFonts w:ascii="Arial" w:hAnsi="Arial" w:cs="Arial"/>
          <w:sz w:val="24"/>
          <w:szCs w:val="24"/>
        </w:rPr>
        <w:t xml:space="preserve">other eligible </w:t>
      </w:r>
      <w:r w:rsidR="00217955">
        <w:rPr>
          <w:rFonts w:ascii="Arial" w:hAnsi="Arial" w:cs="Arial"/>
          <w:sz w:val="24"/>
          <w:szCs w:val="24"/>
        </w:rPr>
        <w:t>collateral</w:t>
      </w:r>
      <w:r w:rsidR="00170116">
        <w:rPr>
          <w:rFonts w:ascii="Arial" w:hAnsi="Arial" w:cs="Arial"/>
          <w:sz w:val="24"/>
          <w:szCs w:val="24"/>
        </w:rPr>
        <w:t xml:space="preserve"> (as assessed by the CCP’s credit risk management framework)</w:t>
      </w:r>
      <w:r w:rsidR="00217955">
        <w:rPr>
          <w:rFonts w:ascii="Arial" w:hAnsi="Arial" w:cs="Arial"/>
          <w:sz w:val="24"/>
          <w:szCs w:val="24"/>
        </w:rPr>
        <w:t xml:space="preserve">; </w:t>
      </w:r>
      <w:r w:rsidRPr="00902A61">
        <w:rPr>
          <w:rFonts w:ascii="Arial" w:hAnsi="Arial" w:cs="Arial"/>
          <w:sz w:val="24"/>
          <w:szCs w:val="24"/>
        </w:rPr>
        <w:t xml:space="preserve">and that CCPs can demonstrate that they can immediately convert securities to cash. </w:t>
      </w:r>
    </w:p>
    <w:p w14:paraId="4C7C1D3F" w14:textId="7B773DAF" w:rsidR="00B14755" w:rsidRPr="00902A61" w:rsidRDefault="00B14755" w:rsidP="00902A61">
      <w:pPr>
        <w:pStyle w:val="ListParagraph"/>
        <w:numPr>
          <w:ilvl w:val="0"/>
          <w:numId w:val="10"/>
        </w:numPr>
        <w:rPr>
          <w:rFonts w:ascii="Arial" w:eastAsiaTheme="minorHAnsi" w:hAnsi="Arial" w:cs="Arial"/>
          <w:sz w:val="24"/>
          <w:szCs w:val="24"/>
        </w:rPr>
      </w:pPr>
      <w:r w:rsidRPr="00902A61">
        <w:rPr>
          <w:rFonts w:ascii="Arial" w:eastAsiaTheme="minorHAnsi" w:hAnsi="Arial" w:cs="Arial"/>
          <w:sz w:val="24"/>
          <w:szCs w:val="24"/>
        </w:rPr>
        <w:t>They should be subject to appropriate</w:t>
      </w:r>
      <w:r w:rsidR="00765589">
        <w:rPr>
          <w:rFonts w:ascii="Arial" w:eastAsiaTheme="minorHAnsi" w:hAnsi="Arial" w:cs="Arial"/>
          <w:sz w:val="24"/>
          <w:szCs w:val="24"/>
        </w:rPr>
        <w:t xml:space="preserve"> concentration limits</w:t>
      </w:r>
      <w:r w:rsidRPr="00902A61">
        <w:rPr>
          <w:rFonts w:ascii="Arial" w:eastAsiaTheme="minorHAnsi" w:hAnsi="Arial" w:cs="Arial"/>
          <w:sz w:val="24"/>
          <w:szCs w:val="24"/>
        </w:rPr>
        <w:t xml:space="preserve"> </w:t>
      </w:r>
      <w:r w:rsidR="007D40AC">
        <w:rPr>
          <w:rFonts w:ascii="Arial" w:eastAsiaTheme="minorHAnsi" w:hAnsi="Arial" w:cs="Arial"/>
          <w:sz w:val="24"/>
          <w:szCs w:val="24"/>
        </w:rPr>
        <w:t xml:space="preserve">and </w:t>
      </w:r>
      <w:r w:rsidR="007D40AC" w:rsidRPr="007D40AC">
        <w:rPr>
          <w:rFonts w:ascii="Arial" w:eastAsiaTheme="minorHAnsi" w:hAnsi="Arial" w:cs="Arial"/>
          <w:sz w:val="24"/>
          <w:szCs w:val="24"/>
        </w:rPr>
        <w:t xml:space="preserve">other risk mitigants </w:t>
      </w:r>
      <w:r w:rsidR="00EC7864" w:rsidRPr="00902A61">
        <w:rPr>
          <w:rFonts w:ascii="Arial" w:eastAsiaTheme="minorHAnsi" w:hAnsi="Arial" w:cs="Arial"/>
          <w:sz w:val="24"/>
          <w:szCs w:val="24"/>
        </w:rPr>
        <w:t>to reflect credit and market risk</w:t>
      </w:r>
      <w:r w:rsidR="00EC7864">
        <w:rPr>
          <w:rFonts w:ascii="Arial" w:eastAsiaTheme="minorHAnsi" w:hAnsi="Arial" w:cs="Arial"/>
          <w:sz w:val="24"/>
          <w:szCs w:val="24"/>
        </w:rPr>
        <w:t xml:space="preserve"> and </w:t>
      </w:r>
      <w:r w:rsidR="007D40AC" w:rsidRPr="007D40AC">
        <w:rPr>
          <w:rFonts w:ascii="Arial" w:eastAsiaTheme="minorHAnsi" w:hAnsi="Arial" w:cs="Arial"/>
          <w:sz w:val="24"/>
          <w:szCs w:val="24"/>
        </w:rPr>
        <w:t>to reduce the risk of losses to the</w:t>
      </w:r>
      <w:r w:rsidR="007D40AC" w:rsidRPr="004D38F7">
        <w:rPr>
          <w:rFonts w:ascii="Arial" w:hAnsi="Arial"/>
          <w:sz w:val="24"/>
        </w:rPr>
        <w:t xml:space="preserve"> CCP</w:t>
      </w:r>
      <w:r w:rsidR="00EC7864">
        <w:rPr>
          <w:rFonts w:ascii="Arial" w:eastAsiaTheme="minorHAnsi" w:hAnsi="Arial" w:cs="Arial"/>
          <w:sz w:val="24"/>
          <w:szCs w:val="24"/>
        </w:rPr>
        <w:t>.</w:t>
      </w:r>
    </w:p>
    <w:p w14:paraId="507AD1EE" w14:textId="77777777" w:rsidR="00B14755" w:rsidRPr="00902A61" w:rsidRDefault="00B14755" w:rsidP="00902A61">
      <w:pPr>
        <w:pStyle w:val="ListParagraph"/>
        <w:numPr>
          <w:ilvl w:val="0"/>
          <w:numId w:val="10"/>
        </w:numPr>
        <w:rPr>
          <w:rFonts w:ascii="Arial" w:eastAsiaTheme="minorHAnsi" w:hAnsi="Arial" w:cs="Arial"/>
          <w:sz w:val="24"/>
          <w:szCs w:val="24"/>
        </w:rPr>
      </w:pPr>
      <w:r w:rsidRPr="00902A61">
        <w:rPr>
          <w:rFonts w:ascii="Arial" w:eastAsiaTheme="minorHAnsi" w:hAnsi="Arial" w:cs="Arial"/>
          <w:sz w:val="24"/>
          <w:szCs w:val="24"/>
        </w:rPr>
        <w:t>There should be transparency around CCP’s risk management of its investment, to ensure that clearing members and participants are aware of the risk posed.</w:t>
      </w:r>
    </w:p>
    <w:p w14:paraId="4A3DB6E9" w14:textId="77777777" w:rsidR="00411A22" w:rsidRDefault="00411A22" w:rsidP="00902A61">
      <w:pPr>
        <w:rPr>
          <w:rFonts w:ascii="Arial" w:hAnsi="Arial" w:cs="Arial"/>
          <w:sz w:val="24"/>
          <w:szCs w:val="24"/>
        </w:rPr>
      </w:pPr>
    </w:p>
    <w:p w14:paraId="12D46936" w14:textId="7318BCC9" w:rsidR="00B14755" w:rsidRPr="00902A61" w:rsidRDefault="00B14755" w:rsidP="00902A61">
      <w:pPr>
        <w:rPr>
          <w:rFonts w:ascii="Arial" w:hAnsi="Arial" w:cs="Arial"/>
          <w:sz w:val="24"/>
          <w:szCs w:val="24"/>
        </w:rPr>
      </w:pPr>
      <w:r w:rsidRPr="00902A61">
        <w:rPr>
          <w:rFonts w:ascii="Arial" w:hAnsi="Arial" w:cs="Arial"/>
          <w:sz w:val="24"/>
          <w:szCs w:val="24"/>
        </w:rPr>
        <w:t>As the CCP makes the choices on its investments, it should be clear that the CCP is responsible for any investment-related losses.</w:t>
      </w:r>
    </w:p>
    <w:p w14:paraId="58F67869" w14:textId="79D4F69C" w:rsidR="00B14755" w:rsidRPr="00902A61" w:rsidRDefault="00B14755" w:rsidP="00B14755">
      <w:pPr>
        <w:rPr>
          <w:rFonts w:ascii="Arial" w:hAnsi="Arial" w:cs="Arial"/>
          <w:sz w:val="24"/>
          <w:szCs w:val="24"/>
        </w:rPr>
      </w:pPr>
      <w:r w:rsidRPr="00902A61">
        <w:rPr>
          <w:rFonts w:ascii="Arial" w:hAnsi="Arial" w:cs="Arial"/>
          <w:sz w:val="24"/>
          <w:szCs w:val="24"/>
        </w:rPr>
        <w:t>Any such debt instruments should be required to meet the conditions applicable to highly liquid financial instruments as set out in Annex II.</w:t>
      </w:r>
    </w:p>
    <w:p w14:paraId="0199E3CB" w14:textId="22B58501"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21ABC50C"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_08&gt;</w:t>
      </w:r>
      <w:r w:rsidRPr="3F0C4E82">
        <w:rPr>
          <w:rFonts w:ascii="Arial" w:hAnsi="Arial" w:cs="Arial"/>
          <w:b/>
          <w:bCs/>
          <w:sz w:val="24"/>
          <w:szCs w:val="24"/>
        </w:rPr>
        <w:t xml:space="preserve"> </w:t>
      </w:r>
    </w:p>
    <w:p w14:paraId="473A3340" w14:textId="77777777" w:rsidR="00D342D8" w:rsidRPr="003B0BF2" w:rsidRDefault="00D342D8" w:rsidP="002427D5">
      <w:pPr>
        <w:rPr>
          <w:rFonts w:ascii="Arial" w:hAnsi="Arial" w:cs="Arial"/>
          <w:b/>
          <w:sz w:val="24"/>
          <w:szCs w:val="24"/>
        </w:rPr>
      </w:pPr>
    </w:p>
    <w:p w14:paraId="541097B7" w14:textId="485BA610" w:rsidR="00344479" w:rsidRPr="003B0BF2" w:rsidRDefault="002427D5" w:rsidP="00344479">
      <w:pPr>
        <w:pStyle w:val="Questionstyle"/>
        <w:spacing w:line="480" w:lineRule="auto"/>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With regards to condition (b) on CCP internal assessments in Annex II:</w:t>
      </w:r>
    </w:p>
    <w:p w14:paraId="224AC60C" w14:textId="3F3767B1" w:rsidR="00344479" w:rsidRPr="003B0BF2" w:rsidRDefault="00344479" w:rsidP="00344479">
      <w:pPr>
        <w:pStyle w:val="Questionstyle"/>
        <w:numPr>
          <w:ilvl w:val="0"/>
          <w:numId w:val="7"/>
        </w:numPr>
        <w:spacing w:line="360" w:lineRule="auto"/>
        <w:rPr>
          <w:rFonts w:ascii="Arial" w:hAnsi="Arial" w:cs="Arial"/>
          <w:sz w:val="24"/>
          <w:szCs w:val="24"/>
        </w:rPr>
      </w:pPr>
      <w:r w:rsidRPr="003B0BF2">
        <w:rPr>
          <w:rFonts w:ascii="Arial" w:hAnsi="Arial" w:cs="Arial"/>
          <w:sz w:val="24"/>
          <w:szCs w:val="24"/>
        </w:rPr>
        <w:t xml:space="preserve">What are, to your knowledge, the best practices used by CCPs to identify low credit and market risk? </w:t>
      </w:r>
    </w:p>
    <w:p w14:paraId="299C8A9C" w14:textId="65C5FF93" w:rsidR="00344479" w:rsidRPr="003B0BF2" w:rsidRDefault="00344479" w:rsidP="00344479">
      <w:pPr>
        <w:pStyle w:val="Questionstyle"/>
        <w:numPr>
          <w:ilvl w:val="0"/>
          <w:numId w:val="7"/>
        </w:numPr>
        <w:spacing w:line="360" w:lineRule="auto"/>
        <w:rPr>
          <w:rFonts w:ascii="Arial" w:hAnsi="Arial" w:cs="Arial"/>
          <w:sz w:val="24"/>
          <w:szCs w:val="24"/>
        </w:rPr>
      </w:pPr>
      <w:r w:rsidRPr="003B0BF2">
        <w:rPr>
          <w:rFonts w:ascii="Arial" w:hAnsi="Arial" w:cs="Arial"/>
          <w:sz w:val="24"/>
          <w:szCs w:val="24"/>
        </w:rPr>
        <w:t>What are the safeguards put in place to avoid overreliance on external opinions, notably CRAs?</w:t>
      </w:r>
    </w:p>
    <w:p w14:paraId="1AE68457" w14:textId="1077492D" w:rsidR="002427D5" w:rsidRPr="003B0BF2" w:rsidRDefault="00344479" w:rsidP="00344479">
      <w:pPr>
        <w:pStyle w:val="Questionstyle"/>
        <w:numPr>
          <w:ilvl w:val="0"/>
          <w:numId w:val="7"/>
        </w:numPr>
        <w:spacing w:line="360" w:lineRule="auto"/>
        <w:rPr>
          <w:rFonts w:ascii="Arial" w:hAnsi="Arial" w:cs="Arial"/>
          <w:sz w:val="24"/>
          <w:szCs w:val="24"/>
        </w:rPr>
      </w:pPr>
      <w:r w:rsidRPr="003B0BF2">
        <w:rPr>
          <w:rFonts w:ascii="Arial" w:hAnsi="Arial" w:cs="Arial"/>
          <w:sz w:val="24"/>
          <w:szCs w:val="24"/>
        </w:rPr>
        <w:t>In order to avoid supervisory divergence, do you deem necessary that ESMA issue further guidance on how NCAs should assess these provisions?</w:t>
      </w:r>
    </w:p>
    <w:p w14:paraId="186FC68D" w14:textId="0A2BAFD4"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6F1E8DE6"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_09&gt;</w:t>
      </w:r>
    </w:p>
    <w:p w14:paraId="0CE4589B" w14:textId="77777777" w:rsidR="0022120F" w:rsidRPr="003B0BF2" w:rsidRDefault="0022120F" w:rsidP="0022120F">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6CBB9909" w14:textId="4CF43966"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1E6E7DEB"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_09&gt;</w:t>
      </w:r>
    </w:p>
    <w:p w14:paraId="73EADB1A" w14:textId="77777777" w:rsidR="002427D5" w:rsidRPr="003B0BF2" w:rsidRDefault="002427D5" w:rsidP="00AA60F5">
      <w:pPr>
        <w:ind w:firstLine="142"/>
        <w:rPr>
          <w:rFonts w:ascii="Arial" w:hAnsi="Arial" w:cs="Arial"/>
          <w:sz w:val="24"/>
          <w:szCs w:val="24"/>
        </w:rPr>
      </w:pPr>
    </w:p>
    <w:p w14:paraId="13E45B2D" w14:textId="7078E9DD"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With regards to condition (c) on the average time to maturity, do you believe that this time period is appropriate? Should its calculation be further specified in the RTS?</w:t>
      </w:r>
      <w:r w:rsidRPr="003B0BF2">
        <w:rPr>
          <w:rFonts w:ascii="Arial" w:hAnsi="Arial" w:cs="Arial"/>
          <w:sz w:val="24"/>
          <w:szCs w:val="24"/>
        </w:rPr>
        <w:t>.</w:t>
      </w:r>
    </w:p>
    <w:p w14:paraId="3A8A8206" w14:textId="77777777" w:rsidR="002427D5" w:rsidRPr="003B0BF2" w:rsidRDefault="002427D5" w:rsidP="00AA60F5">
      <w:pPr>
        <w:pStyle w:val="Questionstyle"/>
        <w:numPr>
          <w:ilvl w:val="0"/>
          <w:numId w:val="0"/>
        </w:numPr>
        <w:rPr>
          <w:rFonts w:ascii="Arial" w:hAnsi="Arial" w:cs="Arial"/>
          <w:sz w:val="24"/>
          <w:szCs w:val="24"/>
        </w:rPr>
      </w:pPr>
    </w:p>
    <w:p w14:paraId="6EAAEE41" w14:textId="3BA52DD9" w:rsidR="002427D5" w:rsidRPr="003B0BF2" w:rsidRDefault="002427D5" w:rsidP="00AA60F5">
      <w:pPr>
        <w:pStyle w:val="Questionstyle"/>
        <w:numPr>
          <w:ilvl w:val="0"/>
          <w:numId w:val="0"/>
        </w:numPr>
        <w:rPr>
          <w:rFonts w:ascii="Arial" w:hAnsi="Arial" w:cs="Arial"/>
          <w:sz w:val="24"/>
          <w:szCs w:val="24"/>
        </w:rPr>
      </w:pPr>
      <w:r w:rsidRPr="3F0C4E82">
        <w:rPr>
          <w:rFonts w:ascii="Arial" w:hAnsi="Arial" w:cs="Arial"/>
          <w:sz w:val="24"/>
          <w:szCs w:val="24"/>
        </w:rPr>
        <w:t>&lt;ESMA_QUESTION_</w:t>
      </w:r>
      <w:r w:rsidR="223E1E71" w:rsidRPr="3F0C4E82">
        <w:rPr>
          <w:rFonts w:ascii="Arial" w:hAnsi="Arial" w:cs="Arial"/>
          <w:sz w:val="24"/>
          <w:szCs w:val="24"/>
        </w:rPr>
        <w:t xml:space="preserve"> CCP investment policy</w:t>
      </w:r>
      <w:r w:rsidRPr="3F0C4E82">
        <w:rPr>
          <w:rFonts w:ascii="Arial" w:hAnsi="Arial" w:cs="Arial"/>
          <w:sz w:val="24"/>
          <w:szCs w:val="24"/>
        </w:rPr>
        <w:t>_10&gt;</w:t>
      </w:r>
    </w:p>
    <w:p w14:paraId="761A8C59" w14:textId="67DA3EA1" w:rsidR="008153A0" w:rsidRPr="003B0BF2" w:rsidRDefault="008153A0" w:rsidP="002427D5">
      <w:pPr>
        <w:rPr>
          <w:rFonts w:ascii="Arial" w:hAnsi="Arial" w:cs="Arial"/>
          <w:sz w:val="24"/>
          <w:szCs w:val="24"/>
        </w:rPr>
      </w:pPr>
      <w:r>
        <w:rPr>
          <w:rFonts w:ascii="Arial" w:hAnsi="Arial" w:cs="Arial"/>
          <w:sz w:val="24"/>
          <w:szCs w:val="24"/>
        </w:rPr>
        <w:t>We do not believe that the RT</w:t>
      </w:r>
      <w:r w:rsidR="00335710">
        <w:rPr>
          <w:rFonts w:ascii="Arial" w:hAnsi="Arial" w:cs="Arial"/>
          <w:sz w:val="24"/>
          <w:szCs w:val="24"/>
        </w:rPr>
        <w:t>S</w:t>
      </w:r>
      <w:r>
        <w:rPr>
          <w:rFonts w:ascii="Arial" w:hAnsi="Arial" w:cs="Arial"/>
          <w:sz w:val="24"/>
          <w:szCs w:val="24"/>
        </w:rPr>
        <w:t xml:space="preserve"> needs to be more prescriptive</w:t>
      </w:r>
      <w:r w:rsidR="00841AB0">
        <w:rPr>
          <w:rFonts w:ascii="Arial" w:hAnsi="Arial" w:cs="Arial"/>
          <w:sz w:val="24"/>
          <w:szCs w:val="24"/>
        </w:rPr>
        <w:t xml:space="preserve"> in this respect.</w:t>
      </w:r>
    </w:p>
    <w:p w14:paraId="76349B0A" w14:textId="002E924A"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502484CF" w:rsidRPr="3F0C4E82">
        <w:rPr>
          <w:rFonts w:ascii="Arial" w:hAnsi="Arial" w:cs="Arial"/>
          <w:sz w:val="24"/>
          <w:szCs w:val="24"/>
        </w:rPr>
        <w:t xml:space="preserve"> CCP investment policy</w:t>
      </w:r>
      <w:r w:rsidRPr="3F0C4E82">
        <w:rPr>
          <w:rFonts w:ascii="Arial" w:hAnsi="Arial" w:cs="Arial"/>
          <w:sz w:val="24"/>
          <w:szCs w:val="24"/>
        </w:rPr>
        <w:t>_10&gt;</w:t>
      </w:r>
    </w:p>
    <w:p w14:paraId="5B2CB5BC" w14:textId="77777777" w:rsidR="002427D5" w:rsidRPr="003B0BF2" w:rsidRDefault="002427D5" w:rsidP="002427D5">
      <w:pPr>
        <w:rPr>
          <w:rFonts w:ascii="Arial" w:hAnsi="Arial" w:cs="Arial"/>
          <w:sz w:val="24"/>
          <w:szCs w:val="24"/>
        </w:rPr>
      </w:pPr>
    </w:p>
    <w:p w14:paraId="5D44C4BD" w14:textId="0CFC3CD2" w:rsidR="002427D5" w:rsidRPr="003B0BF2" w:rsidRDefault="6A72AC30"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With regards to conditions (d), (e), (f) and (g) under Annex II, should these be amended?</w:t>
      </w:r>
    </w:p>
    <w:p w14:paraId="3EDDC142" w14:textId="77777777" w:rsidR="00344479" w:rsidRPr="003B0BF2" w:rsidRDefault="00344479" w:rsidP="00344479">
      <w:pPr>
        <w:pStyle w:val="Questionstyle"/>
        <w:numPr>
          <w:ilvl w:val="0"/>
          <w:numId w:val="0"/>
        </w:numPr>
        <w:rPr>
          <w:rFonts w:ascii="Arial" w:hAnsi="Arial" w:cs="Arial"/>
          <w:sz w:val="24"/>
          <w:szCs w:val="24"/>
        </w:rPr>
      </w:pPr>
    </w:p>
    <w:p w14:paraId="6D534E3B" w14:textId="66A557CA"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26E0D96C" w:rsidRPr="3F0C4E82">
        <w:rPr>
          <w:rFonts w:ascii="Arial" w:hAnsi="Arial" w:cs="Arial"/>
          <w:sz w:val="24"/>
          <w:szCs w:val="24"/>
        </w:rPr>
        <w:t xml:space="preserve"> CCP investment policy</w:t>
      </w:r>
      <w:r w:rsidRPr="3F0C4E82">
        <w:rPr>
          <w:rFonts w:ascii="Arial" w:hAnsi="Arial" w:cs="Arial"/>
          <w:sz w:val="24"/>
          <w:szCs w:val="24"/>
        </w:rPr>
        <w:t>_11&gt;</w:t>
      </w:r>
    </w:p>
    <w:p w14:paraId="5D3C62C9" w14:textId="61FCFBE4" w:rsidR="004B75FE" w:rsidRDefault="004B75FE" w:rsidP="006106DB">
      <w:pPr>
        <w:rPr>
          <w:rFonts w:ascii="Arial" w:hAnsi="Arial" w:cs="Arial"/>
          <w:sz w:val="24"/>
          <w:szCs w:val="24"/>
        </w:rPr>
      </w:pPr>
      <w:r w:rsidRPr="00814097">
        <w:rPr>
          <w:rFonts w:ascii="Arial" w:hAnsi="Arial" w:cs="Arial"/>
          <w:sz w:val="24"/>
          <w:szCs w:val="24"/>
        </w:rPr>
        <w:t xml:space="preserve">We </w:t>
      </w:r>
      <w:r w:rsidR="006106DB">
        <w:rPr>
          <w:rFonts w:ascii="Arial" w:hAnsi="Arial" w:cs="Arial"/>
          <w:sz w:val="24"/>
          <w:szCs w:val="24"/>
        </w:rPr>
        <w:t>propose</w:t>
      </w:r>
      <w:r w:rsidR="00CE7118">
        <w:rPr>
          <w:rFonts w:ascii="Arial" w:hAnsi="Arial" w:cs="Arial"/>
          <w:sz w:val="24"/>
          <w:szCs w:val="24"/>
        </w:rPr>
        <w:t xml:space="preserve"> that </w:t>
      </w:r>
      <w:r w:rsidR="006106DB">
        <w:rPr>
          <w:rFonts w:ascii="Arial" w:hAnsi="Arial" w:cs="Arial"/>
          <w:sz w:val="24"/>
          <w:szCs w:val="24"/>
        </w:rPr>
        <w:t>condition</w:t>
      </w:r>
      <w:r w:rsidR="00CE7118">
        <w:rPr>
          <w:rFonts w:ascii="Arial" w:hAnsi="Arial" w:cs="Arial"/>
          <w:sz w:val="24"/>
          <w:szCs w:val="24"/>
        </w:rPr>
        <w:t xml:space="preserve"> </w:t>
      </w:r>
      <w:r w:rsidR="006106DB">
        <w:rPr>
          <w:rFonts w:ascii="Arial" w:hAnsi="Arial" w:cs="Arial"/>
          <w:sz w:val="24"/>
          <w:szCs w:val="24"/>
        </w:rPr>
        <w:t>(e)</w:t>
      </w:r>
      <w:r w:rsidR="00CE7118">
        <w:rPr>
          <w:rFonts w:ascii="Arial" w:hAnsi="Arial" w:cs="Arial"/>
          <w:sz w:val="24"/>
          <w:szCs w:val="24"/>
        </w:rPr>
        <w:t xml:space="preserve"> </w:t>
      </w:r>
      <w:r w:rsidR="006106DB">
        <w:rPr>
          <w:rFonts w:ascii="Arial" w:hAnsi="Arial" w:cs="Arial"/>
          <w:sz w:val="24"/>
          <w:szCs w:val="24"/>
        </w:rPr>
        <w:t>(“</w:t>
      </w:r>
      <w:r w:rsidR="006106DB" w:rsidRPr="00D00B1F">
        <w:rPr>
          <w:rFonts w:ascii="Arial" w:hAnsi="Arial" w:cs="Arial"/>
          <w:i/>
          <w:iCs/>
          <w:sz w:val="24"/>
          <w:szCs w:val="24"/>
        </w:rPr>
        <w:t>freely transferable and without any regulatory</w:t>
      </w:r>
      <w:r w:rsidR="00D00B1F">
        <w:rPr>
          <w:rFonts w:ascii="Arial" w:hAnsi="Arial" w:cs="Arial"/>
          <w:i/>
          <w:iCs/>
          <w:sz w:val="24"/>
          <w:szCs w:val="24"/>
        </w:rPr>
        <w:t xml:space="preserve"> </w:t>
      </w:r>
      <w:r w:rsidR="006106DB" w:rsidRPr="00D00B1F">
        <w:rPr>
          <w:rFonts w:ascii="Arial" w:hAnsi="Arial" w:cs="Arial"/>
          <w:i/>
          <w:iCs/>
          <w:sz w:val="24"/>
          <w:szCs w:val="24"/>
        </w:rPr>
        <w:t>constraint or third-party claims that impair liquidation</w:t>
      </w:r>
      <w:r w:rsidR="006106DB">
        <w:rPr>
          <w:rFonts w:ascii="Arial" w:hAnsi="Arial" w:cs="Arial"/>
          <w:sz w:val="24"/>
          <w:szCs w:val="24"/>
        </w:rPr>
        <w:t>”)</w:t>
      </w:r>
      <w:r w:rsidR="00D00B1F">
        <w:rPr>
          <w:rFonts w:ascii="Arial" w:hAnsi="Arial" w:cs="Arial"/>
          <w:sz w:val="24"/>
          <w:szCs w:val="24"/>
        </w:rPr>
        <w:t xml:space="preserve"> </w:t>
      </w:r>
      <w:r w:rsidR="00CE7118">
        <w:rPr>
          <w:rFonts w:ascii="Arial" w:hAnsi="Arial" w:cs="Arial"/>
          <w:sz w:val="24"/>
          <w:szCs w:val="24"/>
        </w:rPr>
        <w:t xml:space="preserve">should be looked at in a more pragmatic </w:t>
      </w:r>
      <w:r w:rsidR="006106DB">
        <w:rPr>
          <w:rFonts w:ascii="Arial" w:hAnsi="Arial" w:cs="Arial"/>
          <w:sz w:val="24"/>
          <w:szCs w:val="24"/>
        </w:rPr>
        <w:t xml:space="preserve">way: </w:t>
      </w:r>
    </w:p>
    <w:p w14:paraId="39F8ABBD" w14:textId="741DD37C" w:rsidR="00303270" w:rsidRDefault="00D00B1F" w:rsidP="00303270">
      <w:pPr>
        <w:rPr>
          <w:rFonts w:ascii="Arial" w:hAnsi="Arial" w:cs="Arial"/>
          <w:sz w:val="24"/>
          <w:szCs w:val="24"/>
        </w:rPr>
      </w:pPr>
      <w:r>
        <w:rPr>
          <w:rFonts w:ascii="Arial" w:hAnsi="Arial" w:cs="Arial"/>
          <w:sz w:val="24"/>
          <w:szCs w:val="24"/>
        </w:rPr>
        <w:t xml:space="preserve">While it is important that there are no </w:t>
      </w:r>
      <w:r w:rsidRPr="00D00B1F">
        <w:rPr>
          <w:rFonts w:ascii="Arial" w:hAnsi="Arial" w:cs="Arial"/>
          <w:sz w:val="24"/>
          <w:szCs w:val="24"/>
        </w:rPr>
        <w:t>third-party claims that impair liquidation</w:t>
      </w:r>
      <w:r>
        <w:rPr>
          <w:rFonts w:ascii="Arial" w:hAnsi="Arial" w:cs="Arial"/>
          <w:sz w:val="24"/>
          <w:szCs w:val="24"/>
        </w:rPr>
        <w:t xml:space="preserve">, the fact that MMF could theoretically have gates and fees should </w:t>
      </w:r>
      <w:r w:rsidR="002F47B0">
        <w:rPr>
          <w:rFonts w:ascii="Arial" w:hAnsi="Arial" w:cs="Arial"/>
          <w:sz w:val="24"/>
          <w:szCs w:val="24"/>
        </w:rPr>
        <w:t>not be seen as a reason these instruments are not freely transferrable.</w:t>
      </w:r>
      <w:r w:rsidR="00FA1902">
        <w:rPr>
          <w:rFonts w:ascii="Arial" w:hAnsi="Arial" w:cs="Arial"/>
          <w:sz w:val="24"/>
          <w:szCs w:val="24"/>
        </w:rPr>
        <w:t xml:space="preserve"> </w:t>
      </w:r>
    </w:p>
    <w:p w14:paraId="09668737" w14:textId="77777777" w:rsidR="00303270" w:rsidRDefault="00303270" w:rsidP="00D00B1F">
      <w:pPr>
        <w:rPr>
          <w:rFonts w:ascii="Arial" w:hAnsi="Arial" w:cs="Arial"/>
          <w:sz w:val="24"/>
          <w:szCs w:val="24"/>
        </w:rPr>
      </w:pPr>
      <w:r>
        <w:rPr>
          <w:rFonts w:ascii="Arial" w:hAnsi="Arial" w:cs="Arial"/>
          <w:sz w:val="24"/>
          <w:szCs w:val="24"/>
        </w:rPr>
        <w:t xml:space="preserve">Firstly, we note that </w:t>
      </w:r>
      <w:r w:rsidRPr="00085190">
        <w:rPr>
          <w:rFonts w:ascii="Arial" w:hAnsi="Arial" w:cs="Arial"/>
          <w:sz w:val="24"/>
          <w:szCs w:val="24"/>
        </w:rPr>
        <w:t xml:space="preserve">no </w:t>
      </w:r>
      <w:r>
        <w:rPr>
          <w:rFonts w:ascii="Arial" w:hAnsi="Arial" w:cs="Arial"/>
          <w:sz w:val="24"/>
          <w:szCs w:val="24"/>
        </w:rPr>
        <w:t xml:space="preserve">MMF </w:t>
      </w:r>
      <w:r w:rsidRPr="00085190">
        <w:rPr>
          <w:rFonts w:ascii="Arial" w:hAnsi="Arial" w:cs="Arial"/>
          <w:sz w:val="24"/>
          <w:szCs w:val="24"/>
        </w:rPr>
        <w:t>in the EU activated any fees/gates in the 2020 liquidity crisis.</w:t>
      </w:r>
    </w:p>
    <w:p w14:paraId="41584893" w14:textId="5612A5E2" w:rsidR="00D00B1F" w:rsidRDefault="00303270" w:rsidP="00D00B1F">
      <w:pPr>
        <w:rPr>
          <w:rFonts w:ascii="Arial" w:hAnsi="Arial" w:cs="Arial"/>
          <w:sz w:val="24"/>
          <w:szCs w:val="24"/>
        </w:rPr>
      </w:pPr>
      <w:r>
        <w:rPr>
          <w:rFonts w:ascii="Arial" w:hAnsi="Arial" w:cs="Arial"/>
          <w:sz w:val="24"/>
          <w:szCs w:val="24"/>
        </w:rPr>
        <w:t>Secondly, a</w:t>
      </w:r>
      <w:r w:rsidR="00FA1902">
        <w:rPr>
          <w:rFonts w:ascii="Arial" w:hAnsi="Arial" w:cs="Arial"/>
          <w:sz w:val="24"/>
          <w:szCs w:val="24"/>
        </w:rPr>
        <w:t xml:space="preserve"> situation in which a PDCNAV manager would have to </w:t>
      </w:r>
      <w:r w:rsidR="003B4A96">
        <w:rPr>
          <w:rFonts w:ascii="Arial" w:hAnsi="Arial" w:cs="Arial"/>
          <w:sz w:val="24"/>
          <w:szCs w:val="24"/>
        </w:rPr>
        <w:t>enact</w:t>
      </w:r>
      <w:r w:rsidR="00FA1902">
        <w:rPr>
          <w:rFonts w:ascii="Arial" w:hAnsi="Arial" w:cs="Arial"/>
          <w:sz w:val="24"/>
          <w:szCs w:val="24"/>
        </w:rPr>
        <w:t xml:space="preserve"> gates and fees would be a </w:t>
      </w:r>
      <w:r w:rsidR="005C466D">
        <w:rPr>
          <w:rFonts w:ascii="Arial" w:hAnsi="Arial" w:cs="Arial"/>
          <w:sz w:val="24"/>
          <w:szCs w:val="24"/>
        </w:rPr>
        <w:t>situation</w:t>
      </w:r>
      <w:r w:rsidR="00FA1902">
        <w:rPr>
          <w:rFonts w:ascii="Arial" w:hAnsi="Arial" w:cs="Arial"/>
          <w:sz w:val="24"/>
          <w:szCs w:val="24"/>
        </w:rPr>
        <w:t xml:space="preserve"> where a CCP would not be able to </w:t>
      </w:r>
      <w:r w:rsidR="005C466D">
        <w:rPr>
          <w:rFonts w:ascii="Arial" w:hAnsi="Arial" w:cs="Arial"/>
          <w:sz w:val="24"/>
          <w:szCs w:val="24"/>
        </w:rPr>
        <w:t>liquidate</w:t>
      </w:r>
      <w:r w:rsidR="00FA1902">
        <w:rPr>
          <w:rFonts w:ascii="Arial" w:hAnsi="Arial" w:cs="Arial"/>
          <w:sz w:val="24"/>
          <w:szCs w:val="24"/>
        </w:rPr>
        <w:t xml:space="preserve"> </w:t>
      </w:r>
      <w:r w:rsidR="00747296">
        <w:rPr>
          <w:rFonts w:ascii="Arial" w:hAnsi="Arial" w:cs="Arial"/>
          <w:sz w:val="24"/>
          <w:szCs w:val="24"/>
        </w:rPr>
        <w:t xml:space="preserve">its liquid </w:t>
      </w:r>
      <w:r w:rsidR="005C466D">
        <w:rPr>
          <w:rFonts w:ascii="Arial" w:hAnsi="Arial" w:cs="Arial"/>
          <w:sz w:val="24"/>
          <w:szCs w:val="24"/>
        </w:rPr>
        <w:t>resources</w:t>
      </w:r>
      <w:r w:rsidR="00747296">
        <w:rPr>
          <w:rFonts w:ascii="Arial" w:hAnsi="Arial" w:cs="Arial"/>
          <w:sz w:val="24"/>
          <w:szCs w:val="24"/>
        </w:rPr>
        <w:t xml:space="preserve"> either, given that PDCNAV MMF’s investment criteria are even </w:t>
      </w:r>
      <w:r w:rsidR="00310EC0">
        <w:rPr>
          <w:rFonts w:ascii="Arial" w:hAnsi="Arial" w:cs="Arial"/>
          <w:sz w:val="24"/>
          <w:szCs w:val="24"/>
        </w:rPr>
        <w:t>more conservative as CCP investment criteria.</w:t>
      </w:r>
      <w:r w:rsidR="005C466D">
        <w:rPr>
          <w:rFonts w:ascii="Arial" w:hAnsi="Arial" w:cs="Arial"/>
          <w:sz w:val="24"/>
          <w:szCs w:val="24"/>
        </w:rPr>
        <w:t xml:space="preserve"> </w:t>
      </w:r>
      <w:r w:rsidR="00F7294C">
        <w:rPr>
          <w:rFonts w:ascii="Arial" w:hAnsi="Arial" w:cs="Arial"/>
          <w:sz w:val="24"/>
          <w:szCs w:val="24"/>
        </w:rPr>
        <w:t>Admittedly the decision whether invoke gates or other measures would in this case not be made by the CCP</w:t>
      </w:r>
      <w:r w:rsidR="00EF6031">
        <w:rPr>
          <w:rFonts w:ascii="Arial" w:hAnsi="Arial" w:cs="Arial"/>
          <w:sz w:val="24"/>
          <w:szCs w:val="24"/>
        </w:rPr>
        <w:t>, whereas in the case for direct investments the CCP can make liquidation decisions itself.</w:t>
      </w:r>
    </w:p>
    <w:p w14:paraId="2472B767" w14:textId="2332F8C2" w:rsidR="00EF5FD6" w:rsidRDefault="00EF5FD6" w:rsidP="00D00B1F">
      <w:pPr>
        <w:rPr>
          <w:rFonts w:ascii="Arial" w:hAnsi="Arial" w:cs="Arial"/>
          <w:sz w:val="24"/>
          <w:szCs w:val="24"/>
        </w:rPr>
      </w:pPr>
      <w:r>
        <w:rPr>
          <w:rFonts w:ascii="Arial" w:hAnsi="Arial" w:cs="Arial"/>
          <w:sz w:val="24"/>
          <w:szCs w:val="24"/>
        </w:rPr>
        <w:t xml:space="preserve">Generally, gates could incentivise procyclical </w:t>
      </w:r>
      <w:r w:rsidR="00D34793">
        <w:rPr>
          <w:rFonts w:ascii="Arial" w:hAnsi="Arial" w:cs="Arial"/>
          <w:sz w:val="24"/>
          <w:szCs w:val="24"/>
        </w:rPr>
        <w:t>behaviour</w:t>
      </w:r>
      <w:r>
        <w:rPr>
          <w:rFonts w:ascii="Arial" w:hAnsi="Arial" w:cs="Arial"/>
          <w:sz w:val="24"/>
          <w:szCs w:val="24"/>
        </w:rPr>
        <w:t xml:space="preserve"> (market participants </w:t>
      </w:r>
      <w:r w:rsidR="00D34793">
        <w:rPr>
          <w:rFonts w:ascii="Arial" w:hAnsi="Arial" w:cs="Arial"/>
          <w:sz w:val="24"/>
          <w:szCs w:val="24"/>
        </w:rPr>
        <w:t>liquidating</w:t>
      </w:r>
      <w:r>
        <w:rPr>
          <w:rFonts w:ascii="Arial" w:hAnsi="Arial" w:cs="Arial"/>
          <w:sz w:val="24"/>
          <w:szCs w:val="24"/>
        </w:rPr>
        <w:t xml:space="preserve"> their </w:t>
      </w:r>
      <w:r w:rsidR="003D1BEC">
        <w:rPr>
          <w:rFonts w:ascii="Arial" w:hAnsi="Arial" w:cs="Arial"/>
          <w:sz w:val="24"/>
          <w:szCs w:val="24"/>
        </w:rPr>
        <w:t xml:space="preserve">investment in advance of the potential use of gates, therefore making the </w:t>
      </w:r>
      <w:r w:rsidR="00D34793">
        <w:rPr>
          <w:rFonts w:ascii="Arial" w:hAnsi="Arial" w:cs="Arial"/>
          <w:sz w:val="24"/>
          <w:szCs w:val="24"/>
        </w:rPr>
        <w:t xml:space="preserve">use </w:t>
      </w:r>
      <w:r w:rsidR="003D1BEC">
        <w:rPr>
          <w:rFonts w:ascii="Arial" w:hAnsi="Arial" w:cs="Arial"/>
          <w:sz w:val="24"/>
          <w:szCs w:val="24"/>
        </w:rPr>
        <w:t>of gates more likely)</w:t>
      </w:r>
      <w:r w:rsidR="00D34793">
        <w:rPr>
          <w:rFonts w:ascii="Arial" w:hAnsi="Arial" w:cs="Arial"/>
          <w:sz w:val="24"/>
          <w:szCs w:val="24"/>
        </w:rPr>
        <w:t xml:space="preserve"> and should be abolished, at least for certain types of MMF.</w:t>
      </w:r>
      <w:r w:rsidR="00673564">
        <w:rPr>
          <w:rFonts w:ascii="Arial" w:hAnsi="Arial" w:cs="Arial"/>
          <w:sz w:val="24"/>
          <w:szCs w:val="24"/>
        </w:rPr>
        <w:t xml:space="preserve"> </w:t>
      </w:r>
      <w:r w:rsidR="006238DD">
        <w:rPr>
          <w:rFonts w:ascii="Arial" w:hAnsi="Arial" w:cs="Arial"/>
          <w:sz w:val="24"/>
          <w:szCs w:val="24"/>
        </w:rPr>
        <w:t xml:space="preserve">Paragraph 132 of the consultation states that under SEC </w:t>
      </w:r>
      <w:r w:rsidR="00AF0812">
        <w:rPr>
          <w:rFonts w:ascii="Arial" w:hAnsi="Arial" w:cs="Arial"/>
          <w:sz w:val="24"/>
          <w:szCs w:val="24"/>
        </w:rPr>
        <w:t>regulation</w:t>
      </w:r>
      <w:r w:rsidR="006238DD">
        <w:rPr>
          <w:rFonts w:ascii="Arial" w:hAnsi="Arial" w:cs="Arial"/>
          <w:sz w:val="24"/>
          <w:szCs w:val="24"/>
        </w:rPr>
        <w:t xml:space="preserve"> </w:t>
      </w:r>
      <w:r w:rsidR="00920FD1">
        <w:rPr>
          <w:rFonts w:ascii="Arial" w:hAnsi="Arial" w:cs="Arial"/>
          <w:sz w:val="24"/>
          <w:szCs w:val="24"/>
        </w:rPr>
        <w:t xml:space="preserve">(“Rule 2a-7”) </w:t>
      </w:r>
      <w:r w:rsidR="006238DD">
        <w:rPr>
          <w:rFonts w:ascii="Arial" w:hAnsi="Arial" w:cs="Arial"/>
          <w:sz w:val="24"/>
          <w:szCs w:val="24"/>
        </w:rPr>
        <w:t xml:space="preserve">for instance, </w:t>
      </w:r>
      <w:r w:rsidR="00F968A1">
        <w:rPr>
          <w:rFonts w:ascii="Arial" w:hAnsi="Arial" w:cs="Arial"/>
          <w:sz w:val="24"/>
          <w:szCs w:val="24"/>
        </w:rPr>
        <w:t xml:space="preserve">the use of gates or liquidity fees </w:t>
      </w:r>
      <w:r w:rsidR="00AF0812">
        <w:rPr>
          <w:rFonts w:ascii="Arial" w:hAnsi="Arial" w:cs="Arial"/>
          <w:sz w:val="24"/>
          <w:szCs w:val="24"/>
        </w:rPr>
        <w:t>is not mandatory for “G</w:t>
      </w:r>
      <w:r w:rsidR="00F968A1">
        <w:rPr>
          <w:rFonts w:ascii="Arial" w:hAnsi="Arial" w:cs="Arial"/>
          <w:sz w:val="24"/>
          <w:szCs w:val="24"/>
        </w:rPr>
        <w:t>overnment MMFs</w:t>
      </w:r>
      <w:r w:rsidR="00AF0812">
        <w:rPr>
          <w:rFonts w:ascii="Arial" w:hAnsi="Arial" w:cs="Arial"/>
          <w:sz w:val="24"/>
          <w:szCs w:val="24"/>
        </w:rPr>
        <w:t>”. A similar rule should be enacted in the EU.</w:t>
      </w:r>
    </w:p>
    <w:p w14:paraId="0CC0BC16" w14:textId="7AB60D8A" w:rsidR="00310EC0" w:rsidRPr="00814097" w:rsidRDefault="00310EC0" w:rsidP="005C466D">
      <w:pPr>
        <w:rPr>
          <w:rFonts w:ascii="Arial" w:hAnsi="Arial" w:cs="Arial"/>
          <w:sz w:val="24"/>
          <w:szCs w:val="24"/>
        </w:rPr>
      </w:pPr>
      <w:r>
        <w:rPr>
          <w:rFonts w:ascii="Arial" w:hAnsi="Arial" w:cs="Arial"/>
          <w:sz w:val="24"/>
          <w:szCs w:val="24"/>
        </w:rPr>
        <w:t xml:space="preserve">We also note that in March 2020, even US Treasuries did not have </w:t>
      </w:r>
      <w:r w:rsidR="005C466D">
        <w:rPr>
          <w:rFonts w:ascii="Arial" w:hAnsi="Arial" w:cs="Arial"/>
          <w:sz w:val="24"/>
          <w:szCs w:val="24"/>
        </w:rPr>
        <w:t>“</w:t>
      </w:r>
      <w:r w:rsidR="005C466D" w:rsidRPr="00F50F89">
        <w:rPr>
          <w:rFonts w:ascii="Arial" w:hAnsi="Arial" w:cs="Arial"/>
          <w:i/>
          <w:iCs/>
          <w:sz w:val="24"/>
          <w:szCs w:val="24"/>
        </w:rPr>
        <w:t>an</w:t>
      </w:r>
      <w:r w:rsidR="00AF0812">
        <w:rPr>
          <w:rFonts w:ascii="Arial" w:hAnsi="Arial" w:cs="Arial"/>
          <w:i/>
          <w:iCs/>
          <w:sz w:val="24"/>
          <w:szCs w:val="24"/>
        </w:rPr>
        <w:t>.</w:t>
      </w:r>
      <w:r w:rsidR="005C466D" w:rsidRPr="00F50F89">
        <w:rPr>
          <w:rFonts w:ascii="Arial" w:hAnsi="Arial" w:cs="Arial"/>
          <w:i/>
          <w:iCs/>
          <w:sz w:val="24"/>
          <w:szCs w:val="24"/>
        </w:rPr>
        <w:t xml:space="preserve"> active outright sale</w:t>
      </w:r>
      <w:r w:rsidR="00F50F89" w:rsidRPr="00F50F89">
        <w:rPr>
          <w:rFonts w:ascii="Arial" w:hAnsi="Arial" w:cs="Arial"/>
          <w:i/>
          <w:iCs/>
          <w:sz w:val="24"/>
          <w:szCs w:val="24"/>
        </w:rPr>
        <w:t xml:space="preserve"> </w:t>
      </w:r>
      <w:r w:rsidR="005C466D" w:rsidRPr="00F50F89">
        <w:rPr>
          <w:rFonts w:ascii="Arial" w:hAnsi="Arial" w:cs="Arial"/>
          <w:i/>
          <w:iCs/>
          <w:sz w:val="24"/>
          <w:szCs w:val="24"/>
        </w:rPr>
        <w:t>or repurchase agreement market</w:t>
      </w:r>
      <w:r w:rsidR="005C466D">
        <w:rPr>
          <w:rFonts w:ascii="Arial" w:hAnsi="Arial" w:cs="Arial"/>
          <w:sz w:val="24"/>
          <w:szCs w:val="24"/>
        </w:rPr>
        <w:t>”</w:t>
      </w:r>
      <w:r w:rsidR="00F50F89">
        <w:rPr>
          <w:rFonts w:ascii="Arial" w:hAnsi="Arial" w:cs="Arial"/>
          <w:sz w:val="24"/>
          <w:szCs w:val="24"/>
        </w:rPr>
        <w:t>.</w:t>
      </w:r>
    </w:p>
    <w:p w14:paraId="1FFE19F9" w14:textId="77777777" w:rsidR="00A031C0" w:rsidRPr="00814097" w:rsidRDefault="00A031C0" w:rsidP="00A031C0">
      <w:pPr>
        <w:rPr>
          <w:rFonts w:ascii="Arial" w:hAnsi="Arial" w:cs="Arial"/>
          <w:sz w:val="24"/>
          <w:szCs w:val="24"/>
        </w:rPr>
      </w:pPr>
    </w:p>
    <w:p w14:paraId="3578E084" w14:textId="37AFC7B8"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1DF02BDB" w:rsidRPr="3F0C4E82">
        <w:rPr>
          <w:rFonts w:ascii="Arial" w:hAnsi="Arial" w:cs="Arial"/>
          <w:sz w:val="24"/>
          <w:szCs w:val="24"/>
        </w:rPr>
        <w:t xml:space="preserve"> CCP investment policy</w:t>
      </w:r>
      <w:r w:rsidRPr="3F0C4E82">
        <w:rPr>
          <w:rFonts w:ascii="Arial" w:hAnsi="Arial" w:cs="Arial"/>
          <w:sz w:val="24"/>
          <w:szCs w:val="24"/>
        </w:rPr>
        <w:t>_11&gt;</w:t>
      </w:r>
    </w:p>
    <w:p w14:paraId="2B20FB55" w14:textId="77777777" w:rsidR="00344479" w:rsidRPr="003B0BF2" w:rsidRDefault="00344479" w:rsidP="00344479">
      <w:pPr>
        <w:rPr>
          <w:rFonts w:ascii="Arial" w:hAnsi="Arial" w:cs="Arial"/>
          <w:sz w:val="24"/>
          <w:szCs w:val="24"/>
          <w:lang w:eastAsia="en-GB"/>
        </w:rPr>
      </w:pPr>
    </w:p>
    <w:p w14:paraId="3C1227B5" w14:textId="478503BF" w:rsidR="00344479" w:rsidRPr="003B0BF2" w:rsidRDefault="2B87F679"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Do you agree with this conclusion? To what extent are MMFs currently used as collateral or CCP investments beyond the EU?</w:t>
      </w:r>
    </w:p>
    <w:p w14:paraId="5687A0FD" w14:textId="77777777" w:rsidR="00344479" w:rsidRPr="003B0BF2" w:rsidRDefault="00344479" w:rsidP="00344479">
      <w:pPr>
        <w:pStyle w:val="Questionstyle"/>
        <w:numPr>
          <w:ilvl w:val="0"/>
          <w:numId w:val="0"/>
        </w:numPr>
        <w:rPr>
          <w:rFonts w:ascii="Arial" w:hAnsi="Arial" w:cs="Arial"/>
          <w:sz w:val="24"/>
          <w:szCs w:val="24"/>
        </w:rPr>
      </w:pPr>
    </w:p>
    <w:p w14:paraId="48CC7B92" w14:textId="59B64C44"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710D8683" w:rsidRPr="3F0C4E82">
        <w:rPr>
          <w:rFonts w:ascii="Arial" w:hAnsi="Arial" w:cs="Arial"/>
          <w:sz w:val="24"/>
          <w:szCs w:val="24"/>
        </w:rPr>
        <w:t xml:space="preserve"> CCP investment policy</w:t>
      </w:r>
      <w:r w:rsidRPr="3F0C4E82">
        <w:rPr>
          <w:rFonts w:ascii="Arial" w:hAnsi="Arial" w:cs="Arial"/>
          <w:sz w:val="24"/>
          <w:szCs w:val="24"/>
        </w:rPr>
        <w:t>_12&gt;</w:t>
      </w:r>
    </w:p>
    <w:p w14:paraId="0FB114EA" w14:textId="5A2E8606" w:rsidR="00E359D0" w:rsidRDefault="00E359D0" w:rsidP="003B4A96">
      <w:pPr>
        <w:rPr>
          <w:rFonts w:ascii="Arial" w:hAnsi="Arial" w:cs="Arial"/>
          <w:sz w:val="24"/>
          <w:szCs w:val="24"/>
        </w:rPr>
      </w:pPr>
      <w:r>
        <w:rPr>
          <w:rFonts w:ascii="Arial" w:hAnsi="Arial" w:cs="Arial"/>
          <w:sz w:val="24"/>
          <w:szCs w:val="24"/>
        </w:rPr>
        <w:t xml:space="preserve">The moderate to low use of MMFs by non-EU CCPs should not mean that their use by EU CCPs should continue to be barred. ESMA’s research shows </w:t>
      </w:r>
      <w:r w:rsidRPr="00707E82">
        <w:rPr>
          <w:rFonts w:ascii="Arial" w:hAnsi="Arial" w:cs="Arial"/>
          <w:sz w:val="24"/>
          <w:szCs w:val="24"/>
        </w:rPr>
        <w:t xml:space="preserve">that many jurisdictions do allow investment </w:t>
      </w:r>
      <w:r w:rsidR="007C1486" w:rsidRPr="005E118B">
        <w:rPr>
          <w:rFonts w:ascii="Arial" w:hAnsi="Arial" w:cs="Arial"/>
          <w:sz w:val="24"/>
          <w:szCs w:val="24"/>
        </w:rPr>
        <w:t xml:space="preserve">in MMFs by </w:t>
      </w:r>
      <w:r w:rsidRPr="002040E6">
        <w:rPr>
          <w:rFonts w:ascii="Arial" w:hAnsi="Arial" w:cs="Arial"/>
          <w:sz w:val="24"/>
          <w:szCs w:val="24"/>
        </w:rPr>
        <w:t>CCPs</w:t>
      </w:r>
      <w:r>
        <w:rPr>
          <w:rFonts w:ascii="Arial" w:hAnsi="Arial" w:cs="Arial"/>
          <w:sz w:val="24"/>
          <w:szCs w:val="24"/>
        </w:rPr>
        <w:t xml:space="preserve"> and they are used</w:t>
      </w:r>
      <w:r w:rsidR="00E5187D">
        <w:rPr>
          <w:rFonts w:ascii="Arial" w:hAnsi="Arial" w:cs="Arial"/>
          <w:sz w:val="24"/>
          <w:szCs w:val="24"/>
        </w:rPr>
        <w:t xml:space="preserve"> (see </w:t>
      </w:r>
      <w:r w:rsidR="00065666">
        <w:rPr>
          <w:rFonts w:ascii="Arial" w:hAnsi="Arial" w:cs="Arial"/>
          <w:sz w:val="24"/>
          <w:szCs w:val="24"/>
        </w:rPr>
        <w:t>sections 3.3 and 5.2.3 of the report</w:t>
      </w:r>
      <w:r w:rsidR="00E5187D">
        <w:rPr>
          <w:rFonts w:ascii="Arial" w:hAnsi="Arial" w:cs="Arial"/>
          <w:sz w:val="24"/>
          <w:szCs w:val="24"/>
        </w:rPr>
        <w:t>)</w:t>
      </w:r>
      <w:r>
        <w:rPr>
          <w:rFonts w:ascii="Arial" w:hAnsi="Arial" w:cs="Arial"/>
          <w:sz w:val="24"/>
          <w:szCs w:val="24"/>
        </w:rPr>
        <w:t>. Adding MMFs to the range of permitted investments for EU CCPs would bring benefits of diversification and flexibility, allowing optionality to mitigate risk as market and regulatory circumstances change.</w:t>
      </w:r>
    </w:p>
    <w:p w14:paraId="1A243A32" w14:textId="27E86EDB" w:rsidR="00E359D0" w:rsidRDefault="00E359D0" w:rsidP="003B4A96">
      <w:pPr>
        <w:rPr>
          <w:rFonts w:ascii="Arial" w:hAnsi="Arial" w:cs="Arial"/>
          <w:sz w:val="24"/>
          <w:szCs w:val="24"/>
        </w:rPr>
      </w:pPr>
      <w:r>
        <w:rPr>
          <w:rFonts w:ascii="Arial" w:hAnsi="Arial" w:cs="Arial"/>
          <w:sz w:val="24"/>
          <w:szCs w:val="24"/>
        </w:rPr>
        <w:t xml:space="preserve">The consultation notes the liquidity stress experienced by MMFs during the Covid crisis. We note that liquidity stress was market wide and yet the </w:t>
      </w:r>
      <w:r w:rsidR="008F3F83">
        <w:rPr>
          <w:rFonts w:ascii="Arial" w:hAnsi="Arial" w:cs="Arial"/>
          <w:sz w:val="24"/>
          <w:szCs w:val="24"/>
        </w:rPr>
        <w:t>most conservative</w:t>
      </w:r>
      <w:r>
        <w:rPr>
          <w:rFonts w:ascii="Arial" w:hAnsi="Arial" w:cs="Arial"/>
          <w:sz w:val="24"/>
          <w:szCs w:val="24"/>
        </w:rPr>
        <w:t xml:space="preserve"> MMFs, </w:t>
      </w:r>
      <w:r w:rsidRPr="00707E82">
        <w:rPr>
          <w:rFonts w:ascii="Arial" w:hAnsi="Arial" w:cs="Arial"/>
          <w:sz w:val="24"/>
          <w:szCs w:val="24"/>
        </w:rPr>
        <w:t>public debt constant net asset value (PDCNAV) funds experienced high inflows</w:t>
      </w:r>
      <w:r w:rsidR="001964C5">
        <w:rPr>
          <w:rFonts w:ascii="Arial" w:hAnsi="Arial" w:cs="Arial"/>
          <w:sz w:val="24"/>
          <w:szCs w:val="24"/>
        </w:rPr>
        <w:t xml:space="preserve"> and therefore</w:t>
      </w:r>
      <w:r>
        <w:rPr>
          <w:rFonts w:ascii="Arial" w:hAnsi="Arial" w:cs="Arial"/>
          <w:sz w:val="24"/>
          <w:szCs w:val="24"/>
        </w:rPr>
        <w:t xml:space="preserve"> represented a safe haven in times of market turmoil. This in itself is unsurprising</w:t>
      </w:r>
      <w:r w:rsidR="00F31783">
        <w:rPr>
          <w:rFonts w:ascii="Arial" w:hAnsi="Arial" w:cs="Arial"/>
          <w:sz w:val="24"/>
          <w:szCs w:val="24"/>
        </w:rPr>
        <w:t>. T</w:t>
      </w:r>
      <w:r>
        <w:rPr>
          <w:rFonts w:ascii="Arial" w:hAnsi="Arial" w:cs="Arial"/>
          <w:sz w:val="24"/>
          <w:szCs w:val="24"/>
        </w:rPr>
        <w:t xml:space="preserve">he EU’s introduction of the MMF Regulation has brought standardisation and increased security to MMFs, while at the same time providing helpful labelling to distinguish the different types of funds. </w:t>
      </w:r>
      <w:r w:rsidR="008F3F83">
        <w:rPr>
          <w:rFonts w:ascii="Arial" w:hAnsi="Arial" w:cs="Arial"/>
          <w:sz w:val="24"/>
          <w:szCs w:val="24"/>
        </w:rPr>
        <w:t xml:space="preserve">The Covid crisis has </w:t>
      </w:r>
      <w:r w:rsidR="00D81ACC">
        <w:rPr>
          <w:rFonts w:ascii="Arial" w:hAnsi="Arial" w:cs="Arial"/>
          <w:sz w:val="24"/>
          <w:szCs w:val="24"/>
        </w:rPr>
        <w:t xml:space="preserve">acted as </w:t>
      </w:r>
      <w:r w:rsidR="008F3F83">
        <w:rPr>
          <w:rFonts w:ascii="Arial" w:hAnsi="Arial" w:cs="Arial"/>
          <w:sz w:val="24"/>
          <w:szCs w:val="24"/>
        </w:rPr>
        <w:t xml:space="preserve">a </w:t>
      </w:r>
      <w:r w:rsidR="00321C63">
        <w:rPr>
          <w:rFonts w:ascii="Arial" w:hAnsi="Arial" w:cs="Arial"/>
          <w:sz w:val="24"/>
          <w:szCs w:val="24"/>
        </w:rPr>
        <w:t>real-world</w:t>
      </w:r>
      <w:r w:rsidR="008F3F83">
        <w:rPr>
          <w:rFonts w:ascii="Arial" w:hAnsi="Arial" w:cs="Arial"/>
          <w:sz w:val="24"/>
          <w:szCs w:val="24"/>
        </w:rPr>
        <w:t xml:space="preserve"> test of PDCNAV MMFs</w:t>
      </w:r>
      <w:r w:rsidR="009676A0">
        <w:rPr>
          <w:rFonts w:ascii="Arial" w:hAnsi="Arial" w:cs="Arial"/>
          <w:sz w:val="24"/>
          <w:szCs w:val="24"/>
        </w:rPr>
        <w:t>,</w:t>
      </w:r>
      <w:r w:rsidR="008F3F83">
        <w:rPr>
          <w:rFonts w:ascii="Arial" w:hAnsi="Arial" w:cs="Arial"/>
          <w:sz w:val="24"/>
          <w:szCs w:val="24"/>
        </w:rPr>
        <w:t xml:space="preserve"> so we believe there should be no reason to delay including PDCNAV MMFs as eligible instruments for investment by EU CCPs.</w:t>
      </w:r>
    </w:p>
    <w:p w14:paraId="587D6001" w14:textId="01600A9D" w:rsidR="00E359D0" w:rsidRDefault="008F3F83" w:rsidP="003B4A96">
      <w:pPr>
        <w:rPr>
          <w:rFonts w:ascii="Arial" w:hAnsi="Arial" w:cs="Arial"/>
          <w:sz w:val="24"/>
          <w:szCs w:val="24"/>
        </w:rPr>
      </w:pPr>
      <w:r>
        <w:rPr>
          <w:rFonts w:ascii="Arial" w:hAnsi="Arial" w:cs="Arial"/>
          <w:sz w:val="24"/>
          <w:szCs w:val="24"/>
        </w:rPr>
        <w:t xml:space="preserve">We note that certain other types of MMFs, such as private debt funds, experienced stress and outflows. Consultations on the causes of the liquidity stress, including from the FSB, ESMA and the PWG in the US all indicate that </w:t>
      </w:r>
      <w:r w:rsidRPr="00707E82">
        <w:rPr>
          <w:rFonts w:ascii="Arial" w:hAnsi="Arial" w:cs="Arial"/>
          <w:sz w:val="24"/>
          <w:szCs w:val="24"/>
        </w:rPr>
        <w:t>gates and suspensions can have a pro-cyclical effect</w:t>
      </w:r>
      <w:r w:rsidR="005E118B">
        <w:rPr>
          <w:rStyle w:val="FootnoteReference"/>
          <w:rFonts w:ascii="Arial" w:hAnsi="Arial" w:cs="Arial"/>
          <w:sz w:val="24"/>
          <w:szCs w:val="24"/>
        </w:rPr>
        <w:footnoteReference w:id="2"/>
      </w:r>
      <w:r w:rsidRPr="005E118B">
        <w:rPr>
          <w:rFonts w:ascii="Arial" w:hAnsi="Arial" w:cs="Arial"/>
          <w:sz w:val="24"/>
          <w:szCs w:val="24"/>
        </w:rPr>
        <w:t>.</w:t>
      </w:r>
      <w:r>
        <w:rPr>
          <w:rFonts w:ascii="Arial" w:hAnsi="Arial" w:cs="Arial"/>
          <w:sz w:val="24"/>
          <w:szCs w:val="24"/>
        </w:rPr>
        <w:t xml:space="preserve"> </w:t>
      </w:r>
      <w:r w:rsidR="00093B59">
        <w:rPr>
          <w:rFonts w:ascii="Arial" w:hAnsi="Arial" w:cs="Arial"/>
          <w:sz w:val="24"/>
          <w:szCs w:val="24"/>
        </w:rPr>
        <w:t xml:space="preserve">While no EU MMF used gates or suspensions, investors’ concern of gates being applied may have driven withdrawals. </w:t>
      </w:r>
      <w:r>
        <w:rPr>
          <w:rFonts w:ascii="Arial" w:hAnsi="Arial" w:cs="Arial"/>
          <w:sz w:val="24"/>
          <w:szCs w:val="24"/>
        </w:rPr>
        <w:t xml:space="preserve">We expect to see regulatory movement to remove this pro-cyclical effect, to increase the stability of such funds in the next crisis. </w:t>
      </w:r>
    </w:p>
    <w:p w14:paraId="241606AB" w14:textId="3881FACF" w:rsidR="003B4A96" w:rsidRPr="003B4A96" w:rsidRDefault="003B4A96" w:rsidP="003B4A96">
      <w:pPr>
        <w:rPr>
          <w:rFonts w:ascii="Arial" w:hAnsi="Arial" w:cs="Arial"/>
          <w:sz w:val="24"/>
          <w:szCs w:val="24"/>
        </w:rPr>
      </w:pPr>
      <w:r w:rsidRPr="003B4A96">
        <w:rPr>
          <w:rFonts w:ascii="Arial" w:hAnsi="Arial" w:cs="Arial"/>
          <w:sz w:val="24"/>
          <w:szCs w:val="24"/>
        </w:rPr>
        <w:t>In general, we agree with ESMA’s conclusion to consider allowing CCPs to invest in a specific sub-set of MMFs which are of the same credit quality and as highly liquid as other instruments eligible for CCP investments, subject to certain conditions:</w:t>
      </w:r>
    </w:p>
    <w:p w14:paraId="7C0A8B1C" w14:textId="65826495" w:rsidR="003B4A96" w:rsidRPr="008F6DE2" w:rsidRDefault="003B4A96" w:rsidP="008F6DE2">
      <w:pPr>
        <w:pStyle w:val="ListParagraph"/>
        <w:numPr>
          <w:ilvl w:val="0"/>
          <w:numId w:val="11"/>
        </w:numPr>
        <w:rPr>
          <w:rFonts w:ascii="Arial" w:eastAsiaTheme="minorHAnsi" w:hAnsi="Arial" w:cs="Arial"/>
          <w:sz w:val="24"/>
          <w:szCs w:val="24"/>
        </w:rPr>
      </w:pPr>
      <w:r w:rsidRPr="008F6DE2">
        <w:rPr>
          <w:rFonts w:ascii="Arial" w:eastAsiaTheme="minorHAnsi" w:hAnsi="Arial" w:cs="Arial"/>
          <w:sz w:val="24"/>
          <w:szCs w:val="24"/>
        </w:rPr>
        <w:t>Cash needs to be immediately returnable</w:t>
      </w:r>
      <w:r w:rsidR="008F6DE2">
        <w:rPr>
          <w:rFonts w:ascii="Arial" w:eastAsiaTheme="minorHAnsi" w:hAnsi="Arial" w:cs="Arial"/>
          <w:sz w:val="24"/>
          <w:szCs w:val="24"/>
        </w:rPr>
        <w:t>.</w:t>
      </w:r>
    </w:p>
    <w:p w14:paraId="3B87ABD5" w14:textId="431DF5CB" w:rsidR="003B4A96" w:rsidRPr="008F6DE2" w:rsidRDefault="003B4A96" w:rsidP="008F6DE2">
      <w:pPr>
        <w:pStyle w:val="ListParagraph"/>
        <w:numPr>
          <w:ilvl w:val="0"/>
          <w:numId w:val="11"/>
        </w:numPr>
        <w:rPr>
          <w:rFonts w:ascii="Arial" w:eastAsiaTheme="minorHAnsi" w:hAnsi="Arial" w:cs="Arial"/>
          <w:sz w:val="24"/>
          <w:szCs w:val="24"/>
        </w:rPr>
      </w:pPr>
      <w:r w:rsidRPr="008F6DE2">
        <w:rPr>
          <w:rFonts w:ascii="Arial" w:eastAsiaTheme="minorHAnsi" w:hAnsi="Arial" w:cs="Arial"/>
          <w:sz w:val="24"/>
          <w:szCs w:val="24"/>
        </w:rPr>
        <w:t>MMF investments should be restricted only government debt funds</w:t>
      </w:r>
      <w:r w:rsidR="008F6DE2">
        <w:rPr>
          <w:rFonts w:ascii="Arial" w:eastAsiaTheme="minorHAnsi" w:hAnsi="Arial" w:cs="Arial"/>
          <w:sz w:val="24"/>
          <w:szCs w:val="24"/>
        </w:rPr>
        <w:t>.</w:t>
      </w:r>
    </w:p>
    <w:p w14:paraId="179AF537" w14:textId="596E4A64" w:rsidR="003B4A96" w:rsidRPr="008F6DE2" w:rsidRDefault="003B4A96" w:rsidP="008F6DE2">
      <w:pPr>
        <w:pStyle w:val="ListParagraph"/>
        <w:numPr>
          <w:ilvl w:val="0"/>
          <w:numId w:val="11"/>
        </w:numPr>
        <w:rPr>
          <w:rFonts w:ascii="Arial" w:eastAsiaTheme="minorHAnsi" w:hAnsi="Arial" w:cs="Arial"/>
          <w:sz w:val="24"/>
          <w:szCs w:val="24"/>
        </w:rPr>
      </w:pPr>
      <w:r w:rsidRPr="008F6DE2">
        <w:rPr>
          <w:rFonts w:ascii="Arial" w:eastAsiaTheme="minorHAnsi" w:hAnsi="Arial" w:cs="Arial"/>
          <w:sz w:val="24"/>
          <w:szCs w:val="24"/>
        </w:rPr>
        <w:t>There should be concentration limits, with max concentration size linked to issuance and issuer</w:t>
      </w:r>
      <w:r w:rsidR="008F6DE2">
        <w:rPr>
          <w:rFonts w:ascii="Arial" w:eastAsiaTheme="minorHAnsi" w:hAnsi="Arial" w:cs="Arial"/>
          <w:sz w:val="24"/>
          <w:szCs w:val="24"/>
        </w:rPr>
        <w:t>.</w:t>
      </w:r>
    </w:p>
    <w:p w14:paraId="2EBDED5D" w14:textId="19DF980B" w:rsidR="003B4A96" w:rsidRPr="008F6DE2" w:rsidRDefault="003B4A96" w:rsidP="008F6DE2">
      <w:pPr>
        <w:pStyle w:val="ListParagraph"/>
        <w:numPr>
          <w:ilvl w:val="0"/>
          <w:numId w:val="11"/>
        </w:numPr>
        <w:rPr>
          <w:rFonts w:ascii="Arial" w:eastAsiaTheme="minorHAnsi" w:hAnsi="Arial" w:cs="Arial"/>
          <w:sz w:val="24"/>
          <w:szCs w:val="24"/>
        </w:rPr>
      </w:pPr>
      <w:r w:rsidRPr="008F6DE2">
        <w:rPr>
          <w:rFonts w:ascii="Arial" w:eastAsiaTheme="minorHAnsi" w:hAnsi="Arial" w:cs="Arial"/>
          <w:sz w:val="24"/>
          <w:szCs w:val="24"/>
        </w:rPr>
        <w:t xml:space="preserve">Regular due diligence </w:t>
      </w:r>
      <w:r w:rsidR="00BB0221" w:rsidRPr="008F6DE2">
        <w:rPr>
          <w:rFonts w:ascii="Arial" w:eastAsiaTheme="minorHAnsi" w:hAnsi="Arial" w:cs="Arial"/>
          <w:sz w:val="24"/>
          <w:szCs w:val="24"/>
        </w:rPr>
        <w:t xml:space="preserve">on the funds </w:t>
      </w:r>
      <w:r w:rsidRPr="008F6DE2">
        <w:rPr>
          <w:rFonts w:ascii="Arial" w:eastAsiaTheme="minorHAnsi" w:hAnsi="Arial" w:cs="Arial"/>
          <w:sz w:val="24"/>
          <w:szCs w:val="24"/>
        </w:rPr>
        <w:t xml:space="preserve">performed </w:t>
      </w:r>
      <w:r w:rsidR="00BB0221">
        <w:rPr>
          <w:rFonts w:ascii="Arial" w:eastAsiaTheme="minorHAnsi" w:hAnsi="Arial" w:cs="Arial"/>
          <w:sz w:val="24"/>
          <w:szCs w:val="24"/>
        </w:rPr>
        <w:t>by the CCP</w:t>
      </w:r>
      <w:r w:rsidR="008F6DE2">
        <w:rPr>
          <w:rFonts w:ascii="Arial" w:eastAsiaTheme="minorHAnsi" w:hAnsi="Arial" w:cs="Arial"/>
          <w:sz w:val="24"/>
          <w:szCs w:val="24"/>
        </w:rPr>
        <w:t>.</w:t>
      </w:r>
    </w:p>
    <w:p w14:paraId="1F97981F" w14:textId="77777777" w:rsidR="0023771F" w:rsidRDefault="0023771F" w:rsidP="003B4A96">
      <w:pPr>
        <w:rPr>
          <w:rFonts w:ascii="Arial" w:hAnsi="Arial" w:cs="Arial"/>
          <w:sz w:val="24"/>
          <w:szCs w:val="24"/>
        </w:rPr>
      </w:pPr>
    </w:p>
    <w:p w14:paraId="4A0C35EA" w14:textId="6E5DCD3D" w:rsidR="00F50F89" w:rsidRPr="003B4A96" w:rsidRDefault="003B4A96" w:rsidP="003B4A96">
      <w:pPr>
        <w:rPr>
          <w:rFonts w:ascii="Arial" w:hAnsi="Arial" w:cs="Arial"/>
          <w:sz w:val="24"/>
          <w:szCs w:val="24"/>
        </w:rPr>
      </w:pPr>
      <w:r w:rsidRPr="003B4A96">
        <w:rPr>
          <w:rFonts w:ascii="Arial" w:hAnsi="Arial" w:cs="Arial"/>
          <w:sz w:val="24"/>
          <w:szCs w:val="24"/>
        </w:rPr>
        <w:t>As the CCP makes the choices on its investments, it should be clear that the CCP is responsible for any investment-related losses.</w:t>
      </w:r>
    </w:p>
    <w:p w14:paraId="05C60BC1" w14:textId="4CE32A95"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71564458" w:rsidRPr="3F0C4E82">
        <w:rPr>
          <w:rFonts w:ascii="Arial" w:hAnsi="Arial" w:cs="Arial"/>
          <w:sz w:val="24"/>
          <w:szCs w:val="24"/>
        </w:rPr>
        <w:t xml:space="preserve"> CCP investment policy </w:t>
      </w:r>
      <w:r w:rsidRPr="3F0C4E82">
        <w:rPr>
          <w:rFonts w:ascii="Arial" w:hAnsi="Arial" w:cs="Arial"/>
          <w:sz w:val="24"/>
          <w:szCs w:val="24"/>
        </w:rPr>
        <w:t>_12&gt;</w:t>
      </w:r>
    </w:p>
    <w:p w14:paraId="58848253" w14:textId="77777777" w:rsidR="00344479" w:rsidRPr="003B0BF2" w:rsidRDefault="00344479" w:rsidP="00344479">
      <w:pPr>
        <w:rPr>
          <w:rFonts w:ascii="Arial" w:hAnsi="Arial" w:cs="Arial"/>
          <w:sz w:val="24"/>
          <w:szCs w:val="24"/>
          <w:lang w:eastAsia="en-GB"/>
        </w:rPr>
      </w:pPr>
    </w:p>
    <w:p w14:paraId="645FAD0E" w14:textId="7229732E" w:rsidR="00344479" w:rsidRPr="003B0BF2" w:rsidRDefault="1E4619C1"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Do you agree with the premise that the assets held by eligible MMFs for CCP investment should at least meet the same criteria as for other financial instruments?</w:t>
      </w:r>
    </w:p>
    <w:p w14:paraId="2BC8FFEE" w14:textId="77777777" w:rsidR="00344479" w:rsidRPr="003B0BF2" w:rsidRDefault="00344479" w:rsidP="00344479">
      <w:pPr>
        <w:pStyle w:val="Questionstyle"/>
        <w:numPr>
          <w:ilvl w:val="0"/>
          <w:numId w:val="0"/>
        </w:numPr>
        <w:rPr>
          <w:rFonts w:ascii="Arial" w:hAnsi="Arial" w:cs="Arial"/>
          <w:sz w:val="24"/>
          <w:szCs w:val="24"/>
        </w:rPr>
      </w:pPr>
    </w:p>
    <w:p w14:paraId="17B569B4" w14:textId="3978763F"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64C01AB6" w:rsidRPr="3F0C4E82">
        <w:rPr>
          <w:rFonts w:ascii="Arial" w:hAnsi="Arial" w:cs="Arial"/>
          <w:sz w:val="24"/>
          <w:szCs w:val="24"/>
        </w:rPr>
        <w:t xml:space="preserve"> CCP investment policy</w:t>
      </w:r>
      <w:r w:rsidRPr="3F0C4E82">
        <w:rPr>
          <w:rFonts w:ascii="Arial" w:hAnsi="Arial" w:cs="Arial"/>
          <w:sz w:val="24"/>
          <w:szCs w:val="24"/>
        </w:rPr>
        <w:t>_13&gt;</w:t>
      </w:r>
    </w:p>
    <w:p w14:paraId="242A6552" w14:textId="555EF5E8" w:rsidR="00147578" w:rsidRPr="00147578" w:rsidRDefault="00147578" w:rsidP="00147578">
      <w:pPr>
        <w:rPr>
          <w:rFonts w:ascii="Arial" w:hAnsi="Arial" w:cs="Arial"/>
          <w:sz w:val="24"/>
          <w:szCs w:val="24"/>
        </w:rPr>
      </w:pPr>
      <w:r w:rsidRPr="00147578">
        <w:rPr>
          <w:rFonts w:ascii="Arial" w:hAnsi="Arial" w:cs="Arial"/>
          <w:sz w:val="24"/>
          <w:szCs w:val="24"/>
        </w:rPr>
        <w:t xml:space="preserve">We agree </w:t>
      </w:r>
      <w:r w:rsidRPr="3F0C4E82">
        <w:rPr>
          <w:rFonts w:ascii="Arial" w:hAnsi="Arial" w:cs="Arial"/>
          <w:sz w:val="24"/>
          <w:szCs w:val="24"/>
        </w:rPr>
        <w:t>with the premise that the assets held by eligible MMFs for CCP investment should at least meet the same criteria as for other financial instruments</w:t>
      </w:r>
      <w:r>
        <w:rPr>
          <w:rFonts w:ascii="Arial" w:hAnsi="Arial" w:cs="Arial"/>
          <w:sz w:val="24"/>
          <w:szCs w:val="24"/>
        </w:rPr>
        <w:t>.</w:t>
      </w:r>
      <w:r w:rsidR="00C439F7">
        <w:rPr>
          <w:rFonts w:ascii="Arial" w:hAnsi="Arial" w:cs="Arial"/>
          <w:sz w:val="24"/>
          <w:szCs w:val="24"/>
        </w:rPr>
        <w:t xml:space="preserve"> </w:t>
      </w:r>
    </w:p>
    <w:p w14:paraId="426F7CA7" w14:textId="1D627F14"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4089FA3A" w:rsidRPr="3F0C4E82">
        <w:rPr>
          <w:rFonts w:ascii="Arial" w:hAnsi="Arial" w:cs="Arial"/>
          <w:sz w:val="24"/>
          <w:szCs w:val="24"/>
        </w:rPr>
        <w:t xml:space="preserve"> CCP investment policy </w:t>
      </w:r>
      <w:r w:rsidRPr="3F0C4E82">
        <w:rPr>
          <w:rFonts w:ascii="Arial" w:hAnsi="Arial" w:cs="Arial"/>
          <w:sz w:val="24"/>
          <w:szCs w:val="24"/>
        </w:rPr>
        <w:t>_13&gt;</w:t>
      </w:r>
    </w:p>
    <w:p w14:paraId="094CC43C" w14:textId="77777777" w:rsidR="00344479" w:rsidRPr="003B0BF2" w:rsidRDefault="00344479" w:rsidP="00344479">
      <w:pPr>
        <w:rPr>
          <w:rFonts w:ascii="Arial" w:hAnsi="Arial" w:cs="Arial"/>
          <w:sz w:val="24"/>
          <w:szCs w:val="24"/>
          <w:lang w:eastAsia="en-GB"/>
        </w:rPr>
      </w:pPr>
    </w:p>
    <w:p w14:paraId="6BAA6EB8" w14:textId="3F244379" w:rsidR="00344479" w:rsidRPr="003B0BF2" w:rsidRDefault="5A1C1FB4"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In your view, how could ESMA bridge the need for macroprudential tools for MMFs and the need for high quality and highly liquid collateral for CCPs?</w:t>
      </w:r>
    </w:p>
    <w:p w14:paraId="37A3D906" w14:textId="77777777" w:rsidR="00344479" w:rsidRPr="003B0BF2" w:rsidRDefault="00344479" w:rsidP="00344479">
      <w:pPr>
        <w:pStyle w:val="Questionstyle"/>
        <w:numPr>
          <w:ilvl w:val="0"/>
          <w:numId w:val="0"/>
        </w:numPr>
        <w:rPr>
          <w:rFonts w:ascii="Arial" w:hAnsi="Arial" w:cs="Arial"/>
          <w:sz w:val="24"/>
          <w:szCs w:val="24"/>
        </w:rPr>
      </w:pPr>
    </w:p>
    <w:p w14:paraId="2E2D8885" w14:textId="3F823A65"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6F4269D5" w:rsidRPr="3F0C4E82">
        <w:rPr>
          <w:rFonts w:ascii="Arial" w:hAnsi="Arial" w:cs="Arial"/>
          <w:sz w:val="24"/>
          <w:szCs w:val="24"/>
        </w:rPr>
        <w:t xml:space="preserve"> CCP investment policy</w:t>
      </w:r>
      <w:r w:rsidRPr="3F0C4E82">
        <w:rPr>
          <w:rFonts w:ascii="Arial" w:hAnsi="Arial" w:cs="Arial"/>
          <w:sz w:val="24"/>
          <w:szCs w:val="24"/>
        </w:rPr>
        <w:t>_14&gt;</w:t>
      </w:r>
    </w:p>
    <w:p w14:paraId="4843304A" w14:textId="0E42AC67" w:rsidR="00163CD0" w:rsidRDefault="000728EF" w:rsidP="00AA23A8">
      <w:pPr>
        <w:rPr>
          <w:rFonts w:ascii="Arial" w:hAnsi="Arial" w:cs="Arial"/>
          <w:sz w:val="24"/>
          <w:szCs w:val="24"/>
        </w:rPr>
      </w:pPr>
      <w:r w:rsidRPr="00AA23A8">
        <w:rPr>
          <w:rFonts w:ascii="Arial" w:hAnsi="Arial" w:cs="Arial"/>
          <w:sz w:val="24"/>
          <w:szCs w:val="24"/>
        </w:rPr>
        <w:t xml:space="preserve">Please refer to our response to </w:t>
      </w:r>
      <w:r w:rsidR="00AA23A8" w:rsidRPr="00AA23A8">
        <w:rPr>
          <w:rFonts w:ascii="Arial" w:hAnsi="Arial" w:cs="Arial"/>
          <w:sz w:val="24"/>
          <w:szCs w:val="24"/>
        </w:rPr>
        <w:t>q</w:t>
      </w:r>
      <w:r w:rsidRPr="00AA23A8">
        <w:rPr>
          <w:rFonts w:ascii="Arial" w:hAnsi="Arial" w:cs="Arial"/>
          <w:sz w:val="24"/>
          <w:szCs w:val="24"/>
        </w:rPr>
        <w:t xml:space="preserve">uestion </w:t>
      </w:r>
      <w:r w:rsidR="00686F68">
        <w:rPr>
          <w:rFonts w:ascii="Arial" w:hAnsi="Arial" w:cs="Arial"/>
          <w:sz w:val="24"/>
          <w:szCs w:val="24"/>
        </w:rPr>
        <w:t xml:space="preserve">11 and </w:t>
      </w:r>
      <w:r w:rsidR="00AA23A8" w:rsidRPr="00AA23A8">
        <w:rPr>
          <w:rFonts w:ascii="Arial" w:hAnsi="Arial" w:cs="Arial"/>
          <w:sz w:val="24"/>
          <w:szCs w:val="24"/>
        </w:rPr>
        <w:t xml:space="preserve">12: </w:t>
      </w:r>
      <w:r w:rsidR="00AA23A8">
        <w:rPr>
          <w:rFonts w:ascii="Arial" w:hAnsi="Arial" w:cs="Arial"/>
          <w:sz w:val="24"/>
          <w:szCs w:val="24"/>
        </w:rPr>
        <w:t xml:space="preserve">The fact that MMF could theoretically have gates and fees should not be seen as a reason these instruments are not freely transferrable. </w:t>
      </w:r>
      <w:r w:rsidR="00163CD0">
        <w:rPr>
          <w:rFonts w:ascii="Arial" w:hAnsi="Arial" w:cs="Arial"/>
          <w:sz w:val="24"/>
          <w:szCs w:val="24"/>
        </w:rPr>
        <w:t>During the 2020 crisis, PDCN</w:t>
      </w:r>
      <w:r w:rsidR="003718C6">
        <w:rPr>
          <w:rFonts w:ascii="Arial" w:hAnsi="Arial" w:cs="Arial"/>
          <w:sz w:val="24"/>
          <w:szCs w:val="24"/>
        </w:rPr>
        <w:t>A</w:t>
      </w:r>
      <w:r w:rsidR="00163CD0">
        <w:rPr>
          <w:rFonts w:ascii="Arial" w:hAnsi="Arial" w:cs="Arial"/>
          <w:sz w:val="24"/>
          <w:szCs w:val="24"/>
        </w:rPr>
        <w:t>V MMFs had huge inflows.</w:t>
      </w:r>
    </w:p>
    <w:p w14:paraId="6755CC2F" w14:textId="2044E645" w:rsidR="00AA23A8" w:rsidRDefault="00AA23A8" w:rsidP="00AA23A8">
      <w:pPr>
        <w:rPr>
          <w:rFonts w:ascii="Arial" w:hAnsi="Arial" w:cs="Arial"/>
          <w:sz w:val="24"/>
          <w:szCs w:val="24"/>
        </w:rPr>
      </w:pPr>
      <w:r>
        <w:rPr>
          <w:rFonts w:ascii="Arial" w:hAnsi="Arial" w:cs="Arial"/>
          <w:sz w:val="24"/>
          <w:szCs w:val="24"/>
        </w:rPr>
        <w:t xml:space="preserve">A situation in which a PDCNAV manager would have to enact gates and fees would be a </w:t>
      </w:r>
      <w:r w:rsidR="00CA4279">
        <w:rPr>
          <w:rFonts w:ascii="Arial" w:hAnsi="Arial" w:cs="Arial"/>
          <w:sz w:val="24"/>
          <w:szCs w:val="24"/>
        </w:rPr>
        <w:t xml:space="preserve">market so stressed that </w:t>
      </w:r>
      <w:r>
        <w:rPr>
          <w:rFonts w:ascii="Arial" w:hAnsi="Arial" w:cs="Arial"/>
          <w:sz w:val="24"/>
          <w:szCs w:val="24"/>
        </w:rPr>
        <w:t>a CCP would not be able to liquidate its liquid resources either, given that PDCNAV MMF’s investment criteria are even more conservative as CCP investment criteria</w:t>
      </w:r>
      <w:r w:rsidR="002A3A17">
        <w:rPr>
          <w:rFonts w:ascii="Arial" w:hAnsi="Arial" w:cs="Arial"/>
          <w:sz w:val="24"/>
          <w:szCs w:val="24"/>
        </w:rPr>
        <w:t xml:space="preserve">, even though in such a situation the CCP has less </w:t>
      </w:r>
      <w:r w:rsidR="000C2329">
        <w:rPr>
          <w:rFonts w:ascii="Arial" w:hAnsi="Arial" w:cs="Arial"/>
          <w:sz w:val="24"/>
          <w:szCs w:val="24"/>
        </w:rPr>
        <w:t>control</w:t>
      </w:r>
      <w:r w:rsidR="002A3A17">
        <w:rPr>
          <w:rFonts w:ascii="Arial" w:hAnsi="Arial" w:cs="Arial"/>
          <w:sz w:val="24"/>
          <w:szCs w:val="24"/>
        </w:rPr>
        <w:t xml:space="preserve"> as it would have if it managed the investments itself.</w:t>
      </w:r>
    </w:p>
    <w:p w14:paraId="27DC6259" w14:textId="72F216E2"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02806F5B" w:rsidRPr="3F0C4E82">
        <w:rPr>
          <w:rFonts w:ascii="Arial" w:hAnsi="Arial" w:cs="Arial"/>
          <w:sz w:val="24"/>
          <w:szCs w:val="24"/>
        </w:rPr>
        <w:t xml:space="preserve"> CCP investment policy</w:t>
      </w:r>
      <w:r w:rsidRPr="3F0C4E82">
        <w:rPr>
          <w:rFonts w:ascii="Arial" w:hAnsi="Arial" w:cs="Arial"/>
          <w:sz w:val="24"/>
          <w:szCs w:val="24"/>
        </w:rPr>
        <w:t>_14&gt;</w:t>
      </w:r>
    </w:p>
    <w:p w14:paraId="471F2CB4" w14:textId="77777777" w:rsidR="00344479" w:rsidRPr="003B0BF2" w:rsidRDefault="00344479" w:rsidP="00344479">
      <w:pPr>
        <w:rPr>
          <w:rFonts w:ascii="Arial" w:hAnsi="Arial" w:cs="Arial"/>
          <w:sz w:val="24"/>
          <w:szCs w:val="24"/>
          <w:lang w:eastAsia="en-GB"/>
        </w:rPr>
      </w:pPr>
    </w:p>
    <w:p w14:paraId="6BB7B51A" w14:textId="30099524" w:rsidR="00344479" w:rsidRPr="003B0BF2" w:rsidRDefault="11F598A6"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Do you agree with ESMA that it is not appropriate at this stage to decide on the potential eligibility of MMFs for CCP investments before policy discussions on MMFs at the international and EU levels are finalized?</w:t>
      </w:r>
    </w:p>
    <w:p w14:paraId="00D192F9" w14:textId="77777777" w:rsidR="00344479" w:rsidRPr="003B0BF2" w:rsidRDefault="00344479" w:rsidP="00344479">
      <w:pPr>
        <w:pStyle w:val="Questionstyle"/>
        <w:numPr>
          <w:ilvl w:val="0"/>
          <w:numId w:val="0"/>
        </w:numPr>
        <w:rPr>
          <w:rFonts w:ascii="Arial" w:hAnsi="Arial" w:cs="Arial"/>
          <w:sz w:val="24"/>
          <w:szCs w:val="24"/>
        </w:rPr>
      </w:pPr>
    </w:p>
    <w:p w14:paraId="729AE249" w14:textId="40305C62"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565103A4" w:rsidRPr="3F0C4E82">
        <w:rPr>
          <w:rFonts w:ascii="Arial" w:hAnsi="Arial" w:cs="Arial"/>
          <w:sz w:val="24"/>
          <w:szCs w:val="24"/>
        </w:rPr>
        <w:t xml:space="preserve"> CCP investment policy</w:t>
      </w:r>
      <w:r w:rsidRPr="3F0C4E82">
        <w:rPr>
          <w:rFonts w:ascii="Arial" w:hAnsi="Arial" w:cs="Arial"/>
          <w:sz w:val="24"/>
          <w:szCs w:val="24"/>
        </w:rPr>
        <w:t>_15&gt;</w:t>
      </w:r>
    </w:p>
    <w:p w14:paraId="3AD28FFC" w14:textId="1D47AFC6" w:rsidR="00F37CEF" w:rsidRPr="00E8500A" w:rsidRDefault="00F37CEF" w:rsidP="00F37CEF">
      <w:pPr>
        <w:rPr>
          <w:rFonts w:ascii="Arial" w:hAnsi="Arial" w:cs="Arial"/>
          <w:sz w:val="24"/>
          <w:szCs w:val="24"/>
        </w:rPr>
      </w:pPr>
      <w:r w:rsidRPr="00E8500A">
        <w:rPr>
          <w:rFonts w:ascii="Arial" w:hAnsi="Arial" w:cs="Arial"/>
          <w:sz w:val="24"/>
          <w:szCs w:val="24"/>
        </w:rPr>
        <w:t xml:space="preserve">We note that the policy discussions on MMFs at the international and EU levels will </w:t>
      </w:r>
      <w:r w:rsidR="00BB38B9">
        <w:rPr>
          <w:rFonts w:ascii="Arial" w:hAnsi="Arial" w:cs="Arial"/>
          <w:sz w:val="24"/>
          <w:szCs w:val="24"/>
        </w:rPr>
        <w:t>develop</w:t>
      </w:r>
      <w:r w:rsidRPr="00E8500A">
        <w:rPr>
          <w:rFonts w:ascii="Arial" w:hAnsi="Arial" w:cs="Arial"/>
          <w:sz w:val="24"/>
          <w:szCs w:val="24"/>
        </w:rPr>
        <w:t xml:space="preserve"> over a very long timeframe.</w:t>
      </w:r>
    </w:p>
    <w:p w14:paraId="6626210C" w14:textId="244E6502" w:rsidR="004E5F54" w:rsidRDefault="00334294" w:rsidP="00F37CEF">
      <w:pPr>
        <w:rPr>
          <w:rFonts w:ascii="Arial" w:hAnsi="Arial" w:cs="Arial"/>
          <w:sz w:val="24"/>
          <w:szCs w:val="24"/>
        </w:rPr>
      </w:pPr>
      <w:r w:rsidRPr="00E8500A">
        <w:rPr>
          <w:rFonts w:ascii="Arial" w:hAnsi="Arial" w:cs="Arial"/>
          <w:sz w:val="24"/>
          <w:szCs w:val="24"/>
        </w:rPr>
        <w:t xml:space="preserve">In the </w:t>
      </w:r>
      <w:r w:rsidR="001E3FB1" w:rsidRPr="00E8500A">
        <w:rPr>
          <w:rFonts w:ascii="Arial" w:hAnsi="Arial" w:cs="Arial"/>
          <w:sz w:val="24"/>
          <w:szCs w:val="24"/>
        </w:rPr>
        <w:t>meantime,</w:t>
      </w:r>
      <w:r w:rsidRPr="00E8500A">
        <w:rPr>
          <w:rFonts w:ascii="Arial" w:hAnsi="Arial" w:cs="Arial"/>
          <w:sz w:val="24"/>
          <w:szCs w:val="24"/>
        </w:rPr>
        <w:t xml:space="preserve"> we </w:t>
      </w:r>
      <w:r w:rsidR="000112EA" w:rsidRPr="00E8500A">
        <w:rPr>
          <w:rFonts w:ascii="Arial" w:hAnsi="Arial" w:cs="Arial"/>
          <w:sz w:val="24"/>
          <w:szCs w:val="24"/>
        </w:rPr>
        <w:t>propose</w:t>
      </w:r>
      <w:r w:rsidRPr="00E8500A">
        <w:rPr>
          <w:rFonts w:ascii="Arial" w:hAnsi="Arial" w:cs="Arial"/>
          <w:sz w:val="24"/>
          <w:szCs w:val="24"/>
        </w:rPr>
        <w:t xml:space="preserve"> </w:t>
      </w:r>
      <w:r w:rsidR="004E5F54">
        <w:rPr>
          <w:rFonts w:ascii="Arial" w:hAnsi="Arial" w:cs="Arial"/>
          <w:sz w:val="24"/>
          <w:szCs w:val="24"/>
        </w:rPr>
        <w:t xml:space="preserve">to </w:t>
      </w:r>
      <w:r w:rsidR="004E5F54" w:rsidRPr="003B4A96">
        <w:rPr>
          <w:rFonts w:ascii="Arial" w:hAnsi="Arial" w:cs="Arial"/>
          <w:sz w:val="24"/>
          <w:szCs w:val="24"/>
        </w:rPr>
        <w:t xml:space="preserve">consider allowing CCPs to invest in a specific sub-set of MMFs </w:t>
      </w:r>
      <w:r w:rsidR="00980FF7">
        <w:rPr>
          <w:rFonts w:ascii="Arial" w:hAnsi="Arial" w:cs="Arial"/>
          <w:sz w:val="24"/>
          <w:szCs w:val="24"/>
        </w:rPr>
        <w:t>(</w:t>
      </w:r>
      <w:r w:rsidR="00980FF7" w:rsidRPr="00E8500A">
        <w:rPr>
          <w:rFonts w:ascii="Arial" w:hAnsi="Arial" w:cs="Arial"/>
          <w:sz w:val="24"/>
          <w:szCs w:val="24"/>
        </w:rPr>
        <w:t>the most conservative class of MMF, PDCNAV, or MMF that invest in assets at least as conservative as the CCP is allowed to invest in</w:t>
      </w:r>
      <w:r w:rsidR="00980FF7">
        <w:rPr>
          <w:rFonts w:ascii="Arial" w:hAnsi="Arial" w:cs="Arial"/>
          <w:sz w:val="24"/>
          <w:szCs w:val="24"/>
        </w:rPr>
        <w:t xml:space="preserve">), </w:t>
      </w:r>
      <w:r w:rsidR="004E5F54" w:rsidRPr="003B4A96">
        <w:rPr>
          <w:rFonts w:ascii="Arial" w:hAnsi="Arial" w:cs="Arial"/>
          <w:sz w:val="24"/>
          <w:szCs w:val="24"/>
        </w:rPr>
        <w:t>which are of the same credit quality and as highly liquid as other instruments eligible for CCP investments, subject to certain conditions</w:t>
      </w:r>
      <w:r w:rsidR="004E5F54">
        <w:rPr>
          <w:rFonts w:ascii="Arial" w:hAnsi="Arial" w:cs="Arial"/>
          <w:sz w:val="24"/>
          <w:szCs w:val="24"/>
        </w:rPr>
        <w:t xml:space="preserve"> (see question 12).</w:t>
      </w:r>
    </w:p>
    <w:p w14:paraId="4FFBA057" w14:textId="1AF9E9F2" w:rsidR="00334294" w:rsidRPr="00E8500A" w:rsidRDefault="000112EA" w:rsidP="00F37CEF">
      <w:pPr>
        <w:rPr>
          <w:rFonts w:ascii="Arial" w:hAnsi="Arial" w:cs="Arial"/>
          <w:sz w:val="24"/>
          <w:szCs w:val="24"/>
        </w:rPr>
      </w:pPr>
      <w:r w:rsidRPr="00E8500A">
        <w:rPr>
          <w:rFonts w:ascii="Arial" w:hAnsi="Arial" w:cs="Arial"/>
          <w:sz w:val="24"/>
          <w:szCs w:val="24"/>
        </w:rPr>
        <w:t xml:space="preserve">This would </w:t>
      </w:r>
      <w:r w:rsidR="001E3FB1" w:rsidRPr="00E8500A">
        <w:rPr>
          <w:rFonts w:ascii="Arial" w:hAnsi="Arial" w:cs="Arial"/>
          <w:sz w:val="24"/>
          <w:szCs w:val="24"/>
        </w:rPr>
        <w:t>allow CC</w:t>
      </w:r>
      <w:r w:rsidR="000058E0" w:rsidRPr="00E8500A">
        <w:rPr>
          <w:rFonts w:ascii="Arial" w:hAnsi="Arial" w:cs="Arial"/>
          <w:sz w:val="24"/>
          <w:szCs w:val="24"/>
        </w:rPr>
        <w:t>P</w:t>
      </w:r>
      <w:r w:rsidR="001E3FB1" w:rsidRPr="00E8500A">
        <w:rPr>
          <w:rFonts w:ascii="Arial" w:hAnsi="Arial" w:cs="Arial"/>
          <w:sz w:val="24"/>
          <w:szCs w:val="24"/>
        </w:rPr>
        <w:t xml:space="preserve">s to benefit from </w:t>
      </w:r>
      <w:r w:rsidRPr="00E8500A">
        <w:rPr>
          <w:rFonts w:ascii="Arial" w:hAnsi="Arial" w:cs="Arial"/>
          <w:sz w:val="24"/>
          <w:szCs w:val="24"/>
        </w:rPr>
        <w:t>diversification in investment tools</w:t>
      </w:r>
      <w:r w:rsidR="0056750E" w:rsidRPr="00E8500A">
        <w:rPr>
          <w:rFonts w:ascii="Arial" w:hAnsi="Arial" w:cs="Arial"/>
          <w:sz w:val="24"/>
          <w:szCs w:val="24"/>
        </w:rPr>
        <w:t xml:space="preserve"> and potential </w:t>
      </w:r>
      <w:r w:rsidR="001E3FB1" w:rsidRPr="00E8500A">
        <w:rPr>
          <w:rFonts w:ascii="Arial" w:hAnsi="Arial" w:cs="Arial"/>
          <w:sz w:val="24"/>
          <w:szCs w:val="24"/>
        </w:rPr>
        <w:t>operational</w:t>
      </w:r>
      <w:r w:rsidR="0056750E" w:rsidRPr="00E8500A">
        <w:rPr>
          <w:rFonts w:ascii="Arial" w:hAnsi="Arial" w:cs="Arial"/>
          <w:sz w:val="24"/>
          <w:szCs w:val="24"/>
        </w:rPr>
        <w:t xml:space="preserve"> </w:t>
      </w:r>
      <w:r w:rsidR="001E3FB1" w:rsidRPr="00E8500A">
        <w:rPr>
          <w:rFonts w:ascii="Arial" w:hAnsi="Arial" w:cs="Arial"/>
          <w:sz w:val="24"/>
          <w:szCs w:val="24"/>
        </w:rPr>
        <w:t>improvements / ease of use.</w:t>
      </w:r>
      <w:r w:rsidR="00896EE6">
        <w:rPr>
          <w:rFonts w:ascii="Arial" w:hAnsi="Arial" w:cs="Arial"/>
          <w:sz w:val="24"/>
          <w:szCs w:val="24"/>
        </w:rPr>
        <w:t xml:space="preserve"> Whether other MMF types </w:t>
      </w:r>
      <w:r w:rsidR="00590E13">
        <w:rPr>
          <w:rFonts w:ascii="Arial" w:hAnsi="Arial" w:cs="Arial"/>
          <w:sz w:val="24"/>
          <w:szCs w:val="24"/>
        </w:rPr>
        <w:t>are suitable for CCP investments should then be considered after MMFR has been reviewed.</w:t>
      </w:r>
    </w:p>
    <w:p w14:paraId="7282F1DE" w14:textId="61301359"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069B16BB" w:rsidRPr="3F0C4E82">
        <w:rPr>
          <w:rFonts w:ascii="Arial" w:hAnsi="Arial" w:cs="Arial"/>
          <w:sz w:val="24"/>
          <w:szCs w:val="24"/>
        </w:rPr>
        <w:t xml:space="preserve"> CCP investment policy</w:t>
      </w:r>
      <w:r w:rsidRPr="3F0C4E82">
        <w:rPr>
          <w:rFonts w:ascii="Arial" w:hAnsi="Arial" w:cs="Arial"/>
          <w:sz w:val="24"/>
          <w:szCs w:val="24"/>
        </w:rPr>
        <w:t>_15&gt;</w:t>
      </w:r>
    </w:p>
    <w:p w14:paraId="2DDFFE1F" w14:textId="77777777" w:rsidR="00344479" w:rsidRPr="003B0BF2" w:rsidRDefault="00344479" w:rsidP="00344479">
      <w:pPr>
        <w:rPr>
          <w:rFonts w:ascii="Arial" w:hAnsi="Arial" w:cs="Arial"/>
          <w:sz w:val="24"/>
          <w:szCs w:val="24"/>
          <w:lang w:eastAsia="en-GB"/>
        </w:rPr>
      </w:pPr>
    </w:p>
    <w:p w14:paraId="4E7E730A" w14:textId="3D78A6D6" w:rsidR="00344479" w:rsidRPr="003B0BF2" w:rsidRDefault="608BD9F3"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What would be the costs and benefits of extending the list of financial instruments considered highly liquid with minimal market and credit risk, in the context of EU CCPs’ investment policies?</w:t>
      </w:r>
    </w:p>
    <w:p w14:paraId="47DCAD56" w14:textId="77777777" w:rsidR="00344479" w:rsidRPr="003B0BF2" w:rsidRDefault="00344479" w:rsidP="00344479">
      <w:pPr>
        <w:pStyle w:val="Questionstyle"/>
        <w:numPr>
          <w:ilvl w:val="0"/>
          <w:numId w:val="0"/>
        </w:numPr>
        <w:rPr>
          <w:rFonts w:ascii="Arial" w:hAnsi="Arial" w:cs="Arial"/>
          <w:sz w:val="24"/>
          <w:szCs w:val="24"/>
        </w:rPr>
      </w:pPr>
    </w:p>
    <w:p w14:paraId="378F1F96" w14:textId="24C5424D"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25EB62BD" w:rsidRPr="3F0C4E82">
        <w:rPr>
          <w:rFonts w:ascii="Arial" w:hAnsi="Arial" w:cs="Arial"/>
          <w:sz w:val="24"/>
          <w:szCs w:val="24"/>
        </w:rPr>
        <w:t xml:space="preserve"> CCP investment policy</w:t>
      </w:r>
      <w:r w:rsidRPr="3F0C4E82">
        <w:rPr>
          <w:rFonts w:ascii="Arial" w:hAnsi="Arial" w:cs="Arial"/>
          <w:sz w:val="24"/>
          <w:szCs w:val="24"/>
        </w:rPr>
        <w:t>_16&gt;</w:t>
      </w:r>
    </w:p>
    <w:p w14:paraId="08BB7C10"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1B9318A1" w14:textId="20516C68"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7BE879CF" w:rsidRPr="3F0C4E82">
        <w:rPr>
          <w:rFonts w:ascii="Arial" w:hAnsi="Arial" w:cs="Arial"/>
          <w:sz w:val="24"/>
          <w:szCs w:val="24"/>
        </w:rPr>
        <w:t xml:space="preserve"> CCP investment policy</w:t>
      </w:r>
      <w:r w:rsidRPr="3F0C4E82">
        <w:rPr>
          <w:rFonts w:ascii="Arial" w:hAnsi="Arial" w:cs="Arial"/>
          <w:sz w:val="24"/>
          <w:szCs w:val="24"/>
        </w:rPr>
        <w:t>_16&gt;</w:t>
      </w:r>
    </w:p>
    <w:p w14:paraId="3483D49D" w14:textId="77777777" w:rsidR="00344479" w:rsidRPr="003B0BF2" w:rsidRDefault="00344479" w:rsidP="00344479">
      <w:pPr>
        <w:rPr>
          <w:rFonts w:ascii="Arial" w:hAnsi="Arial" w:cs="Arial"/>
          <w:sz w:val="24"/>
          <w:szCs w:val="24"/>
          <w:lang w:eastAsia="en-GB"/>
        </w:rPr>
      </w:pPr>
    </w:p>
    <w:p w14:paraId="40805716" w14:textId="2D48FC68" w:rsidR="00344479" w:rsidRPr="003B0BF2" w:rsidRDefault="602E5800"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What would be the costs and benefits of extending the list of financial instruments to money market funds authorised in accordance with MMFR?</w:t>
      </w:r>
    </w:p>
    <w:p w14:paraId="6CE41C8C" w14:textId="77777777" w:rsidR="00344479" w:rsidRPr="003B0BF2" w:rsidRDefault="00344479" w:rsidP="00344479">
      <w:pPr>
        <w:pStyle w:val="Questionstyle"/>
        <w:numPr>
          <w:ilvl w:val="0"/>
          <w:numId w:val="0"/>
        </w:numPr>
        <w:rPr>
          <w:rFonts w:ascii="Arial" w:hAnsi="Arial" w:cs="Arial"/>
          <w:sz w:val="24"/>
          <w:szCs w:val="24"/>
        </w:rPr>
      </w:pPr>
    </w:p>
    <w:p w14:paraId="77B7AC58" w14:textId="163CF22D"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074037EC" w:rsidRPr="3F0C4E82">
        <w:rPr>
          <w:rFonts w:ascii="Arial" w:hAnsi="Arial" w:cs="Arial"/>
          <w:sz w:val="24"/>
          <w:szCs w:val="24"/>
        </w:rPr>
        <w:t xml:space="preserve"> CCP investment policy</w:t>
      </w:r>
      <w:r w:rsidRPr="3F0C4E82">
        <w:rPr>
          <w:rFonts w:ascii="Arial" w:hAnsi="Arial" w:cs="Arial"/>
          <w:sz w:val="24"/>
          <w:szCs w:val="24"/>
        </w:rPr>
        <w:t>_17&gt;</w:t>
      </w:r>
    </w:p>
    <w:p w14:paraId="5C5B9926"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410F2298" w14:textId="52E890AA"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429C3409" w:rsidRPr="3F0C4E82">
        <w:rPr>
          <w:rFonts w:ascii="Arial" w:hAnsi="Arial" w:cs="Arial"/>
          <w:sz w:val="24"/>
          <w:szCs w:val="24"/>
        </w:rPr>
        <w:t xml:space="preserve"> CCP investment policy</w:t>
      </w:r>
      <w:r w:rsidRPr="3F0C4E82">
        <w:rPr>
          <w:rFonts w:ascii="Arial" w:hAnsi="Arial" w:cs="Arial"/>
          <w:sz w:val="24"/>
          <w:szCs w:val="24"/>
        </w:rPr>
        <w:t>_17&gt;</w:t>
      </w:r>
    </w:p>
    <w:p w14:paraId="33C47AB7" w14:textId="77777777" w:rsidR="00344479" w:rsidRPr="00344479" w:rsidRDefault="00344479" w:rsidP="00344479">
      <w:pPr>
        <w:rPr>
          <w:lang w:eastAsia="en-GB"/>
        </w:rPr>
      </w:pPr>
    </w:p>
    <w:p w14:paraId="1342EA6E" w14:textId="77777777" w:rsidR="00344479" w:rsidRPr="00344479" w:rsidRDefault="00344479" w:rsidP="00344479">
      <w:pPr>
        <w:rPr>
          <w:lang w:eastAsia="en-GB"/>
        </w:rPr>
      </w:pPr>
    </w:p>
    <w:p w14:paraId="462306E6" w14:textId="77777777" w:rsidR="00344479" w:rsidRPr="00344479" w:rsidRDefault="00344479" w:rsidP="00344479">
      <w:pPr>
        <w:rPr>
          <w:lang w:eastAsia="en-GB"/>
        </w:rPr>
      </w:pPr>
    </w:p>
    <w:p w14:paraId="1641973A" w14:textId="77777777" w:rsidR="00344479" w:rsidRPr="00344479" w:rsidRDefault="00344479" w:rsidP="00344479">
      <w:pPr>
        <w:rPr>
          <w:lang w:eastAsia="en-GB"/>
        </w:rPr>
      </w:pPr>
    </w:p>
    <w:p w14:paraId="372799DE" w14:textId="77777777" w:rsidR="00793CF7" w:rsidRPr="00AA60F5" w:rsidRDefault="00793CF7">
      <w:pPr>
        <w:rPr>
          <w:rFonts w:ascii="Arial" w:hAnsi="Arial" w:cs="Arial"/>
          <w:sz w:val="24"/>
          <w:szCs w:val="24"/>
        </w:rPr>
      </w:pPr>
    </w:p>
    <w:sectPr w:rsidR="00793CF7" w:rsidRPr="00AA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FE2A" w14:textId="77777777" w:rsidR="005D18F6" w:rsidRDefault="005D18F6">
      <w:pPr>
        <w:spacing w:after="0" w:line="240" w:lineRule="auto"/>
      </w:pPr>
      <w:r>
        <w:separator/>
      </w:r>
    </w:p>
  </w:endnote>
  <w:endnote w:type="continuationSeparator" w:id="0">
    <w:p w14:paraId="4AD1DEA0" w14:textId="77777777" w:rsidR="005D18F6" w:rsidRDefault="005D18F6">
      <w:pPr>
        <w:spacing w:after="0" w:line="240" w:lineRule="auto"/>
      </w:pPr>
      <w:r>
        <w:continuationSeparator/>
      </w:r>
    </w:p>
  </w:endnote>
  <w:endnote w:type="continuationNotice" w:id="1">
    <w:p w14:paraId="4288D3C5" w14:textId="77777777" w:rsidR="005D18F6" w:rsidRDefault="005D1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847A766" w14:textId="5C64E25D" w:rsidR="00093B59" w:rsidRDefault="00093B59">
        <w:pPr>
          <w:pStyle w:val="Footer"/>
          <w:jc w:val="center"/>
        </w:pPr>
        <w:r>
          <w:fldChar w:fldCharType="begin"/>
        </w:r>
        <w:r>
          <w:instrText xml:space="preserve"> PAGE   \* MERGEFORMAT </w:instrText>
        </w:r>
        <w:r>
          <w:fldChar w:fldCharType="separate"/>
        </w:r>
        <w:r w:rsidR="00211916">
          <w:rPr>
            <w:noProof/>
          </w:rPr>
          <w:t>13</w:t>
        </w:r>
        <w:r>
          <w:rPr>
            <w:noProof/>
          </w:rPr>
          <w:fldChar w:fldCharType="end"/>
        </w:r>
      </w:p>
    </w:sdtContent>
  </w:sdt>
  <w:p w14:paraId="1FEDE5B9" w14:textId="77777777" w:rsidR="00093B59" w:rsidRDefault="00093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53E9BAB5" w:rsidR="00093B59" w:rsidRPr="004E0345" w:rsidRDefault="00093B59" w:rsidP="00ED5513">
    <w:pPr>
      <w:pStyle w:val="Footer"/>
      <w:rPr>
        <w:rFonts w:asciiTheme="minorHAnsi" w:hAnsiTheme="minorHAnsi" w:cstheme="minorHAnsi"/>
        <w:color w:val="000000" w:themeColor="text1"/>
      </w:rPr>
    </w:pPr>
    <w:r>
      <w:rPr>
        <w:rFonts w:asciiTheme="majorHAnsi" w:hAnsiTheme="majorHAnsi"/>
        <w:color w:val="FFFFFF" w:themeColor="background1"/>
      </w:rPr>
      <w:tab/>
    </w:r>
    <w:r w:rsidRPr="004E0345">
      <w:rPr>
        <w:rFonts w:asciiTheme="majorHAnsi" w:hAnsiTheme="majorHAnsi"/>
        <w:color w:val="FFFFFF" w:themeColor="background1"/>
      </w:rPr>
      <w:tab/>
    </w:r>
    <w:r>
      <w:rPr>
        <w:rFonts w:asciiTheme="minorHAnsi" w:hAnsiTheme="minorHAnsi" w:cstheme="minorHAnsi"/>
        <w:color w:val="FFFFFF" w:themeColor="background1"/>
      </w:rPr>
      <w:t>19</w:t>
    </w:r>
    <w:r w:rsidRPr="004E0345">
      <w:rPr>
        <w:rFonts w:asciiTheme="minorHAnsi" w:hAnsiTheme="minorHAnsi" w:cstheme="minorHAnsi"/>
        <w:color w:val="FFFFFF" w:themeColor="background1"/>
      </w:rPr>
      <w:t xml:space="preserve"> </w:t>
    </w:r>
    <w:r>
      <w:rPr>
        <w:rFonts w:asciiTheme="minorHAnsi" w:hAnsiTheme="minorHAnsi" w:cstheme="minorHAnsi"/>
        <w:color w:val="FFFFFF" w:themeColor="background1"/>
      </w:rPr>
      <w:t>November</w:t>
    </w:r>
    <w:r w:rsidRPr="004E0345">
      <w:rPr>
        <w:rFonts w:asciiTheme="minorHAnsi" w:hAnsiTheme="minorHAnsi" w:cstheme="minorHAnsi"/>
        <w:color w:val="FFFFFF" w:themeColor="background1"/>
      </w:rPr>
      <w:t xml:space="preserve"> 2021 | ESMA 91-372-15</w:t>
    </w:r>
    <w:r>
      <w:rPr>
        <w:rFonts w:asciiTheme="minorHAnsi" w:hAnsiTheme="minorHAnsi" w:cstheme="minorHAnsi"/>
        <w:color w:val="FFFFFF" w:themeColor="background1"/>
      </w:rPr>
      <w:t>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966E" w14:textId="77777777" w:rsidR="005D18F6" w:rsidRDefault="005D18F6">
      <w:pPr>
        <w:spacing w:after="0" w:line="240" w:lineRule="auto"/>
      </w:pPr>
      <w:r>
        <w:separator/>
      </w:r>
    </w:p>
  </w:footnote>
  <w:footnote w:type="continuationSeparator" w:id="0">
    <w:p w14:paraId="36F50288" w14:textId="77777777" w:rsidR="005D18F6" w:rsidRDefault="005D18F6">
      <w:pPr>
        <w:spacing w:after="0" w:line="240" w:lineRule="auto"/>
      </w:pPr>
      <w:r>
        <w:continuationSeparator/>
      </w:r>
    </w:p>
  </w:footnote>
  <w:footnote w:type="continuationNotice" w:id="1">
    <w:p w14:paraId="6AE5ED84" w14:textId="77777777" w:rsidR="005D18F6" w:rsidRDefault="005D18F6">
      <w:pPr>
        <w:spacing w:after="0" w:line="240" w:lineRule="auto"/>
      </w:pPr>
    </w:p>
  </w:footnote>
  <w:footnote w:id="2">
    <w:p w14:paraId="5C83E101" w14:textId="65082577" w:rsidR="005E118B" w:rsidRDefault="005E118B">
      <w:pPr>
        <w:pStyle w:val="FootnoteText"/>
      </w:pPr>
      <w:r>
        <w:rPr>
          <w:rStyle w:val="FootnoteReference"/>
        </w:rPr>
        <w:footnoteRef/>
      </w:r>
      <w:r>
        <w:t xml:space="preserve"> Please also see </w:t>
      </w:r>
      <w:r w:rsidR="007236C8">
        <w:t xml:space="preserve">the </w:t>
      </w:r>
      <w:hyperlink r:id="rId1" w:history="1">
        <w:r w:rsidR="007236C8" w:rsidRPr="002040E6">
          <w:rPr>
            <w:rStyle w:val="Hyperlink"/>
          </w:rPr>
          <w:t xml:space="preserve">SEC’s </w:t>
        </w:r>
        <w:r w:rsidRPr="002040E6">
          <w:rPr>
            <w:rStyle w:val="Hyperlink"/>
          </w:rPr>
          <w:t xml:space="preserve">proposed </w:t>
        </w:r>
        <w:r w:rsidR="007236C8" w:rsidRPr="002040E6">
          <w:rPr>
            <w:rStyle w:val="Hyperlink"/>
          </w:rPr>
          <w:t xml:space="preserve">rule on Money </w:t>
        </w:r>
        <w:r w:rsidR="002040E6">
          <w:rPr>
            <w:rStyle w:val="Hyperlink"/>
          </w:rPr>
          <w:t>M</w:t>
        </w:r>
        <w:r w:rsidR="007236C8" w:rsidRPr="002040E6">
          <w:rPr>
            <w:rStyle w:val="Hyperlink"/>
          </w:rPr>
          <w:t>arket Reform</w:t>
        </w:r>
      </w:hyperlink>
      <w:r w:rsidR="007236C8">
        <w:t xml:space="preserve"> (pages 31 </w:t>
      </w:r>
      <w:r w:rsidR="002040E6">
        <w:t>-</w:t>
      </w:r>
      <w:r w:rsidR="007236C8">
        <w:t xml:space="preserve">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77777777" w:rsidR="00093B59" w:rsidRDefault="00093B59">
    <w:pPr>
      <w:pStyle w:val="Header"/>
    </w:pPr>
  </w:p>
  <w:p w14:paraId="406770CC" w14:textId="77777777" w:rsidR="00093B59" w:rsidRDefault="00093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77777777" w:rsidR="00093B59" w:rsidRDefault="00093B59">
    <w:pPr>
      <w:pStyle w:val="Header"/>
    </w:pPr>
    <w:r>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D6169"/>
    <w:multiLevelType w:val="hybridMultilevel"/>
    <w:tmpl w:val="3DC66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7633E5"/>
    <w:multiLevelType w:val="hybridMultilevel"/>
    <w:tmpl w:val="3DE0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29351E"/>
    <w:multiLevelType w:val="hybridMultilevel"/>
    <w:tmpl w:val="FE9E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211DF0"/>
    <w:multiLevelType w:val="hybridMultilevel"/>
    <w:tmpl w:val="888A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640CB"/>
    <w:multiLevelType w:val="hybridMultilevel"/>
    <w:tmpl w:val="C7B287CE"/>
    <w:lvl w:ilvl="0" w:tplc="0813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8734E84"/>
    <w:multiLevelType w:val="hybridMultilevel"/>
    <w:tmpl w:val="AC1C390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9"/>
  </w:num>
  <w:num w:numId="8">
    <w:abstractNumId w:val="0"/>
  </w:num>
  <w:num w:numId="9">
    <w:abstractNumId w:val="0"/>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7D5"/>
    <w:rsid w:val="000058E0"/>
    <w:rsid w:val="000112EA"/>
    <w:rsid w:val="0002505D"/>
    <w:rsid w:val="00025F83"/>
    <w:rsid w:val="00065666"/>
    <w:rsid w:val="000728EF"/>
    <w:rsid w:val="00073AA5"/>
    <w:rsid w:val="0007788B"/>
    <w:rsid w:val="00085190"/>
    <w:rsid w:val="000866FF"/>
    <w:rsid w:val="00093B59"/>
    <w:rsid w:val="000B0F32"/>
    <w:rsid w:val="000B2962"/>
    <w:rsid w:val="000B6C23"/>
    <w:rsid w:val="000C036A"/>
    <w:rsid w:val="000C2329"/>
    <w:rsid w:val="000D64ED"/>
    <w:rsid w:val="000E28F1"/>
    <w:rsid w:val="000F2B90"/>
    <w:rsid w:val="000F56D7"/>
    <w:rsid w:val="000F73EF"/>
    <w:rsid w:val="0010625B"/>
    <w:rsid w:val="00126ADB"/>
    <w:rsid w:val="00145F8D"/>
    <w:rsid w:val="00147578"/>
    <w:rsid w:val="00163CD0"/>
    <w:rsid w:val="00170116"/>
    <w:rsid w:val="00193BB0"/>
    <w:rsid w:val="00193FC2"/>
    <w:rsid w:val="001964C5"/>
    <w:rsid w:val="001B4646"/>
    <w:rsid w:val="001B5A8B"/>
    <w:rsid w:val="001D6E3F"/>
    <w:rsid w:val="001E3FB1"/>
    <w:rsid w:val="001E629E"/>
    <w:rsid w:val="001F4801"/>
    <w:rsid w:val="001F5919"/>
    <w:rsid w:val="00203DC4"/>
    <w:rsid w:val="002040E6"/>
    <w:rsid w:val="00207D9E"/>
    <w:rsid w:val="0021161E"/>
    <w:rsid w:val="00211916"/>
    <w:rsid w:val="002149CB"/>
    <w:rsid w:val="00217955"/>
    <w:rsid w:val="0022120F"/>
    <w:rsid w:val="00226BE2"/>
    <w:rsid w:val="00230CBF"/>
    <w:rsid w:val="00232DF8"/>
    <w:rsid w:val="00234FFA"/>
    <w:rsid w:val="00237358"/>
    <w:rsid w:val="0023771F"/>
    <w:rsid w:val="002427D5"/>
    <w:rsid w:val="002458DB"/>
    <w:rsid w:val="00246051"/>
    <w:rsid w:val="002518F1"/>
    <w:rsid w:val="00255137"/>
    <w:rsid w:val="00283EDC"/>
    <w:rsid w:val="00284FC4"/>
    <w:rsid w:val="00285D9A"/>
    <w:rsid w:val="00285E9C"/>
    <w:rsid w:val="00294897"/>
    <w:rsid w:val="00294C38"/>
    <w:rsid w:val="002A3670"/>
    <w:rsid w:val="002A3A17"/>
    <w:rsid w:val="002A6D4E"/>
    <w:rsid w:val="002C7A61"/>
    <w:rsid w:val="002D3085"/>
    <w:rsid w:val="002E2C57"/>
    <w:rsid w:val="002E4A15"/>
    <w:rsid w:val="002E619C"/>
    <w:rsid w:val="002F1402"/>
    <w:rsid w:val="002F47B0"/>
    <w:rsid w:val="002F70DE"/>
    <w:rsid w:val="00303270"/>
    <w:rsid w:val="00310EC0"/>
    <w:rsid w:val="00311887"/>
    <w:rsid w:val="00315713"/>
    <w:rsid w:val="00321C63"/>
    <w:rsid w:val="003233F0"/>
    <w:rsid w:val="00332DE4"/>
    <w:rsid w:val="00334294"/>
    <w:rsid w:val="00335710"/>
    <w:rsid w:val="003419AD"/>
    <w:rsid w:val="00344479"/>
    <w:rsid w:val="003718C6"/>
    <w:rsid w:val="0037391E"/>
    <w:rsid w:val="0038614E"/>
    <w:rsid w:val="00387329"/>
    <w:rsid w:val="003A7435"/>
    <w:rsid w:val="003B0BF2"/>
    <w:rsid w:val="003B4A96"/>
    <w:rsid w:val="003B5A89"/>
    <w:rsid w:val="003B7325"/>
    <w:rsid w:val="003C1E9A"/>
    <w:rsid w:val="003C45D8"/>
    <w:rsid w:val="003C6B8A"/>
    <w:rsid w:val="003D1BEC"/>
    <w:rsid w:val="003D2AB3"/>
    <w:rsid w:val="003F017B"/>
    <w:rsid w:val="003F13B6"/>
    <w:rsid w:val="00400CF4"/>
    <w:rsid w:val="00411A22"/>
    <w:rsid w:val="00414A3E"/>
    <w:rsid w:val="004263A1"/>
    <w:rsid w:val="0043456C"/>
    <w:rsid w:val="00435C69"/>
    <w:rsid w:val="00462378"/>
    <w:rsid w:val="00467B99"/>
    <w:rsid w:val="00483194"/>
    <w:rsid w:val="004835B8"/>
    <w:rsid w:val="00483779"/>
    <w:rsid w:val="00484715"/>
    <w:rsid w:val="004910AF"/>
    <w:rsid w:val="00492E58"/>
    <w:rsid w:val="004A1DFA"/>
    <w:rsid w:val="004A366E"/>
    <w:rsid w:val="004A4DDB"/>
    <w:rsid w:val="004B288A"/>
    <w:rsid w:val="004B2E52"/>
    <w:rsid w:val="004B75FE"/>
    <w:rsid w:val="004C4B4E"/>
    <w:rsid w:val="004D38F7"/>
    <w:rsid w:val="004D7B6F"/>
    <w:rsid w:val="004E0345"/>
    <w:rsid w:val="004E1925"/>
    <w:rsid w:val="004E5F54"/>
    <w:rsid w:val="004E71A8"/>
    <w:rsid w:val="00504973"/>
    <w:rsid w:val="00512F83"/>
    <w:rsid w:val="00517BF6"/>
    <w:rsid w:val="00535573"/>
    <w:rsid w:val="00536C94"/>
    <w:rsid w:val="005465AD"/>
    <w:rsid w:val="00552D1A"/>
    <w:rsid w:val="00555996"/>
    <w:rsid w:val="005609E5"/>
    <w:rsid w:val="00561557"/>
    <w:rsid w:val="00566CE8"/>
    <w:rsid w:val="0056750E"/>
    <w:rsid w:val="00574B7A"/>
    <w:rsid w:val="00576A46"/>
    <w:rsid w:val="00590E13"/>
    <w:rsid w:val="00595239"/>
    <w:rsid w:val="005A0C7E"/>
    <w:rsid w:val="005A4DF9"/>
    <w:rsid w:val="005A68B4"/>
    <w:rsid w:val="005C0032"/>
    <w:rsid w:val="005C09E0"/>
    <w:rsid w:val="005C466D"/>
    <w:rsid w:val="005D18F6"/>
    <w:rsid w:val="005E118B"/>
    <w:rsid w:val="006106DB"/>
    <w:rsid w:val="006238DD"/>
    <w:rsid w:val="00632A16"/>
    <w:rsid w:val="00635180"/>
    <w:rsid w:val="00650FBF"/>
    <w:rsid w:val="00661C42"/>
    <w:rsid w:val="006668B4"/>
    <w:rsid w:val="00673564"/>
    <w:rsid w:val="00686F68"/>
    <w:rsid w:val="00687862"/>
    <w:rsid w:val="006F5060"/>
    <w:rsid w:val="00707E82"/>
    <w:rsid w:val="007110EC"/>
    <w:rsid w:val="00711737"/>
    <w:rsid w:val="007236C8"/>
    <w:rsid w:val="007236F2"/>
    <w:rsid w:val="00740707"/>
    <w:rsid w:val="00743AE2"/>
    <w:rsid w:val="00747296"/>
    <w:rsid w:val="00747C2E"/>
    <w:rsid w:val="00756936"/>
    <w:rsid w:val="00765589"/>
    <w:rsid w:val="0078448A"/>
    <w:rsid w:val="00793CF7"/>
    <w:rsid w:val="007A6569"/>
    <w:rsid w:val="007C1486"/>
    <w:rsid w:val="007D144E"/>
    <w:rsid w:val="007D40AC"/>
    <w:rsid w:val="007E26AA"/>
    <w:rsid w:val="007E39B2"/>
    <w:rsid w:val="007E43A2"/>
    <w:rsid w:val="00802344"/>
    <w:rsid w:val="00814097"/>
    <w:rsid w:val="008153A0"/>
    <w:rsid w:val="008167AC"/>
    <w:rsid w:val="00817662"/>
    <w:rsid w:val="0082754C"/>
    <w:rsid w:val="00827D21"/>
    <w:rsid w:val="008412FF"/>
    <w:rsid w:val="00841AB0"/>
    <w:rsid w:val="00846178"/>
    <w:rsid w:val="008521D3"/>
    <w:rsid w:val="008723FB"/>
    <w:rsid w:val="0087258B"/>
    <w:rsid w:val="00875995"/>
    <w:rsid w:val="008806A1"/>
    <w:rsid w:val="008947B8"/>
    <w:rsid w:val="00896EE6"/>
    <w:rsid w:val="008A20A2"/>
    <w:rsid w:val="008B5597"/>
    <w:rsid w:val="008C4BD2"/>
    <w:rsid w:val="008D6A00"/>
    <w:rsid w:val="008F3F83"/>
    <w:rsid w:val="008F5358"/>
    <w:rsid w:val="008F6DE2"/>
    <w:rsid w:val="00902A61"/>
    <w:rsid w:val="00920FD1"/>
    <w:rsid w:val="00922DA4"/>
    <w:rsid w:val="00927AEA"/>
    <w:rsid w:val="00931A40"/>
    <w:rsid w:val="009612F8"/>
    <w:rsid w:val="009630B6"/>
    <w:rsid w:val="009634AE"/>
    <w:rsid w:val="0096568A"/>
    <w:rsid w:val="009676A0"/>
    <w:rsid w:val="00967A07"/>
    <w:rsid w:val="00980FF7"/>
    <w:rsid w:val="00993279"/>
    <w:rsid w:val="00995EEA"/>
    <w:rsid w:val="009E7C73"/>
    <w:rsid w:val="009E7D21"/>
    <w:rsid w:val="009F5B31"/>
    <w:rsid w:val="00A031C0"/>
    <w:rsid w:val="00A1589F"/>
    <w:rsid w:val="00A3139C"/>
    <w:rsid w:val="00A41E82"/>
    <w:rsid w:val="00A51D23"/>
    <w:rsid w:val="00A602AF"/>
    <w:rsid w:val="00A67C8B"/>
    <w:rsid w:val="00A7396B"/>
    <w:rsid w:val="00A92D8C"/>
    <w:rsid w:val="00A93B93"/>
    <w:rsid w:val="00AA04C8"/>
    <w:rsid w:val="00AA23A8"/>
    <w:rsid w:val="00AA60F5"/>
    <w:rsid w:val="00AC2148"/>
    <w:rsid w:val="00AC6F39"/>
    <w:rsid w:val="00AD5127"/>
    <w:rsid w:val="00AD6065"/>
    <w:rsid w:val="00AF0812"/>
    <w:rsid w:val="00B14755"/>
    <w:rsid w:val="00B1594A"/>
    <w:rsid w:val="00B30033"/>
    <w:rsid w:val="00B6332E"/>
    <w:rsid w:val="00B67A37"/>
    <w:rsid w:val="00B71450"/>
    <w:rsid w:val="00B717E0"/>
    <w:rsid w:val="00B823BE"/>
    <w:rsid w:val="00B87C9D"/>
    <w:rsid w:val="00B936F9"/>
    <w:rsid w:val="00B94970"/>
    <w:rsid w:val="00B964A4"/>
    <w:rsid w:val="00BA2B82"/>
    <w:rsid w:val="00BA3030"/>
    <w:rsid w:val="00BB0221"/>
    <w:rsid w:val="00BB38B9"/>
    <w:rsid w:val="00BB44B6"/>
    <w:rsid w:val="00BC5A75"/>
    <w:rsid w:val="00BD18F1"/>
    <w:rsid w:val="00BE612A"/>
    <w:rsid w:val="00BE7EF7"/>
    <w:rsid w:val="00BF2CBF"/>
    <w:rsid w:val="00C21DF9"/>
    <w:rsid w:val="00C36E1A"/>
    <w:rsid w:val="00C439F7"/>
    <w:rsid w:val="00C46C97"/>
    <w:rsid w:val="00C520D0"/>
    <w:rsid w:val="00C567F0"/>
    <w:rsid w:val="00C63715"/>
    <w:rsid w:val="00C75088"/>
    <w:rsid w:val="00C84E24"/>
    <w:rsid w:val="00C93B89"/>
    <w:rsid w:val="00CA4279"/>
    <w:rsid w:val="00CB7B6D"/>
    <w:rsid w:val="00CD0663"/>
    <w:rsid w:val="00CD1C88"/>
    <w:rsid w:val="00CE7118"/>
    <w:rsid w:val="00D00B1F"/>
    <w:rsid w:val="00D073D2"/>
    <w:rsid w:val="00D23003"/>
    <w:rsid w:val="00D342D8"/>
    <w:rsid w:val="00D34793"/>
    <w:rsid w:val="00D34AD1"/>
    <w:rsid w:val="00D47613"/>
    <w:rsid w:val="00D52A85"/>
    <w:rsid w:val="00D55EFE"/>
    <w:rsid w:val="00D65A90"/>
    <w:rsid w:val="00D67960"/>
    <w:rsid w:val="00D67B6A"/>
    <w:rsid w:val="00D74E28"/>
    <w:rsid w:val="00D80349"/>
    <w:rsid w:val="00D81ACC"/>
    <w:rsid w:val="00DB7FE1"/>
    <w:rsid w:val="00DC540E"/>
    <w:rsid w:val="00DF52E0"/>
    <w:rsid w:val="00E3509A"/>
    <w:rsid w:val="00E359D0"/>
    <w:rsid w:val="00E404CB"/>
    <w:rsid w:val="00E466EA"/>
    <w:rsid w:val="00E5187D"/>
    <w:rsid w:val="00E81D30"/>
    <w:rsid w:val="00E8500A"/>
    <w:rsid w:val="00E945FC"/>
    <w:rsid w:val="00E9543D"/>
    <w:rsid w:val="00E97118"/>
    <w:rsid w:val="00EB6228"/>
    <w:rsid w:val="00EC0598"/>
    <w:rsid w:val="00EC1581"/>
    <w:rsid w:val="00EC29DA"/>
    <w:rsid w:val="00EC2AB5"/>
    <w:rsid w:val="00EC7864"/>
    <w:rsid w:val="00ED5513"/>
    <w:rsid w:val="00ED70DA"/>
    <w:rsid w:val="00ED7EFA"/>
    <w:rsid w:val="00EE46EB"/>
    <w:rsid w:val="00EF5FD6"/>
    <w:rsid w:val="00EF6031"/>
    <w:rsid w:val="00EF64AB"/>
    <w:rsid w:val="00F1473C"/>
    <w:rsid w:val="00F2014E"/>
    <w:rsid w:val="00F24242"/>
    <w:rsid w:val="00F2775D"/>
    <w:rsid w:val="00F31783"/>
    <w:rsid w:val="00F37911"/>
    <w:rsid w:val="00F37CEF"/>
    <w:rsid w:val="00F50F89"/>
    <w:rsid w:val="00F51FA3"/>
    <w:rsid w:val="00F66637"/>
    <w:rsid w:val="00F67A33"/>
    <w:rsid w:val="00F7294C"/>
    <w:rsid w:val="00F771EF"/>
    <w:rsid w:val="00F95894"/>
    <w:rsid w:val="00F968A1"/>
    <w:rsid w:val="00FA1902"/>
    <w:rsid w:val="00FA6740"/>
    <w:rsid w:val="00FE0D49"/>
    <w:rsid w:val="02118703"/>
    <w:rsid w:val="02637113"/>
    <w:rsid w:val="02806F5B"/>
    <w:rsid w:val="04364A4F"/>
    <w:rsid w:val="04430973"/>
    <w:rsid w:val="048AB3B3"/>
    <w:rsid w:val="069B16BB"/>
    <w:rsid w:val="074037EC"/>
    <w:rsid w:val="08EC68F4"/>
    <w:rsid w:val="0A863D8E"/>
    <w:rsid w:val="0F497287"/>
    <w:rsid w:val="1108641E"/>
    <w:rsid w:val="11F598A6"/>
    <w:rsid w:val="1DF02BDB"/>
    <w:rsid w:val="1E4619C1"/>
    <w:rsid w:val="1E6E7DEB"/>
    <w:rsid w:val="1E8354FF"/>
    <w:rsid w:val="21ABC50C"/>
    <w:rsid w:val="223E1E71"/>
    <w:rsid w:val="22C245CF"/>
    <w:rsid w:val="250E75CB"/>
    <w:rsid w:val="25EB62BD"/>
    <w:rsid w:val="26E0D96C"/>
    <w:rsid w:val="2A1194EA"/>
    <w:rsid w:val="2B87F679"/>
    <w:rsid w:val="2F74A411"/>
    <w:rsid w:val="322D2D05"/>
    <w:rsid w:val="3303093B"/>
    <w:rsid w:val="3B8E2905"/>
    <w:rsid w:val="3F0C4E82"/>
    <w:rsid w:val="4089FA3A"/>
    <w:rsid w:val="429C3409"/>
    <w:rsid w:val="451346A8"/>
    <w:rsid w:val="45820F52"/>
    <w:rsid w:val="45859F23"/>
    <w:rsid w:val="45EB5968"/>
    <w:rsid w:val="495D57BE"/>
    <w:rsid w:val="4AE86471"/>
    <w:rsid w:val="4B97F04B"/>
    <w:rsid w:val="4C170CA1"/>
    <w:rsid w:val="4D0646EA"/>
    <w:rsid w:val="4DB2AB2B"/>
    <w:rsid w:val="502484CF"/>
    <w:rsid w:val="53373E55"/>
    <w:rsid w:val="565103A4"/>
    <w:rsid w:val="589A729C"/>
    <w:rsid w:val="59B89C2B"/>
    <w:rsid w:val="5A1C1FB4"/>
    <w:rsid w:val="5C0C7947"/>
    <w:rsid w:val="5F583685"/>
    <w:rsid w:val="602E5800"/>
    <w:rsid w:val="608BD9F3"/>
    <w:rsid w:val="64166549"/>
    <w:rsid w:val="64C01AB6"/>
    <w:rsid w:val="6A72AC30"/>
    <w:rsid w:val="6E7ED9EF"/>
    <w:rsid w:val="6F1E8DE6"/>
    <w:rsid w:val="6F4269D5"/>
    <w:rsid w:val="710D8683"/>
    <w:rsid w:val="71564458"/>
    <w:rsid w:val="73AF8A82"/>
    <w:rsid w:val="76774DDD"/>
    <w:rsid w:val="7BE879CF"/>
    <w:rsid w:val="7F5440B5"/>
    <w:rsid w:val="7F6F9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AA60F5"/>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Subtitle">
    <w:name w:val="Subtitle"/>
    <w:basedOn w:val="Normal"/>
    <w:next w:val="Normal"/>
    <w:link w:val="SubtitleChar"/>
    <w:uiPriority w:val="11"/>
    <w:qFormat/>
    <w:rsid w:val="002A6D4E"/>
    <w:pPr>
      <w:numPr>
        <w:ilvl w:val="1"/>
      </w:numPr>
      <w:spacing w:after="250" w:line="240" w:lineRule="auto"/>
      <w:jc w:val="both"/>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2A6D4E"/>
    <w:rPr>
      <w:rFonts w:asciiTheme="majorHAnsi" w:eastAsiaTheme="majorEastAsia" w:hAnsiTheme="majorHAnsi" w:cstheme="majorBidi"/>
      <w:b/>
      <w:sz w:val="28"/>
      <w:szCs w:val="24"/>
    </w:rPr>
  </w:style>
  <w:style w:type="paragraph" w:styleId="CommentSubject">
    <w:name w:val="annotation subject"/>
    <w:basedOn w:val="CommentText"/>
    <w:next w:val="CommentText"/>
    <w:link w:val="CommentSubjectChar"/>
    <w:uiPriority w:val="99"/>
    <w:semiHidden/>
    <w:unhideWhenUsed/>
    <w:rsid w:val="00ED5513"/>
    <w:rPr>
      <w:b/>
      <w:bCs/>
    </w:rPr>
  </w:style>
  <w:style w:type="character" w:customStyle="1" w:styleId="CommentSubjectChar">
    <w:name w:val="Comment Subject Char"/>
    <w:basedOn w:val="CommentTextChar"/>
    <w:link w:val="CommentSubject"/>
    <w:uiPriority w:val="99"/>
    <w:semiHidden/>
    <w:rsid w:val="00ED5513"/>
    <w:rPr>
      <w:b/>
      <w:bCs/>
      <w:sz w:val="20"/>
      <w:szCs w:val="20"/>
    </w:rPr>
  </w:style>
  <w:style w:type="paragraph" w:styleId="FootnoteText">
    <w:name w:val="footnote text"/>
    <w:basedOn w:val="Normal"/>
    <w:link w:val="FootnoteTextChar"/>
    <w:uiPriority w:val="99"/>
    <w:semiHidden/>
    <w:unhideWhenUsed/>
    <w:rsid w:val="005E11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18B"/>
    <w:rPr>
      <w:sz w:val="20"/>
      <w:szCs w:val="20"/>
    </w:rPr>
  </w:style>
  <w:style w:type="character" w:styleId="FootnoteReference">
    <w:name w:val="footnote reference"/>
    <w:basedOn w:val="DefaultParagraphFont"/>
    <w:uiPriority w:val="99"/>
    <w:semiHidden/>
    <w:unhideWhenUsed/>
    <w:rsid w:val="005E118B"/>
    <w:rPr>
      <w:vertAlign w:val="superscript"/>
    </w:rPr>
  </w:style>
  <w:style w:type="character" w:styleId="Hyperlink">
    <w:name w:val="Hyperlink"/>
    <w:basedOn w:val="DefaultParagraphFont"/>
    <w:uiPriority w:val="99"/>
    <w:unhideWhenUsed/>
    <w:rsid w:val="002040E6"/>
    <w:rPr>
      <w:color w:val="0563C1" w:themeColor="hyperlink"/>
      <w:u w:val="single"/>
    </w:rPr>
  </w:style>
  <w:style w:type="character" w:styleId="UnresolvedMention">
    <w:name w:val="Unresolved Mention"/>
    <w:basedOn w:val="DefaultParagraphFont"/>
    <w:uiPriority w:val="99"/>
    <w:semiHidden/>
    <w:unhideWhenUsed/>
    <w:rsid w:val="002040E6"/>
    <w:rPr>
      <w:color w:val="605E5C"/>
      <w:shd w:val="clear" w:color="auto" w:fill="E1DFDD"/>
    </w:rPr>
  </w:style>
  <w:style w:type="character" w:styleId="FollowedHyperlink">
    <w:name w:val="FollowedHyperlink"/>
    <w:basedOn w:val="DefaultParagraphFont"/>
    <w:uiPriority w:val="99"/>
    <w:semiHidden/>
    <w:unhideWhenUsed/>
    <w:rsid w:val="002040E6"/>
    <w:rPr>
      <w:color w:val="954F72" w:themeColor="followedHyperlink"/>
      <w:u w:val="single"/>
    </w:rPr>
  </w:style>
  <w:style w:type="paragraph" w:styleId="Revision">
    <w:name w:val="Revision"/>
    <w:hidden/>
    <w:uiPriority w:val="99"/>
    <w:semiHidden/>
    <w:rsid w:val="00073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5861">
      <w:bodyDiv w:val="1"/>
      <w:marLeft w:val="0"/>
      <w:marRight w:val="0"/>
      <w:marTop w:val="0"/>
      <w:marBottom w:val="0"/>
      <w:divBdr>
        <w:top w:val="none" w:sz="0" w:space="0" w:color="auto"/>
        <w:left w:val="none" w:sz="0" w:space="0" w:color="auto"/>
        <w:bottom w:val="none" w:sz="0" w:space="0" w:color="auto"/>
        <w:right w:val="none" w:sz="0" w:space="0" w:color="auto"/>
      </w:divBdr>
    </w:div>
    <w:div w:id="13291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ec.gov/rules/proposed/2021/ic-3444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 xsi:nil="true"/>
    <TaxCatchAll xmlns="52e67915-6641-4f72-9fe9-b8cc95953e2e">
      <Value>1</Value>
      <Value>148</Value>
      <Value>22</Value>
      <Value>35</Value>
    </TaxCatchAll>
    <IconOverlay xmlns="http://schemas.microsoft.com/sharepoint/v4" xsi:nil="true"/>
    <Year xmlns="52e67915-6641-4f72-9fe9-b8cc95953e2e">2022</Year>
    <h6d3aedb91e548d9a7a4b474e9cdf7ee xmlns="52e67915-6641-4f72-9fe9-b8cc95953e2e">
      <Terms xmlns="http://schemas.microsoft.com/office/infopath/2007/PartnerControl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CCPs</TermName>
          <TermId xmlns="http://schemas.microsoft.com/office/infopath/2007/PartnerControls">60da825e-d0c3-4839-bc6e-58a4ff42a085</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ESMA91-372-2045</_dlc_DocId>
    <_dlc_DocIdUrl xmlns="52e67915-6641-4f72-9fe9-b8cc95953e2e">
      <Url>https://sherpa.esma.europa.eu/sites/CCP/_layouts/15/DocIdRedir.aspx?ID=ESMA91-372-2045</Url>
      <Description>ESMA91-372-2045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C3EE6-B375-4E73-BD49-F602DCF349CE}">
  <ds:schemaRefs>
    <ds:schemaRef ds:uri="http://schemas.openxmlformats.org/officeDocument/2006/bibliography"/>
  </ds:schemaRefs>
</ds:datastoreItem>
</file>

<file path=customXml/itemProps2.xml><?xml version="1.0" encoding="utf-8"?>
<ds:datastoreItem xmlns:ds="http://schemas.openxmlformats.org/officeDocument/2006/customXml" ds:itemID="{5336C991-50AC-4E63-B614-18FE72D8E549}">
  <ds:schemaRefs>
    <ds:schemaRef ds:uri="http://schemas.microsoft.com/sharepoint/v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52e67915-6641-4f72-9fe9-b8cc95953e2e"/>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1F32C-A3D2-4F51-8602-6AE927135929}">
  <ds:schemaRefs>
    <ds:schemaRef ds:uri="http://schemas.microsoft.com/sharepoint/events"/>
  </ds:schemaRefs>
</ds:datastoreItem>
</file>

<file path=customXml/itemProps5.xml><?xml version="1.0" encoding="utf-8"?>
<ds:datastoreItem xmlns:ds="http://schemas.openxmlformats.org/officeDocument/2006/customXml" ds:itemID="{1A0E62DB-BDF6-41CB-BEFD-1C0D9F6F13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3638</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Rodrigo De La Cruz</cp:lastModifiedBy>
  <cp:revision>2</cp:revision>
  <dcterms:created xsi:type="dcterms:W3CDTF">2022-02-14T13:15:00Z</dcterms:created>
  <dcterms:modified xsi:type="dcterms:W3CDTF">2022-02-14T13:15:00Z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22;#CCPs|60da825e-d0c3-4839-bc6e-58a4ff42a085</vt:lpwstr>
  </property>
  <property fmtid="{D5CDD505-2E9C-101B-9397-08002B2CF9AE}" pid="6" name="ConfidentialityLevel">
    <vt:lpwstr>1;#Restricted|187aa7e6-627f-4951-b138-6ff841dc883d</vt:lpwstr>
  </property>
  <property fmtid="{D5CDD505-2E9C-101B-9397-08002B2CF9AE}" pid="7" name="SubTopic">
    <vt:lpwstr/>
  </property>
  <property fmtid="{D5CDD505-2E9C-101B-9397-08002B2CF9AE}" pid="8" name="DocumentType">
    <vt:lpwstr>148;#Questionnaire|a849d609-a31c-415e-a1a8-503bcc16b083</vt:lpwstr>
  </property>
  <property fmtid="{D5CDD505-2E9C-101B-9397-08002B2CF9AE}" pid="9" name="_dlc_DocIdItemGuid">
    <vt:lpwstr>576a9a6a-588a-45c1-926e-519e27422c2d</vt:lpwstr>
  </property>
  <property fmtid="{D5CDD505-2E9C-101B-9397-08002B2CF9AE}" pid="10" name="TitusGUID">
    <vt:lpwstr>69049749-de96-4f1a-b085-4397099f4627</vt:lpwstr>
  </property>
  <property fmtid="{D5CDD505-2E9C-101B-9397-08002B2CF9AE}" pid="11" name="Classification">
    <vt:lpwstr>I</vt:lpwstr>
  </property>
</Properties>
</file>