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F04D5C" w:rsidRDefault="002427D5" w:rsidP="002427D5">
          <w:pPr>
            <w:spacing w:line="276" w:lineRule="auto"/>
            <w:rPr>
              <w:rFonts w:ascii="Arial" w:hAnsi="Arial" w:cs="Arial"/>
              <w:color w:val="FF0000"/>
            </w:rPr>
          </w:pPr>
        </w:p>
        <w:p w14:paraId="7321F032" w14:textId="77777777" w:rsidR="002427D5" w:rsidRPr="00F04D5C" w:rsidRDefault="002427D5" w:rsidP="002427D5">
          <w:pPr>
            <w:spacing w:after="120" w:line="276" w:lineRule="auto"/>
            <w:rPr>
              <w:rFonts w:ascii="Arial" w:hAnsi="Arial" w:cs="Arial"/>
            </w:rPr>
          </w:pPr>
        </w:p>
        <w:tbl>
          <w:tblPr>
            <w:tblpPr w:leftFromText="8505" w:vertAnchor="page" w:horzAnchor="margin" w:tblpXSpec="center" w:tblpY="2481"/>
            <w:tblW w:w="10218" w:type="dxa"/>
            <w:tblLayout w:type="fixed"/>
            <w:tblCellMar>
              <w:left w:w="0" w:type="dxa"/>
              <w:right w:w="0" w:type="dxa"/>
            </w:tblCellMar>
            <w:tblLook w:val="01E0" w:firstRow="1" w:lastRow="1" w:firstColumn="1" w:lastColumn="1" w:noHBand="0" w:noVBand="0"/>
          </w:tblPr>
          <w:tblGrid>
            <w:gridCol w:w="10218"/>
          </w:tblGrid>
          <w:tr w:rsidR="0070010F" w:rsidRPr="00F04D5C" w14:paraId="1B75E936" w14:textId="77777777" w:rsidTr="0070010F">
            <w:trPr>
              <w:trHeight w:hRule="exact" w:val="846"/>
            </w:trPr>
            <w:tc>
              <w:tcPr>
                <w:tcW w:w="10218" w:type="dxa"/>
                <w:vAlign w:val="bottom"/>
              </w:tcPr>
              <w:p w14:paraId="03F6505E" w14:textId="77777777" w:rsidR="0070010F" w:rsidRPr="00F04D5C" w:rsidRDefault="0070010F" w:rsidP="0070010F">
                <w:pPr>
                  <w:pStyle w:val="Title"/>
                  <w:spacing w:line="276" w:lineRule="auto"/>
                  <w:ind w:right="854"/>
                  <w:rPr>
                    <w:rFonts w:ascii="Arial" w:hAnsi="Arial" w:cs="Arial"/>
                    <w:sz w:val="48"/>
                    <w:szCs w:val="48"/>
                  </w:rPr>
                </w:pPr>
                <w:r w:rsidRPr="00F04D5C">
                  <w:rPr>
                    <w:rFonts w:ascii="Arial" w:hAnsi="Arial" w:cs="Arial"/>
                    <w:color w:val="2F5496" w:themeColor="accent1" w:themeShade="BF"/>
                    <w:sz w:val="48"/>
                    <w:szCs w:val="48"/>
                  </w:rPr>
                  <w:t>Response Form to the Consultation Paper</w:t>
                </w:r>
              </w:p>
            </w:tc>
          </w:tr>
          <w:tr w:rsidR="0070010F" w:rsidRPr="00F04D5C" w14:paraId="7E60A5E6" w14:textId="77777777" w:rsidTr="0070010F">
            <w:trPr>
              <w:trHeight w:hRule="exact" w:val="2559"/>
            </w:trPr>
            <w:tc>
              <w:tcPr>
                <w:tcW w:w="10218" w:type="dxa"/>
                <w:tcMar>
                  <w:top w:w="142" w:type="dxa"/>
                </w:tcMar>
              </w:tcPr>
              <w:p w14:paraId="158085E6" w14:textId="77777777" w:rsidR="0070010F" w:rsidRPr="00F04D5C" w:rsidRDefault="0070010F" w:rsidP="0070010F">
                <w:pPr>
                  <w:pStyle w:val="Heading2"/>
                  <w:numPr>
                    <w:ilvl w:val="0"/>
                    <w:numId w:val="0"/>
                  </w:numPr>
                  <w:spacing w:before="0"/>
                  <w:rPr>
                    <w:rFonts w:ascii="Arial" w:hAnsi="Arial" w:cs="Arial"/>
                    <w:lang w:eastAsia="en-US"/>
                  </w:rPr>
                </w:pPr>
              </w:p>
              <w:p w14:paraId="7E9D94C1" w14:textId="77777777" w:rsidR="0070010F" w:rsidRPr="00F04D5C" w:rsidRDefault="0070010F" w:rsidP="0070010F">
                <w:pPr>
                  <w:pStyle w:val="Heading2"/>
                  <w:numPr>
                    <w:ilvl w:val="0"/>
                    <w:numId w:val="0"/>
                  </w:numPr>
                  <w:spacing w:before="0"/>
                  <w:rPr>
                    <w:rFonts w:ascii="Arial" w:hAnsi="Arial" w:cs="Arial"/>
                  </w:rPr>
                </w:pPr>
                <w:r w:rsidRPr="00F04D5C">
                  <w:rPr>
                    <w:rFonts w:ascii="Arial" w:hAnsi="Arial" w:cs="Arial"/>
                    <w:lang w:eastAsia="en-US"/>
                  </w:rPr>
                  <w:t>Draft RTS on the requirements for independent valuers, the methodology for assessing the value of the assets and liabilities of a CCP, the separation of the valuations, the buffer for additional losses to be included in provisional valuations and the methodology for carrying out the valuation for the purpose of the ‘no creditor worse off’ principle (Articles 25(6), 26(4) and 61(5) of CCPRRR)</w:t>
                </w:r>
              </w:p>
            </w:tc>
          </w:tr>
        </w:tbl>
        <w:p w14:paraId="7808B0E9" w14:textId="77777777" w:rsidR="002427D5" w:rsidRPr="00F04D5C" w:rsidRDefault="002427D5" w:rsidP="002427D5">
          <w:pPr>
            <w:spacing w:line="276" w:lineRule="auto"/>
            <w:rPr>
              <w:rFonts w:ascii="Arial" w:hAnsi="Arial" w:cs="Arial"/>
            </w:rPr>
          </w:pPr>
        </w:p>
        <w:p w14:paraId="0077D981" w14:textId="77777777" w:rsidR="002427D5" w:rsidRPr="00F04D5C" w:rsidRDefault="002427D5" w:rsidP="002427D5">
          <w:pPr>
            <w:spacing w:line="276" w:lineRule="auto"/>
            <w:rPr>
              <w:rFonts w:ascii="Arial" w:hAnsi="Arial" w:cs="Arial"/>
            </w:rPr>
          </w:pPr>
        </w:p>
        <w:p w14:paraId="10DFCAE9" w14:textId="77777777" w:rsidR="002427D5" w:rsidRPr="00F04D5C" w:rsidRDefault="002427D5" w:rsidP="002427D5">
          <w:pPr>
            <w:spacing w:line="276" w:lineRule="auto"/>
            <w:rPr>
              <w:rFonts w:ascii="Arial" w:hAnsi="Arial" w:cs="Arial"/>
            </w:rPr>
          </w:pPr>
        </w:p>
        <w:p w14:paraId="38B12D86" w14:textId="77777777" w:rsidR="002427D5" w:rsidRPr="00F04D5C" w:rsidRDefault="002427D5" w:rsidP="002427D5">
          <w:pPr>
            <w:spacing w:line="276" w:lineRule="auto"/>
            <w:rPr>
              <w:rFonts w:ascii="Arial" w:hAnsi="Arial" w:cs="Arial"/>
            </w:rPr>
          </w:pPr>
        </w:p>
        <w:p w14:paraId="53B5FF59" w14:textId="77777777" w:rsidR="002427D5" w:rsidRPr="00F04D5C" w:rsidRDefault="002427D5" w:rsidP="002427D5">
          <w:pPr>
            <w:spacing w:line="276" w:lineRule="auto"/>
            <w:rPr>
              <w:rFonts w:ascii="Arial" w:hAnsi="Arial" w:cs="Arial"/>
            </w:rPr>
          </w:pPr>
        </w:p>
        <w:p w14:paraId="0BF3DE07" w14:textId="56C5807E" w:rsidR="0066357F" w:rsidRPr="00F04D5C" w:rsidRDefault="0066357F" w:rsidP="0066357F">
          <w:pPr>
            <w:rPr>
              <w:rFonts w:ascii="Arial" w:hAnsi="Arial" w:cs="Arial"/>
            </w:rPr>
          </w:pPr>
        </w:p>
        <w:p w14:paraId="0BFF530D" w14:textId="77777777" w:rsidR="0066357F" w:rsidRPr="00F04D5C" w:rsidRDefault="0066357F" w:rsidP="0066357F">
          <w:pPr>
            <w:rPr>
              <w:rFonts w:ascii="Arial" w:hAnsi="Arial" w:cs="Arial"/>
            </w:rPr>
          </w:pPr>
        </w:p>
        <w:p w14:paraId="7455846F" w14:textId="77777777" w:rsidR="0066357F" w:rsidRPr="00F04D5C" w:rsidRDefault="0066357F" w:rsidP="0066357F">
          <w:pPr>
            <w:rPr>
              <w:rFonts w:ascii="Arial" w:hAnsi="Arial" w:cs="Arial"/>
            </w:rPr>
          </w:pPr>
        </w:p>
        <w:p w14:paraId="4F9AF573" w14:textId="77777777" w:rsidR="0066357F" w:rsidRPr="00F04D5C" w:rsidRDefault="0066357F" w:rsidP="0066357F">
          <w:pPr>
            <w:rPr>
              <w:rFonts w:ascii="Arial" w:hAnsi="Arial" w:cs="Arial"/>
            </w:rPr>
          </w:pPr>
        </w:p>
        <w:p w14:paraId="1E2EA369" w14:textId="77777777" w:rsidR="0066357F" w:rsidRPr="00F04D5C" w:rsidRDefault="0066357F" w:rsidP="0066357F">
          <w:pPr>
            <w:rPr>
              <w:rFonts w:ascii="Arial" w:hAnsi="Arial" w:cs="Arial"/>
            </w:rPr>
          </w:pPr>
        </w:p>
        <w:p w14:paraId="6C5AC2C0" w14:textId="77777777" w:rsidR="0066357F" w:rsidRPr="00F04D5C" w:rsidRDefault="0066357F" w:rsidP="0066357F">
          <w:pPr>
            <w:rPr>
              <w:rFonts w:ascii="Arial" w:hAnsi="Arial" w:cs="Arial"/>
            </w:rPr>
          </w:pPr>
        </w:p>
        <w:p w14:paraId="7A1BFECE" w14:textId="77777777" w:rsidR="0066357F" w:rsidRPr="00F04D5C" w:rsidRDefault="0066357F" w:rsidP="0066357F">
          <w:pPr>
            <w:rPr>
              <w:rFonts w:ascii="Arial" w:hAnsi="Arial" w:cs="Arial"/>
            </w:rPr>
          </w:pPr>
        </w:p>
        <w:p w14:paraId="08D54B2D" w14:textId="77777777" w:rsidR="0066357F" w:rsidRPr="00F04D5C" w:rsidRDefault="0066357F" w:rsidP="0066357F">
          <w:pPr>
            <w:rPr>
              <w:rFonts w:ascii="Arial" w:hAnsi="Arial" w:cs="Arial"/>
            </w:rPr>
          </w:pPr>
        </w:p>
        <w:p w14:paraId="3393E0E6" w14:textId="77777777" w:rsidR="0066357F" w:rsidRPr="00F04D5C" w:rsidRDefault="0066357F" w:rsidP="0066357F">
          <w:pPr>
            <w:rPr>
              <w:rFonts w:ascii="Arial" w:hAnsi="Arial" w:cs="Arial"/>
            </w:rPr>
          </w:pPr>
        </w:p>
        <w:p w14:paraId="4C2688DD" w14:textId="77777777" w:rsidR="0066357F" w:rsidRPr="00F04D5C" w:rsidRDefault="0066357F" w:rsidP="0066357F">
          <w:pPr>
            <w:rPr>
              <w:rFonts w:ascii="Arial" w:hAnsi="Arial" w:cs="Arial"/>
            </w:rPr>
          </w:pPr>
        </w:p>
        <w:p w14:paraId="037F6ED1" w14:textId="77777777" w:rsidR="0066357F" w:rsidRPr="00F04D5C" w:rsidRDefault="0066357F" w:rsidP="0066357F">
          <w:pPr>
            <w:rPr>
              <w:rFonts w:ascii="Arial" w:hAnsi="Arial" w:cs="Arial"/>
            </w:rPr>
          </w:pPr>
        </w:p>
        <w:p w14:paraId="67E1F2AD" w14:textId="77777777" w:rsidR="0066357F" w:rsidRPr="00F04D5C" w:rsidRDefault="0066357F" w:rsidP="0066357F">
          <w:pPr>
            <w:rPr>
              <w:rFonts w:ascii="Arial" w:hAnsi="Arial" w:cs="Arial"/>
            </w:rPr>
          </w:pPr>
        </w:p>
        <w:p w14:paraId="287B588F" w14:textId="77777777" w:rsidR="0066357F" w:rsidRPr="00F04D5C" w:rsidRDefault="0066357F" w:rsidP="0066357F">
          <w:pPr>
            <w:rPr>
              <w:rFonts w:ascii="Arial" w:hAnsi="Arial" w:cs="Arial"/>
            </w:rPr>
          </w:pPr>
        </w:p>
        <w:p w14:paraId="0AEB1D3C" w14:textId="77777777" w:rsidR="0066357F" w:rsidRPr="00F04D5C" w:rsidRDefault="0066357F" w:rsidP="0066357F">
          <w:pPr>
            <w:rPr>
              <w:rFonts w:ascii="Arial" w:hAnsi="Arial" w:cs="Arial"/>
            </w:rPr>
          </w:pPr>
        </w:p>
        <w:p w14:paraId="75721364" w14:textId="77777777" w:rsidR="0066357F" w:rsidRPr="00F04D5C" w:rsidRDefault="0066357F" w:rsidP="0066357F">
          <w:pPr>
            <w:rPr>
              <w:rFonts w:ascii="Arial" w:hAnsi="Arial" w:cs="Arial"/>
            </w:rPr>
          </w:pPr>
        </w:p>
        <w:p w14:paraId="35014489" w14:textId="77777777" w:rsidR="0066357F" w:rsidRPr="00F04D5C" w:rsidRDefault="0066357F" w:rsidP="0066357F">
          <w:pPr>
            <w:rPr>
              <w:rFonts w:ascii="Arial" w:hAnsi="Arial" w:cs="Arial"/>
            </w:rPr>
          </w:pPr>
        </w:p>
        <w:p w14:paraId="34586DC9" w14:textId="519A22E5" w:rsidR="0066357F" w:rsidRPr="00F04D5C" w:rsidRDefault="0066357F" w:rsidP="0066357F">
          <w:pPr>
            <w:tabs>
              <w:tab w:val="left" w:pos="6474"/>
            </w:tabs>
            <w:rPr>
              <w:rFonts w:ascii="Arial" w:hAnsi="Arial" w:cs="Arial"/>
            </w:rPr>
          </w:pPr>
          <w:r w:rsidRPr="00F04D5C">
            <w:rPr>
              <w:rFonts w:ascii="Arial" w:hAnsi="Arial" w:cs="Arial"/>
            </w:rPr>
            <w:tab/>
          </w:r>
        </w:p>
        <w:p w14:paraId="002C4B32" w14:textId="77114A17" w:rsidR="0066357F" w:rsidRPr="00F04D5C" w:rsidRDefault="0066357F" w:rsidP="0066357F">
          <w:pPr>
            <w:tabs>
              <w:tab w:val="left" w:pos="6474"/>
            </w:tabs>
            <w:rPr>
              <w:rFonts w:ascii="Arial" w:hAnsi="Arial" w:cs="Arial"/>
            </w:rPr>
            <w:sectPr w:rsidR="0066357F" w:rsidRPr="00F04D5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A1B29F2" w14:textId="77777777" w:rsidR="002427D5" w:rsidRPr="00F04D5C" w:rsidRDefault="002427D5" w:rsidP="002427D5">
          <w:pPr>
            <w:numPr>
              <w:ilvl w:val="1"/>
              <w:numId w:val="0"/>
            </w:numPr>
            <w:spacing w:after="250" w:line="276" w:lineRule="auto"/>
            <w:jc w:val="both"/>
            <w:rPr>
              <w:rFonts w:ascii="Arial" w:eastAsiaTheme="majorEastAsia" w:hAnsi="Arial" w:cs="Arial"/>
              <w:b/>
              <w:sz w:val="28"/>
            </w:rPr>
          </w:pPr>
          <w:r w:rsidRPr="00F04D5C">
            <w:rPr>
              <w:rFonts w:ascii="Arial" w:eastAsiaTheme="majorEastAsia" w:hAnsi="Arial" w:cs="Arial"/>
              <w:b/>
              <w:sz w:val="28"/>
            </w:rPr>
            <w:lastRenderedPageBreak/>
            <w:t xml:space="preserve">Responding to this paper </w:t>
          </w:r>
        </w:p>
        <w:p w14:paraId="3F24F185" w14:textId="7777777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 xml:space="preserve">ESMA invites comments on all matters in this consultation paper and </w:t>
          </w:r>
          <w:r w:rsidRPr="00F04D5C">
            <w:rPr>
              <w:rFonts w:ascii="Arial" w:eastAsiaTheme="minorEastAsia" w:hAnsi="Arial" w:cs="Arial"/>
              <w:szCs w:val="20"/>
              <w:u w:val="dottedHeavy" w:color="BF8F00" w:themeColor="accent4" w:themeShade="BF"/>
            </w:rPr>
            <w:t>in particular on</w:t>
          </w:r>
          <w:r w:rsidRPr="00F04D5C">
            <w:rPr>
              <w:rFonts w:ascii="Arial" w:eastAsiaTheme="minorEastAsia" w:hAnsi="Arial" w:cs="Arial"/>
              <w:szCs w:val="20"/>
            </w:rPr>
            <w:t xml:space="preserve"> the specific questions summarised in Annex III. Comments are most helpful if they:</w:t>
          </w:r>
        </w:p>
        <w:p w14:paraId="07525589" w14:textId="77777777" w:rsidR="002427D5" w:rsidRPr="00F04D5C" w:rsidRDefault="002427D5" w:rsidP="002427D5">
          <w:pPr>
            <w:numPr>
              <w:ilvl w:val="0"/>
              <w:numId w:val="5"/>
            </w:numPr>
            <w:spacing w:after="250" w:line="276" w:lineRule="auto"/>
            <w:jc w:val="both"/>
            <w:rPr>
              <w:rFonts w:ascii="Arial" w:eastAsiaTheme="minorEastAsia" w:hAnsi="Arial" w:cs="Arial"/>
              <w:szCs w:val="20"/>
            </w:rPr>
          </w:pPr>
          <w:r w:rsidRPr="00F04D5C">
            <w:rPr>
              <w:rFonts w:ascii="Arial" w:eastAsiaTheme="minorEastAsia" w:hAnsi="Arial" w:cs="Arial"/>
              <w:szCs w:val="20"/>
            </w:rPr>
            <w:t>respond to the question stated;</w:t>
          </w:r>
        </w:p>
        <w:p w14:paraId="7CA8108E" w14:textId="77777777" w:rsidR="002427D5" w:rsidRPr="00F04D5C" w:rsidRDefault="002427D5" w:rsidP="002427D5">
          <w:pPr>
            <w:numPr>
              <w:ilvl w:val="0"/>
              <w:numId w:val="5"/>
            </w:numPr>
            <w:spacing w:after="250" w:line="276" w:lineRule="auto"/>
            <w:jc w:val="both"/>
            <w:rPr>
              <w:rFonts w:ascii="Arial" w:eastAsiaTheme="minorEastAsia" w:hAnsi="Arial" w:cs="Arial"/>
              <w:szCs w:val="20"/>
            </w:rPr>
          </w:pPr>
          <w:r w:rsidRPr="00F04D5C">
            <w:rPr>
              <w:rFonts w:ascii="Arial" w:eastAsiaTheme="minorEastAsia" w:hAnsi="Arial" w:cs="Arial"/>
              <w:szCs w:val="20"/>
            </w:rPr>
            <w:t>indicate the specific question to which the comment relates;</w:t>
          </w:r>
        </w:p>
        <w:p w14:paraId="569002BB" w14:textId="77777777" w:rsidR="002427D5" w:rsidRPr="00F04D5C" w:rsidRDefault="002427D5" w:rsidP="002427D5">
          <w:pPr>
            <w:numPr>
              <w:ilvl w:val="0"/>
              <w:numId w:val="5"/>
            </w:numPr>
            <w:spacing w:after="250" w:line="276" w:lineRule="auto"/>
            <w:jc w:val="both"/>
            <w:rPr>
              <w:rFonts w:ascii="Arial" w:eastAsiaTheme="minorEastAsia" w:hAnsi="Arial" w:cs="Arial"/>
              <w:szCs w:val="20"/>
            </w:rPr>
          </w:pPr>
          <w:r w:rsidRPr="00F04D5C">
            <w:rPr>
              <w:rFonts w:ascii="Arial" w:eastAsiaTheme="minorEastAsia" w:hAnsi="Arial" w:cs="Arial"/>
              <w:szCs w:val="20"/>
            </w:rPr>
            <w:t>contain a clear rationale; and</w:t>
          </w:r>
        </w:p>
        <w:p w14:paraId="6DC5B68B" w14:textId="77777777" w:rsidR="002427D5" w:rsidRPr="00F04D5C" w:rsidRDefault="002427D5" w:rsidP="002427D5">
          <w:pPr>
            <w:numPr>
              <w:ilvl w:val="0"/>
              <w:numId w:val="5"/>
            </w:numPr>
            <w:spacing w:after="250" w:line="276" w:lineRule="auto"/>
            <w:jc w:val="both"/>
            <w:rPr>
              <w:rFonts w:ascii="Arial" w:eastAsiaTheme="minorEastAsia" w:hAnsi="Arial" w:cs="Arial"/>
              <w:szCs w:val="20"/>
            </w:rPr>
          </w:pPr>
          <w:r w:rsidRPr="00F04D5C">
            <w:rPr>
              <w:rFonts w:ascii="Arial" w:eastAsiaTheme="minorEastAsia" w:hAnsi="Arial" w:cs="Arial"/>
              <w:szCs w:val="20"/>
            </w:rPr>
            <w:t>describe any alternatives ESMA should consider.</w:t>
          </w:r>
        </w:p>
        <w:p w14:paraId="54F8E0F1" w14:textId="1BD7EFA4"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 xml:space="preserve">ESMA will consider all comments received by </w:t>
          </w:r>
          <w:r w:rsidR="003311DE" w:rsidRPr="00F04D5C">
            <w:rPr>
              <w:rFonts w:ascii="Arial" w:eastAsiaTheme="minorEastAsia" w:hAnsi="Arial" w:cs="Arial"/>
              <w:b/>
              <w:szCs w:val="20"/>
            </w:rPr>
            <w:t>24 January</w:t>
          </w:r>
          <w:r w:rsidRPr="00F04D5C">
            <w:rPr>
              <w:rFonts w:ascii="Arial" w:eastAsiaTheme="minorEastAsia" w:hAnsi="Arial" w:cs="Arial"/>
              <w:b/>
              <w:szCs w:val="20"/>
            </w:rPr>
            <w:t xml:space="preserve"> 202</w:t>
          </w:r>
          <w:r w:rsidR="00187A64" w:rsidRPr="00F04D5C">
            <w:rPr>
              <w:rFonts w:ascii="Arial" w:eastAsiaTheme="minorEastAsia" w:hAnsi="Arial" w:cs="Arial"/>
              <w:b/>
              <w:szCs w:val="20"/>
            </w:rPr>
            <w:t>2</w:t>
          </w:r>
          <w:r w:rsidRPr="00F04D5C">
            <w:rPr>
              <w:rFonts w:ascii="Arial" w:eastAsiaTheme="minorEastAsia" w:hAnsi="Arial" w:cs="Arial"/>
              <w:b/>
              <w:szCs w:val="20"/>
            </w:rPr>
            <w:t xml:space="preserve">. </w:t>
          </w:r>
        </w:p>
        <w:p w14:paraId="6ADA4D7F" w14:textId="7777777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 xml:space="preserve">All contributions should be submitted online at </w:t>
          </w:r>
          <w:hyperlink r:id="rId15" w:history="1">
            <w:r w:rsidRPr="00F04D5C">
              <w:rPr>
                <w:rFonts w:ascii="Arial" w:eastAsiaTheme="minorEastAsia" w:hAnsi="Arial" w:cs="Arial"/>
                <w:color w:val="0563C1" w:themeColor="hyperlink"/>
                <w:szCs w:val="20"/>
                <w:u w:val="single"/>
              </w:rPr>
              <w:t>www.esma.europa.eu</w:t>
            </w:r>
          </w:hyperlink>
          <w:r w:rsidRPr="00F04D5C">
            <w:rPr>
              <w:rFonts w:ascii="Arial" w:eastAsiaTheme="minorEastAsia" w:hAnsi="Arial" w:cs="Arial"/>
              <w:szCs w:val="20"/>
            </w:rPr>
            <w:t xml:space="preserve"> under the heading ‘Your input - Consultations’. </w:t>
          </w:r>
        </w:p>
        <w:p w14:paraId="53DBFA12" w14:textId="77777777" w:rsidR="002427D5" w:rsidRPr="00F04D5C" w:rsidRDefault="002427D5" w:rsidP="002427D5">
          <w:pPr>
            <w:spacing w:after="250" w:line="276" w:lineRule="auto"/>
            <w:jc w:val="both"/>
            <w:rPr>
              <w:rFonts w:ascii="Arial" w:eastAsiaTheme="minorEastAsia" w:hAnsi="Arial" w:cs="Arial"/>
              <w:b/>
              <w:szCs w:val="20"/>
            </w:rPr>
          </w:pPr>
          <w:r w:rsidRPr="00F04D5C">
            <w:rPr>
              <w:rFonts w:ascii="Arial" w:eastAsiaTheme="minorEastAsia" w:hAnsi="Arial" w:cs="Arial"/>
              <w:b/>
              <w:szCs w:val="20"/>
            </w:rPr>
            <w:t>Instructions</w:t>
          </w:r>
        </w:p>
        <w:p w14:paraId="391564F9" w14:textId="7777777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2A5B3E" w:rsidRDefault="002427D5" w:rsidP="008F4F7B">
          <w:pPr>
            <w:pStyle w:val="ListParagraph"/>
            <w:numPr>
              <w:ilvl w:val="0"/>
              <w:numId w:val="4"/>
            </w:numPr>
            <w:rPr>
              <w:rFonts w:ascii="Arial" w:eastAsiaTheme="minorEastAsia" w:hAnsi="Arial" w:cs="Arial"/>
            </w:rPr>
          </w:pPr>
          <w:r w:rsidRPr="002A5B3E">
            <w:rPr>
              <w:rFonts w:ascii="Arial" w:eastAsiaTheme="minorEastAsia" w:hAnsi="Arial" w:cs="Arial"/>
            </w:rPr>
            <w:t xml:space="preserve">Insert your responses to the questions in the Consultation Paper in the present response form. </w:t>
          </w:r>
        </w:p>
        <w:p w14:paraId="25DCAA6A" w14:textId="41F847F5" w:rsidR="002427D5" w:rsidRPr="002A5B3E" w:rsidRDefault="002427D5" w:rsidP="008F4F7B">
          <w:pPr>
            <w:pStyle w:val="ListParagraph"/>
            <w:numPr>
              <w:ilvl w:val="0"/>
              <w:numId w:val="4"/>
            </w:numPr>
            <w:rPr>
              <w:rFonts w:ascii="Arial" w:eastAsiaTheme="minorEastAsia" w:hAnsi="Arial" w:cs="Arial"/>
            </w:rPr>
          </w:pPr>
          <w:r w:rsidRPr="002A5B3E">
            <w:rPr>
              <w:rFonts w:ascii="Arial" w:eastAsiaTheme="minorEastAsia" w:hAnsi="Arial" w:cs="Arial"/>
            </w:rPr>
            <w:t>Please do not remove tags of the type &lt;ESMA_QUESTION_</w:t>
          </w:r>
          <w:r w:rsidR="00BD3E6E" w:rsidRPr="002A5B3E">
            <w:rPr>
              <w:rFonts w:ascii="Arial" w:eastAsiaTheme="minorEastAsia" w:hAnsi="Arial" w:cs="Arial"/>
            </w:rPr>
            <w:t>VLTN</w:t>
          </w:r>
          <w:r w:rsidRPr="002A5B3E">
            <w:rPr>
              <w:rFonts w:ascii="Arial" w:eastAsiaTheme="minorEastAsia" w:hAnsi="Arial" w:cs="Arial"/>
            </w:rPr>
            <w:t>_1&gt;. Your response to each question has to be framed by the two tags corresponding to the question.</w:t>
          </w:r>
        </w:p>
        <w:p w14:paraId="1D826D57" w14:textId="77777777" w:rsidR="002427D5" w:rsidRPr="002A5B3E" w:rsidRDefault="002427D5" w:rsidP="008F4F7B">
          <w:pPr>
            <w:pStyle w:val="ListParagraph"/>
            <w:numPr>
              <w:ilvl w:val="0"/>
              <w:numId w:val="4"/>
            </w:numPr>
            <w:rPr>
              <w:rFonts w:ascii="Arial" w:eastAsiaTheme="minorEastAsia" w:hAnsi="Arial" w:cs="Arial"/>
            </w:rPr>
          </w:pPr>
          <w:r w:rsidRPr="002A5B3E">
            <w:rPr>
              <w:rFonts w:ascii="Arial" w:eastAsiaTheme="minorEastAsia" w:hAnsi="Arial" w:cs="Arial"/>
            </w:rPr>
            <w:t>If you do not wish to respond to a given question, please do not delete it but simply leave the text “TYPE YOUR TEXT HERE” between the tags.</w:t>
          </w:r>
        </w:p>
        <w:p w14:paraId="2FA96B5D" w14:textId="64A6F1FD" w:rsidR="002427D5" w:rsidRPr="002A5B3E" w:rsidRDefault="002427D5" w:rsidP="008F4F7B">
          <w:pPr>
            <w:pStyle w:val="ListParagraph"/>
            <w:numPr>
              <w:ilvl w:val="0"/>
              <w:numId w:val="4"/>
            </w:numPr>
            <w:rPr>
              <w:rFonts w:ascii="Arial" w:eastAsiaTheme="minorEastAsia" w:hAnsi="Arial" w:cs="Arial"/>
            </w:rPr>
          </w:pPr>
          <w:r w:rsidRPr="002A5B3E">
            <w:rPr>
              <w:rFonts w:ascii="Arial" w:eastAsiaTheme="minorEastAsia" w:hAnsi="Arial" w:cs="Arial"/>
            </w:rPr>
            <w:t xml:space="preserve">When you have drafted your response, name your response form according to the following convention: </w:t>
          </w:r>
          <w:proofErr w:type="spellStart"/>
          <w:r w:rsidRPr="002A5B3E">
            <w:rPr>
              <w:rFonts w:ascii="Arial" w:eastAsiaTheme="minorEastAsia" w:hAnsi="Arial" w:cs="Arial"/>
            </w:rPr>
            <w:t>ESMA_</w:t>
          </w:r>
          <w:r w:rsidR="00BD3E6E" w:rsidRPr="002A5B3E">
            <w:rPr>
              <w:rFonts w:ascii="Arial" w:eastAsiaTheme="minorEastAsia" w:hAnsi="Arial" w:cs="Arial"/>
            </w:rPr>
            <w:t>VLTN</w:t>
          </w:r>
          <w:r w:rsidRPr="002A5B3E">
            <w:rPr>
              <w:rFonts w:ascii="Arial" w:eastAsiaTheme="minorEastAsia" w:hAnsi="Arial" w:cs="Arial"/>
            </w:rPr>
            <w:t>_nameofrespondent_RESPONSEFORM</w:t>
          </w:r>
          <w:proofErr w:type="spellEnd"/>
          <w:r w:rsidRPr="002A5B3E">
            <w:rPr>
              <w:rFonts w:ascii="Arial" w:eastAsiaTheme="minorEastAsia" w:hAnsi="Arial" w:cs="Arial"/>
            </w:rPr>
            <w:t>. For example, for a respondent named ABCD, the response form would be entitled ESMA_</w:t>
          </w:r>
          <w:r w:rsidR="00BD3E6E" w:rsidRPr="002A5B3E">
            <w:rPr>
              <w:rFonts w:ascii="Arial" w:eastAsiaTheme="minorEastAsia" w:hAnsi="Arial" w:cs="Arial"/>
            </w:rPr>
            <w:t>VLTN</w:t>
          </w:r>
          <w:r w:rsidRPr="002A5B3E">
            <w:rPr>
              <w:rFonts w:ascii="Arial" w:eastAsiaTheme="minorEastAsia" w:hAnsi="Arial" w:cs="Arial"/>
            </w:rPr>
            <w:t>_ABCD_RESPONSEFORM.</w:t>
          </w:r>
        </w:p>
        <w:p w14:paraId="11889093" w14:textId="189EC6B9" w:rsidR="002427D5" w:rsidRPr="002A5B3E" w:rsidRDefault="002427D5" w:rsidP="008F4F7B">
          <w:pPr>
            <w:pStyle w:val="ListParagraph"/>
            <w:numPr>
              <w:ilvl w:val="0"/>
              <w:numId w:val="4"/>
            </w:numPr>
            <w:rPr>
              <w:rFonts w:ascii="Arial" w:eastAsiaTheme="minorEastAsia" w:hAnsi="Arial" w:cs="Arial"/>
            </w:rPr>
          </w:pPr>
          <w:r w:rsidRPr="002A5B3E">
            <w:rPr>
              <w:rFonts w:ascii="Arial" w:eastAsiaTheme="minorEastAsia" w:hAnsi="Arial" w:cs="Arial"/>
            </w:rPr>
            <w:t>Upload the form containing your responses, in Word format, to ESMA’s website (</w:t>
          </w:r>
          <w:hyperlink r:id="rId16" w:history="1">
            <w:r w:rsidRPr="002A5B3E">
              <w:rPr>
                <w:rFonts w:ascii="Arial" w:eastAsiaTheme="minorEastAsia" w:hAnsi="Arial" w:cs="Arial"/>
              </w:rPr>
              <w:t>www.esma.europa.eu</w:t>
            </w:r>
          </w:hyperlink>
          <w:r w:rsidRPr="002A5B3E">
            <w:rPr>
              <w:rFonts w:ascii="Arial" w:eastAsiaTheme="minorEastAsia" w:hAnsi="Arial" w:cs="Arial"/>
            </w:rPr>
            <w:t xml:space="preserve"> under the heading “Your input – Open consultations” </w:t>
          </w:r>
          <w:r w:rsidRPr="002A5B3E">
            <w:rPr>
              <w:rFonts w:ascii="Arial" w:eastAsiaTheme="minorEastAsia" w:hAnsi="Arial" w:cs="Arial"/>
            </w:rPr>
            <w:sym w:font="Wingdings" w:char="F0E0"/>
          </w:r>
          <w:r w:rsidRPr="002A5B3E">
            <w:rPr>
              <w:rFonts w:ascii="Arial" w:eastAsiaTheme="minorEastAsia" w:hAnsi="Arial" w:cs="Arial"/>
            </w:rPr>
            <w:t xml:space="preserve"> “Consultation </w:t>
          </w:r>
          <w:r w:rsidRPr="002A5B3E">
            <w:rPr>
              <w:rFonts w:ascii="Arial" w:hAnsi="Arial" w:cs="Arial"/>
            </w:rPr>
            <w:t xml:space="preserve">on </w:t>
          </w:r>
          <w:r w:rsidR="00BD3E6E" w:rsidRPr="002A5B3E">
            <w:rPr>
              <w:rFonts w:ascii="Arial" w:hAnsi="Arial" w:cs="Arial"/>
            </w:rPr>
            <w:t>Valuation of CCPs assets and liabilities in resolution</w:t>
          </w:r>
          <w:r w:rsidRPr="002A5B3E">
            <w:rPr>
              <w:rFonts w:ascii="Arial" w:eastAsiaTheme="minorEastAsia" w:hAnsi="Arial" w:cs="Arial"/>
            </w:rPr>
            <w:t>”).</w:t>
          </w:r>
        </w:p>
        <w:p w14:paraId="3F1F1D50" w14:textId="77777777" w:rsidR="002427D5" w:rsidRPr="00F04D5C" w:rsidRDefault="002427D5" w:rsidP="002427D5">
          <w:pPr>
            <w:spacing w:after="250" w:line="276" w:lineRule="auto"/>
            <w:jc w:val="both"/>
            <w:rPr>
              <w:rFonts w:ascii="Arial" w:eastAsiaTheme="minorEastAsia" w:hAnsi="Arial" w:cs="Arial"/>
              <w:szCs w:val="20"/>
            </w:rPr>
          </w:pPr>
        </w:p>
        <w:p w14:paraId="27B44B99" w14:textId="77777777" w:rsidR="002427D5" w:rsidRPr="00F04D5C" w:rsidRDefault="002427D5" w:rsidP="002427D5">
          <w:pPr>
            <w:spacing w:after="250" w:line="276" w:lineRule="auto"/>
            <w:jc w:val="both"/>
            <w:rPr>
              <w:rFonts w:ascii="Arial" w:eastAsiaTheme="minorEastAsia" w:hAnsi="Arial" w:cs="Arial"/>
              <w:szCs w:val="20"/>
            </w:rPr>
          </w:pPr>
        </w:p>
        <w:p w14:paraId="4AC4F5A3" w14:textId="42959947" w:rsidR="002427D5" w:rsidRPr="00F04D5C" w:rsidRDefault="002427D5" w:rsidP="002427D5">
          <w:pPr>
            <w:spacing w:after="250" w:line="276" w:lineRule="auto"/>
            <w:jc w:val="both"/>
            <w:rPr>
              <w:rFonts w:ascii="Arial" w:eastAsiaTheme="minorEastAsia" w:hAnsi="Arial" w:cs="Arial"/>
              <w:szCs w:val="20"/>
            </w:rPr>
          </w:pPr>
        </w:p>
        <w:p w14:paraId="00262405" w14:textId="77777777" w:rsidR="000A6C7F" w:rsidRPr="00F04D5C" w:rsidRDefault="000A6C7F" w:rsidP="002427D5">
          <w:pPr>
            <w:spacing w:after="250" w:line="276" w:lineRule="auto"/>
            <w:jc w:val="both"/>
            <w:rPr>
              <w:rFonts w:ascii="Arial" w:eastAsiaTheme="minorEastAsia" w:hAnsi="Arial" w:cs="Arial"/>
              <w:szCs w:val="20"/>
            </w:rPr>
          </w:pPr>
        </w:p>
        <w:p w14:paraId="01104BE1" w14:textId="77777777" w:rsidR="002427D5" w:rsidRPr="00F04D5C" w:rsidRDefault="002427D5" w:rsidP="002427D5">
          <w:pPr>
            <w:spacing w:after="250" w:line="276" w:lineRule="auto"/>
            <w:jc w:val="both"/>
            <w:rPr>
              <w:rFonts w:ascii="Arial" w:eastAsiaTheme="minorEastAsia" w:hAnsi="Arial" w:cs="Arial"/>
              <w:szCs w:val="20"/>
            </w:rPr>
          </w:pPr>
        </w:p>
        <w:p w14:paraId="693BAC29" w14:textId="77777777" w:rsidR="002427D5" w:rsidRPr="00F04D5C" w:rsidRDefault="002427D5" w:rsidP="002427D5">
          <w:pPr>
            <w:spacing w:after="250" w:line="276" w:lineRule="auto"/>
            <w:jc w:val="both"/>
            <w:rPr>
              <w:rFonts w:ascii="Arial" w:eastAsiaTheme="minorEastAsia" w:hAnsi="Arial" w:cs="Arial"/>
              <w:b/>
              <w:szCs w:val="20"/>
            </w:rPr>
          </w:pPr>
          <w:r w:rsidRPr="00F04D5C">
            <w:rPr>
              <w:rFonts w:ascii="Arial" w:eastAsiaTheme="minorEastAsia" w:hAnsi="Arial" w:cs="Arial"/>
              <w:b/>
              <w:szCs w:val="20"/>
            </w:rPr>
            <w:t>Publication of responses</w:t>
          </w:r>
        </w:p>
        <w:p w14:paraId="31488E4B" w14:textId="7777777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 xml:space="preserve">All contributions received will be published following the close of the consultation, unless you request otherwise. Please clearly and prominently indicate in your submission any part you </w:t>
          </w:r>
          <w:r w:rsidRPr="00F04D5C">
            <w:rPr>
              <w:rFonts w:ascii="Arial" w:eastAsiaTheme="minorEastAsia" w:hAnsi="Arial" w:cs="Arial"/>
              <w:szCs w:val="20"/>
            </w:rPr>
            <w:lastRenderedPageBreak/>
            <w:t>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F04D5C" w:rsidRDefault="002427D5" w:rsidP="002427D5">
          <w:pPr>
            <w:spacing w:after="250" w:line="276" w:lineRule="auto"/>
            <w:jc w:val="both"/>
            <w:rPr>
              <w:rFonts w:ascii="Arial" w:eastAsiaTheme="minorEastAsia" w:hAnsi="Arial" w:cs="Arial"/>
              <w:b/>
              <w:szCs w:val="20"/>
            </w:rPr>
          </w:pPr>
          <w:r w:rsidRPr="00F04D5C">
            <w:rPr>
              <w:rFonts w:ascii="Arial" w:eastAsiaTheme="minorEastAsia" w:hAnsi="Arial" w:cs="Arial"/>
              <w:b/>
              <w:szCs w:val="20"/>
            </w:rPr>
            <w:t>Data protection</w:t>
          </w:r>
        </w:p>
        <w:p w14:paraId="381F7829" w14:textId="7777777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 xml:space="preserve">Information on data protection can be found at </w:t>
          </w:r>
          <w:hyperlink r:id="rId17" w:history="1">
            <w:r w:rsidRPr="00F04D5C">
              <w:rPr>
                <w:rFonts w:ascii="Arial" w:eastAsiaTheme="minorEastAsia" w:hAnsi="Arial" w:cs="Arial"/>
                <w:color w:val="0563C1" w:themeColor="hyperlink"/>
                <w:szCs w:val="20"/>
                <w:u w:val="single"/>
              </w:rPr>
              <w:t>www.esma.europa.eu</w:t>
            </w:r>
          </w:hyperlink>
          <w:r w:rsidRPr="00F04D5C">
            <w:rPr>
              <w:rFonts w:ascii="Arial" w:eastAsiaTheme="minorEastAsia" w:hAnsi="Arial" w:cs="Arial"/>
              <w:szCs w:val="20"/>
            </w:rPr>
            <w:t xml:space="preserve"> under the heading </w:t>
          </w:r>
          <w:hyperlink r:id="rId18" w:history="1">
            <w:r w:rsidRPr="00F04D5C">
              <w:rPr>
                <w:rFonts w:ascii="Arial" w:eastAsiaTheme="minorEastAsia" w:hAnsi="Arial" w:cs="Arial"/>
                <w:color w:val="0563C1" w:themeColor="hyperlink"/>
                <w:szCs w:val="20"/>
                <w:u w:val="single"/>
              </w:rPr>
              <w:t>Legal Notice</w:t>
            </w:r>
          </w:hyperlink>
          <w:r w:rsidRPr="00F04D5C">
            <w:rPr>
              <w:rFonts w:ascii="Arial" w:eastAsiaTheme="minorEastAsia" w:hAnsi="Arial" w:cs="Arial"/>
              <w:szCs w:val="20"/>
            </w:rPr>
            <w:t>.</w:t>
          </w:r>
        </w:p>
        <w:p w14:paraId="2A518F78" w14:textId="224FB537"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b/>
              <w:szCs w:val="20"/>
            </w:rPr>
            <w:t>Who should read this paper?</w:t>
          </w:r>
        </w:p>
      </w:sdtContent>
    </w:sdt>
    <w:p w14:paraId="25C29317" w14:textId="66E7CEA1" w:rsidR="002427D5" w:rsidRPr="00F04D5C" w:rsidRDefault="00C567F0" w:rsidP="002427D5">
      <w:pPr>
        <w:spacing w:after="120" w:line="276" w:lineRule="auto"/>
        <w:rPr>
          <w:rFonts w:ascii="Arial" w:hAnsi="Arial" w:cs="Arial"/>
        </w:rPr>
      </w:pPr>
      <w:r w:rsidRPr="00F04D5C">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F04D5C" w:rsidRDefault="002427D5" w:rsidP="002427D5">
      <w:pPr>
        <w:spacing w:after="120" w:line="276" w:lineRule="auto"/>
        <w:rPr>
          <w:rFonts w:ascii="Arial" w:hAnsi="Arial" w:cs="Arial"/>
        </w:rPr>
      </w:pPr>
    </w:p>
    <w:p w14:paraId="53246764" w14:textId="77777777" w:rsidR="002427D5" w:rsidRPr="00F04D5C" w:rsidRDefault="002427D5" w:rsidP="002427D5">
      <w:pPr>
        <w:pStyle w:val="Heading1"/>
        <w:numPr>
          <w:ilvl w:val="0"/>
          <w:numId w:val="0"/>
        </w:numPr>
        <w:spacing w:line="276" w:lineRule="auto"/>
        <w:rPr>
          <w:rFonts w:ascii="Arial" w:hAnsi="Arial" w:cs="Arial"/>
          <w:sz w:val="24"/>
          <w:szCs w:val="24"/>
        </w:rPr>
      </w:pPr>
      <w:r w:rsidRPr="00F04D5C">
        <w:rPr>
          <w:rFonts w:ascii="Arial" w:hAnsi="Arial" w:cs="Arial"/>
          <w:sz w:val="24"/>
          <w:szCs w:val="24"/>
        </w:rPr>
        <w:br w:type="page"/>
      </w:r>
    </w:p>
    <w:p w14:paraId="369F3721" w14:textId="77777777" w:rsidR="002427D5" w:rsidRPr="00F04D5C" w:rsidRDefault="002427D5" w:rsidP="002427D5">
      <w:pPr>
        <w:keepNext/>
        <w:keepLines/>
        <w:spacing w:before="320" w:after="250" w:line="276" w:lineRule="auto"/>
        <w:jc w:val="both"/>
        <w:outlineLvl w:val="0"/>
        <w:rPr>
          <w:rFonts w:ascii="Arial" w:eastAsiaTheme="majorEastAsia" w:hAnsi="Arial" w:cs="Arial"/>
          <w:b/>
          <w:sz w:val="32"/>
          <w:szCs w:val="32"/>
        </w:rPr>
      </w:pPr>
      <w:r w:rsidRPr="00F04D5C">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F04D5C" w14:paraId="52B21E45" w14:textId="77777777" w:rsidTr="00456BB6">
        <w:tc>
          <w:tcPr>
            <w:tcW w:w="3929" w:type="dxa"/>
            <w:shd w:val="clear" w:color="auto" w:fill="auto"/>
          </w:tcPr>
          <w:p w14:paraId="1512B1A0" w14:textId="77777777" w:rsidR="002427D5" w:rsidRPr="00F04D5C" w:rsidRDefault="002427D5" w:rsidP="00456BB6">
            <w:pPr>
              <w:rPr>
                <w:rFonts w:ascii="Arial" w:hAnsi="Arial" w:cs="Arial"/>
                <w:lang w:eastAsia="de-DE"/>
              </w:rPr>
            </w:pPr>
            <w:r w:rsidRPr="00F04D5C">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4C1B097C" w:rsidR="002427D5" w:rsidRPr="00F04D5C" w:rsidRDefault="00532035" w:rsidP="00456BB6">
                <w:pPr>
                  <w:rPr>
                    <w:rFonts w:ascii="Arial" w:hAnsi="Arial" w:cs="Arial"/>
                    <w:color w:val="808080"/>
                    <w:sz w:val="20"/>
                    <w:lang w:eastAsia="de-DE"/>
                  </w:rPr>
                </w:pPr>
                <w:r w:rsidRPr="00F04D5C">
                  <w:rPr>
                    <w:rFonts w:ascii="Arial" w:hAnsi="Arial" w:cs="Arial"/>
                    <w:color w:val="808080"/>
                    <w:sz w:val="20"/>
                    <w:lang w:eastAsia="de-DE"/>
                  </w:rPr>
                  <w:t>Futures Industry Association and International Swaps and Derivatives Association</w:t>
                </w:r>
              </w:p>
            </w:tc>
          </w:sdtContent>
        </w:sdt>
      </w:tr>
      <w:tr w:rsidR="002427D5" w:rsidRPr="00F04D5C" w14:paraId="18CDC0C0" w14:textId="77777777" w:rsidTr="00456BB6">
        <w:tc>
          <w:tcPr>
            <w:tcW w:w="3929" w:type="dxa"/>
            <w:shd w:val="clear" w:color="auto" w:fill="auto"/>
          </w:tcPr>
          <w:p w14:paraId="1640145C" w14:textId="77777777" w:rsidR="002427D5" w:rsidRPr="00F04D5C" w:rsidRDefault="002427D5" w:rsidP="00456BB6">
            <w:pPr>
              <w:rPr>
                <w:rFonts w:ascii="Arial" w:hAnsi="Arial" w:cs="Arial"/>
                <w:lang w:eastAsia="de-DE"/>
              </w:rPr>
            </w:pPr>
            <w:r w:rsidRPr="00F04D5C">
              <w:rPr>
                <w:rFonts w:ascii="Arial" w:hAnsi="Arial" w:cs="Arial"/>
                <w:lang w:eastAsia="de-DE"/>
              </w:rPr>
              <w:t>Activity</w:t>
            </w:r>
          </w:p>
        </w:tc>
        <w:tc>
          <w:tcPr>
            <w:tcW w:w="5595" w:type="dxa"/>
            <w:shd w:val="clear" w:color="auto" w:fill="auto"/>
          </w:tcPr>
          <w:p w14:paraId="3359D85A" w14:textId="48E2729D" w:rsidR="002427D5" w:rsidRPr="00F04D5C" w:rsidRDefault="002A5B3E"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2035" w:rsidRPr="00F04D5C">
                  <w:rPr>
                    <w:rFonts w:ascii="Arial" w:hAnsi="Arial" w:cs="Arial"/>
                    <w:sz w:val="20"/>
                    <w:lang w:eastAsia="de-DE"/>
                  </w:rPr>
                  <w:t>Banking sector</w:t>
                </w:r>
              </w:sdtContent>
            </w:sdt>
          </w:p>
        </w:tc>
      </w:tr>
      <w:tr w:rsidR="002427D5" w:rsidRPr="00F04D5C" w14:paraId="639EA6F7" w14:textId="77777777" w:rsidTr="00456BB6">
        <w:tc>
          <w:tcPr>
            <w:tcW w:w="3929" w:type="dxa"/>
            <w:shd w:val="clear" w:color="auto" w:fill="auto"/>
          </w:tcPr>
          <w:p w14:paraId="2868473D" w14:textId="77777777" w:rsidR="002427D5" w:rsidRPr="00F04D5C" w:rsidRDefault="002427D5" w:rsidP="00456BB6">
            <w:pPr>
              <w:rPr>
                <w:rFonts w:ascii="Arial" w:hAnsi="Arial" w:cs="Arial"/>
                <w:lang w:eastAsia="de-DE"/>
              </w:rPr>
            </w:pPr>
            <w:r w:rsidRPr="00F04D5C">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381BF8F" w14:textId="5435FE10" w:rsidR="002427D5" w:rsidRPr="00F04D5C" w:rsidRDefault="00195AD3" w:rsidP="00456BB6">
                <w:pPr>
                  <w:rPr>
                    <w:rFonts w:ascii="Arial" w:hAnsi="Arial" w:cs="Arial"/>
                    <w:sz w:val="20"/>
                    <w:lang w:eastAsia="de-DE"/>
                  </w:rPr>
                </w:pPr>
                <w:r w:rsidRPr="00F04D5C">
                  <w:rPr>
                    <w:rFonts w:ascii="MS Gothic" w:eastAsia="MS Gothic" w:hAnsi="MS Gothic" w:cs="Arial"/>
                    <w:sz w:val="20"/>
                    <w:lang w:eastAsia="de-DE"/>
                  </w:rPr>
                  <w:t>☒</w:t>
                </w:r>
              </w:p>
            </w:tc>
          </w:sdtContent>
        </w:sdt>
      </w:tr>
      <w:tr w:rsidR="002427D5" w:rsidRPr="00F04D5C" w14:paraId="51FE6734" w14:textId="77777777" w:rsidTr="00456BB6">
        <w:tc>
          <w:tcPr>
            <w:tcW w:w="3929" w:type="dxa"/>
            <w:shd w:val="clear" w:color="auto" w:fill="auto"/>
          </w:tcPr>
          <w:p w14:paraId="58783FA6" w14:textId="77777777" w:rsidR="002427D5" w:rsidRPr="00F04D5C" w:rsidRDefault="002427D5" w:rsidP="00456BB6">
            <w:pPr>
              <w:rPr>
                <w:rFonts w:ascii="Arial" w:hAnsi="Arial" w:cs="Arial"/>
                <w:lang w:eastAsia="de-DE"/>
              </w:rPr>
            </w:pPr>
            <w:r w:rsidRPr="00F04D5C">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31081CED" w:rsidR="002427D5" w:rsidRPr="00F04D5C" w:rsidRDefault="00532035" w:rsidP="00456BB6">
                <w:pPr>
                  <w:rPr>
                    <w:rFonts w:ascii="Arial" w:hAnsi="Arial" w:cs="Arial"/>
                    <w:sz w:val="20"/>
                    <w:lang w:eastAsia="de-DE"/>
                  </w:rPr>
                </w:pPr>
                <w:r w:rsidRPr="00F04D5C">
                  <w:rPr>
                    <w:rFonts w:ascii="Arial" w:hAnsi="Arial" w:cs="Arial"/>
                    <w:sz w:val="20"/>
                    <w:lang w:eastAsia="de-DE"/>
                  </w:rPr>
                  <w:t>International</w:t>
                </w:r>
              </w:p>
            </w:tc>
          </w:sdtContent>
        </w:sdt>
      </w:tr>
    </w:tbl>
    <w:p w14:paraId="27CA1BCB" w14:textId="77777777" w:rsidR="002427D5" w:rsidRPr="00F04D5C" w:rsidRDefault="002427D5" w:rsidP="002427D5">
      <w:pPr>
        <w:spacing w:after="120" w:line="264" w:lineRule="auto"/>
        <w:jc w:val="both"/>
        <w:rPr>
          <w:rFonts w:ascii="Arial" w:eastAsiaTheme="minorEastAsia" w:hAnsi="Arial" w:cs="Arial"/>
          <w:szCs w:val="20"/>
        </w:rPr>
      </w:pPr>
    </w:p>
    <w:p w14:paraId="0F9915CA" w14:textId="77777777" w:rsidR="002427D5" w:rsidRPr="00F04D5C" w:rsidRDefault="002427D5" w:rsidP="002427D5">
      <w:pPr>
        <w:spacing w:after="120" w:line="264" w:lineRule="auto"/>
        <w:jc w:val="both"/>
        <w:rPr>
          <w:rFonts w:ascii="Arial" w:eastAsiaTheme="minorEastAsia" w:hAnsi="Arial" w:cs="Arial"/>
          <w:szCs w:val="20"/>
        </w:rPr>
      </w:pPr>
    </w:p>
    <w:p w14:paraId="7EE58E17" w14:textId="77777777" w:rsidR="002427D5" w:rsidRPr="00F04D5C" w:rsidRDefault="002427D5" w:rsidP="002427D5">
      <w:pPr>
        <w:spacing w:after="120" w:line="264" w:lineRule="auto"/>
        <w:jc w:val="both"/>
        <w:rPr>
          <w:rFonts w:ascii="Arial" w:eastAsiaTheme="minorEastAsia" w:hAnsi="Arial" w:cs="Arial"/>
          <w:szCs w:val="20"/>
        </w:rPr>
      </w:pPr>
    </w:p>
    <w:p w14:paraId="478912E6" w14:textId="77777777" w:rsidR="002427D5" w:rsidRPr="00F04D5C"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F04D5C">
        <w:rPr>
          <w:rFonts w:ascii="Arial" w:eastAsiaTheme="majorEastAsia" w:hAnsi="Arial" w:cs="Arial"/>
          <w:b/>
          <w:sz w:val="32"/>
          <w:szCs w:val="32"/>
        </w:rPr>
        <w:t>Introduction</w:t>
      </w:r>
    </w:p>
    <w:p w14:paraId="70A6D5D9" w14:textId="77777777" w:rsidR="002427D5" w:rsidRPr="00F04D5C" w:rsidRDefault="002427D5" w:rsidP="002427D5">
      <w:pPr>
        <w:spacing w:after="250" w:line="276" w:lineRule="auto"/>
        <w:jc w:val="both"/>
        <w:rPr>
          <w:rFonts w:ascii="Arial" w:eastAsiaTheme="minorEastAsia" w:hAnsi="Arial" w:cs="Arial"/>
          <w:b/>
          <w:bCs/>
          <w:i/>
          <w:iCs/>
          <w:szCs w:val="20"/>
        </w:rPr>
      </w:pPr>
      <w:r w:rsidRPr="00F04D5C">
        <w:rPr>
          <w:rFonts w:ascii="Arial" w:eastAsiaTheme="minorEastAsia" w:hAnsi="Arial" w:cs="Arial"/>
          <w:b/>
          <w:bCs/>
          <w:i/>
          <w:iCs/>
          <w:szCs w:val="20"/>
        </w:rPr>
        <w:t>Please make your introductory comments below, if any</w:t>
      </w:r>
    </w:p>
    <w:p w14:paraId="4B66CCEF" w14:textId="4A371FEF"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&lt;ESMA_COMMENT_</w:t>
      </w:r>
      <w:r w:rsidR="00BD3E6E" w:rsidRPr="00F04D5C">
        <w:rPr>
          <w:rFonts w:ascii="Arial" w:eastAsiaTheme="minorEastAsia" w:hAnsi="Arial" w:cs="Arial"/>
          <w:szCs w:val="20"/>
        </w:rPr>
        <w:t>VLTN</w:t>
      </w:r>
      <w:r w:rsidRPr="00F04D5C">
        <w:rPr>
          <w:rFonts w:ascii="Arial" w:eastAsiaTheme="minorEastAsia" w:hAnsi="Arial" w:cs="Arial"/>
          <w:szCs w:val="20"/>
        </w:rPr>
        <w:t>_00&gt;</w:t>
      </w:r>
    </w:p>
    <w:p w14:paraId="75626ECF" w14:textId="77777777" w:rsidR="00E63E3A" w:rsidRPr="00F04D5C" w:rsidRDefault="00E63E3A" w:rsidP="00E63E3A">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The Futures Industry Association (FIA) and the International Swaps and Derivatives Association (ISDA), together the Associations, represent the largest number of global and national participants in clearing, banking and financial markets. The Associations appreciate this opportunity to comment on this consultation.</w:t>
      </w:r>
    </w:p>
    <w:p w14:paraId="108B299F" w14:textId="6F9E30B7" w:rsidR="00FC5A45" w:rsidRPr="00F04D5C" w:rsidRDefault="00FC5A45" w:rsidP="00FC5A45">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We</w:t>
      </w:r>
      <w:r w:rsidRPr="00F04D5C">
        <w:rPr>
          <w:rFonts w:ascii="Arial" w:hAnsi="Arial"/>
        </w:rPr>
        <w:t xml:space="preserve"> applaud ESMA for </w:t>
      </w:r>
      <w:r w:rsidRPr="00F04D5C">
        <w:rPr>
          <w:rFonts w:ascii="Arial" w:eastAsiaTheme="minorEastAsia" w:hAnsi="Arial" w:cs="Arial"/>
          <w:szCs w:val="20"/>
        </w:rPr>
        <w:t xml:space="preserve">its enormous efforts and impressive work it has delivered on the </w:t>
      </w:r>
      <w:r w:rsidRPr="00F04D5C">
        <w:rPr>
          <w:rFonts w:ascii="Arial" w:hAnsi="Arial"/>
        </w:rPr>
        <w:t>consultations on CCP resolution</w:t>
      </w:r>
      <w:r w:rsidRPr="00F04D5C">
        <w:rPr>
          <w:rFonts w:ascii="Arial" w:eastAsiaTheme="minorEastAsia" w:hAnsi="Arial" w:cs="Arial"/>
          <w:szCs w:val="20"/>
        </w:rPr>
        <w:t xml:space="preserve">, providing a thorough and comprehensive </w:t>
      </w:r>
      <w:r w:rsidRPr="00F04D5C">
        <w:rPr>
          <w:rFonts w:ascii="Arial" w:hAnsi="Arial"/>
        </w:rPr>
        <w:t xml:space="preserve">analysis </w:t>
      </w:r>
      <w:r w:rsidRPr="00F04D5C">
        <w:rPr>
          <w:rFonts w:ascii="Arial" w:eastAsiaTheme="minorEastAsia" w:hAnsi="Arial" w:cs="Arial"/>
          <w:szCs w:val="20"/>
        </w:rPr>
        <w:t xml:space="preserve">for each of them. </w:t>
      </w:r>
    </w:p>
    <w:p w14:paraId="63B108C9" w14:textId="4F498073" w:rsidR="00F71406" w:rsidRPr="00F04D5C" w:rsidRDefault="00F71406" w:rsidP="00E63E3A">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Our key points in this response are twofold:</w:t>
      </w:r>
    </w:p>
    <w:p w14:paraId="6F113BA6" w14:textId="18C1C215" w:rsidR="003072B1" w:rsidRPr="002A5B3E" w:rsidRDefault="00F71406" w:rsidP="002A5B3E">
      <w:pPr>
        <w:pStyle w:val="ListParagraph"/>
        <w:numPr>
          <w:ilvl w:val="0"/>
          <w:numId w:val="22"/>
        </w:numPr>
        <w:rPr>
          <w:rFonts w:ascii="Arial" w:eastAsiaTheme="minorEastAsia" w:hAnsi="Arial" w:cs="Arial"/>
        </w:rPr>
      </w:pPr>
      <w:r w:rsidRPr="002A5B3E">
        <w:rPr>
          <w:rFonts w:ascii="Arial" w:eastAsiaTheme="minorEastAsia" w:hAnsi="Arial" w:cs="Arial"/>
        </w:rPr>
        <w:t xml:space="preserve">We have concerns </w:t>
      </w:r>
      <w:r w:rsidR="00677F6C" w:rsidRPr="002A5B3E">
        <w:rPr>
          <w:rFonts w:ascii="Arial" w:eastAsiaTheme="minorEastAsia" w:hAnsi="Arial" w:cs="Arial"/>
        </w:rPr>
        <w:t>regarding</w:t>
      </w:r>
      <w:r w:rsidRPr="002A5B3E">
        <w:rPr>
          <w:rFonts w:ascii="Arial" w:eastAsiaTheme="minorEastAsia" w:hAnsi="Arial" w:cs="Arial"/>
        </w:rPr>
        <w:t xml:space="preserve"> the valuation </w:t>
      </w:r>
      <w:r w:rsidR="00EC5383" w:rsidRPr="002A5B3E">
        <w:rPr>
          <w:rFonts w:ascii="Arial" w:eastAsiaTheme="minorEastAsia" w:hAnsi="Arial" w:cs="Arial"/>
        </w:rPr>
        <w:t>of</w:t>
      </w:r>
      <w:r w:rsidRPr="002A5B3E">
        <w:rPr>
          <w:rFonts w:ascii="Arial" w:eastAsiaTheme="minorEastAsia" w:hAnsi="Arial" w:cs="Arial"/>
        </w:rPr>
        <w:t xml:space="preserve"> the No-Creditor-Worse-Off (NCWO) principle. Mostly driven by </w:t>
      </w:r>
      <w:r w:rsidR="00EC5383" w:rsidRPr="002A5B3E">
        <w:rPr>
          <w:rFonts w:ascii="Arial" w:eastAsiaTheme="minorEastAsia" w:hAnsi="Arial" w:cs="Arial"/>
        </w:rPr>
        <w:t>L</w:t>
      </w:r>
      <w:r w:rsidRPr="002A5B3E">
        <w:rPr>
          <w:rFonts w:ascii="Arial" w:eastAsiaTheme="minorEastAsia" w:hAnsi="Arial" w:cs="Arial"/>
        </w:rPr>
        <w:t>evel 1 of CC</w:t>
      </w:r>
      <w:r w:rsidR="00D67D5F" w:rsidRPr="002A5B3E">
        <w:rPr>
          <w:rFonts w:ascii="Arial" w:eastAsiaTheme="minorEastAsia" w:hAnsi="Arial" w:cs="Arial"/>
        </w:rPr>
        <w:t>PRRR</w:t>
      </w:r>
      <w:r w:rsidRPr="002A5B3E">
        <w:rPr>
          <w:rFonts w:ascii="Arial" w:eastAsiaTheme="minorEastAsia" w:hAnsi="Arial" w:cs="Arial"/>
        </w:rPr>
        <w:t>, the counterfactual to resolution includes</w:t>
      </w:r>
      <w:r w:rsidR="00EC5383" w:rsidRPr="002A5B3E">
        <w:rPr>
          <w:rFonts w:ascii="Arial" w:eastAsiaTheme="minorEastAsia" w:hAnsi="Arial" w:cs="Arial"/>
        </w:rPr>
        <w:t xml:space="preserve"> many</w:t>
      </w:r>
      <w:r w:rsidRPr="002A5B3E">
        <w:rPr>
          <w:rFonts w:ascii="Arial" w:eastAsiaTheme="minorEastAsia" w:hAnsi="Arial" w:cs="Arial"/>
        </w:rPr>
        <w:t xml:space="preserve"> components, for instance replacement costs or margin funding for re</w:t>
      </w:r>
      <w:r w:rsidR="00BE129F" w:rsidRPr="002A5B3E">
        <w:rPr>
          <w:rFonts w:ascii="Arial" w:eastAsiaTheme="minorEastAsia" w:hAnsi="Arial" w:cs="Arial"/>
        </w:rPr>
        <w:t>-</w:t>
      </w:r>
      <w:r w:rsidRPr="002A5B3E">
        <w:rPr>
          <w:rFonts w:ascii="Arial" w:eastAsiaTheme="minorEastAsia" w:hAnsi="Arial" w:cs="Arial"/>
        </w:rPr>
        <w:t>establishing positions at another CCP that are not present in the NCWO safeguard in other jurisdictions and that are extremely difficult to value.</w:t>
      </w:r>
    </w:p>
    <w:p w14:paraId="7CC36DF4" w14:textId="645802DB" w:rsidR="00BE129F" w:rsidRPr="002A5B3E" w:rsidRDefault="00BE129F" w:rsidP="002A5B3E">
      <w:pPr>
        <w:pStyle w:val="ListParagraph"/>
        <w:numPr>
          <w:ilvl w:val="0"/>
          <w:numId w:val="22"/>
        </w:numPr>
        <w:rPr>
          <w:rFonts w:ascii="Arial" w:eastAsiaTheme="minorEastAsia" w:hAnsi="Arial" w:cs="Arial"/>
        </w:rPr>
      </w:pPr>
      <w:r w:rsidRPr="002A5B3E">
        <w:rPr>
          <w:rFonts w:ascii="Arial" w:eastAsiaTheme="minorEastAsia" w:hAnsi="Arial" w:cs="Arial"/>
        </w:rPr>
        <w:t xml:space="preserve">We fully agree with the requirements for </w:t>
      </w:r>
      <w:r w:rsidR="003C1802" w:rsidRPr="002A5B3E">
        <w:rPr>
          <w:rFonts w:ascii="Arial" w:eastAsiaTheme="minorEastAsia" w:hAnsi="Arial" w:cs="Arial"/>
        </w:rPr>
        <w:t xml:space="preserve">the valuer to be </w:t>
      </w:r>
      <w:r w:rsidR="00245B8C" w:rsidRPr="002A5B3E">
        <w:rPr>
          <w:rFonts w:ascii="Arial" w:eastAsiaTheme="minorEastAsia" w:hAnsi="Arial" w:cs="Arial"/>
        </w:rPr>
        <w:t>independent but</w:t>
      </w:r>
      <w:r w:rsidRPr="002A5B3E">
        <w:rPr>
          <w:rFonts w:ascii="Arial" w:eastAsiaTheme="minorEastAsia" w:hAnsi="Arial" w:cs="Arial"/>
        </w:rPr>
        <w:t xml:space="preserve"> are concerned that </w:t>
      </w:r>
      <w:r w:rsidR="00886D58" w:rsidRPr="002A5B3E">
        <w:rPr>
          <w:rFonts w:ascii="Arial" w:eastAsiaTheme="minorEastAsia" w:hAnsi="Arial" w:cs="Arial"/>
        </w:rPr>
        <w:t xml:space="preserve">the </w:t>
      </w:r>
      <w:r w:rsidR="00DB69B2" w:rsidRPr="002A5B3E">
        <w:rPr>
          <w:rFonts w:ascii="Arial" w:eastAsiaTheme="minorEastAsia" w:hAnsi="Arial" w:cs="Arial"/>
        </w:rPr>
        <w:t>pool</w:t>
      </w:r>
      <w:r w:rsidR="00886D58" w:rsidRPr="002A5B3E">
        <w:rPr>
          <w:rFonts w:ascii="Arial" w:eastAsiaTheme="minorEastAsia" w:hAnsi="Arial" w:cs="Arial"/>
        </w:rPr>
        <w:t xml:space="preserve"> of eligible valuers will be</w:t>
      </w:r>
      <w:r w:rsidR="00DB69B2" w:rsidRPr="002A5B3E">
        <w:rPr>
          <w:rFonts w:ascii="Arial" w:eastAsiaTheme="minorEastAsia" w:hAnsi="Arial" w:cs="Arial"/>
        </w:rPr>
        <w:t xml:space="preserve"> limited</w:t>
      </w:r>
      <w:r w:rsidR="00886D58" w:rsidRPr="002A5B3E">
        <w:rPr>
          <w:rFonts w:ascii="Arial" w:eastAsiaTheme="minorEastAsia" w:hAnsi="Arial" w:cs="Arial"/>
        </w:rPr>
        <w:t xml:space="preserve">. </w:t>
      </w:r>
    </w:p>
    <w:p w14:paraId="4D77B09B" w14:textId="77777777" w:rsidR="00432B20" w:rsidRPr="00F04D5C" w:rsidRDefault="00432B20" w:rsidP="0017507C">
      <w:pPr>
        <w:spacing w:after="250" w:line="276" w:lineRule="auto"/>
        <w:ind w:left="720"/>
        <w:jc w:val="both"/>
        <w:rPr>
          <w:rFonts w:ascii="Arial" w:eastAsiaTheme="minorEastAsia" w:hAnsi="Arial" w:cs="Arial"/>
          <w:szCs w:val="20"/>
        </w:rPr>
      </w:pPr>
    </w:p>
    <w:p w14:paraId="4C457148" w14:textId="68778D61" w:rsidR="0017507C" w:rsidRPr="00F04D5C" w:rsidRDefault="0017507C" w:rsidP="0017507C">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This consultation response covers the positions of our members that are clearing members and their clients. The paper does not reflect the views of many CCPs, and many of the CCPs are in disagreement with the views expressed herein.</w:t>
      </w:r>
    </w:p>
    <w:p w14:paraId="23F31A23" w14:textId="77777777" w:rsidR="00E63E3A" w:rsidRPr="00F04D5C" w:rsidRDefault="00E63E3A" w:rsidP="00E63E3A">
      <w:pPr>
        <w:spacing w:after="250" w:line="276" w:lineRule="auto"/>
        <w:ind w:left="720"/>
        <w:jc w:val="both"/>
        <w:rPr>
          <w:rFonts w:ascii="Arial" w:eastAsiaTheme="minorEastAsia" w:hAnsi="Arial" w:cs="Arial"/>
          <w:szCs w:val="20"/>
        </w:rPr>
      </w:pPr>
    </w:p>
    <w:p w14:paraId="403E683D" w14:textId="77777777" w:rsidR="00E63E3A" w:rsidRPr="00F04D5C" w:rsidRDefault="00E63E3A" w:rsidP="00E63E3A">
      <w:pPr>
        <w:spacing w:after="250" w:line="276" w:lineRule="auto"/>
        <w:ind w:left="720"/>
        <w:jc w:val="both"/>
        <w:rPr>
          <w:rFonts w:ascii="Arial" w:eastAsiaTheme="minorEastAsia" w:hAnsi="Arial" w:cs="Arial"/>
          <w:b/>
          <w:bCs/>
          <w:szCs w:val="20"/>
        </w:rPr>
      </w:pPr>
      <w:r w:rsidRPr="00F04D5C">
        <w:rPr>
          <w:rFonts w:ascii="Arial" w:eastAsiaTheme="minorEastAsia" w:hAnsi="Arial" w:cs="Arial"/>
          <w:b/>
          <w:bCs/>
          <w:szCs w:val="20"/>
        </w:rPr>
        <w:t>About FIA</w:t>
      </w:r>
    </w:p>
    <w:p w14:paraId="3531C1FE" w14:textId="77777777" w:rsidR="00E63E3A" w:rsidRPr="00F04D5C" w:rsidRDefault="00E63E3A" w:rsidP="00E63E3A">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lastRenderedPageBreak/>
        <w:t>FIA is the leading global trade organization for the futures, options and centrally cleared derivatives markets, with offices in Brussels, London, Singapore and Washington, D.C. Our membership includes clearing firms, exchanges, clearinghouses, trading firms and commodities specialists from about 50 countries as well as technology vendors, law firms and other professional service providers.</w:t>
      </w:r>
    </w:p>
    <w:p w14:paraId="50EBF68D" w14:textId="77777777" w:rsidR="00E63E3A" w:rsidRPr="00F04D5C" w:rsidRDefault="00E63E3A" w:rsidP="00E63E3A">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Our mission: To support open, transparent and competitive markets, protect and enhance the integrity of the financial system, and promote high standards of professional conduct.</w:t>
      </w:r>
    </w:p>
    <w:p w14:paraId="075E71CB" w14:textId="77777777" w:rsidR="00E63E3A" w:rsidRPr="00F04D5C" w:rsidRDefault="00E63E3A" w:rsidP="00E63E3A">
      <w:pPr>
        <w:spacing w:after="250" w:line="276" w:lineRule="auto"/>
        <w:ind w:left="720"/>
        <w:jc w:val="both"/>
        <w:rPr>
          <w:rFonts w:ascii="Arial" w:eastAsiaTheme="minorEastAsia" w:hAnsi="Arial" w:cs="Arial"/>
          <w:szCs w:val="20"/>
        </w:rPr>
      </w:pPr>
    </w:p>
    <w:p w14:paraId="4D4021CE" w14:textId="77777777" w:rsidR="00E63E3A" w:rsidRPr="00F04D5C" w:rsidRDefault="00E63E3A" w:rsidP="00E63E3A">
      <w:pPr>
        <w:spacing w:after="250" w:line="276" w:lineRule="auto"/>
        <w:ind w:left="720"/>
        <w:jc w:val="both"/>
        <w:rPr>
          <w:rFonts w:ascii="Arial" w:eastAsiaTheme="minorEastAsia" w:hAnsi="Arial" w:cs="Arial"/>
          <w:b/>
          <w:bCs/>
          <w:szCs w:val="20"/>
        </w:rPr>
      </w:pPr>
      <w:r w:rsidRPr="00F04D5C">
        <w:rPr>
          <w:rFonts w:ascii="Arial" w:eastAsiaTheme="minorEastAsia" w:hAnsi="Arial" w:cs="Arial"/>
          <w:b/>
          <w:bCs/>
          <w:szCs w:val="20"/>
        </w:rPr>
        <w:t>About ISDA</w:t>
      </w:r>
    </w:p>
    <w:p w14:paraId="305DCA5B" w14:textId="77777777" w:rsidR="00E63E3A" w:rsidRPr="00F04D5C" w:rsidRDefault="00E63E3A" w:rsidP="00E63E3A">
      <w:pPr>
        <w:spacing w:after="250" w:line="276" w:lineRule="auto"/>
        <w:ind w:left="720"/>
        <w:jc w:val="both"/>
        <w:rPr>
          <w:rFonts w:ascii="Arial" w:eastAsiaTheme="minorEastAsia" w:hAnsi="Arial" w:cs="Arial"/>
          <w:szCs w:val="20"/>
        </w:rPr>
      </w:pPr>
      <w:r w:rsidRPr="00F04D5C">
        <w:rPr>
          <w:rFonts w:ascii="Arial" w:eastAsiaTheme="minorEastAsia" w:hAnsi="Arial" w:cs="Arial"/>
          <w:szCs w:val="20"/>
        </w:rPr>
        <w:t>Since 1985, ISDA has worked to make the global derivatives markets safer and more efficient. Today, ISDA has over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Follow us on Twitter, LinkedIn, Facebook and YouTube.</w:t>
      </w:r>
    </w:p>
    <w:p w14:paraId="1928DBD4" w14:textId="77777777" w:rsidR="00E63E3A" w:rsidRPr="00F04D5C" w:rsidRDefault="00E63E3A" w:rsidP="00E63E3A">
      <w:pPr>
        <w:spacing w:after="250" w:line="276" w:lineRule="auto"/>
        <w:ind w:left="720"/>
        <w:jc w:val="both"/>
        <w:rPr>
          <w:rFonts w:ascii="Arial" w:eastAsiaTheme="minorEastAsia" w:hAnsi="Arial" w:cs="Arial"/>
          <w:szCs w:val="20"/>
        </w:rPr>
      </w:pPr>
    </w:p>
    <w:p w14:paraId="01063D92" w14:textId="4C5A2E84" w:rsidR="002427D5" w:rsidRPr="00F04D5C" w:rsidRDefault="002427D5" w:rsidP="002427D5">
      <w:pPr>
        <w:spacing w:after="250" w:line="276" w:lineRule="auto"/>
        <w:jc w:val="both"/>
        <w:rPr>
          <w:rFonts w:ascii="Arial" w:eastAsiaTheme="minorEastAsia" w:hAnsi="Arial" w:cs="Arial"/>
          <w:szCs w:val="20"/>
        </w:rPr>
      </w:pPr>
      <w:r w:rsidRPr="00F04D5C">
        <w:rPr>
          <w:rFonts w:ascii="Arial" w:eastAsiaTheme="minorEastAsia" w:hAnsi="Arial" w:cs="Arial"/>
          <w:szCs w:val="20"/>
        </w:rPr>
        <w:t>&lt;ESMA_COMMENT_</w:t>
      </w:r>
      <w:r w:rsidR="00BD3E6E" w:rsidRPr="00F04D5C">
        <w:rPr>
          <w:rFonts w:ascii="Arial" w:eastAsiaTheme="minorEastAsia" w:hAnsi="Arial" w:cs="Arial"/>
          <w:szCs w:val="20"/>
        </w:rPr>
        <w:t>VLTN</w:t>
      </w:r>
      <w:r w:rsidRPr="00F04D5C">
        <w:rPr>
          <w:rFonts w:ascii="Arial" w:eastAsiaTheme="minorEastAsia" w:hAnsi="Arial" w:cs="Arial"/>
          <w:szCs w:val="20"/>
        </w:rPr>
        <w:t>_00&gt;</w:t>
      </w:r>
    </w:p>
    <w:p w14:paraId="6774CDD9" w14:textId="77777777" w:rsidR="002427D5" w:rsidRPr="00F04D5C" w:rsidRDefault="002427D5" w:rsidP="002427D5">
      <w:pPr>
        <w:spacing w:line="276" w:lineRule="auto"/>
        <w:rPr>
          <w:rFonts w:ascii="Arial" w:hAnsi="Arial" w:cs="Arial"/>
          <w:b/>
          <w:sz w:val="28"/>
          <w:szCs w:val="28"/>
        </w:rPr>
      </w:pPr>
    </w:p>
    <w:p w14:paraId="0709E670" w14:textId="77777777" w:rsidR="002427D5" w:rsidRPr="00F04D5C" w:rsidRDefault="002427D5" w:rsidP="002427D5">
      <w:pPr>
        <w:spacing w:line="276" w:lineRule="auto"/>
        <w:rPr>
          <w:rFonts w:ascii="Arial" w:hAnsi="Arial" w:cs="Arial"/>
          <w:b/>
          <w:sz w:val="28"/>
          <w:szCs w:val="28"/>
        </w:rPr>
      </w:pPr>
    </w:p>
    <w:p w14:paraId="21DA0525" w14:textId="77777777" w:rsidR="002427D5" w:rsidRPr="00F04D5C" w:rsidRDefault="002427D5" w:rsidP="002427D5">
      <w:pPr>
        <w:spacing w:line="276" w:lineRule="auto"/>
        <w:rPr>
          <w:rFonts w:ascii="Arial" w:hAnsi="Arial" w:cs="Arial"/>
          <w:b/>
          <w:sz w:val="28"/>
          <w:szCs w:val="28"/>
        </w:rPr>
      </w:pPr>
    </w:p>
    <w:p w14:paraId="44042798" w14:textId="77777777" w:rsidR="002427D5" w:rsidRPr="00F04D5C" w:rsidRDefault="002427D5" w:rsidP="002427D5">
      <w:pPr>
        <w:spacing w:line="276" w:lineRule="auto"/>
        <w:rPr>
          <w:rFonts w:ascii="Arial" w:hAnsi="Arial" w:cs="Arial"/>
          <w:b/>
          <w:sz w:val="28"/>
          <w:szCs w:val="28"/>
        </w:rPr>
      </w:pPr>
    </w:p>
    <w:p w14:paraId="6E6FD32C" w14:textId="77777777" w:rsidR="002427D5" w:rsidRPr="00F04D5C" w:rsidRDefault="002427D5" w:rsidP="002427D5">
      <w:pPr>
        <w:spacing w:line="276" w:lineRule="auto"/>
        <w:rPr>
          <w:rFonts w:ascii="Arial" w:hAnsi="Arial" w:cs="Arial"/>
          <w:b/>
          <w:sz w:val="28"/>
          <w:szCs w:val="28"/>
        </w:rPr>
      </w:pPr>
    </w:p>
    <w:p w14:paraId="530540D6" w14:textId="77777777" w:rsidR="002427D5" w:rsidRPr="00F04D5C" w:rsidRDefault="002427D5" w:rsidP="002427D5">
      <w:pPr>
        <w:spacing w:after="120" w:line="264" w:lineRule="auto"/>
        <w:rPr>
          <w:rFonts w:ascii="Arial" w:hAnsi="Arial" w:cs="Arial"/>
          <w:b/>
          <w:sz w:val="28"/>
          <w:szCs w:val="28"/>
        </w:rPr>
      </w:pPr>
      <w:r w:rsidRPr="00F04D5C">
        <w:rPr>
          <w:rFonts w:ascii="Arial" w:hAnsi="Arial" w:cs="Arial"/>
          <w:b/>
          <w:sz w:val="28"/>
          <w:szCs w:val="28"/>
        </w:rPr>
        <w:br w:type="page"/>
      </w:r>
    </w:p>
    <w:p w14:paraId="1A0A45E4" w14:textId="64D84D40" w:rsidR="002427D5" w:rsidRPr="00F04D5C" w:rsidRDefault="002427D5" w:rsidP="002427D5">
      <w:pPr>
        <w:spacing w:line="276" w:lineRule="auto"/>
        <w:rPr>
          <w:rFonts w:ascii="Arial" w:hAnsi="Arial" w:cs="Arial"/>
          <w:b/>
          <w:sz w:val="28"/>
          <w:szCs w:val="28"/>
        </w:rPr>
      </w:pPr>
      <w:r w:rsidRPr="00F04D5C">
        <w:rPr>
          <w:rFonts w:ascii="Arial" w:hAnsi="Arial" w:cs="Arial"/>
          <w:b/>
          <w:sz w:val="28"/>
          <w:szCs w:val="28"/>
        </w:rPr>
        <w:lastRenderedPageBreak/>
        <w:t xml:space="preserve">Questions </w:t>
      </w:r>
    </w:p>
    <w:p w14:paraId="59188F7A" w14:textId="77777777" w:rsidR="00187A64" w:rsidRPr="00F04D5C" w:rsidRDefault="00187A64" w:rsidP="002427D5">
      <w:pPr>
        <w:spacing w:line="276" w:lineRule="auto"/>
        <w:rPr>
          <w:rFonts w:ascii="Arial" w:hAnsi="Arial" w:cs="Arial"/>
          <w:b/>
          <w:sz w:val="28"/>
          <w:szCs w:val="28"/>
        </w:rPr>
      </w:pPr>
    </w:p>
    <w:p w14:paraId="66616DA1" w14:textId="77777777" w:rsidR="003311DE" w:rsidRPr="00F04D5C" w:rsidRDefault="002427D5" w:rsidP="001E4E74">
      <w:pPr>
        <w:pStyle w:val="Questionstyle"/>
      </w:pPr>
      <w:r w:rsidRPr="00F04D5C">
        <w:t xml:space="preserve">: </w:t>
      </w:r>
      <w:r w:rsidR="003311DE" w:rsidRPr="00F04D5C">
        <w:t>Do you agree with the proposed approach to define three elements of independence that should be met for a valuer to be deemed to be independent from the CCP and the resolution authority?</w:t>
      </w:r>
    </w:p>
    <w:p w14:paraId="17280749" w14:textId="42B7B7BE" w:rsidR="002427D5" w:rsidRPr="00F04D5C" w:rsidRDefault="002427D5" w:rsidP="001E4E74">
      <w:pPr>
        <w:pStyle w:val="Questionstyle"/>
        <w:numPr>
          <w:ilvl w:val="0"/>
          <w:numId w:val="0"/>
        </w:numPr>
      </w:pPr>
    </w:p>
    <w:p w14:paraId="75AC2B9F" w14:textId="77777777" w:rsidR="002427D5" w:rsidRPr="00F04D5C" w:rsidRDefault="002427D5" w:rsidP="001E4E74">
      <w:pPr>
        <w:pStyle w:val="Questionstyle"/>
        <w:numPr>
          <w:ilvl w:val="0"/>
          <w:numId w:val="0"/>
        </w:numPr>
      </w:pPr>
    </w:p>
    <w:p w14:paraId="69126420" w14:textId="28CC401B" w:rsidR="002427D5" w:rsidRPr="00F04D5C" w:rsidRDefault="002427D5" w:rsidP="001E4E74">
      <w:pPr>
        <w:pStyle w:val="Questionstyle"/>
        <w:numPr>
          <w:ilvl w:val="0"/>
          <w:numId w:val="0"/>
        </w:numPr>
      </w:pPr>
      <w:r w:rsidRPr="00F04D5C">
        <w:t>&lt;ESMA_QUESTION_</w:t>
      </w:r>
      <w:r w:rsidR="00BD3E6E" w:rsidRPr="00F04D5C">
        <w:t>VLTN</w:t>
      </w:r>
      <w:r w:rsidRPr="00F04D5C">
        <w:t>_01&gt;</w:t>
      </w:r>
    </w:p>
    <w:p w14:paraId="6F83EDC6" w14:textId="1754FF92" w:rsidR="008742A7" w:rsidRPr="00F04D5C" w:rsidRDefault="008742A7" w:rsidP="002427D5">
      <w:pPr>
        <w:rPr>
          <w:rFonts w:ascii="Arial" w:hAnsi="Arial" w:cs="Arial"/>
          <w:sz w:val="24"/>
          <w:szCs w:val="24"/>
        </w:rPr>
      </w:pPr>
      <w:r w:rsidRPr="00F04D5C">
        <w:rPr>
          <w:rFonts w:ascii="Arial" w:hAnsi="Arial" w:cs="Arial"/>
          <w:sz w:val="24"/>
          <w:szCs w:val="24"/>
        </w:rPr>
        <w:t xml:space="preserve">We agree with the proposed approach to define three elements of independence that should be met </w:t>
      </w:r>
      <w:r w:rsidR="003764D0" w:rsidRPr="00F04D5C">
        <w:rPr>
          <w:rFonts w:ascii="Arial" w:hAnsi="Arial" w:cs="Arial"/>
          <w:sz w:val="24"/>
          <w:szCs w:val="24"/>
        </w:rPr>
        <w:t>by</w:t>
      </w:r>
      <w:r w:rsidRPr="00F04D5C">
        <w:rPr>
          <w:rFonts w:ascii="Arial" w:hAnsi="Arial" w:cs="Arial"/>
          <w:sz w:val="24"/>
          <w:szCs w:val="24"/>
        </w:rPr>
        <w:t xml:space="preserve"> a valuer to be deemed independent </w:t>
      </w:r>
      <w:r w:rsidR="0007107D" w:rsidRPr="00F04D5C">
        <w:rPr>
          <w:rFonts w:ascii="Arial" w:hAnsi="Arial" w:cs="Arial"/>
          <w:sz w:val="24"/>
          <w:szCs w:val="24"/>
        </w:rPr>
        <w:t>of</w:t>
      </w:r>
      <w:r w:rsidRPr="00F04D5C">
        <w:rPr>
          <w:rFonts w:ascii="Arial" w:hAnsi="Arial" w:cs="Arial"/>
          <w:sz w:val="24"/>
          <w:szCs w:val="24"/>
        </w:rPr>
        <w:t xml:space="preserve"> the CCP and the </w:t>
      </w:r>
      <w:r w:rsidR="003075FE" w:rsidRPr="00F04D5C">
        <w:rPr>
          <w:rFonts w:ascii="Arial" w:hAnsi="Arial" w:cs="Arial"/>
          <w:sz w:val="24"/>
          <w:szCs w:val="24"/>
        </w:rPr>
        <w:t>r</w:t>
      </w:r>
      <w:r w:rsidRPr="00F04D5C">
        <w:rPr>
          <w:rFonts w:ascii="Arial" w:hAnsi="Arial" w:cs="Arial"/>
          <w:sz w:val="24"/>
          <w:szCs w:val="24"/>
        </w:rPr>
        <w:t xml:space="preserve">esolution </w:t>
      </w:r>
      <w:r w:rsidR="003075FE" w:rsidRPr="00F04D5C">
        <w:rPr>
          <w:rFonts w:ascii="Arial" w:hAnsi="Arial" w:cs="Arial"/>
          <w:sz w:val="24"/>
          <w:szCs w:val="24"/>
        </w:rPr>
        <w:t>a</w:t>
      </w:r>
      <w:r w:rsidRPr="00F04D5C">
        <w:rPr>
          <w:rFonts w:ascii="Arial" w:hAnsi="Arial" w:cs="Arial"/>
          <w:sz w:val="24"/>
          <w:szCs w:val="24"/>
        </w:rPr>
        <w:t>uthority</w:t>
      </w:r>
      <w:r w:rsidR="003075FE" w:rsidRPr="00F04D5C">
        <w:rPr>
          <w:rFonts w:ascii="Arial" w:hAnsi="Arial" w:cs="Arial"/>
          <w:sz w:val="24"/>
          <w:szCs w:val="24"/>
        </w:rPr>
        <w:t xml:space="preserve"> (RA)</w:t>
      </w:r>
      <w:r w:rsidRPr="00F04D5C">
        <w:rPr>
          <w:rFonts w:ascii="Arial" w:hAnsi="Arial" w:cs="Arial"/>
          <w:sz w:val="24"/>
          <w:szCs w:val="24"/>
        </w:rPr>
        <w:t>.</w:t>
      </w:r>
      <w:r w:rsidR="00DF4ECF" w:rsidRPr="00F04D5C">
        <w:rPr>
          <w:rFonts w:ascii="Arial" w:hAnsi="Arial" w:cs="Arial"/>
          <w:sz w:val="24"/>
          <w:szCs w:val="24"/>
        </w:rPr>
        <w:t xml:space="preserve"> Each of the three elements makes sense </w:t>
      </w:r>
      <w:r w:rsidR="00EE0A13" w:rsidRPr="00F04D5C">
        <w:rPr>
          <w:rFonts w:ascii="Arial" w:hAnsi="Arial" w:cs="Arial"/>
          <w:sz w:val="24"/>
          <w:szCs w:val="24"/>
        </w:rPr>
        <w:t>on its own</w:t>
      </w:r>
      <w:r w:rsidR="00DF4ECF" w:rsidRPr="00F04D5C">
        <w:rPr>
          <w:rFonts w:ascii="Arial" w:hAnsi="Arial" w:cs="Arial"/>
          <w:sz w:val="24"/>
          <w:szCs w:val="24"/>
        </w:rPr>
        <w:t>.</w:t>
      </w:r>
    </w:p>
    <w:p w14:paraId="3134804A" w14:textId="2AB017A0" w:rsidR="008742A7" w:rsidRPr="00F04D5C" w:rsidRDefault="009A6853" w:rsidP="002427D5">
      <w:pPr>
        <w:rPr>
          <w:rFonts w:ascii="Arial" w:hAnsi="Arial" w:cs="Arial"/>
          <w:sz w:val="24"/>
          <w:szCs w:val="24"/>
        </w:rPr>
      </w:pPr>
      <w:r w:rsidRPr="00F04D5C">
        <w:rPr>
          <w:rFonts w:ascii="Arial" w:hAnsi="Arial" w:cs="Arial"/>
          <w:sz w:val="24"/>
          <w:szCs w:val="24"/>
        </w:rPr>
        <w:t xml:space="preserve">However, and </w:t>
      </w:r>
      <w:r w:rsidR="00A10F84" w:rsidRPr="00F04D5C">
        <w:rPr>
          <w:rFonts w:ascii="Arial" w:hAnsi="Arial" w:cs="Arial"/>
          <w:sz w:val="24"/>
          <w:szCs w:val="24"/>
        </w:rPr>
        <w:t>a</w:t>
      </w:r>
      <w:r w:rsidR="009B2680" w:rsidRPr="00F04D5C">
        <w:rPr>
          <w:rFonts w:ascii="Arial" w:hAnsi="Arial" w:cs="Arial"/>
          <w:sz w:val="24"/>
          <w:szCs w:val="24"/>
        </w:rPr>
        <w:t>s we explain in the response to question 2, we are concern</w:t>
      </w:r>
      <w:r w:rsidR="00DF4ECF" w:rsidRPr="00F04D5C">
        <w:rPr>
          <w:rFonts w:ascii="Arial" w:hAnsi="Arial" w:cs="Arial"/>
          <w:sz w:val="24"/>
          <w:szCs w:val="24"/>
        </w:rPr>
        <w:t>ed</w:t>
      </w:r>
      <w:r w:rsidR="009B2680" w:rsidRPr="00F04D5C">
        <w:rPr>
          <w:rFonts w:ascii="Arial" w:hAnsi="Arial" w:cs="Arial"/>
          <w:sz w:val="24"/>
          <w:szCs w:val="24"/>
        </w:rPr>
        <w:t xml:space="preserve"> that the definition of relevant entity</w:t>
      </w:r>
      <w:r w:rsidR="00EE0A13" w:rsidRPr="00F04D5C">
        <w:rPr>
          <w:rFonts w:ascii="Arial" w:hAnsi="Arial" w:cs="Arial"/>
          <w:sz w:val="24"/>
          <w:szCs w:val="24"/>
        </w:rPr>
        <w:t xml:space="preserve"> will include </w:t>
      </w:r>
      <w:r w:rsidR="00C27C14" w:rsidRPr="00F04D5C">
        <w:rPr>
          <w:rFonts w:ascii="Arial" w:hAnsi="Arial" w:cs="Arial"/>
          <w:sz w:val="24"/>
          <w:szCs w:val="24"/>
        </w:rPr>
        <w:t>too</w:t>
      </w:r>
      <w:r w:rsidR="00EE0A13" w:rsidRPr="00F04D5C">
        <w:rPr>
          <w:rFonts w:ascii="Arial" w:hAnsi="Arial" w:cs="Arial"/>
          <w:sz w:val="24"/>
          <w:szCs w:val="24"/>
        </w:rPr>
        <w:t xml:space="preserve"> many market participants</w:t>
      </w:r>
      <w:r w:rsidR="001C6AB9" w:rsidRPr="00F04D5C">
        <w:rPr>
          <w:rFonts w:ascii="Arial" w:hAnsi="Arial" w:cs="Arial"/>
          <w:sz w:val="24"/>
          <w:szCs w:val="24"/>
        </w:rPr>
        <w:t xml:space="preserve">, which </w:t>
      </w:r>
      <w:r w:rsidR="00CB67D2" w:rsidRPr="00F04D5C">
        <w:rPr>
          <w:rFonts w:ascii="Arial" w:hAnsi="Arial" w:cs="Arial"/>
          <w:sz w:val="24"/>
          <w:szCs w:val="24"/>
        </w:rPr>
        <w:t>will make it</w:t>
      </w:r>
      <w:r w:rsidR="00EE0A13" w:rsidRPr="00F04D5C">
        <w:rPr>
          <w:rFonts w:ascii="Arial" w:hAnsi="Arial" w:cs="Arial"/>
          <w:sz w:val="24"/>
          <w:szCs w:val="24"/>
        </w:rPr>
        <w:t xml:space="preserve"> difficult to </w:t>
      </w:r>
      <w:r w:rsidR="007F23EC" w:rsidRPr="00F04D5C">
        <w:rPr>
          <w:rFonts w:ascii="Arial" w:hAnsi="Arial" w:cs="Arial"/>
          <w:sz w:val="24"/>
          <w:szCs w:val="24"/>
        </w:rPr>
        <w:t>identify</w:t>
      </w:r>
      <w:r w:rsidR="00EE0A13" w:rsidRPr="00F04D5C">
        <w:rPr>
          <w:rFonts w:ascii="Arial" w:hAnsi="Arial" w:cs="Arial"/>
          <w:sz w:val="24"/>
          <w:szCs w:val="24"/>
        </w:rPr>
        <w:t xml:space="preserve"> qualified, experienced valuers</w:t>
      </w:r>
      <w:r w:rsidR="00A10F84" w:rsidRPr="00F04D5C">
        <w:rPr>
          <w:rFonts w:ascii="Arial" w:hAnsi="Arial" w:cs="Arial"/>
          <w:sz w:val="24"/>
          <w:szCs w:val="24"/>
        </w:rPr>
        <w:t xml:space="preserve">, </w:t>
      </w:r>
      <w:r w:rsidR="00EE0A13" w:rsidRPr="00F04D5C">
        <w:rPr>
          <w:rFonts w:ascii="Arial" w:hAnsi="Arial" w:cs="Arial"/>
          <w:sz w:val="24"/>
          <w:szCs w:val="24"/>
        </w:rPr>
        <w:t>who have</w:t>
      </w:r>
      <w:r w:rsidR="0085263B" w:rsidRPr="00F04D5C">
        <w:rPr>
          <w:rFonts w:ascii="Arial" w:hAnsi="Arial" w:cs="Arial"/>
          <w:sz w:val="24"/>
          <w:szCs w:val="24"/>
        </w:rPr>
        <w:t xml:space="preserve"> </w:t>
      </w:r>
      <w:r w:rsidR="00EE0A13" w:rsidRPr="00F04D5C">
        <w:rPr>
          <w:rFonts w:ascii="Arial" w:hAnsi="Arial" w:cs="Arial"/>
          <w:sz w:val="24"/>
          <w:szCs w:val="24"/>
        </w:rPr>
        <w:t>n</w:t>
      </w:r>
      <w:r w:rsidR="0085263B" w:rsidRPr="00F04D5C">
        <w:rPr>
          <w:rFonts w:ascii="Arial" w:hAnsi="Arial" w:cs="Arial"/>
          <w:sz w:val="24"/>
          <w:szCs w:val="24"/>
        </w:rPr>
        <w:t>o</w:t>
      </w:r>
      <w:r w:rsidR="00EE0A13" w:rsidRPr="00F04D5C">
        <w:rPr>
          <w:rFonts w:ascii="Arial" w:hAnsi="Arial" w:cs="Arial"/>
          <w:sz w:val="24"/>
          <w:szCs w:val="24"/>
        </w:rPr>
        <w:t>t work</w:t>
      </w:r>
      <w:r w:rsidR="00A17F15" w:rsidRPr="00F04D5C">
        <w:rPr>
          <w:rFonts w:ascii="Arial" w:hAnsi="Arial" w:cs="Arial"/>
          <w:sz w:val="24"/>
          <w:szCs w:val="24"/>
        </w:rPr>
        <w:t>ed</w:t>
      </w:r>
      <w:r w:rsidR="00790060" w:rsidRPr="00F04D5C">
        <w:rPr>
          <w:rFonts w:ascii="Arial" w:hAnsi="Arial" w:cs="Arial"/>
          <w:sz w:val="24"/>
          <w:szCs w:val="24"/>
        </w:rPr>
        <w:t xml:space="preserve"> at </w:t>
      </w:r>
      <w:r w:rsidR="00350557" w:rsidRPr="00F04D5C">
        <w:rPr>
          <w:rFonts w:ascii="Arial" w:hAnsi="Arial" w:cs="Arial"/>
          <w:sz w:val="24"/>
          <w:szCs w:val="24"/>
        </w:rPr>
        <w:t xml:space="preserve">or for </w:t>
      </w:r>
      <w:r w:rsidR="008A1203" w:rsidRPr="00F04D5C">
        <w:rPr>
          <w:rFonts w:ascii="Arial" w:hAnsi="Arial" w:cs="Arial"/>
          <w:sz w:val="24"/>
          <w:szCs w:val="24"/>
        </w:rPr>
        <w:t xml:space="preserve">a </w:t>
      </w:r>
      <w:r w:rsidR="00EE0A13" w:rsidRPr="00F04D5C">
        <w:rPr>
          <w:rFonts w:ascii="Arial" w:hAnsi="Arial" w:cs="Arial"/>
          <w:sz w:val="24"/>
          <w:szCs w:val="24"/>
        </w:rPr>
        <w:t>clearing member</w:t>
      </w:r>
      <w:r w:rsidR="008A1203" w:rsidRPr="00F04D5C">
        <w:rPr>
          <w:rFonts w:ascii="Arial" w:hAnsi="Arial" w:cs="Arial"/>
          <w:sz w:val="24"/>
          <w:szCs w:val="24"/>
        </w:rPr>
        <w:t xml:space="preserve"> firm</w:t>
      </w:r>
      <w:r w:rsidR="00EE0A13" w:rsidRPr="00F04D5C">
        <w:rPr>
          <w:rFonts w:ascii="Arial" w:hAnsi="Arial" w:cs="Arial"/>
          <w:sz w:val="24"/>
          <w:szCs w:val="24"/>
        </w:rPr>
        <w:t xml:space="preserve"> o</w:t>
      </w:r>
      <w:r w:rsidR="00CB67D2" w:rsidRPr="00F04D5C">
        <w:rPr>
          <w:rFonts w:ascii="Arial" w:hAnsi="Arial" w:cs="Arial"/>
          <w:sz w:val="24"/>
          <w:szCs w:val="24"/>
        </w:rPr>
        <w:t>r a</w:t>
      </w:r>
      <w:r w:rsidR="00EE0A13" w:rsidRPr="00F04D5C">
        <w:rPr>
          <w:rFonts w:ascii="Arial" w:hAnsi="Arial" w:cs="Arial"/>
          <w:sz w:val="24"/>
          <w:szCs w:val="24"/>
        </w:rPr>
        <w:t xml:space="preserve"> CCP before</w:t>
      </w:r>
      <w:r w:rsidR="00C05A2D" w:rsidRPr="00F04D5C">
        <w:rPr>
          <w:rFonts w:ascii="Arial" w:hAnsi="Arial" w:cs="Arial"/>
          <w:sz w:val="24"/>
          <w:szCs w:val="24"/>
        </w:rPr>
        <w:t xml:space="preserve"> and would be deemed not to be independent.</w:t>
      </w:r>
    </w:p>
    <w:p w14:paraId="43072554" w14:textId="04B470B0"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_01&gt;</w:t>
      </w:r>
    </w:p>
    <w:p w14:paraId="042FD42C" w14:textId="1E2880F0" w:rsidR="002427D5" w:rsidRPr="00F04D5C" w:rsidRDefault="002427D5" w:rsidP="002427D5">
      <w:pPr>
        <w:rPr>
          <w:rFonts w:ascii="Arial" w:hAnsi="Arial" w:cs="Arial"/>
          <w:b/>
          <w:sz w:val="24"/>
          <w:szCs w:val="24"/>
        </w:rPr>
      </w:pPr>
    </w:p>
    <w:p w14:paraId="02A11CA7" w14:textId="77777777" w:rsidR="003311DE" w:rsidRPr="00F04D5C" w:rsidRDefault="002427D5" w:rsidP="001E4E74">
      <w:pPr>
        <w:pStyle w:val="Questionstyle"/>
      </w:pPr>
      <w:r w:rsidRPr="00F04D5C">
        <w:t xml:space="preserve">: </w:t>
      </w:r>
      <w:r w:rsidR="003311DE" w:rsidRPr="00F04D5C">
        <w:t xml:space="preserve">Do you agree with the proposed definitions for the relevant entity, relevant authority and independent valuer? </w:t>
      </w:r>
    </w:p>
    <w:p w14:paraId="39EB53F5" w14:textId="79D4D5A8" w:rsidR="002427D5" w:rsidRPr="00F04D5C" w:rsidRDefault="002427D5" w:rsidP="001E4E74">
      <w:pPr>
        <w:pStyle w:val="Questionstyle"/>
        <w:numPr>
          <w:ilvl w:val="0"/>
          <w:numId w:val="0"/>
        </w:numPr>
        <w:ind w:left="709"/>
      </w:pPr>
    </w:p>
    <w:p w14:paraId="1400ABC8" w14:textId="3FA47259"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_02&gt;</w:t>
      </w:r>
    </w:p>
    <w:p w14:paraId="7DDC9344" w14:textId="2EDDCD02" w:rsidR="00EC0285" w:rsidRPr="00F04D5C" w:rsidRDefault="00EC0285" w:rsidP="002427D5">
      <w:pPr>
        <w:rPr>
          <w:rFonts w:ascii="Arial" w:hAnsi="Arial" w:cs="Arial"/>
          <w:sz w:val="24"/>
          <w:szCs w:val="24"/>
        </w:rPr>
      </w:pPr>
      <w:r w:rsidRPr="00F04D5C">
        <w:rPr>
          <w:rFonts w:ascii="Arial" w:hAnsi="Arial" w:cs="Arial"/>
          <w:sz w:val="24"/>
          <w:szCs w:val="24"/>
        </w:rPr>
        <w:t xml:space="preserve">We believe that all definitions on their own are </w:t>
      </w:r>
      <w:r w:rsidR="00D221B4" w:rsidRPr="00F04D5C">
        <w:rPr>
          <w:rFonts w:ascii="Arial" w:hAnsi="Arial" w:cs="Arial"/>
          <w:sz w:val="24"/>
          <w:szCs w:val="24"/>
        </w:rPr>
        <w:t>suitable and</w:t>
      </w:r>
      <w:r w:rsidR="0053514E" w:rsidRPr="00F04D5C">
        <w:rPr>
          <w:rFonts w:ascii="Arial" w:hAnsi="Arial" w:cs="Arial"/>
          <w:sz w:val="24"/>
          <w:szCs w:val="24"/>
        </w:rPr>
        <w:t xml:space="preserve"> </w:t>
      </w:r>
      <w:r w:rsidRPr="00F04D5C">
        <w:rPr>
          <w:rFonts w:ascii="Arial" w:hAnsi="Arial" w:cs="Arial"/>
          <w:sz w:val="24"/>
          <w:szCs w:val="24"/>
        </w:rPr>
        <w:t>sensible.</w:t>
      </w:r>
      <w:r w:rsidR="007C0008" w:rsidRPr="00F04D5C">
        <w:rPr>
          <w:rFonts w:ascii="Arial" w:hAnsi="Arial" w:cs="Arial"/>
          <w:sz w:val="24"/>
          <w:szCs w:val="24"/>
        </w:rPr>
        <w:t xml:space="preserve"> </w:t>
      </w:r>
      <w:r w:rsidR="008A1203" w:rsidRPr="00F04D5C">
        <w:rPr>
          <w:rFonts w:ascii="Arial" w:hAnsi="Arial" w:cs="Arial"/>
          <w:sz w:val="24"/>
          <w:szCs w:val="24"/>
        </w:rPr>
        <w:t>H</w:t>
      </w:r>
      <w:r w:rsidR="007C0008" w:rsidRPr="00F04D5C">
        <w:rPr>
          <w:rFonts w:ascii="Arial" w:hAnsi="Arial" w:cs="Arial"/>
          <w:sz w:val="24"/>
          <w:szCs w:val="24"/>
        </w:rPr>
        <w:t>owever</w:t>
      </w:r>
      <w:r w:rsidR="008A1203" w:rsidRPr="00F04D5C">
        <w:rPr>
          <w:rFonts w:ascii="Arial" w:hAnsi="Arial" w:cs="Arial"/>
          <w:sz w:val="24"/>
          <w:szCs w:val="24"/>
        </w:rPr>
        <w:t>, we</w:t>
      </w:r>
      <w:r w:rsidR="007C0008" w:rsidRPr="00F04D5C">
        <w:rPr>
          <w:rFonts w:ascii="Arial" w:hAnsi="Arial" w:cs="Arial"/>
          <w:sz w:val="24"/>
          <w:szCs w:val="24"/>
        </w:rPr>
        <w:t xml:space="preserve"> </w:t>
      </w:r>
      <w:r w:rsidR="00B505CF" w:rsidRPr="00F04D5C">
        <w:rPr>
          <w:rFonts w:ascii="Arial" w:hAnsi="Arial" w:cs="Arial"/>
          <w:sz w:val="24"/>
          <w:szCs w:val="24"/>
        </w:rPr>
        <w:t>have concerns</w:t>
      </w:r>
      <w:r w:rsidR="007C0008" w:rsidRPr="00F04D5C">
        <w:rPr>
          <w:rFonts w:ascii="Arial" w:hAnsi="Arial" w:cs="Arial"/>
          <w:sz w:val="24"/>
          <w:szCs w:val="24"/>
        </w:rPr>
        <w:t xml:space="preserve"> with the definition of </w:t>
      </w:r>
      <w:r w:rsidR="00786BC7" w:rsidRPr="00F04D5C">
        <w:rPr>
          <w:rFonts w:ascii="Arial" w:hAnsi="Arial" w:cs="Arial"/>
          <w:sz w:val="24"/>
          <w:szCs w:val="24"/>
        </w:rPr>
        <w:t xml:space="preserve">a </w:t>
      </w:r>
      <w:r w:rsidR="007C0008" w:rsidRPr="00F04D5C">
        <w:rPr>
          <w:rFonts w:ascii="Arial" w:hAnsi="Arial" w:cs="Arial"/>
          <w:sz w:val="24"/>
          <w:szCs w:val="24"/>
        </w:rPr>
        <w:t>“</w:t>
      </w:r>
      <w:r w:rsidR="007C0008" w:rsidRPr="00F04D5C">
        <w:rPr>
          <w:rFonts w:ascii="Arial" w:hAnsi="Arial" w:cs="Arial"/>
          <w:i/>
          <w:iCs/>
          <w:sz w:val="24"/>
          <w:szCs w:val="24"/>
        </w:rPr>
        <w:t>relevant entity</w:t>
      </w:r>
      <w:r w:rsidR="007C0008" w:rsidRPr="00F04D5C">
        <w:rPr>
          <w:rFonts w:ascii="Arial" w:hAnsi="Arial" w:cs="Arial"/>
          <w:sz w:val="24"/>
          <w:szCs w:val="24"/>
        </w:rPr>
        <w:t>”.</w:t>
      </w:r>
    </w:p>
    <w:p w14:paraId="3AAD18BB" w14:textId="7124654E" w:rsidR="007C0008" w:rsidRPr="00F04D5C" w:rsidRDefault="007C0008" w:rsidP="002427D5">
      <w:pPr>
        <w:rPr>
          <w:rFonts w:ascii="Arial" w:hAnsi="Arial" w:cs="Arial"/>
          <w:sz w:val="24"/>
          <w:szCs w:val="24"/>
        </w:rPr>
      </w:pPr>
      <w:r w:rsidRPr="00F04D5C">
        <w:rPr>
          <w:rFonts w:ascii="Arial" w:hAnsi="Arial" w:cs="Arial"/>
          <w:sz w:val="24"/>
          <w:szCs w:val="24"/>
        </w:rPr>
        <w:t xml:space="preserve">While </w:t>
      </w:r>
      <w:r w:rsidR="005F0B0D" w:rsidRPr="00F04D5C">
        <w:rPr>
          <w:rFonts w:ascii="Arial" w:hAnsi="Arial" w:cs="Arial"/>
          <w:sz w:val="24"/>
          <w:szCs w:val="24"/>
        </w:rPr>
        <w:t xml:space="preserve">we agree that </w:t>
      </w:r>
      <w:r w:rsidR="0046495B" w:rsidRPr="00F04D5C">
        <w:rPr>
          <w:rFonts w:ascii="Arial" w:hAnsi="Arial" w:cs="Arial"/>
          <w:sz w:val="24"/>
          <w:szCs w:val="24"/>
        </w:rPr>
        <w:t xml:space="preserve">the valuer should not only be independent </w:t>
      </w:r>
      <w:r w:rsidR="00786BC7" w:rsidRPr="00F04D5C">
        <w:rPr>
          <w:rFonts w:ascii="Arial" w:hAnsi="Arial" w:cs="Arial"/>
          <w:sz w:val="24"/>
          <w:szCs w:val="24"/>
        </w:rPr>
        <w:t>from</w:t>
      </w:r>
      <w:r w:rsidR="0046495B" w:rsidRPr="00F04D5C">
        <w:rPr>
          <w:rFonts w:ascii="Arial" w:hAnsi="Arial" w:cs="Arial"/>
          <w:sz w:val="24"/>
          <w:szCs w:val="24"/>
        </w:rPr>
        <w:t xml:space="preserve"> the CCP itself, but also from clearing members and clients</w:t>
      </w:r>
      <w:r w:rsidR="00540041" w:rsidRPr="00F04D5C">
        <w:rPr>
          <w:rFonts w:ascii="Arial" w:hAnsi="Arial" w:cs="Arial"/>
          <w:sz w:val="24"/>
          <w:szCs w:val="24"/>
        </w:rPr>
        <w:t xml:space="preserve"> will mean that the valuer needs to be independent</w:t>
      </w:r>
      <w:r w:rsidR="00B35B4A" w:rsidRPr="00F04D5C">
        <w:rPr>
          <w:rFonts w:ascii="Arial" w:hAnsi="Arial" w:cs="Arial"/>
          <w:sz w:val="24"/>
          <w:szCs w:val="24"/>
        </w:rPr>
        <w:t xml:space="preserve"> </w:t>
      </w:r>
      <w:r w:rsidR="0070682B" w:rsidRPr="00F04D5C">
        <w:rPr>
          <w:rFonts w:ascii="Arial" w:hAnsi="Arial" w:cs="Arial"/>
          <w:sz w:val="24"/>
          <w:szCs w:val="24"/>
        </w:rPr>
        <w:t>from</w:t>
      </w:r>
      <w:r w:rsidR="00540041" w:rsidRPr="00F04D5C">
        <w:rPr>
          <w:rFonts w:ascii="Arial" w:hAnsi="Arial" w:cs="Arial"/>
          <w:sz w:val="24"/>
          <w:szCs w:val="24"/>
        </w:rPr>
        <w:t xml:space="preserve"> </w:t>
      </w:r>
      <w:r w:rsidR="00E861AD" w:rsidRPr="00F04D5C">
        <w:rPr>
          <w:rFonts w:ascii="Arial" w:hAnsi="Arial" w:cs="Arial"/>
          <w:sz w:val="24"/>
          <w:szCs w:val="24"/>
        </w:rPr>
        <w:t xml:space="preserve">the whole marketplace served by </w:t>
      </w:r>
      <w:r w:rsidR="00381BFC" w:rsidRPr="00F04D5C">
        <w:rPr>
          <w:rFonts w:ascii="Arial" w:hAnsi="Arial" w:cs="Arial"/>
          <w:sz w:val="24"/>
          <w:szCs w:val="24"/>
        </w:rPr>
        <w:t>the</w:t>
      </w:r>
      <w:r w:rsidR="00E861AD" w:rsidRPr="00F04D5C">
        <w:rPr>
          <w:rFonts w:ascii="Arial" w:hAnsi="Arial" w:cs="Arial"/>
          <w:sz w:val="24"/>
          <w:szCs w:val="24"/>
        </w:rPr>
        <w:t xml:space="preserve"> CCP. </w:t>
      </w:r>
      <w:r w:rsidR="00BA008A" w:rsidRPr="00F04D5C">
        <w:rPr>
          <w:rFonts w:ascii="Arial" w:hAnsi="Arial" w:cs="Arial"/>
          <w:sz w:val="24"/>
          <w:szCs w:val="24"/>
        </w:rPr>
        <w:t>Any potential valuer who is experience</w:t>
      </w:r>
      <w:r w:rsidR="0048227B" w:rsidRPr="00F04D5C">
        <w:rPr>
          <w:rFonts w:ascii="Arial" w:hAnsi="Arial" w:cs="Arial"/>
          <w:sz w:val="24"/>
          <w:szCs w:val="24"/>
        </w:rPr>
        <w:t>d</w:t>
      </w:r>
      <w:r w:rsidR="00BA008A" w:rsidRPr="00F04D5C">
        <w:rPr>
          <w:rFonts w:ascii="Arial" w:hAnsi="Arial" w:cs="Arial"/>
          <w:sz w:val="24"/>
          <w:szCs w:val="24"/>
        </w:rPr>
        <w:t xml:space="preserve"> with cleared exposures </w:t>
      </w:r>
      <w:r w:rsidR="00D05890" w:rsidRPr="00F04D5C">
        <w:rPr>
          <w:rFonts w:ascii="Arial" w:hAnsi="Arial" w:cs="Arial"/>
          <w:sz w:val="24"/>
          <w:szCs w:val="24"/>
        </w:rPr>
        <w:t xml:space="preserve">may </w:t>
      </w:r>
      <w:r w:rsidR="00BA008A" w:rsidRPr="00F04D5C">
        <w:rPr>
          <w:rFonts w:ascii="Arial" w:hAnsi="Arial" w:cs="Arial"/>
          <w:sz w:val="24"/>
          <w:szCs w:val="24"/>
        </w:rPr>
        <w:t xml:space="preserve">have </w:t>
      </w:r>
      <w:r w:rsidR="000F531E" w:rsidRPr="00F04D5C">
        <w:rPr>
          <w:rFonts w:ascii="Arial" w:hAnsi="Arial" w:cs="Arial"/>
          <w:sz w:val="24"/>
          <w:szCs w:val="24"/>
        </w:rPr>
        <w:t xml:space="preserve">undertaken </w:t>
      </w:r>
      <w:r w:rsidR="00BA008A" w:rsidRPr="00F04D5C">
        <w:rPr>
          <w:rFonts w:ascii="Arial" w:hAnsi="Arial" w:cs="Arial"/>
          <w:sz w:val="24"/>
          <w:szCs w:val="24"/>
        </w:rPr>
        <w:t xml:space="preserve">an </w:t>
      </w:r>
      <w:r w:rsidR="00381BFC" w:rsidRPr="00F04D5C">
        <w:rPr>
          <w:rFonts w:ascii="Arial" w:hAnsi="Arial" w:cs="Arial"/>
          <w:sz w:val="24"/>
          <w:szCs w:val="24"/>
        </w:rPr>
        <w:t>audit</w:t>
      </w:r>
      <w:r w:rsidR="00BA008A" w:rsidRPr="00F04D5C">
        <w:rPr>
          <w:rFonts w:ascii="Arial" w:hAnsi="Arial" w:cs="Arial"/>
          <w:sz w:val="24"/>
          <w:szCs w:val="24"/>
        </w:rPr>
        <w:t xml:space="preserve"> or other work for at least one of them</w:t>
      </w:r>
      <w:r w:rsidR="009D4DE6" w:rsidRPr="00F04D5C">
        <w:rPr>
          <w:rFonts w:ascii="Arial" w:hAnsi="Arial" w:cs="Arial"/>
          <w:sz w:val="24"/>
          <w:szCs w:val="24"/>
        </w:rPr>
        <w:t xml:space="preserve"> in the preceding year</w:t>
      </w:r>
      <w:r w:rsidR="00BA008A" w:rsidRPr="00F04D5C">
        <w:rPr>
          <w:rFonts w:ascii="Arial" w:hAnsi="Arial" w:cs="Arial"/>
          <w:sz w:val="24"/>
          <w:szCs w:val="24"/>
        </w:rPr>
        <w:t xml:space="preserve">. </w:t>
      </w:r>
      <w:r w:rsidR="00E861AD" w:rsidRPr="00F04D5C">
        <w:rPr>
          <w:rFonts w:ascii="Arial" w:hAnsi="Arial" w:cs="Arial"/>
          <w:sz w:val="24"/>
          <w:szCs w:val="24"/>
        </w:rPr>
        <w:t>For regional CCPs</w:t>
      </w:r>
      <w:r w:rsidR="00D85CB7" w:rsidRPr="00F04D5C">
        <w:rPr>
          <w:rFonts w:ascii="Arial" w:hAnsi="Arial" w:cs="Arial"/>
          <w:sz w:val="24"/>
          <w:szCs w:val="24"/>
        </w:rPr>
        <w:t xml:space="preserve">, the RA could </w:t>
      </w:r>
      <w:r w:rsidR="00122994" w:rsidRPr="00F04D5C">
        <w:rPr>
          <w:rFonts w:ascii="Arial" w:hAnsi="Arial" w:cs="Arial"/>
          <w:sz w:val="24"/>
          <w:szCs w:val="24"/>
        </w:rPr>
        <w:t xml:space="preserve">utilise </w:t>
      </w:r>
      <w:r w:rsidR="00CB5E4E" w:rsidRPr="00F04D5C">
        <w:rPr>
          <w:rFonts w:ascii="Arial" w:hAnsi="Arial" w:cs="Arial"/>
          <w:sz w:val="24"/>
          <w:szCs w:val="24"/>
        </w:rPr>
        <w:t>valuers from other jurisdictions</w:t>
      </w:r>
      <w:r w:rsidR="009D4DE6" w:rsidRPr="00F04D5C">
        <w:rPr>
          <w:rFonts w:ascii="Arial" w:hAnsi="Arial" w:cs="Arial"/>
          <w:sz w:val="24"/>
          <w:szCs w:val="24"/>
        </w:rPr>
        <w:t xml:space="preserve">, although paragraph 53 makes this challenging as the firm the valuer </w:t>
      </w:r>
      <w:r w:rsidR="009912EF" w:rsidRPr="00F04D5C">
        <w:rPr>
          <w:rFonts w:ascii="Arial" w:hAnsi="Arial" w:cs="Arial"/>
          <w:sz w:val="24"/>
          <w:szCs w:val="24"/>
        </w:rPr>
        <w:t>has had a close relationship</w:t>
      </w:r>
      <w:r w:rsidR="00B35B4A" w:rsidRPr="00F04D5C">
        <w:rPr>
          <w:rFonts w:ascii="Arial" w:hAnsi="Arial" w:cs="Arial"/>
          <w:sz w:val="24"/>
          <w:szCs w:val="24"/>
        </w:rPr>
        <w:t xml:space="preserve"> with</w:t>
      </w:r>
      <w:r w:rsidR="009D4DE6" w:rsidRPr="00F04D5C">
        <w:rPr>
          <w:rFonts w:ascii="Arial" w:hAnsi="Arial" w:cs="Arial"/>
          <w:sz w:val="24"/>
          <w:szCs w:val="24"/>
        </w:rPr>
        <w:t xml:space="preserve"> </w:t>
      </w:r>
      <w:r w:rsidR="00107A98" w:rsidRPr="00F04D5C">
        <w:rPr>
          <w:rFonts w:ascii="Arial" w:hAnsi="Arial" w:cs="Arial"/>
          <w:sz w:val="24"/>
          <w:szCs w:val="24"/>
        </w:rPr>
        <w:t xml:space="preserve">is likely </w:t>
      </w:r>
      <w:r w:rsidR="009D4DE6" w:rsidRPr="00F04D5C">
        <w:rPr>
          <w:rFonts w:ascii="Arial" w:hAnsi="Arial" w:cs="Arial"/>
          <w:sz w:val="24"/>
          <w:szCs w:val="24"/>
        </w:rPr>
        <w:t>to have an audit relationship with other CCPs</w:t>
      </w:r>
      <w:r w:rsidR="00CB5E4E" w:rsidRPr="00F04D5C">
        <w:rPr>
          <w:rFonts w:ascii="Arial" w:hAnsi="Arial" w:cs="Arial"/>
          <w:sz w:val="24"/>
          <w:szCs w:val="24"/>
        </w:rPr>
        <w:t>. For regional or global CCPs</w:t>
      </w:r>
      <w:r w:rsidR="004C355B" w:rsidRPr="00F04D5C">
        <w:rPr>
          <w:rFonts w:ascii="Arial" w:hAnsi="Arial" w:cs="Arial"/>
          <w:sz w:val="24"/>
          <w:szCs w:val="24"/>
        </w:rPr>
        <w:t xml:space="preserve">, utilising valuers from other jurisdictions </w:t>
      </w:r>
      <w:r w:rsidR="00CB5E4E" w:rsidRPr="00F04D5C">
        <w:rPr>
          <w:rFonts w:ascii="Arial" w:hAnsi="Arial" w:cs="Arial"/>
          <w:sz w:val="24"/>
          <w:szCs w:val="24"/>
        </w:rPr>
        <w:t>will be very difficult.</w:t>
      </w:r>
    </w:p>
    <w:p w14:paraId="00BCB79F" w14:textId="42847185" w:rsidR="0048227B" w:rsidRPr="00F04D5C" w:rsidRDefault="009B144A" w:rsidP="002427D5">
      <w:pPr>
        <w:rPr>
          <w:rFonts w:ascii="Arial" w:hAnsi="Arial" w:cs="Arial"/>
          <w:sz w:val="24"/>
          <w:szCs w:val="24"/>
        </w:rPr>
      </w:pPr>
      <w:r w:rsidRPr="00F04D5C">
        <w:rPr>
          <w:rFonts w:ascii="Arial" w:hAnsi="Arial" w:cs="Arial"/>
          <w:sz w:val="24"/>
          <w:szCs w:val="24"/>
        </w:rPr>
        <w:t xml:space="preserve">We generally agree with ESMA’s approach </w:t>
      </w:r>
      <w:r w:rsidR="0053514E" w:rsidRPr="00F04D5C">
        <w:rPr>
          <w:rFonts w:ascii="Arial" w:hAnsi="Arial" w:cs="Arial"/>
          <w:sz w:val="24"/>
          <w:szCs w:val="24"/>
        </w:rPr>
        <w:t xml:space="preserve">of </w:t>
      </w:r>
      <w:r w:rsidR="00AE3B4E" w:rsidRPr="00F04D5C">
        <w:rPr>
          <w:rFonts w:ascii="Arial" w:hAnsi="Arial" w:cs="Arial"/>
          <w:sz w:val="24"/>
          <w:szCs w:val="24"/>
        </w:rPr>
        <w:t xml:space="preserve">defining independent </w:t>
      </w:r>
      <w:r w:rsidR="00881DF2" w:rsidRPr="00F04D5C">
        <w:rPr>
          <w:rFonts w:ascii="Arial" w:hAnsi="Arial" w:cs="Arial"/>
          <w:sz w:val="24"/>
          <w:szCs w:val="24"/>
        </w:rPr>
        <w:t>valuers and</w:t>
      </w:r>
      <w:r w:rsidR="00AE3B4E" w:rsidRPr="00F04D5C">
        <w:rPr>
          <w:rFonts w:ascii="Arial" w:hAnsi="Arial" w:cs="Arial"/>
          <w:sz w:val="24"/>
          <w:szCs w:val="24"/>
        </w:rPr>
        <w:t xml:space="preserve"> </w:t>
      </w:r>
      <w:r w:rsidR="00FA3E98" w:rsidRPr="00F04D5C">
        <w:rPr>
          <w:rFonts w:ascii="Arial" w:hAnsi="Arial" w:cs="Arial"/>
          <w:sz w:val="24"/>
          <w:szCs w:val="24"/>
        </w:rPr>
        <w:t>acknowledge</w:t>
      </w:r>
      <w:r w:rsidR="00AE3B4E" w:rsidRPr="00F04D5C">
        <w:rPr>
          <w:rFonts w:ascii="Arial" w:hAnsi="Arial" w:cs="Arial"/>
          <w:sz w:val="24"/>
          <w:szCs w:val="24"/>
        </w:rPr>
        <w:t xml:space="preserve"> that it will be </w:t>
      </w:r>
      <w:r w:rsidR="00FA3E98" w:rsidRPr="00F04D5C">
        <w:rPr>
          <w:rFonts w:ascii="Arial" w:hAnsi="Arial" w:cs="Arial"/>
          <w:sz w:val="24"/>
          <w:szCs w:val="24"/>
        </w:rPr>
        <w:t>difficult</w:t>
      </w:r>
      <w:r w:rsidR="00AE3B4E" w:rsidRPr="00F04D5C">
        <w:rPr>
          <w:rFonts w:ascii="Arial" w:hAnsi="Arial" w:cs="Arial"/>
          <w:sz w:val="24"/>
          <w:szCs w:val="24"/>
        </w:rPr>
        <w:t xml:space="preserve"> to have a sufficient pool of </w:t>
      </w:r>
      <w:r w:rsidR="00F70550" w:rsidRPr="00F04D5C">
        <w:rPr>
          <w:rFonts w:ascii="Arial" w:hAnsi="Arial" w:cs="Arial"/>
          <w:sz w:val="24"/>
          <w:szCs w:val="24"/>
        </w:rPr>
        <w:t xml:space="preserve">potential valuers while </w:t>
      </w:r>
      <w:r w:rsidR="00107A98" w:rsidRPr="00F04D5C">
        <w:rPr>
          <w:rFonts w:ascii="Arial" w:hAnsi="Arial" w:cs="Arial"/>
          <w:sz w:val="24"/>
          <w:szCs w:val="24"/>
        </w:rPr>
        <w:t xml:space="preserve">at the same time </w:t>
      </w:r>
      <w:r w:rsidR="00F70550" w:rsidRPr="00F04D5C">
        <w:rPr>
          <w:rFonts w:ascii="Arial" w:hAnsi="Arial" w:cs="Arial"/>
          <w:sz w:val="24"/>
          <w:szCs w:val="24"/>
        </w:rPr>
        <w:t xml:space="preserve">ensuring independence. </w:t>
      </w:r>
      <w:r w:rsidR="00DA2C50" w:rsidRPr="00F04D5C">
        <w:rPr>
          <w:rFonts w:ascii="Arial" w:hAnsi="Arial" w:cs="Arial"/>
          <w:sz w:val="24"/>
          <w:szCs w:val="24"/>
        </w:rPr>
        <w:t>T</w:t>
      </w:r>
      <w:r w:rsidR="00873919" w:rsidRPr="00F04D5C">
        <w:rPr>
          <w:rFonts w:ascii="Arial" w:hAnsi="Arial" w:cs="Arial"/>
          <w:sz w:val="24"/>
          <w:szCs w:val="24"/>
        </w:rPr>
        <w:t xml:space="preserve">he pool of available valuers could be </w:t>
      </w:r>
      <w:r w:rsidR="00DA2C50" w:rsidRPr="00F04D5C">
        <w:rPr>
          <w:rFonts w:ascii="Arial" w:hAnsi="Arial" w:cs="Arial"/>
          <w:sz w:val="24"/>
          <w:szCs w:val="24"/>
        </w:rPr>
        <w:t xml:space="preserve">potentially </w:t>
      </w:r>
      <w:r w:rsidR="00873919" w:rsidRPr="00F04D5C">
        <w:rPr>
          <w:rFonts w:ascii="Arial" w:hAnsi="Arial" w:cs="Arial"/>
          <w:sz w:val="24"/>
          <w:szCs w:val="24"/>
        </w:rPr>
        <w:t>widened if some size thresholds were to be applied</w:t>
      </w:r>
      <w:r w:rsidR="00FA3E98" w:rsidRPr="00F04D5C">
        <w:rPr>
          <w:rFonts w:ascii="Arial" w:hAnsi="Arial" w:cs="Arial"/>
          <w:sz w:val="24"/>
          <w:szCs w:val="24"/>
        </w:rPr>
        <w:t>, i.e. a</w:t>
      </w:r>
      <w:r w:rsidR="00873919" w:rsidRPr="00F04D5C">
        <w:rPr>
          <w:rFonts w:ascii="Arial" w:hAnsi="Arial" w:cs="Arial"/>
          <w:sz w:val="24"/>
          <w:szCs w:val="24"/>
        </w:rPr>
        <w:t xml:space="preserve"> valuer might still be </w:t>
      </w:r>
      <w:r w:rsidR="00FA3E98" w:rsidRPr="00F04D5C">
        <w:rPr>
          <w:rFonts w:ascii="Arial" w:hAnsi="Arial" w:cs="Arial"/>
          <w:sz w:val="24"/>
          <w:szCs w:val="24"/>
        </w:rPr>
        <w:t xml:space="preserve">deemed </w:t>
      </w:r>
      <w:r w:rsidR="00873919" w:rsidRPr="00F04D5C">
        <w:rPr>
          <w:rFonts w:ascii="Arial" w:hAnsi="Arial" w:cs="Arial"/>
          <w:sz w:val="24"/>
          <w:szCs w:val="24"/>
        </w:rPr>
        <w:t xml:space="preserve">independent if </w:t>
      </w:r>
      <w:r w:rsidR="002A16DF" w:rsidRPr="00F04D5C">
        <w:rPr>
          <w:rFonts w:ascii="Arial" w:hAnsi="Arial" w:cs="Arial"/>
          <w:sz w:val="24"/>
          <w:szCs w:val="24"/>
        </w:rPr>
        <w:t>he</w:t>
      </w:r>
      <w:r w:rsidR="004B4C71" w:rsidRPr="00F04D5C">
        <w:rPr>
          <w:rFonts w:ascii="Arial" w:hAnsi="Arial" w:cs="Arial"/>
          <w:sz w:val="24"/>
          <w:szCs w:val="24"/>
        </w:rPr>
        <w:t>/</w:t>
      </w:r>
      <w:r w:rsidR="002A16DF" w:rsidRPr="00F04D5C">
        <w:rPr>
          <w:rFonts w:ascii="Arial" w:hAnsi="Arial" w:cs="Arial"/>
          <w:sz w:val="24"/>
          <w:szCs w:val="24"/>
        </w:rPr>
        <w:t xml:space="preserve">she audited a </w:t>
      </w:r>
      <w:r w:rsidR="00B96928" w:rsidRPr="00F04D5C">
        <w:rPr>
          <w:rFonts w:ascii="Arial" w:hAnsi="Arial" w:cs="Arial"/>
          <w:sz w:val="24"/>
          <w:szCs w:val="24"/>
        </w:rPr>
        <w:t>clearing member</w:t>
      </w:r>
      <w:r w:rsidR="002A16DF" w:rsidRPr="00F04D5C">
        <w:rPr>
          <w:rFonts w:ascii="Arial" w:hAnsi="Arial" w:cs="Arial"/>
          <w:sz w:val="24"/>
          <w:szCs w:val="24"/>
        </w:rPr>
        <w:t xml:space="preserve"> that fits under a threshold in terms of initial margin. </w:t>
      </w:r>
      <w:r w:rsidR="00B2446A" w:rsidRPr="00F04D5C">
        <w:rPr>
          <w:rFonts w:ascii="Arial" w:hAnsi="Arial" w:cs="Arial"/>
          <w:sz w:val="24"/>
          <w:szCs w:val="24"/>
        </w:rPr>
        <w:t xml:space="preserve">Another option would be to shorten the </w:t>
      </w:r>
      <w:r w:rsidR="003A694C" w:rsidRPr="00F04D5C">
        <w:rPr>
          <w:rFonts w:ascii="Arial" w:hAnsi="Arial" w:cs="Arial"/>
          <w:sz w:val="24"/>
          <w:szCs w:val="24"/>
        </w:rPr>
        <w:t xml:space="preserve">applicable </w:t>
      </w:r>
      <w:r w:rsidR="00B2446A" w:rsidRPr="00F04D5C">
        <w:rPr>
          <w:rFonts w:ascii="Arial" w:hAnsi="Arial" w:cs="Arial"/>
          <w:sz w:val="24"/>
          <w:szCs w:val="24"/>
        </w:rPr>
        <w:lastRenderedPageBreak/>
        <w:t xml:space="preserve">time frame within </w:t>
      </w:r>
      <w:r w:rsidR="009C2510" w:rsidRPr="00F04D5C">
        <w:rPr>
          <w:rFonts w:ascii="Arial" w:hAnsi="Arial" w:cs="Arial"/>
          <w:sz w:val="24"/>
          <w:szCs w:val="24"/>
        </w:rPr>
        <w:t>which a</w:t>
      </w:r>
      <w:r w:rsidR="00B2446A" w:rsidRPr="00F04D5C">
        <w:rPr>
          <w:rFonts w:ascii="Arial" w:hAnsi="Arial" w:cs="Arial"/>
          <w:sz w:val="24"/>
          <w:szCs w:val="24"/>
        </w:rPr>
        <w:t xml:space="preserve"> valuer is not </w:t>
      </w:r>
      <w:r w:rsidR="003A694C" w:rsidRPr="00F04D5C">
        <w:rPr>
          <w:rFonts w:ascii="Arial" w:hAnsi="Arial" w:cs="Arial"/>
          <w:sz w:val="24"/>
          <w:szCs w:val="24"/>
        </w:rPr>
        <w:t>permitted</w:t>
      </w:r>
      <w:r w:rsidR="00B2446A" w:rsidRPr="00F04D5C">
        <w:rPr>
          <w:rFonts w:ascii="Arial" w:hAnsi="Arial" w:cs="Arial"/>
          <w:sz w:val="24"/>
          <w:szCs w:val="24"/>
        </w:rPr>
        <w:t xml:space="preserve"> to perform audits or provide consulting services. </w:t>
      </w:r>
    </w:p>
    <w:p w14:paraId="79CD0CE8" w14:textId="4E31361D" w:rsidR="0048227B" w:rsidRPr="00F04D5C" w:rsidRDefault="0048227B" w:rsidP="002427D5">
      <w:pPr>
        <w:rPr>
          <w:rFonts w:ascii="Arial" w:hAnsi="Arial" w:cs="Arial"/>
          <w:sz w:val="24"/>
          <w:szCs w:val="24"/>
        </w:rPr>
      </w:pPr>
      <w:r w:rsidRPr="00F04D5C">
        <w:rPr>
          <w:rFonts w:ascii="Arial" w:hAnsi="Arial" w:cs="Arial"/>
          <w:sz w:val="24"/>
          <w:szCs w:val="24"/>
        </w:rPr>
        <w:t xml:space="preserve">In addition, </w:t>
      </w:r>
      <w:r w:rsidR="005F5C04" w:rsidRPr="00F04D5C">
        <w:rPr>
          <w:rFonts w:ascii="Arial" w:hAnsi="Arial" w:cs="Arial"/>
          <w:sz w:val="24"/>
          <w:szCs w:val="24"/>
        </w:rPr>
        <w:t xml:space="preserve">paragraph </w:t>
      </w:r>
      <w:r w:rsidRPr="00F04D5C">
        <w:rPr>
          <w:rFonts w:ascii="Arial" w:hAnsi="Arial" w:cs="Arial"/>
          <w:sz w:val="24"/>
          <w:szCs w:val="24"/>
        </w:rPr>
        <w:t xml:space="preserve">28 </w:t>
      </w:r>
      <w:r w:rsidR="005F5C04" w:rsidRPr="00F04D5C">
        <w:rPr>
          <w:rFonts w:ascii="Arial" w:hAnsi="Arial" w:cs="Arial"/>
          <w:sz w:val="24"/>
          <w:szCs w:val="24"/>
        </w:rPr>
        <w:t>s</w:t>
      </w:r>
      <w:r w:rsidRPr="00F04D5C">
        <w:rPr>
          <w:rFonts w:ascii="Arial" w:hAnsi="Arial" w:cs="Arial"/>
          <w:sz w:val="24"/>
          <w:szCs w:val="24"/>
        </w:rPr>
        <w:t>tates that “</w:t>
      </w:r>
      <w:r w:rsidRPr="00F04D5C">
        <w:rPr>
          <w:rFonts w:ascii="Arial" w:hAnsi="Arial" w:cs="Arial"/>
          <w:i/>
          <w:iCs/>
          <w:sz w:val="24"/>
          <w:szCs w:val="24"/>
        </w:rPr>
        <w:t>the persons concerned have the qualifications, experience, ability, knowledge and resources to ensure that they can perform the valuation without depending on support from third parties</w:t>
      </w:r>
      <w:r w:rsidRPr="00F04D5C">
        <w:rPr>
          <w:rFonts w:ascii="Arial" w:hAnsi="Arial" w:cs="Arial"/>
          <w:sz w:val="24"/>
          <w:szCs w:val="24"/>
        </w:rPr>
        <w:t xml:space="preserve">”. We </w:t>
      </w:r>
      <w:r w:rsidR="004F12E9" w:rsidRPr="00F04D5C">
        <w:rPr>
          <w:rFonts w:ascii="Arial" w:hAnsi="Arial" w:cs="Arial"/>
          <w:sz w:val="24"/>
          <w:szCs w:val="24"/>
        </w:rPr>
        <w:t xml:space="preserve">recommend </w:t>
      </w:r>
      <w:r w:rsidR="00E37210" w:rsidRPr="00F04D5C">
        <w:rPr>
          <w:rFonts w:ascii="Arial" w:hAnsi="Arial" w:cs="Arial"/>
          <w:sz w:val="24"/>
          <w:szCs w:val="24"/>
        </w:rPr>
        <w:t>providing</w:t>
      </w:r>
      <w:r w:rsidR="004F12E9" w:rsidRPr="00F04D5C">
        <w:rPr>
          <w:rFonts w:ascii="Arial" w:hAnsi="Arial" w:cs="Arial"/>
          <w:sz w:val="24"/>
          <w:szCs w:val="24"/>
        </w:rPr>
        <w:t xml:space="preserve"> </w:t>
      </w:r>
      <w:r w:rsidR="003075FE" w:rsidRPr="00F04D5C">
        <w:rPr>
          <w:rFonts w:ascii="Arial" w:hAnsi="Arial" w:cs="Arial"/>
          <w:sz w:val="24"/>
          <w:szCs w:val="24"/>
        </w:rPr>
        <w:t>more clarity</w:t>
      </w:r>
      <w:r w:rsidRPr="00F04D5C">
        <w:rPr>
          <w:rFonts w:ascii="Arial" w:hAnsi="Arial" w:cs="Arial"/>
          <w:sz w:val="24"/>
          <w:szCs w:val="24"/>
        </w:rPr>
        <w:t xml:space="preserve"> </w:t>
      </w:r>
      <w:r w:rsidR="00CD749B" w:rsidRPr="00F04D5C">
        <w:rPr>
          <w:rFonts w:ascii="Arial" w:hAnsi="Arial" w:cs="Arial"/>
          <w:sz w:val="24"/>
          <w:szCs w:val="24"/>
        </w:rPr>
        <w:t>concerning</w:t>
      </w:r>
      <w:r w:rsidRPr="00F04D5C">
        <w:rPr>
          <w:rFonts w:ascii="Arial" w:hAnsi="Arial" w:cs="Arial"/>
          <w:sz w:val="24"/>
          <w:szCs w:val="24"/>
        </w:rPr>
        <w:t xml:space="preserve"> </w:t>
      </w:r>
      <w:r w:rsidR="00CD749B" w:rsidRPr="00F04D5C">
        <w:rPr>
          <w:rFonts w:ascii="Arial" w:hAnsi="Arial" w:cs="Arial"/>
          <w:sz w:val="24"/>
          <w:szCs w:val="24"/>
        </w:rPr>
        <w:t xml:space="preserve">the </w:t>
      </w:r>
      <w:r w:rsidRPr="00F04D5C">
        <w:rPr>
          <w:rFonts w:ascii="Arial" w:hAnsi="Arial" w:cs="Arial"/>
          <w:sz w:val="24"/>
          <w:szCs w:val="24"/>
        </w:rPr>
        <w:t>rel</w:t>
      </w:r>
      <w:r w:rsidR="00CD749B" w:rsidRPr="00F04D5C">
        <w:rPr>
          <w:rFonts w:ascii="Arial" w:hAnsi="Arial" w:cs="Arial"/>
          <w:sz w:val="24"/>
          <w:szCs w:val="24"/>
        </w:rPr>
        <w:t>iance</w:t>
      </w:r>
      <w:r w:rsidRPr="00F04D5C">
        <w:rPr>
          <w:rFonts w:ascii="Arial" w:hAnsi="Arial" w:cs="Arial"/>
          <w:sz w:val="24"/>
          <w:szCs w:val="24"/>
        </w:rPr>
        <w:t xml:space="preserve"> on market data supplied either i) directly</w:t>
      </w:r>
      <w:r w:rsidR="0031301E" w:rsidRPr="00F04D5C">
        <w:rPr>
          <w:rFonts w:ascii="Arial" w:hAnsi="Arial" w:cs="Arial"/>
          <w:sz w:val="24"/>
          <w:szCs w:val="24"/>
        </w:rPr>
        <w:t xml:space="preserve"> from clearing members</w:t>
      </w:r>
      <w:r w:rsidRPr="00F04D5C">
        <w:rPr>
          <w:rFonts w:ascii="Arial" w:hAnsi="Arial" w:cs="Arial"/>
          <w:sz w:val="24"/>
          <w:szCs w:val="24"/>
        </w:rPr>
        <w:t xml:space="preserve">, or ii) indirectly </w:t>
      </w:r>
      <w:r w:rsidR="0031301E" w:rsidRPr="00F04D5C">
        <w:rPr>
          <w:rFonts w:ascii="Arial" w:hAnsi="Arial" w:cs="Arial"/>
          <w:sz w:val="24"/>
          <w:szCs w:val="24"/>
        </w:rPr>
        <w:t xml:space="preserve">from clearing members </w:t>
      </w:r>
      <w:r w:rsidRPr="00F04D5C">
        <w:rPr>
          <w:rFonts w:ascii="Arial" w:hAnsi="Arial" w:cs="Arial"/>
          <w:sz w:val="24"/>
          <w:szCs w:val="24"/>
        </w:rPr>
        <w:t xml:space="preserve">via </w:t>
      </w:r>
      <w:r w:rsidR="0031301E" w:rsidRPr="00F04D5C">
        <w:rPr>
          <w:rFonts w:ascii="Arial" w:hAnsi="Arial" w:cs="Arial"/>
          <w:sz w:val="24"/>
          <w:szCs w:val="24"/>
        </w:rPr>
        <w:t xml:space="preserve">a third party/platform, </w:t>
      </w:r>
      <w:r w:rsidR="002022F7" w:rsidRPr="00F04D5C">
        <w:rPr>
          <w:rFonts w:ascii="Arial" w:hAnsi="Arial" w:cs="Arial"/>
          <w:sz w:val="24"/>
          <w:szCs w:val="24"/>
        </w:rPr>
        <w:t xml:space="preserve">and that both </w:t>
      </w:r>
      <w:r w:rsidR="0031301E" w:rsidRPr="00F04D5C">
        <w:rPr>
          <w:rFonts w:ascii="Arial" w:hAnsi="Arial" w:cs="Arial"/>
          <w:sz w:val="24"/>
          <w:szCs w:val="24"/>
        </w:rPr>
        <w:t>would be excluded from the scope of “</w:t>
      </w:r>
      <w:r w:rsidR="0031301E" w:rsidRPr="00F04D5C">
        <w:rPr>
          <w:rFonts w:ascii="Arial" w:hAnsi="Arial" w:cs="Arial"/>
          <w:i/>
          <w:iCs/>
          <w:sz w:val="24"/>
          <w:szCs w:val="24"/>
        </w:rPr>
        <w:t>support from third parties</w:t>
      </w:r>
      <w:r w:rsidR="00F46B75" w:rsidRPr="00F04D5C">
        <w:rPr>
          <w:rFonts w:ascii="Arial" w:hAnsi="Arial" w:cs="Arial"/>
          <w:i/>
          <w:iCs/>
          <w:sz w:val="24"/>
          <w:szCs w:val="24"/>
        </w:rPr>
        <w:t>.</w:t>
      </w:r>
      <w:r w:rsidR="00D33939" w:rsidRPr="00F04D5C">
        <w:rPr>
          <w:rFonts w:ascii="Arial" w:hAnsi="Arial" w:cs="Arial"/>
          <w:i/>
          <w:iCs/>
          <w:sz w:val="24"/>
          <w:szCs w:val="24"/>
        </w:rPr>
        <w:t>”</w:t>
      </w:r>
    </w:p>
    <w:p w14:paraId="60E6FA43" w14:textId="6AD98B46" w:rsidR="00A20E8B" w:rsidRPr="00F04D5C" w:rsidRDefault="00A20E8B" w:rsidP="002427D5">
      <w:pPr>
        <w:rPr>
          <w:rFonts w:ascii="Arial" w:hAnsi="Arial" w:cs="Arial"/>
          <w:sz w:val="24"/>
          <w:szCs w:val="24"/>
        </w:rPr>
      </w:pPr>
      <w:r w:rsidRPr="00F04D5C">
        <w:rPr>
          <w:rFonts w:ascii="Arial" w:hAnsi="Arial" w:cs="Arial"/>
          <w:sz w:val="24"/>
          <w:szCs w:val="24"/>
        </w:rPr>
        <w:t xml:space="preserve">We believe that these requirements in addition to the </w:t>
      </w:r>
      <w:r w:rsidR="00DB1DB2" w:rsidRPr="00F04D5C">
        <w:rPr>
          <w:rFonts w:ascii="Arial" w:hAnsi="Arial" w:cs="Arial"/>
          <w:sz w:val="24"/>
          <w:szCs w:val="24"/>
        </w:rPr>
        <w:t>3-year</w:t>
      </w:r>
      <w:r w:rsidRPr="00F04D5C">
        <w:rPr>
          <w:rFonts w:ascii="Arial" w:hAnsi="Arial" w:cs="Arial"/>
          <w:sz w:val="24"/>
          <w:szCs w:val="24"/>
        </w:rPr>
        <w:t xml:space="preserve"> requirement in 44(d) are in conflict with the aim of paragraph 59</w:t>
      </w:r>
      <w:r w:rsidR="00DB1DB2" w:rsidRPr="00F04D5C">
        <w:rPr>
          <w:rFonts w:ascii="Arial" w:hAnsi="Arial" w:cs="Arial"/>
          <w:sz w:val="24"/>
          <w:szCs w:val="24"/>
        </w:rPr>
        <w:t>,</w:t>
      </w:r>
      <w:r w:rsidRPr="00F04D5C">
        <w:rPr>
          <w:rFonts w:ascii="Arial" w:hAnsi="Arial" w:cs="Arial"/>
          <w:sz w:val="24"/>
          <w:szCs w:val="24"/>
        </w:rPr>
        <w:t xml:space="preserve"> which notes that “</w:t>
      </w:r>
      <w:r w:rsidR="00085334" w:rsidRPr="00F04D5C">
        <w:rPr>
          <w:rFonts w:ascii="Arial" w:hAnsi="Arial" w:cs="Arial"/>
          <w:i/>
          <w:iCs/>
          <w:sz w:val="24"/>
          <w:szCs w:val="24"/>
        </w:rPr>
        <w:t>the</w:t>
      </w:r>
      <w:r w:rsidR="00085334" w:rsidRPr="00F04D5C">
        <w:rPr>
          <w:rFonts w:ascii="Arial" w:hAnsi="Arial" w:cs="Arial"/>
          <w:sz w:val="24"/>
          <w:szCs w:val="24"/>
        </w:rPr>
        <w:t xml:space="preserve"> </w:t>
      </w:r>
      <w:r w:rsidRPr="00F04D5C">
        <w:rPr>
          <w:rFonts w:ascii="Arial" w:hAnsi="Arial" w:cs="Arial"/>
          <w:i/>
          <w:iCs/>
          <w:sz w:val="24"/>
          <w:szCs w:val="24"/>
        </w:rPr>
        <w:t>list should not be too limited as this could create a problem in a time sensitive situation where valuations should be done effectively and urgently</w:t>
      </w:r>
      <w:r w:rsidRPr="00F04D5C">
        <w:rPr>
          <w:rFonts w:ascii="Arial" w:hAnsi="Arial" w:cs="Arial"/>
          <w:sz w:val="24"/>
          <w:szCs w:val="24"/>
        </w:rPr>
        <w:t>”</w:t>
      </w:r>
      <w:r w:rsidR="00DB1DB2" w:rsidRPr="00F04D5C">
        <w:rPr>
          <w:rFonts w:ascii="Arial" w:hAnsi="Arial" w:cs="Arial"/>
          <w:sz w:val="24"/>
          <w:szCs w:val="24"/>
        </w:rPr>
        <w:t>.</w:t>
      </w:r>
    </w:p>
    <w:p w14:paraId="2E91C265" w14:textId="55C00721" w:rsidR="00CB5E4E" w:rsidRPr="00F04D5C" w:rsidRDefault="004C3BC4" w:rsidP="002427D5">
      <w:pPr>
        <w:rPr>
          <w:rFonts w:ascii="Arial" w:hAnsi="Arial" w:cs="Arial"/>
          <w:sz w:val="24"/>
          <w:szCs w:val="24"/>
        </w:rPr>
      </w:pPr>
      <w:r w:rsidRPr="00F04D5C">
        <w:rPr>
          <w:rFonts w:ascii="Arial" w:hAnsi="Arial" w:cs="Arial"/>
          <w:sz w:val="24"/>
          <w:szCs w:val="24"/>
        </w:rPr>
        <w:t xml:space="preserve">Another option would be for </w:t>
      </w:r>
      <w:r w:rsidR="002A16DF" w:rsidRPr="00F04D5C">
        <w:rPr>
          <w:rFonts w:ascii="Arial" w:hAnsi="Arial" w:cs="Arial"/>
          <w:sz w:val="24"/>
          <w:szCs w:val="24"/>
        </w:rPr>
        <w:t>the RA</w:t>
      </w:r>
      <w:r w:rsidR="00B35B4A" w:rsidRPr="00F04D5C">
        <w:rPr>
          <w:rFonts w:ascii="Arial" w:hAnsi="Arial" w:cs="Arial"/>
          <w:sz w:val="24"/>
          <w:szCs w:val="24"/>
        </w:rPr>
        <w:t>,</w:t>
      </w:r>
      <w:r w:rsidR="002A16DF" w:rsidRPr="00F04D5C">
        <w:rPr>
          <w:rFonts w:ascii="Arial" w:hAnsi="Arial" w:cs="Arial"/>
          <w:sz w:val="24"/>
          <w:szCs w:val="24"/>
        </w:rPr>
        <w:t xml:space="preserve"> </w:t>
      </w:r>
      <w:r w:rsidRPr="00F04D5C">
        <w:rPr>
          <w:rFonts w:ascii="Arial" w:hAnsi="Arial" w:cs="Arial"/>
          <w:sz w:val="24"/>
          <w:szCs w:val="24"/>
        </w:rPr>
        <w:t xml:space="preserve">as a first step </w:t>
      </w:r>
      <w:r w:rsidR="002A16DF" w:rsidRPr="00F04D5C">
        <w:rPr>
          <w:rFonts w:ascii="Arial" w:hAnsi="Arial" w:cs="Arial"/>
          <w:sz w:val="24"/>
          <w:szCs w:val="24"/>
        </w:rPr>
        <w:t>endeavour</w:t>
      </w:r>
      <w:r w:rsidR="00B35B4A" w:rsidRPr="00F04D5C">
        <w:rPr>
          <w:rFonts w:ascii="Arial" w:hAnsi="Arial" w:cs="Arial"/>
          <w:sz w:val="24"/>
          <w:szCs w:val="24"/>
        </w:rPr>
        <w:t>,</w:t>
      </w:r>
      <w:r w:rsidR="002A16DF" w:rsidRPr="00F04D5C">
        <w:rPr>
          <w:rFonts w:ascii="Arial" w:hAnsi="Arial" w:cs="Arial"/>
          <w:sz w:val="24"/>
          <w:szCs w:val="24"/>
        </w:rPr>
        <w:t xml:space="preserve"> to </w:t>
      </w:r>
      <w:r w:rsidR="00793F7B" w:rsidRPr="00F04D5C">
        <w:rPr>
          <w:rFonts w:ascii="Arial" w:hAnsi="Arial" w:cs="Arial"/>
          <w:sz w:val="24"/>
          <w:szCs w:val="24"/>
        </w:rPr>
        <w:t>identify</w:t>
      </w:r>
      <w:r w:rsidR="002A16DF" w:rsidRPr="00F04D5C">
        <w:rPr>
          <w:rFonts w:ascii="Arial" w:hAnsi="Arial" w:cs="Arial"/>
          <w:sz w:val="24"/>
          <w:szCs w:val="24"/>
        </w:rPr>
        <w:t xml:space="preserve"> a valuer that satisfie</w:t>
      </w:r>
      <w:r w:rsidR="00AB7355" w:rsidRPr="00F04D5C">
        <w:rPr>
          <w:rFonts w:ascii="Arial" w:hAnsi="Arial" w:cs="Arial"/>
          <w:sz w:val="24"/>
          <w:szCs w:val="24"/>
        </w:rPr>
        <w:t>s</w:t>
      </w:r>
      <w:r w:rsidR="002A16DF" w:rsidRPr="00F04D5C">
        <w:rPr>
          <w:rFonts w:ascii="Arial" w:hAnsi="Arial" w:cs="Arial"/>
          <w:sz w:val="24"/>
          <w:szCs w:val="24"/>
        </w:rPr>
        <w:t xml:space="preserve"> all conditions proposed in this RTS</w:t>
      </w:r>
      <w:r w:rsidR="00AB7355" w:rsidRPr="00F04D5C">
        <w:rPr>
          <w:rFonts w:ascii="Arial" w:hAnsi="Arial" w:cs="Arial"/>
          <w:sz w:val="24"/>
          <w:szCs w:val="24"/>
        </w:rPr>
        <w:t xml:space="preserve">. </w:t>
      </w:r>
      <w:r w:rsidR="00E92C72" w:rsidRPr="00F04D5C">
        <w:rPr>
          <w:rFonts w:ascii="Arial" w:hAnsi="Arial" w:cs="Arial"/>
          <w:sz w:val="24"/>
          <w:szCs w:val="24"/>
        </w:rPr>
        <w:t>In case</w:t>
      </w:r>
      <w:r w:rsidR="006054B2" w:rsidRPr="00F04D5C">
        <w:rPr>
          <w:rFonts w:ascii="Arial" w:hAnsi="Arial" w:cs="Arial"/>
          <w:sz w:val="24"/>
          <w:szCs w:val="24"/>
        </w:rPr>
        <w:t xml:space="preserve"> an</w:t>
      </w:r>
      <w:r w:rsidR="00E92C72" w:rsidRPr="00F04D5C">
        <w:rPr>
          <w:rFonts w:ascii="Arial" w:hAnsi="Arial" w:cs="Arial"/>
          <w:sz w:val="24"/>
          <w:szCs w:val="24"/>
        </w:rPr>
        <w:t xml:space="preserve"> </w:t>
      </w:r>
      <w:r w:rsidR="006054B2" w:rsidRPr="00F04D5C">
        <w:rPr>
          <w:rFonts w:ascii="Arial" w:hAnsi="Arial" w:cs="Arial"/>
          <w:sz w:val="24"/>
          <w:szCs w:val="24"/>
        </w:rPr>
        <w:t>in</w:t>
      </w:r>
      <w:r w:rsidR="00E92C72" w:rsidRPr="00F04D5C">
        <w:rPr>
          <w:rFonts w:ascii="Arial" w:hAnsi="Arial" w:cs="Arial"/>
          <w:sz w:val="24"/>
          <w:szCs w:val="24"/>
        </w:rPr>
        <w:t xml:space="preserve">sufficient number of </w:t>
      </w:r>
      <w:r w:rsidR="00AB7355" w:rsidRPr="00F04D5C">
        <w:rPr>
          <w:rFonts w:ascii="Arial" w:hAnsi="Arial" w:cs="Arial"/>
          <w:sz w:val="24"/>
          <w:szCs w:val="24"/>
        </w:rPr>
        <w:t>suitable candidates</w:t>
      </w:r>
      <w:r w:rsidR="00E92C72" w:rsidRPr="00F04D5C">
        <w:rPr>
          <w:rFonts w:ascii="Arial" w:hAnsi="Arial" w:cs="Arial"/>
          <w:sz w:val="24"/>
          <w:szCs w:val="24"/>
        </w:rPr>
        <w:t xml:space="preserve"> </w:t>
      </w:r>
      <w:r w:rsidR="00DF0BE6" w:rsidRPr="00F04D5C">
        <w:rPr>
          <w:rFonts w:ascii="Arial" w:hAnsi="Arial" w:cs="Arial"/>
          <w:sz w:val="24"/>
          <w:szCs w:val="24"/>
        </w:rPr>
        <w:t xml:space="preserve">are </w:t>
      </w:r>
      <w:r w:rsidR="00E92C72" w:rsidRPr="00F04D5C">
        <w:rPr>
          <w:rFonts w:ascii="Arial" w:hAnsi="Arial" w:cs="Arial"/>
          <w:sz w:val="24"/>
          <w:szCs w:val="24"/>
        </w:rPr>
        <w:t>available</w:t>
      </w:r>
      <w:r w:rsidR="00AB7355" w:rsidRPr="00F04D5C">
        <w:rPr>
          <w:rFonts w:ascii="Arial" w:hAnsi="Arial" w:cs="Arial"/>
          <w:sz w:val="24"/>
          <w:szCs w:val="24"/>
        </w:rPr>
        <w:t xml:space="preserve">, </w:t>
      </w:r>
      <w:r w:rsidR="0059389E" w:rsidRPr="00F04D5C">
        <w:rPr>
          <w:rFonts w:ascii="Arial" w:hAnsi="Arial" w:cs="Arial"/>
          <w:sz w:val="24"/>
          <w:szCs w:val="24"/>
        </w:rPr>
        <w:t xml:space="preserve">we propose to establish </w:t>
      </w:r>
      <w:r w:rsidR="00AB7355" w:rsidRPr="00F04D5C">
        <w:rPr>
          <w:rFonts w:ascii="Arial" w:hAnsi="Arial" w:cs="Arial"/>
          <w:sz w:val="24"/>
          <w:szCs w:val="24"/>
        </w:rPr>
        <w:t xml:space="preserve">a </w:t>
      </w:r>
      <w:r w:rsidR="002A16DF" w:rsidRPr="00F04D5C">
        <w:rPr>
          <w:rFonts w:ascii="Arial" w:hAnsi="Arial" w:cs="Arial"/>
          <w:sz w:val="24"/>
          <w:szCs w:val="24"/>
        </w:rPr>
        <w:t xml:space="preserve">fallback </w:t>
      </w:r>
      <w:r w:rsidR="00AB7355" w:rsidRPr="00F04D5C">
        <w:rPr>
          <w:rFonts w:ascii="Arial" w:hAnsi="Arial" w:cs="Arial"/>
          <w:sz w:val="24"/>
          <w:szCs w:val="24"/>
        </w:rPr>
        <w:t xml:space="preserve">along the lines </w:t>
      </w:r>
      <w:r w:rsidR="00C466EC" w:rsidRPr="00F04D5C">
        <w:rPr>
          <w:rFonts w:ascii="Arial" w:hAnsi="Arial" w:cs="Arial"/>
          <w:sz w:val="24"/>
          <w:szCs w:val="24"/>
        </w:rPr>
        <w:t>suggested</w:t>
      </w:r>
      <w:r w:rsidR="00AB7355" w:rsidRPr="00F04D5C">
        <w:rPr>
          <w:rFonts w:ascii="Arial" w:hAnsi="Arial" w:cs="Arial"/>
          <w:sz w:val="24"/>
          <w:szCs w:val="24"/>
        </w:rPr>
        <w:t xml:space="preserve"> above</w:t>
      </w:r>
      <w:r w:rsidR="002A16DF" w:rsidRPr="00F04D5C">
        <w:rPr>
          <w:rFonts w:ascii="Arial" w:hAnsi="Arial" w:cs="Arial"/>
          <w:sz w:val="24"/>
          <w:szCs w:val="24"/>
        </w:rPr>
        <w:t>.</w:t>
      </w:r>
      <w:r w:rsidR="00B64737" w:rsidRPr="00F04D5C">
        <w:rPr>
          <w:rFonts w:ascii="Arial" w:hAnsi="Arial" w:cs="Arial"/>
          <w:sz w:val="24"/>
          <w:szCs w:val="24"/>
        </w:rPr>
        <w:t xml:space="preserve"> We agree that the RA can </w:t>
      </w:r>
      <w:r w:rsidR="00DF0BE6" w:rsidRPr="00F04D5C">
        <w:rPr>
          <w:rFonts w:ascii="Arial" w:hAnsi="Arial" w:cs="Arial"/>
          <w:sz w:val="24"/>
          <w:szCs w:val="24"/>
        </w:rPr>
        <w:t>establish</w:t>
      </w:r>
      <w:r w:rsidR="00B64737" w:rsidRPr="00F04D5C">
        <w:rPr>
          <w:rFonts w:ascii="Arial" w:hAnsi="Arial" w:cs="Arial"/>
          <w:sz w:val="24"/>
          <w:szCs w:val="24"/>
        </w:rPr>
        <w:t xml:space="preserve"> this list in advance</w:t>
      </w:r>
      <w:r w:rsidR="00E53EB2" w:rsidRPr="00F04D5C">
        <w:rPr>
          <w:rFonts w:ascii="Arial" w:hAnsi="Arial" w:cs="Arial"/>
          <w:sz w:val="24"/>
          <w:szCs w:val="24"/>
        </w:rPr>
        <w:t xml:space="preserve"> and not only </w:t>
      </w:r>
      <w:r w:rsidR="00DF0BE6" w:rsidRPr="00F04D5C">
        <w:rPr>
          <w:rFonts w:ascii="Arial" w:hAnsi="Arial" w:cs="Arial"/>
          <w:sz w:val="24"/>
          <w:szCs w:val="24"/>
        </w:rPr>
        <w:t xml:space="preserve">at the time </w:t>
      </w:r>
      <w:r w:rsidR="00E53EB2" w:rsidRPr="00F04D5C">
        <w:rPr>
          <w:rFonts w:ascii="Arial" w:hAnsi="Arial" w:cs="Arial"/>
          <w:sz w:val="24"/>
          <w:szCs w:val="24"/>
        </w:rPr>
        <w:t>when a valuer is needed.</w:t>
      </w:r>
    </w:p>
    <w:p w14:paraId="64072C4B" w14:textId="77777777" w:rsidR="00E53EB2" w:rsidRPr="00F04D5C" w:rsidRDefault="00E53EB2" w:rsidP="002427D5">
      <w:pPr>
        <w:rPr>
          <w:rFonts w:ascii="Arial" w:hAnsi="Arial" w:cs="Arial"/>
          <w:sz w:val="24"/>
          <w:szCs w:val="24"/>
        </w:rPr>
      </w:pPr>
    </w:p>
    <w:p w14:paraId="19FEC513" w14:textId="4715039A"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_02&gt;</w:t>
      </w:r>
    </w:p>
    <w:p w14:paraId="6A2104E3" w14:textId="0FC56710" w:rsidR="002427D5" w:rsidRPr="00F04D5C" w:rsidRDefault="002427D5" w:rsidP="002427D5">
      <w:pPr>
        <w:rPr>
          <w:rFonts w:ascii="Arial" w:hAnsi="Arial" w:cs="Arial"/>
          <w:sz w:val="24"/>
          <w:szCs w:val="24"/>
        </w:rPr>
      </w:pPr>
    </w:p>
    <w:p w14:paraId="7A6E7DFB" w14:textId="77777777" w:rsidR="003311DE" w:rsidRPr="00F04D5C" w:rsidRDefault="002427D5" w:rsidP="001E4E74">
      <w:pPr>
        <w:pStyle w:val="Questionstyle"/>
      </w:pPr>
      <w:r w:rsidRPr="00F04D5C">
        <w:t xml:space="preserve">: </w:t>
      </w:r>
      <w:r w:rsidR="003311DE" w:rsidRPr="00F04D5C">
        <w:t xml:space="preserve">Do you agree with the proposed conditions to assess whether a person considered for the position of independent valuer or appointed as independent valuer does not have an actual or potential material interest in common or in conflict with any relevant public authority or the CCP? </w:t>
      </w:r>
    </w:p>
    <w:p w14:paraId="3ABADBA2" w14:textId="7BE3EEC8" w:rsidR="002427D5" w:rsidRPr="00F04D5C" w:rsidRDefault="002427D5" w:rsidP="001E4E74">
      <w:pPr>
        <w:pStyle w:val="Questionstyle"/>
        <w:numPr>
          <w:ilvl w:val="0"/>
          <w:numId w:val="0"/>
        </w:numPr>
      </w:pPr>
    </w:p>
    <w:p w14:paraId="2D88B40A" w14:textId="5C27E42C" w:rsidR="002427D5" w:rsidRPr="00F04D5C" w:rsidRDefault="002427D5" w:rsidP="002427D5">
      <w:pPr>
        <w:rPr>
          <w:rFonts w:ascii="Arial" w:hAnsi="Arial" w:cs="Arial"/>
          <w:sz w:val="24"/>
          <w:szCs w:val="24"/>
        </w:rPr>
      </w:pPr>
      <w:bookmarkStart w:id="0" w:name="_Hlk76119363"/>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_03&gt;</w:t>
      </w:r>
    </w:p>
    <w:p w14:paraId="1BACD42C" w14:textId="69FA4F0D" w:rsidR="002C6F80" w:rsidRPr="00F04D5C" w:rsidRDefault="002C6F80" w:rsidP="002427D5">
      <w:pPr>
        <w:rPr>
          <w:rFonts w:ascii="Arial" w:hAnsi="Arial" w:cs="Arial"/>
          <w:sz w:val="24"/>
          <w:szCs w:val="24"/>
        </w:rPr>
      </w:pPr>
      <w:r w:rsidRPr="00F04D5C">
        <w:rPr>
          <w:rFonts w:ascii="Arial" w:hAnsi="Arial" w:cs="Arial"/>
          <w:sz w:val="24"/>
          <w:szCs w:val="24"/>
        </w:rPr>
        <w:t xml:space="preserve">We </w:t>
      </w:r>
      <w:r w:rsidR="00AC356B" w:rsidRPr="00F04D5C">
        <w:rPr>
          <w:rFonts w:ascii="Arial" w:hAnsi="Arial" w:cs="Arial"/>
          <w:sz w:val="24"/>
          <w:szCs w:val="24"/>
        </w:rPr>
        <w:t xml:space="preserve">agree with the </w:t>
      </w:r>
      <w:r w:rsidR="00DD2134" w:rsidRPr="00F04D5C">
        <w:rPr>
          <w:rFonts w:ascii="Arial" w:hAnsi="Arial" w:cs="Arial"/>
          <w:sz w:val="24"/>
          <w:szCs w:val="24"/>
        </w:rPr>
        <w:t>proposed</w:t>
      </w:r>
      <w:r w:rsidR="00AC356B" w:rsidRPr="00F04D5C">
        <w:rPr>
          <w:rFonts w:ascii="Arial" w:hAnsi="Arial" w:cs="Arial"/>
          <w:sz w:val="24"/>
          <w:szCs w:val="24"/>
        </w:rPr>
        <w:t xml:space="preserve"> conditions, subject </w:t>
      </w:r>
      <w:r w:rsidR="004B4C71" w:rsidRPr="00F04D5C">
        <w:rPr>
          <w:rFonts w:ascii="Arial" w:hAnsi="Arial" w:cs="Arial"/>
          <w:sz w:val="24"/>
          <w:szCs w:val="24"/>
        </w:rPr>
        <w:t>t</w:t>
      </w:r>
      <w:r w:rsidR="00AC356B" w:rsidRPr="00F04D5C">
        <w:rPr>
          <w:rFonts w:ascii="Arial" w:hAnsi="Arial" w:cs="Arial"/>
          <w:sz w:val="24"/>
          <w:szCs w:val="24"/>
        </w:rPr>
        <w:t xml:space="preserve">o the issue that conditions </w:t>
      </w:r>
      <w:r w:rsidR="00333409" w:rsidRPr="00F04D5C">
        <w:rPr>
          <w:rFonts w:ascii="Arial" w:hAnsi="Arial" w:cs="Arial"/>
          <w:sz w:val="24"/>
          <w:szCs w:val="24"/>
        </w:rPr>
        <w:t xml:space="preserve">that are too restrictive </w:t>
      </w:r>
      <w:r w:rsidR="00AC356B" w:rsidRPr="00F04D5C">
        <w:rPr>
          <w:rFonts w:ascii="Arial" w:hAnsi="Arial" w:cs="Arial"/>
          <w:sz w:val="24"/>
          <w:szCs w:val="24"/>
        </w:rPr>
        <w:t xml:space="preserve">could </w:t>
      </w:r>
      <w:r w:rsidR="00761572" w:rsidRPr="00F04D5C">
        <w:rPr>
          <w:rFonts w:ascii="Arial" w:hAnsi="Arial" w:cs="Arial"/>
          <w:sz w:val="24"/>
          <w:szCs w:val="24"/>
        </w:rPr>
        <w:t>limit</w:t>
      </w:r>
      <w:r w:rsidR="00AC356B" w:rsidRPr="00F04D5C">
        <w:rPr>
          <w:rFonts w:ascii="Arial" w:hAnsi="Arial" w:cs="Arial"/>
          <w:sz w:val="24"/>
          <w:szCs w:val="24"/>
        </w:rPr>
        <w:t xml:space="preserve"> the pool of</w:t>
      </w:r>
      <w:r w:rsidR="00DD2134" w:rsidRPr="00F04D5C">
        <w:rPr>
          <w:rFonts w:ascii="Arial" w:hAnsi="Arial" w:cs="Arial"/>
          <w:sz w:val="24"/>
          <w:szCs w:val="24"/>
        </w:rPr>
        <w:t xml:space="preserve"> available and suitable valuers.</w:t>
      </w:r>
      <w:r w:rsidR="004B4C71" w:rsidRPr="00F04D5C">
        <w:rPr>
          <w:rFonts w:ascii="Arial" w:hAnsi="Arial" w:cs="Arial"/>
          <w:sz w:val="24"/>
          <w:szCs w:val="24"/>
        </w:rPr>
        <w:t xml:space="preserve"> (see question 2)</w:t>
      </w:r>
      <w:r w:rsidR="00B64737" w:rsidRPr="00F04D5C">
        <w:rPr>
          <w:rFonts w:ascii="Arial" w:hAnsi="Arial" w:cs="Arial"/>
          <w:sz w:val="24"/>
          <w:szCs w:val="24"/>
        </w:rPr>
        <w:t>.</w:t>
      </w:r>
    </w:p>
    <w:p w14:paraId="32AFA07A" w14:textId="41DE9C56"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_03&gt;</w:t>
      </w:r>
    </w:p>
    <w:bookmarkEnd w:id="0"/>
    <w:p w14:paraId="16AC2A56" w14:textId="77777777" w:rsidR="002427D5" w:rsidRPr="00F04D5C" w:rsidRDefault="002427D5" w:rsidP="002427D5">
      <w:pPr>
        <w:rPr>
          <w:rFonts w:ascii="Arial" w:hAnsi="Arial" w:cs="Arial"/>
          <w:sz w:val="24"/>
          <w:szCs w:val="24"/>
        </w:rPr>
      </w:pPr>
    </w:p>
    <w:p w14:paraId="244D992D" w14:textId="77777777" w:rsidR="003311DE" w:rsidRPr="00F04D5C" w:rsidRDefault="002427D5" w:rsidP="001E4E74">
      <w:pPr>
        <w:pStyle w:val="Questionstyle"/>
      </w:pPr>
      <w:r w:rsidRPr="00F04D5C">
        <w:t xml:space="preserve">: </w:t>
      </w:r>
      <w:r w:rsidR="003311DE" w:rsidRPr="00F04D5C">
        <w:t>Do you agree with the proposed conditions to assess whether a person considered for the position of independent valuer or appointed as independent valuer has the necessary qualifications, experience, ability, knowledge and resources?</w:t>
      </w:r>
    </w:p>
    <w:p w14:paraId="65E0D9B1" w14:textId="4FFA216C" w:rsidR="002427D5" w:rsidRPr="00F04D5C" w:rsidRDefault="002427D5" w:rsidP="001E4E74">
      <w:pPr>
        <w:pStyle w:val="Questionstyle"/>
        <w:numPr>
          <w:ilvl w:val="0"/>
          <w:numId w:val="0"/>
        </w:numPr>
      </w:pPr>
    </w:p>
    <w:p w14:paraId="7E0C3AD5" w14:textId="77FC824A"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_04&gt;</w:t>
      </w:r>
    </w:p>
    <w:p w14:paraId="07EC6C96" w14:textId="2B463803" w:rsidR="00DD2134" w:rsidRPr="00F04D5C" w:rsidRDefault="00DD2134" w:rsidP="00AA7C39">
      <w:pPr>
        <w:rPr>
          <w:rFonts w:ascii="Arial" w:hAnsi="Arial" w:cs="Arial"/>
          <w:sz w:val="24"/>
          <w:szCs w:val="24"/>
        </w:rPr>
      </w:pPr>
      <w:r w:rsidRPr="00F04D5C">
        <w:rPr>
          <w:rFonts w:ascii="Arial" w:hAnsi="Arial" w:cs="Arial"/>
          <w:sz w:val="24"/>
          <w:szCs w:val="24"/>
        </w:rPr>
        <w:lastRenderedPageBreak/>
        <w:t xml:space="preserve">We very much agree that </w:t>
      </w:r>
      <w:r w:rsidR="006F3995" w:rsidRPr="00F04D5C">
        <w:rPr>
          <w:rFonts w:ascii="Arial" w:hAnsi="Arial" w:cs="Arial"/>
          <w:sz w:val="24"/>
          <w:szCs w:val="24"/>
        </w:rPr>
        <w:t xml:space="preserve">aspects </w:t>
      </w:r>
      <w:r w:rsidR="00AA7C39" w:rsidRPr="00F04D5C">
        <w:rPr>
          <w:rFonts w:ascii="Arial" w:hAnsi="Arial" w:cs="Arial"/>
          <w:sz w:val="24"/>
          <w:szCs w:val="24"/>
        </w:rPr>
        <w:t xml:space="preserve">of </w:t>
      </w:r>
      <w:r w:rsidR="006F3995" w:rsidRPr="00F04D5C">
        <w:rPr>
          <w:rFonts w:ascii="Arial" w:hAnsi="Arial" w:cs="Arial"/>
          <w:sz w:val="24"/>
          <w:szCs w:val="24"/>
        </w:rPr>
        <w:t>CCP</w:t>
      </w:r>
      <w:r w:rsidR="00AA7C39" w:rsidRPr="00F04D5C">
        <w:rPr>
          <w:rFonts w:ascii="Arial" w:hAnsi="Arial" w:cs="Arial"/>
          <w:sz w:val="24"/>
          <w:szCs w:val="24"/>
        </w:rPr>
        <w:t>s are important, like</w:t>
      </w:r>
      <w:r w:rsidR="006F3995" w:rsidRPr="00F04D5C">
        <w:rPr>
          <w:rFonts w:ascii="Arial" w:hAnsi="Arial" w:cs="Arial"/>
          <w:sz w:val="24"/>
          <w:szCs w:val="24"/>
        </w:rPr>
        <w:t xml:space="preserve"> </w:t>
      </w:r>
      <w:r w:rsidR="00AA7C39" w:rsidRPr="00F04D5C">
        <w:rPr>
          <w:rFonts w:ascii="Arial" w:hAnsi="Arial" w:cs="Arial"/>
          <w:sz w:val="24"/>
          <w:szCs w:val="24"/>
        </w:rPr>
        <w:t>skills and knowledge of clearing, post-trading, prudential supervision and financial matters, as well as of experience relevant to CCP supervision and regulation.</w:t>
      </w:r>
    </w:p>
    <w:p w14:paraId="3FDF89A8" w14:textId="1B6895FE" w:rsidR="00AA7C39" w:rsidRPr="00F04D5C" w:rsidRDefault="001D546F" w:rsidP="00AA7C39">
      <w:pPr>
        <w:rPr>
          <w:rFonts w:ascii="Arial" w:hAnsi="Arial" w:cs="Arial"/>
          <w:sz w:val="24"/>
          <w:szCs w:val="24"/>
        </w:rPr>
      </w:pPr>
      <w:r w:rsidRPr="00F04D5C">
        <w:rPr>
          <w:rFonts w:ascii="Arial" w:hAnsi="Arial" w:cs="Arial"/>
          <w:sz w:val="24"/>
          <w:szCs w:val="24"/>
        </w:rPr>
        <w:t>Resolution of a CCP is extremely time critical</w:t>
      </w:r>
      <w:r w:rsidR="00382B95" w:rsidRPr="00F04D5C">
        <w:rPr>
          <w:rFonts w:ascii="Arial" w:hAnsi="Arial" w:cs="Arial"/>
          <w:sz w:val="24"/>
          <w:szCs w:val="24"/>
        </w:rPr>
        <w:t>,</w:t>
      </w:r>
      <w:r w:rsidRPr="00F04D5C">
        <w:rPr>
          <w:rFonts w:ascii="Arial" w:hAnsi="Arial" w:cs="Arial"/>
          <w:sz w:val="24"/>
          <w:szCs w:val="24"/>
        </w:rPr>
        <w:t xml:space="preserve"> and the valuer should already be familiar with the details of clearing</w:t>
      </w:r>
      <w:r w:rsidR="00422A53" w:rsidRPr="00F04D5C">
        <w:rPr>
          <w:rFonts w:ascii="Arial" w:hAnsi="Arial" w:cs="Arial"/>
          <w:sz w:val="24"/>
          <w:szCs w:val="24"/>
        </w:rPr>
        <w:t xml:space="preserve"> and surrounding regulation.</w:t>
      </w:r>
    </w:p>
    <w:p w14:paraId="7688F98A" w14:textId="64C16BA7" w:rsidR="00567B28" w:rsidRPr="00F04D5C" w:rsidRDefault="00C84638" w:rsidP="00AA7C39">
      <w:pPr>
        <w:rPr>
          <w:rFonts w:ascii="Arial" w:hAnsi="Arial" w:cs="Arial"/>
          <w:sz w:val="24"/>
          <w:szCs w:val="24"/>
        </w:rPr>
      </w:pPr>
      <w:r w:rsidRPr="00F04D5C">
        <w:rPr>
          <w:rFonts w:ascii="Arial" w:hAnsi="Arial" w:cs="Arial"/>
          <w:sz w:val="24"/>
          <w:szCs w:val="24"/>
        </w:rPr>
        <w:t>However, w</w:t>
      </w:r>
      <w:r w:rsidR="00567B28" w:rsidRPr="00F04D5C">
        <w:rPr>
          <w:rFonts w:ascii="Arial" w:hAnsi="Arial" w:cs="Arial"/>
          <w:sz w:val="24"/>
          <w:szCs w:val="24"/>
        </w:rPr>
        <w:t xml:space="preserve">e </w:t>
      </w:r>
      <w:r w:rsidR="000447D4" w:rsidRPr="00F04D5C">
        <w:rPr>
          <w:rFonts w:ascii="Arial" w:hAnsi="Arial" w:cs="Arial"/>
          <w:sz w:val="24"/>
          <w:szCs w:val="24"/>
        </w:rPr>
        <w:t>note that</w:t>
      </w:r>
      <w:r w:rsidR="00567B28" w:rsidRPr="00F04D5C">
        <w:rPr>
          <w:rFonts w:ascii="Arial" w:hAnsi="Arial" w:cs="Arial"/>
          <w:sz w:val="24"/>
          <w:szCs w:val="24"/>
        </w:rPr>
        <w:t xml:space="preserve"> the requirement under paragraph 64 that the “</w:t>
      </w:r>
      <w:r w:rsidR="00567B28" w:rsidRPr="00F04D5C">
        <w:rPr>
          <w:rFonts w:ascii="Arial" w:hAnsi="Arial" w:cs="Arial"/>
          <w:i/>
          <w:iCs/>
          <w:sz w:val="24"/>
          <w:szCs w:val="24"/>
        </w:rPr>
        <w:t>person should be qualifying as a statutory auditor or audit firm</w:t>
      </w:r>
      <w:r w:rsidR="00567B28" w:rsidRPr="00F04D5C">
        <w:rPr>
          <w:rFonts w:ascii="Arial" w:hAnsi="Arial" w:cs="Arial"/>
          <w:sz w:val="24"/>
          <w:szCs w:val="24"/>
        </w:rPr>
        <w:t>”, alongside the requirement already noted regarding paragraph 53, creates a universe of appropriate persons that may be unrealistic</w:t>
      </w:r>
      <w:r w:rsidR="005C7C0D" w:rsidRPr="00F04D5C">
        <w:rPr>
          <w:rFonts w:ascii="Arial" w:hAnsi="Arial" w:cs="Arial"/>
          <w:sz w:val="24"/>
          <w:szCs w:val="24"/>
        </w:rPr>
        <w:t>,</w:t>
      </w:r>
      <w:r w:rsidR="00567B28" w:rsidRPr="00F04D5C">
        <w:rPr>
          <w:rFonts w:ascii="Arial" w:hAnsi="Arial" w:cs="Arial"/>
          <w:sz w:val="24"/>
          <w:szCs w:val="24"/>
        </w:rPr>
        <w:t xml:space="preserve"> especially with respect to the timeliness required </w:t>
      </w:r>
      <w:r w:rsidR="00B505CF" w:rsidRPr="00F04D5C">
        <w:rPr>
          <w:rFonts w:ascii="Arial" w:hAnsi="Arial" w:cs="Arial"/>
          <w:sz w:val="24"/>
          <w:szCs w:val="24"/>
        </w:rPr>
        <w:t>to identify</w:t>
      </w:r>
      <w:r w:rsidR="00F44BF7" w:rsidRPr="00F04D5C">
        <w:rPr>
          <w:rFonts w:ascii="Arial" w:hAnsi="Arial" w:cs="Arial"/>
          <w:sz w:val="24"/>
          <w:szCs w:val="24"/>
        </w:rPr>
        <w:t xml:space="preserve"> </w:t>
      </w:r>
      <w:r w:rsidR="0056432D" w:rsidRPr="00F04D5C">
        <w:rPr>
          <w:rFonts w:ascii="Arial" w:hAnsi="Arial" w:cs="Arial"/>
          <w:sz w:val="24"/>
          <w:szCs w:val="24"/>
        </w:rPr>
        <w:t xml:space="preserve">a suitable individual </w:t>
      </w:r>
      <w:r w:rsidR="00DE6E39" w:rsidRPr="00F04D5C">
        <w:rPr>
          <w:rFonts w:ascii="Arial" w:hAnsi="Arial" w:cs="Arial"/>
          <w:sz w:val="24"/>
          <w:szCs w:val="24"/>
        </w:rPr>
        <w:t>that does not fail to meet the requirements of these or other clauses</w:t>
      </w:r>
      <w:r w:rsidR="00567B28" w:rsidRPr="00F04D5C">
        <w:rPr>
          <w:rFonts w:ascii="Arial" w:hAnsi="Arial" w:cs="Arial"/>
          <w:sz w:val="24"/>
          <w:szCs w:val="24"/>
        </w:rPr>
        <w:t>.</w:t>
      </w:r>
    </w:p>
    <w:p w14:paraId="74A5CCAA" w14:textId="1E69E1E2" w:rsidR="00DE6E39" w:rsidRPr="00F04D5C" w:rsidRDefault="00DE6E39" w:rsidP="00AA7C39">
      <w:pPr>
        <w:rPr>
          <w:rFonts w:ascii="Arial" w:hAnsi="Arial" w:cs="Arial"/>
          <w:sz w:val="24"/>
          <w:szCs w:val="24"/>
        </w:rPr>
      </w:pPr>
      <w:r w:rsidRPr="00F04D5C">
        <w:rPr>
          <w:rFonts w:ascii="Arial" w:hAnsi="Arial" w:cs="Arial"/>
          <w:sz w:val="24"/>
          <w:szCs w:val="24"/>
        </w:rPr>
        <w:t>We would also welcome clarity with regard to paragraph 67 where the valuer shall “</w:t>
      </w:r>
      <w:r w:rsidRPr="00F04D5C">
        <w:rPr>
          <w:rFonts w:ascii="Arial" w:hAnsi="Arial" w:cs="Arial"/>
          <w:i/>
          <w:iCs/>
          <w:sz w:val="24"/>
          <w:szCs w:val="24"/>
        </w:rPr>
        <w:t>not seek or take any instructions or guidance from any relevant public authority or the relevant entity</w:t>
      </w:r>
      <w:r w:rsidRPr="00F04D5C">
        <w:rPr>
          <w:rFonts w:ascii="Arial" w:hAnsi="Arial" w:cs="Arial"/>
          <w:sz w:val="24"/>
          <w:szCs w:val="24"/>
        </w:rPr>
        <w:t>”, that using market data or price submissions</w:t>
      </w:r>
      <w:r w:rsidR="00C52158" w:rsidRPr="00F04D5C">
        <w:rPr>
          <w:rFonts w:ascii="Arial" w:hAnsi="Arial" w:cs="Arial"/>
          <w:sz w:val="24"/>
          <w:szCs w:val="24"/>
        </w:rPr>
        <w:t xml:space="preserve">, originating from clearing members or clients, </w:t>
      </w:r>
      <w:r w:rsidRPr="00F04D5C">
        <w:rPr>
          <w:rFonts w:ascii="Arial" w:hAnsi="Arial" w:cs="Arial"/>
          <w:sz w:val="24"/>
          <w:szCs w:val="24"/>
        </w:rPr>
        <w:t>for the purpose of, or for inputs into a valuation</w:t>
      </w:r>
      <w:r w:rsidR="00C52158" w:rsidRPr="00F04D5C">
        <w:rPr>
          <w:rFonts w:ascii="Arial" w:hAnsi="Arial" w:cs="Arial"/>
          <w:sz w:val="24"/>
          <w:szCs w:val="24"/>
        </w:rPr>
        <w:t xml:space="preserve">, would not fall into the scope of this requirement, especially given </w:t>
      </w:r>
      <w:r w:rsidR="003075FE" w:rsidRPr="00F04D5C">
        <w:rPr>
          <w:rFonts w:ascii="Arial" w:hAnsi="Arial" w:cs="Arial"/>
          <w:sz w:val="24"/>
          <w:szCs w:val="24"/>
        </w:rPr>
        <w:t xml:space="preserve">paragraph </w:t>
      </w:r>
      <w:r w:rsidR="00C52158" w:rsidRPr="00F04D5C">
        <w:rPr>
          <w:rFonts w:ascii="Arial" w:hAnsi="Arial" w:cs="Arial"/>
          <w:sz w:val="24"/>
          <w:szCs w:val="24"/>
        </w:rPr>
        <w:t>89(d) makes specific reference to market data</w:t>
      </w:r>
      <w:r w:rsidR="004C7BC9" w:rsidRPr="00F04D5C">
        <w:rPr>
          <w:rFonts w:ascii="Arial" w:hAnsi="Arial" w:cs="Arial"/>
          <w:sz w:val="24"/>
          <w:szCs w:val="24"/>
        </w:rPr>
        <w:t>.</w:t>
      </w:r>
    </w:p>
    <w:p w14:paraId="0FCC2C10" w14:textId="77777777" w:rsidR="00422A53" w:rsidRPr="00F04D5C" w:rsidRDefault="00422A53" w:rsidP="00AA7C39">
      <w:pPr>
        <w:rPr>
          <w:rFonts w:ascii="Arial" w:hAnsi="Arial" w:cs="Arial"/>
          <w:sz w:val="24"/>
          <w:szCs w:val="24"/>
        </w:rPr>
      </w:pPr>
    </w:p>
    <w:p w14:paraId="4950333D" w14:textId="26F4D977"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_04&gt;</w:t>
      </w:r>
      <w:r w:rsidRPr="00F04D5C">
        <w:rPr>
          <w:rFonts w:ascii="Arial" w:hAnsi="Arial" w:cs="Arial"/>
          <w:b/>
          <w:sz w:val="24"/>
          <w:szCs w:val="24"/>
        </w:rPr>
        <w:t xml:space="preserve"> </w:t>
      </w:r>
    </w:p>
    <w:p w14:paraId="24CA8154" w14:textId="77777777" w:rsidR="002427D5" w:rsidRPr="00F04D5C" w:rsidRDefault="002427D5" w:rsidP="002427D5">
      <w:pPr>
        <w:rPr>
          <w:rFonts w:ascii="Arial" w:hAnsi="Arial" w:cs="Arial"/>
          <w:sz w:val="24"/>
          <w:szCs w:val="24"/>
        </w:rPr>
      </w:pPr>
    </w:p>
    <w:p w14:paraId="6F90922D" w14:textId="77777777" w:rsidR="003311DE" w:rsidRPr="00F04D5C" w:rsidRDefault="002427D5" w:rsidP="001E4E74">
      <w:pPr>
        <w:pStyle w:val="Questionstyle"/>
      </w:pPr>
      <w:r w:rsidRPr="00F04D5C">
        <w:t xml:space="preserve">: </w:t>
      </w:r>
      <w:r w:rsidR="003311DE" w:rsidRPr="00F04D5C">
        <w:t>Do you agree with the proposed approach to determine and assess the three elements of independence to conclude if a valuer shall be deemed to be independent from the CCP and the resolution authority?</w:t>
      </w:r>
    </w:p>
    <w:p w14:paraId="07D04903" w14:textId="1844B825" w:rsidR="002427D5" w:rsidRPr="00F04D5C" w:rsidRDefault="002427D5" w:rsidP="001E4E74">
      <w:pPr>
        <w:pStyle w:val="Questionstyle"/>
        <w:numPr>
          <w:ilvl w:val="0"/>
          <w:numId w:val="0"/>
        </w:numPr>
      </w:pPr>
    </w:p>
    <w:p w14:paraId="5C8DB53B" w14:textId="42EAABFF"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_05&gt;</w:t>
      </w:r>
    </w:p>
    <w:p w14:paraId="54CB9CE0" w14:textId="685E604B" w:rsidR="00901413" w:rsidRPr="00F04D5C" w:rsidRDefault="00007D86" w:rsidP="002427D5">
      <w:pPr>
        <w:rPr>
          <w:rFonts w:ascii="Arial" w:hAnsi="Arial" w:cs="Arial"/>
          <w:sz w:val="24"/>
          <w:szCs w:val="24"/>
        </w:rPr>
      </w:pPr>
      <w:r w:rsidRPr="00F04D5C">
        <w:rPr>
          <w:rFonts w:ascii="Arial" w:hAnsi="Arial" w:cs="Arial"/>
          <w:sz w:val="24"/>
          <w:szCs w:val="24"/>
        </w:rPr>
        <w:t xml:space="preserve">We agree with </w:t>
      </w:r>
      <w:r w:rsidR="0033346A" w:rsidRPr="00F04D5C">
        <w:rPr>
          <w:rFonts w:ascii="Arial" w:hAnsi="Arial" w:cs="Arial"/>
          <w:sz w:val="24"/>
          <w:szCs w:val="24"/>
        </w:rPr>
        <w:t xml:space="preserve">the </w:t>
      </w:r>
      <w:r w:rsidRPr="00F04D5C">
        <w:rPr>
          <w:rFonts w:ascii="Arial" w:hAnsi="Arial" w:cs="Arial"/>
          <w:sz w:val="24"/>
          <w:szCs w:val="24"/>
        </w:rPr>
        <w:t>separation</w:t>
      </w:r>
      <w:r w:rsidR="0033346A" w:rsidRPr="00F04D5C">
        <w:rPr>
          <w:rFonts w:ascii="Arial" w:hAnsi="Arial" w:cs="Arial"/>
          <w:sz w:val="24"/>
          <w:szCs w:val="24"/>
        </w:rPr>
        <w:t xml:space="preserve"> of the</w:t>
      </w:r>
      <w:r w:rsidRPr="00F04D5C">
        <w:rPr>
          <w:rFonts w:ascii="Arial" w:hAnsi="Arial" w:cs="Arial"/>
          <w:sz w:val="24"/>
          <w:szCs w:val="24"/>
        </w:rPr>
        <w:t xml:space="preserve"> requirements</w:t>
      </w:r>
      <w:r w:rsidR="00AA7CEF" w:rsidRPr="00F04D5C">
        <w:rPr>
          <w:rFonts w:ascii="Arial" w:hAnsi="Arial" w:cs="Arial"/>
          <w:sz w:val="24"/>
          <w:szCs w:val="24"/>
        </w:rPr>
        <w:t xml:space="preserve"> of the valuer from both </w:t>
      </w:r>
      <w:r w:rsidR="0045106E" w:rsidRPr="00F04D5C">
        <w:rPr>
          <w:rFonts w:ascii="Arial" w:hAnsi="Arial" w:cs="Arial"/>
          <w:sz w:val="24"/>
          <w:szCs w:val="24"/>
        </w:rPr>
        <w:t xml:space="preserve">the relevant public authority </w:t>
      </w:r>
      <w:r w:rsidR="00AA7CEF" w:rsidRPr="00F04D5C">
        <w:rPr>
          <w:rFonts w:ascii="Arial" w:hAnsi="Arial" w:cs="Arial"/>
          <w:sz w:val="24"/>
          <w:szCs w:val="24"/>
        </w:rPr>
        <w:t xml:space="preserve">and relevant </w:t>
      </w:r>
      <w:r w:rsidR="0045106E" w:rsidRPr="00F04D5C">
        <w:rPr>
          <w:rFonts w:ascii="Arial" w:hAnsi="Arial" w:cs="Arial"/>
          <w:sz w:val="24"/>
          <w:szCs w:val="24"/>
        </w:rPr>
        <w:t>parties.</w:t>
      </w:r>
    </w:p>
    <w:p w14:paraId="0064AA9F" w14:textId="72FAF0ED"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_05&gt;</w:t>
      </w:r>
    </w:p>
    <w:p w14:paraId="30F24797" w14:textId="77777777" w:rsidR="002427D5" w:rsidRPr="00F04D5C" w:rsidRDefault="002427D5" w:rsidP="002427D5">
      <w:pPr>
        <w:rPr>
          <w:rFonts w:ascii="Arial" w:hAnsi="Arial" w:cs="Arial"/>
          <w:sz w:val="24"/>
          <w:szCs w:val="24"/>
        </w:rPr>
      </w:pPr>
    </w:p>
    <w:p w14:paraId="6A2988DD" w14:textId="77777777" w:rsidR="003311DE" w:rsidRPr="00F04D5C" w:rsidRDefault="002427D5" w:rsidP="001E4E74">
      <w:pPr>
        <w:pStyle w:val="Questionstyle"/>
      </w:pPr>
      <w:r w:rsidRPr="00F04D5C">
        <w:t xml:space="preserve">: </w:t>
      </w:r>
      <w:r w:rsidR="003311DE" w:rsidRPr="00F04D5C">
        <w:t>Do you agree with the respective proposed approaches for the valuation under Article 24(2) and Article 24(3) of Regulation (EU) 2021/23?</w:t>
      </w:r>
    </w:p>
    <w:p w14:paraId="59B13DAD" w14:textId="56747CF8" w:rsidR="002427D5" w:rsidRPr="00F04D5C" w:rsidRDefault="002427D5" w:rsidP="001E4E74">
      <w:pPr>
        <w:pStyle w:val="Questionstyle"/>
        <w:numPr>
          <w:ilvl w:val="0"/>
          <w:numId w:val="0"/>
        </w:numPr>
      </w:pPr>
    </w:p>
    <w:p w14:paraId="7F980B8E" w14:textId="47AC7522" w:rsidR="002427D5" w:rsidRPr="00F04D5C" w:rsidRDefault="002427D5" w:rsidP="002427D5">
      <w:pPr>
        <w:rPr>
          <w:rFonts w:ascii="Arial" w:hAnsi="Arial" w:cs="Arial"/>
          <w:sz w:val="24"/>
          <w:szCs w:val="24"/>
        </w:rPr>
      </w:pPr>
      <w:bookmarkStart w:id="1" w:name="_Hlk87352951"/>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_06&gt;</w:t>
      </w:r>
    </w:p>
    <w:p w14:paraId="67ECEDB4" w14:textId="0845D99A" w:rsidR="00EA305E" w:rsidRPr="00F04D5C" w:rsidRDefault="00EA305E" w:rsidP="002427D5">
      <w:pPr>
        <w:rPr>
          <w:rFonts w:ascii="Arial" w:hAnsi="Arial" w:cs="Arial"/>
          <w:sz w:val="24"/>
          <w:szCs w:val="24"/>
        </w:rPr>
      </w:pPr>
      <w:r w:rsidRPr="00F04D5C">
        <w:rPr>
          <w:rFonts w:ascii="Arial" w:hAnsi="Arial" w:cs="Arial"/>
          <w:sz w:val="24"/>
          <w:szCs w:val="24"/>
        </w:rPr>
        <w:t xml:space="preserve">We agree with the </w:t>
      </w:r>
      <w:r w:rsidR="006610CD" w:rsidRPr="00F04D5C">
        <w:rPr>
          <w:rFonts w:ascii="Arial" w:hAnsi="Arial" w:cs="Arial"/>
          <w:sz w:val="24"/>
          <w:szCs w:val="24"/>
        </w:rPr>
        <w:t>proposed approached for the valuation under Article 24(2) and Article 24(3).</w:t>
      </w:r>
    </w:p>
    <w:p w14:paraId="4A97AD48" w14:textId="3870FA2F" w:rsidR="00623B0C" w:rsidRPr="00F04D5C" w:rsidRDefault="00854F01" w:rsidP="00623B0C">
      <w:pPr>
        <w:rPr>
          <w:rFonts w:ascii="Arial" w:hAnsi="Arial" w:cs="Arial"/>
          <w:sz w:val="24"/>
          <w:szCs w:val="24"/>
        </w:rPr>
      </w:pPr>
      <w:r w:rsidRPr="00F04D5C">
        <w:rPr>
          <w:rFonts w:ascii="Arial" w:hAnsi="Arial" w:cs="Arial"/>
          <w:sz w:val="24"/>
          <w:szCs w:val="24"/>
        </w:rPr>
        <w:t xml:space="preserve">Contrary </w:t>
      </w:r>
      <w:r w:rsidR="00623B0C" w:rsidRPr="00F04D5C">
        <w:rPr>
          <w:rFonts w:ascii="Arial" w:hAnsi="Arial" w:cs="Arial"/>
          <w:sz w:val="24"/>
          <w:szCs w:val="24"/>
        </w:rPr>
        <w:t xml:space="preserve">to a regular business or even a bank, the valuation of a CCP in resolution is highly dependent on market prices of the transactions cleared by the CCP, collateral collected by the CCP and losses that result in resolution. </w:t>
      </w:r>
      <w:r w:rsidR="00AA3B9A" w:rsidRPr="00F04D5C">
        <w:rPr>
          <w:rFonts w:ascii="Arial" w:hAnsi="Arial" w:cs="Arial"/>
          <w:sz w:val="24"/>
          <w:szCs w:val="24"/>
        </w:rPr>
        <w:t xml:space="preserve">Compared to the clearing </w:t>
      </w:r>
      <w:r w:rsidR="00276F7E" w:rsidRPr="00F04D5C">
        <w:rPr>
          <w:rFonts w:ascii="Arial" w:hAnsi="Arial" w:cs="Arial"/>
          <w:sz w:val="24"/>
          <w:szCs w:val="24"/>
        </w:rPr>
        <w:lastRenderedPageBreak/>
        <w:t>exposures</w:t>
      </w:r>
      <w:r w:rsidR="00AA3B9A" w:rsidRPr="00F04D5C">
        <w:rPr>
          <w:rFonts w:ascii="Arial" w:hAnsi="Arial" w:cs="Arial"/>
          <w:sz w:val="24"/>
          <w:szCs w:val="24"/>
        </w:rPr>
        <w:t>, t</w:t>
      </w:r>
      <w:r w:rsidR="00623B0C" w:rsidRPr="00F04D5C">
        <w:rPr>
          <w:rFonts w:ascii="Arial" w:hAnsi="Arial" w:cs="Arial"/>
          <w:sz w:val="24"/>
          <w:szCs w:val="24"/>
        </w:rPr>
        <w:t>he actual value of the CCP’s business (buildings, computer</w:t>
      </w:r>
      <w:r w:rsidR="004B4C71" w:rsidRPr="00F04D5C">
        <w:rPr>
          <w:rFonts w:ascii="Arial" w:hAnsi="Arial" w:cs="Arial"/>
          <w:sz w:val="24"/>
          <w:szCs w:val="24"/>
        </w:rPr>
        <w:t>s</w:t>
      </w:r>
      <w:r w:rsidR="00623B0C" w:rsidRPr="00F04D5C">
        <w:rPr>
          <w:rFonts w:ascii="Arial" w:hAnsi="Arial" w:cs="Arial"/>
          <w:sz w:val="24"/>
          <w:szCs w:val="24"/>
        </w:rPr>
        <w:t xml:space="preserve"> etc) is usually significantly lower.</w:t>
      </w:r>
    </w:p>
    <w:p w14:paraId="02E835F1" w14:textId="026D6033" w:rsidR="00623B0C" w:rsidRPr="00F04D5C" w:rsidRDefault="00623B0C" w:rsidP="00623B0C">
      <w:pPr>
        <w:rPr>
          <w:rFonts w:ascii="Arial" w:hAnsi="Arial" w:cs="Arial"/>
          <w:sz w:val="24"/>
          <w:szCs w:val="24"/>
        </w:rPr>
      </w:pPr>
      <w:r w:rsidRPr="00F04D5C">
        <w:rPr>
          <w:rFonts w:ascii="Arial" w:hAnsi="Arial" w:cs="Arial"/>
          <w:sz w:val="24"/>
          <w:szCs w:val="24"/>
        </w:rPr>
        <w:t>Valuation of a CCP is therefore highly time-dependent and needs to be largely automated, as far as clearing assets are involved.</w:t>
      </w:r>
    </w:p>
    <w:p w14:paraId="409FD4C0" w14:textId="4FD8152E" w:rsidR="00FE3F9A" w:rsidRPr="00F04D5C" w:rsidRDefault="00FE3F9A" w:rsidP="00FE3F9A">
      <w:pPr>
        <w:rPr>
          <w:rFonts w:ascii="Arial" w:hAnsi="Arial" w:cs="Arial"/>
          <w:sz w:val="24"/>
          <w:szCs w:val="24"/>
        </w:rPr>
      </w:pPr>
      <w:r w:rsidRPr="00F04D5C">
        <w:rPr>
          <w:rFonts w:ascii="Arial" w:hAnsi="Arial" w:cs="Arial"/>
          <w:sz w:val="24"/>
          <w:szCs w:val="24"/>
        </w:rPr>
        <w:t xml:space="preserve">We </w:t>
      </w:r>
      <w:r w:rsidR="00220E27" w:rsidRPr="00F04D5C">
        <w:rPr>
          <w:rFonts w:ascii="Arial" w:hAnsi="Arial" w:cs="Arial"/>
          <w:sz w:val="24"/>
          <w:szCs w:val="24"/>
        </w:rPr>
        <w:t>recommend</w:t>
      </w:r>
      <w:r w:rsidRPr="00F04D5C">
        <w:rPr>
          <w:rFonts w:ascii="Arial" w:hAnsi="Arial" w:cs="Arial"/>
          <w:sz w:val="24"/>
          <w:szCs w:val="24"/>
        </w:rPr>
        <w:t xml:space="preserve">, as part of the resolvability assessment, </w:t>
      </w:r>
      <w:r w:rsidR="00E16E3D" w:rsidRPr="00F04D5C">
        <w:rPr>
          <w:rFonts w:ascii="Arial" w:hAnsi="Arial" w:cs="Arial"/>
          <w:sz w:val="24"/>
          <w:szCs w:val="24"/>
        </w:rPr>
        <w:t xml:space="preserve">that </w:t>
      </w:r>
      <w:r w:rsidRPr="00F04D5C">
        <w:rPr>
          <w:rFonts w:ascii="Arial" w:hAnsi="Arial" w:cs="Arial"/>
          <w:sz w:val="24"/>
          <w:szCs w:val="24"/>
        </w:rPr>
        <w:t>the RA ensures that relevant information can be easily queried from CCP systems.</w:t>
      </w:r>
    </w:p>
    <w:p w14:paraId="391047D0" w14:textId="77777777" w:rsidR="00FE3F9A" w:rsidRPr="00F04D5C" w:rsidRDefault="00FE3F9A" w:rsidP="00623B0C">
      <w:pPr>
        <w:rPr>
          <w:rFonts w:ascii="Arial" w:hAnsi="Arial" w:cs="Arial"/>
          <w:sz w:val="24"/>
          <w:szCs w:val="24"/>
        </w:rPr>
      </w:pPr>
    </w:p>
    <w:p w14:paraId="32B68D8A" w14:textId="7EBE0B6D" w:rsidR="002427D5" w:rsidRPr="00F04D5C" w:rsidRDefault="002427D5" w:rsidP="002427D5">
      <w:pPr>
        <w:rPr>
          <w:rFonts w:ascii="Arial" w:hAnsi="Arial" w:cs="Arial"/>
          <w:sz w:val="24"/>
          <w:szCs w:val="24"/>
        </w:rPr>
      </w:pPr>
      <w:r w:rsidRPr="00F04D5C">
        <w:rPr>
          <w:rFonts w:ascii="Arial" w:hAnsi="Arial" w:cs="Arial"/>
          <w:sz w:val="24"/>
          <w:szCs w:val="24"/>
        </w:rPr>
        <w:t>&lt;ESMA_QUESTION_</w:t>
      </w:r>
      <w:r w:rsidR="00BD3E6E" w:rsidRPr="00F04D5C">
        <w:rPr>
          <w:rFonts w:ascii="Arial" w:hAnsi="Arial" w:cs="Arial"/>
          <w:sz w:val="24"/>
          <w:szCs w:val="24"/>
        </w:rPr>
        <w:t>VLTN</w:t>
      </w:r>
      <w:r w:rsidRPr="00F04D5C">
        <w:rPr>
          <w:rFonts w:ascii="Arial" w:hAnsi="Arial" w:cs="Arial"/>
          <w:sz w:val="24"/>
          <w:szCs w:val="24"/>
        </w:rPr>
        <w:t>_06&gt;</w:t>
      </w:r>
    </w:p>
    <w:bookmarkEnd w:id="1"/>
    <w:p w14:paraId="5B2CB5BC" w14:textId="77777777" w:rsidR="002427D5" w:rsidRPr="00F04D5C" w:rsidRDefault="002427D5" w:rsidP="002427D5">
      <w:pPr>
        <w:rPr>
          <w:rFonts w:ascii="Arial" w:hAnsi="Arial" w:cs="Arial"/>
          <w:sz w:val="24"/>
          <w:szCs w:val="24"/>
        </w:rPr>
      </w:pPr>
    </w:p>
    <w:p w14:paraId="16F859D8" w14:textId="77777777" w:rsidR="003311DE" w:rsidRPr="00F04D5C" w:rsidRDefault="003311DE" w:rsidP="001E4E74">
      <w:pPr>
        <w:pStyle w:val="Questionstyle"/>
      </w:pPr>
      <w:r w:rsidRPr="00F04D5C">
        <w:t>: Do you agree with the described process for performing the ‘No Creditor Worse Off’ Valuation in accordance with Article 61 of Regulation (EU) 2021/23?</w:t>
      </w:r>
    </w:p>
    <w:p w14:paraId="335ED98F" w14:textId="77777777" w:rsidR="003311DE" w:rsidRPr="00F04D5C" w:rsidRDefault="003311DE" w:rsidP="001E4E74">
      <w:pPr>
        <w:pStyle w:val="Questionstyle"/>
        <w:numPr>
          <w:ilvl w:val="0"/>
          <w:numId w:val="0"/>
        </w:numPr>
      </w:pPr>
    </w:p>
    <w:p w14:paraId="0924A6B9" w14:textId="4DD43224" w:rsidR="003311DE" w:rsidRPr="00F04D5C" w:rsidRDefault="003311DE" w:rsidP="001E4E74">
      <w:pPr>
        <w:pStyle w:val="Questionstyle"/>
        <w:numPr>
          <w:ilvl w:val="0"/>
          <w:numId w:val="0"/>
        </w:numPr>
      </w:pPr>
      <w:r w:rsidRPr="00F04D5C">
        <w:t>&lt;ESMA_QUESTION_VLTN_07&gt;</w:t>
      </w:r>
    </w:p>
    <w:p w14:paraId="318F767A" w14:textId="3506C3CA" w:rsidR="004D4AF2" w:rsidRPr="00F04D5C" w:rsidRDefault="00F874D6" w:rsidP="003311DE">
      <w:pPr>
        <w:rPr>
          <w:rFonts w:ascii="Arial" w:hAnsi="Arial" w:cs="Arial"/>
          <w:sz w:val="24"/>
          <w:szCs w:val="24"/>
        </w:rPr>
      </w:pPr>
      <w:r w:rsidRPr="00F04D5C">
        <w:rPr>
          <w:rFonts w:ascii="Arial" w:hAnsi="Arial" w:cs="Arial"/>
          <w:sz w:val="24"/>
          <w:szCs w:val="24"/>
        </w:rPr>
        <w:t>Performing the No Creditor Worse Off (NCWO) valuation is extremely difficult</w:t>
      </w:r>
      <w:r w:rsidR="00981B57" w:rsidRPr="00F04D5C">
        <w:rPr>
          <w:rFonts w:ascii="Arial" w:hAnsi="Arial" w:cs="Arial"/>
          <w:sz w:val="24"/>
          <w:szCs w:val="24"/>
        </w:rPr>
        <w:t>.</w:t>
      </w:r>
    </w:p>
    <w:p w14:paraId="15B4DBD1" w14:textId="741E19D6" w:rsidR="00006C07" w:rsidRPr="00F04D5C" w:rsidRDefault="00030976" w:rsidP="00006C07">
      <w:pPr>
        <w:rPr>
          <w:rFonts w:ascii="Arial" w:hAnsi="Arial" w:cs="Arial"/>
          <w:sz w:val="24"/>
          <w:szCs w:val="24"/>
        </w:rPr>
      </w:pPr>
      <w:r w:rsidRPr="00F04D5C">
        <w:rPr>
          <w:rFonts w:ascii="Arial" w:hAnsi="Arial" w:cs="Arial"/>
          <w:sz w:val="24"/>
          <w:szCs w:val="24"/>
        </w:rPr>
        <w:t xml:space="preserve">As the consultation (paragraph 96) states, </w:t>
      </w:r>
      <w:r w:rsidR="00103CBB" w:rsidRPr="00F04D5C">
        <w:rPr>
          <w:rFonts w:ascii="Arial" w:hAnsi="Arial" w:cs="Arial"/>
          <w:sz w:val="24"/>
          <w:szCs w:val="24"/>
        </w:rPr>
        <w:t xml:space="preserve">losses in resolution will only be different from losses in </w:t>
      </w:r>
      <w:r w:rsidR="00006C07" w:rsidRPr="00F04D5C">
        <w:rPr>
          <w:rFonts w:ascii="Arial" w:hAnsi="Arial" w:cs="Arial"/>
          <w:sz w:val="24"/>
          <w:szCs w:val="24"/>
        </w:rPr>
        <w:t xml:space="preserve">the counterfactual if </w:t>
      </w:r>
      <w:r w:rsidR="00D54380" w:rsidRPr="00F04D5C">
        <w:rPr>
          <w:rFonts w:ascii="Arial" w:hAnsi="Arial" w:cs="Arial"/>
          <w:sz w:val="24"/>
          <w:szCs w:val="24"/>
        </w:rPr>
        <w:t xml:space="preserve">the </w:t>
      </w:r>
      <w:r w:rsidR="003075FE" w:rsidRPr="00F04D5C">
        <w:rPr>
          <w:rFonts w:ascii="Arial" w:hAnsi="Arial" w:cs="Arial"/>
          <w:sz w:val="24"/>
          <w:szCs w:val="24"/>
        </w:rPr>
        <w:t>RA decides</w:t>
      </w:r>
      <w:r w:rsidR="00006C07" w:rsidRPr="00F04D5C">
        <w:rPr>
          <w:rFonts w:ascii="Arial" w:hAnsi="Arial" w:cs="Arial"/>
          <w:sz w:val="24"/>
          <w:szCs w:val="24"/>
        </w:rPr>
        <w:t xml:space="preserve"> to diverge from the rules defined by the CCP with regard to recovery or if the CCP rules include specific treatments for service closure or insolvency proceedings that are not considered under resolution</w:t>
      </w:r>
      <w:r w:rsidR="00F878D7" w:rsidRPr="00F04D5C">
        <w:rPr>
          <w:rFonts w:ascii="Arial" w:hAnsi="Arial" w:cs="Arial"/>
          <w:sz w:val="24"/>
          <w:szCs w:val="24"/>
        </w:rPr>
        <w:t xml:space="preserve">. However, a number </w:t>
      </w:r>
      <w:r w:rsidR="003075FE" w:rsidRPr="00F04D5C">
        <w:rPr>
          <w:rFonts w:ascii="Arial" w:hAnsi="Arial" w:cs="Arial"/>
          <w:sz w:val="24"/>
          <w:szCs w:val="24"/>
        </w:rPr>
        <w:t>of CCPs</w:t>
      </w:r>
      <w:r w:rsidR="00D73FD3" w:rsidRPr="00F04D5C">
        <w:rPr>
          <w:rFonts w:ascii="Arial" w:hAnsi="Arial" w:cs="Arial"/>
          <w:sz w:val="24"/>
          <w:szCs w:val="24"/>
        </w:rPr>
        <w:t xml:space="preserve">’ </w:t>
      </w:r>
      <w:r w:rsidR="00B25758" w:rsidRPr="00F04D5C">
        <w:rPr>
          <w:rFonts w:ascii="Arial" w:hAnsi="Arial" w:cs="Arial"/>
          <w:sz w:val="24"/>
          <w:szCs w:val="24"/>
        </w:rPr>
        <w:t>rulebooks include</w:t>
      </w:r>
      <w:r w:rsidR="00D73FD3" w:rsidRPr="00F04D5C">
        <w:rPr>
          <w:rFonts w:ascii="Arial" w:hAnsi="Arial" w:cs="Arial"/>
          <w:sz w:val="24"/>
          <w:szCs w:val="24"/>
        </w:rPr>
        <w:t xml:space="preserve"> special clauses for service closure. Also, CCPRRR gives the RA a lot of scope to deviate from the rulebook (otherwise the RA could have relied on recovery). It is therefore likely that the treatment in resolution will differ from that under the counterfactual.</w:t>
      </w:r>
    </w:p>
    <w:p w14:paraId="2F1BD794" w14:textId="7B94439E" w:rsidR="0058431F" w:rsidRPr="00F04D5C" w:rsidRDefault="00634088" w:rsidP="003311DE">
      <w:pPr>
        <w:rPr>
          <w:rFonts w:ascii="Arial" w:hAnsi="Arial" w:cs="Arial"/>
          <w:sz w:val="24"/>
          <w:szCs w:val="24"/>
        </w:rPr>
      </w:pPr>
      <w:r w:rsidRPr="00F04D5C">
        <w:rPr>
          <w:rFonts w:ascii="Arial" w:hAnsi="Arial" w:cs="Arial"/>
          <w:sz w:val="24"/>
          <w:szCs w:val="24"/>
        </w:rPr>
        <w:t>We overall agree with the proce</w:t>
      </w:r>
      <w:r w:rsidR="00152686" w:rsidRPr="00F04D5C">
        <w:rPr>
          <w:rFonts w:ascii="Arial" w:hAnsi="Arial" w:cs="Arial"/>
          <w:sz w:val="24"/>
          <w:szCs w:val="24"/>
        </w:rPr>
        <w:t>ss proposed, even though this process leave</w:t>
      </w:r>
      <w:r w:rsidR="0072633C" w:rsidRPr="00F04D5C">
        <w:rPr>
          <w:rFonts w:ascii="Arial" w:hAnsi="Arial" w:cs="Arial"/>
          <w:sz w:val="24"/>
          <w:szCs w:val="24"/>
        </w:rPr>
        <w:t>s</w:t>
      </w:r>
      <w:r w:rsidR="00152686" w:rsidRPr="00F04D5C">
        <w:rPr>
          <w:rFonts w:ascii="Arial" w:hAnsi="Arial" w:cs="Arial"/>
          <w:sz w:val="24"/>
          <w:szCs w:val="24"/>
        </w:rPr>
        <w:t xml:space="preserve"> </w:t>
      </w:r>
      <w:r w:rsidR="003075FE" w:rsidRPr="00F04D5C">
        <w:rPr>
          <w:rFonts w:ascii="Arial" w:hAnsi="Arial" w:cs="Arial"/>
          <w:sz w:val="24"/>
          <w:szCs w:val="24"/>
        </w:rPr>
        <w:t>multiple detailed</w:t>
      </w:r>
      <w:r w:rsidR="00152686" w:rsidRPr="00F04D5C">
        <w:rPr>
          <w:rFonts w:ascii="Arial" w:hAnsi="Arial" w:cs="Arial"/>
          <w:sz w:val="24"/>
          <w:szCs w:val="24"/>
        </w:rPr>
        <w:t xml:space="preserve"> questions to the valuer.</w:t>
      </w:r>
    </w:p>
    <w:p w14:paraId="636B18EE" w14:textId="702762E7" w:rsidR="00747522" w:rsidRPr="00F04D5C" w:rsidRDefault="00A30CEF" w:rsidP="00A30CEF">
      <w:pPr>
        <w:rPr>
          <w:rFonts w:ascii="Arial" w:hAnsi="Arial" w:cs="Arial"/>
          <w:sz w:val="24"/>
          <w:szCs w:val="24"/>
        </w:rPr>
      </w:pPr>
      <w:r w:rsidRPr="00F04D5C">
        <w:rPr>
          <w:rFonts w:ascii="Arial" w:hAnsi="Arial" w:cs="Arial"/>
          <w:sz w:val="24"/>
          <w:szCs w:val="24"/>
        </w:rPr>
        <w:t xml:space="preserve">We agree that the most significant and direct costs incurred by clearing members are the losses stemming from market moves between the time net positions </w:t>
      </w:r>
      <w:r w:rsidR="00D93AC0" w:rsidRPr="00F04D5C">
        <w:rPr>
          <w:rFonts w:ascii="Arial" w:hAnsi="Arial" w:cs="Arial"/>
          <w:sz w:val="24"/>
          <w:szCs w:val="24"/>
        </w:rPr>
        <w:t xml:space="preserve">are </w:t>
      </w:r>
      <w:r w:rsidRPr="00F04D5C">
        <w:rPr>
          <w:rFonts w:ascii="Arial" w:hAnsi="Arial" w:cs="Arial"/>
          <w:sz w:val="24"/>
          <w:szCs w:val="24"/>
        </w:rPr>
        <w:t xml:space="preserve">closed by the CCP and the time they </w:t>
      </w:r>
      <w:r w:rsidR="00D93AC0" w:rsidRPr="00F04D5C">
        <w:rPr>
          <w:rFonts w:ascii="Arial" w:hAnsi="Arial" w:cs="Arial"/>
          <w:sz w:val="24"/>
          <w:szCs w:val="24"/>
        </w:rPr>
        <w:t xml:space="preserve">are </w:t>
      </w:r>
      <w:r w:rsidRPr="00F04D5C">
        <w:rPr>
          <w:rFonts w:ascii="Arial" w:hAnsi="Arial" w:cs="Arial"/>
          <w:sz w:val="24"/>
          <w:szCs w:val="24"/>
        </w:rPr>
        <w:t xml:space="preserve">reopened, as well as liquidity and concentration costs associated </w:t>
      </w:r>
      <w:r w:rsidR="00B35B4A" w:rsidRPr="00F04D5C">
        <w:rPr>
          <w:rFonts w:ascii="Arial" w:hAnsi="Arial" w:cs="Arial"/>
          <w:sz w:val="24"/>
          <w:szCs w:val="24"/>
        </w:rPr>
        <w:t xml:space="preserve">with </w:t>
      </w:r>
      <w:r w:rsidRPr="00F04D5C">
        <w:rPr>
          <w:rFonts w:ascii="Arial" w:hAnsi="Arial" w:cs="Arial"/>
          <w:sz w:val="24"/>
          <w:szCs w:val="24"/>
        </w:rPr>
        <w:t>the reopening of these net positions.</w:t>
      </w:r>
      <w:r w:rsidR="008B1B34" w:rsidRPr="00F04D5C">
        <w:rPr>
          <w:rFonts w:ascii="Arial" w:hAnsi="Arial" w:cs="Arial"/>
          <w:sz w:val="24"/>
          <w:szCs w:val="24"/>
        </w:rPr>
        <w:t xml:space="preserve"> We however </w:t>
      </w:r>
      <w:r w:rsidR="003F18BB" w:rsidRPr="00F04D5C">
        <w:rPr>
          <w:rFonts w:ascii="Arial" w:hAnsi="Arial" w:cs="Arial"/>
          <w:sz w:val="24"/>
          <w:szCs w:val="24"/>
        </w:rPr>
        <w:t>believe</w:t>
      </w:r>
      <w:r w:rsidR="00184CB6" w:rsidRPr="00F04D5C">
        <w:rPr>
          <w:rFonts w:ascii="Arial" w:hAnsi="Arial" w:cs="Arial"/>
          <w:sz w:val="24"/>
          <w:szCs w:val="24"/>
        </w:rPr>
        <w:t xml:space="preserve"> that </w:t>
      </w:r>
      <w:r w:rsidR="00BA0362" w:rsidRPr="00F04D5C">
        <w:rPr>
          <w:rFonts w:ascii="Arial" w:hAnsi="Arial" w:cs="Arial"/>
          <w:sz w:val="24"/>
          <w:szCs w:val="24"/>
        </w:rPr>
        <w:t xml:space="preserve">there could be circumstances where </w:t>
      </w:r>
      <w:r w:rsidR="00184CB6" w:rsidRPr="00F04D5C">
        <w:rPr>
          <w:rFonts w:ascii="Arial" w:hAnsi="Arial" w:cs="Arial"/>
          <w:sz w:val="24"/>
          <w:szCs w:val="24"/>
        </w:rPr>
        <w:t xml:space="preserve">the time difference between these two events will be very short, as clearing participants </w:t>
      </w:r>
      <w:r w:rsidR="003075FE" w:rsidRPr="00F04D5C">
        <w:rPr>
          <w:rFonts w:ascii="Arial" w:hAnsi="Arial" w:cs="Arial"/>
          <w:sz w:val="24"/>
          <w:szCs w:val="24"/>
        </w:rPr>
        <w:t>could</w:t>
      </w:r>
      <w:r w:rsidR="00BA0362" w:rsidRPr="00F04D5C">
        <w:rPr>
          <w:rFonts w:ascii="Arial" w:hAnsi="Arial" w:cs="Arial"/>
          <w:sz w:val="24"/>
          <w:szCs w:val="24"/>
        </w:rPr>
        <w:t xml:space="preserve"> consider re-hedging</w:t>
      </w:r>
      <w:r w:rsidR="00184CB6" w:rsidRPr="00F04D5C">
        <w:rPr>
          <w:rFonts w:ascii="Arial" w:hAnsi="Arial" w:cs="Arial"/>
          <w:sz w:val="24"/>
          <w:szCs w:val="24"/>
        </w:rPr>
        <w:t xml:space="preserve"> themselves as soon as they deem the existing hedges at a CCP likely to be </w:t>
      </w:r>
      <w:r w:rsidR="003F18BB" w:rsidRPr="00F04D5C">
        <w:rPr>
          <w:rFonts w:ascii="Arial" w:hAnsi="Arial" w:cs="Arial"/>
          <w:sz w:val="24"/>
          <w:szCs w:val="24"/>
        </w:rPr>
        <w:t xml:space="preserve">in default proceeding not to be effective. </w:t>
      </w:r>
      <w:r w:rsidR="00364EFB" w:rsidRPr="00F04D5C">
        <w:rPr>
          <w:rFonts w:ascii="Arial" w:hAnsi="Arial" w:cs="Arial"/>
          <w:sz w:val="24"/>
          <w:szCs w:val="24"/>
        </w:rPr>
        <w:t xml:space="preserve">Please see also the response to question 8 that describes that </w:t>
      </w:r>
      <w:r w:rsidR="00503D5E" w:rsidRPr="00F04D5C">
        <w:rPr>
          <w:rFonts w:ascii="Arial" w:hAnsi="Arial" w:cs="Arial"/>
          <w:sz w:val="24"/>
          <w:szCs w:val="24"/>
        </w:rPr>
        <w:t>firms will</w:t>
      </w:r>
      <w:r w:rsidR="00B35B4A" w:rsidRPr="00F04D5C">
        <w:rPr>
          <w:rFonts w:ascii="Arial" w:hAnsi="Arial" w:cs="Arial"/>
          <w:sz w:val="24"/>
          <w:szCs w:val="24"/>
        </w:rPr>
        <w:t xml:space="preserve"> not</w:t>
      </w:r>
      <w:r w:rsidR="00503D5E" w:rsidRPr="00F04D5C">
        <w:rPr>
          <w:rFonts w:ascii="Arial" w:hAnsi="Arial"/>
          <w:sz w:val="24"/>
        </w:rPr>
        <w:t xml:space="preserve"> re-hedge themselves in </w:t>
      </w:r>
      <w:r w:rsidR="003075FE" w:rsidRPr="00F04D5C">
        <w:rPr>
          <w:rFonts w:ascii="Arial" w:hAnsi="Arial" w:cs="Arial"/>
          <w:sz w:val="24"/>
          <w:szCs w:val="24"/>
        </w:rPr>
        <w:t>a</w:t>
      </w:r>
      <w:r w:rsidR="00503D5E" w:rsidRPr="00F04D5C">
        <w:rPr>
          <w:rFonts w:ascii="Arial" w:hAnsi="Arial" w:cs="Arial"/>
          <w:sz w:val="24"/>
          <w:szCs w:val="24"/>
        </w:rPr>
        <w:t xml:space="preserve"> uniform fashion.</w:t>
      </w:r>
    </w:p>
    <w:p w14:paraId="4F2DBD3E" w14:textId="60AB69D0" w:rsidR="006D66BA" w:rsidRPr="00F04D5C" w:rsidRDefault="006D66BA" w:rsidP="00A30CEF">
      <w:pPr>
        <w:rPr>
          <w:rFonts w:ascii="Arial" w:hAnsi="Arial" w:cs="Arial"/>
          <w:sz w:val="24"/>
          <w:szCs w:val="24"/>
        </w:rPr>
      </w:pPr>
      <w:r w:rsidRPr="00F04D5C">
        <w:rPr>
          <w:rFonts w:ascii="Arial" w:hAnsi="Arial" w:cs="Arial"/>
          <w:sz w:val="24"/>
          <w:szCs w:val="24"/>
        </w:rPr>
        <w:t xml:space="preserve">We very much welcome that ESMA discarded the </w:t>
      </w:r>
      <w:r w:rsidR="00D53C5E" w:rsidRPr="00F04D5C">
        <w:rPr>
          <w:rFonts w:ascii="Arial" w:hAnsi="Arial" w:cs="Arial"/>
          <w:sz w:val="24"/>
          <w:szCs w:val="24"/>
        </w:rPr>
        <w:t>use</w:t>
      </w:r>
      <w:r w:rsidRPr="00F04D5C">
        <w:rPr>
          <w:rFonts w:ascii="Arial" w:hAnsi="Arial" w:cs="Arial"/>
          <w:sz w:val="24"/>
          <w:szCs w:val="24"/>
        </w:rPr>
        <w:t xml:space="preserve"> of extreme</w:t>
      </w:r>
      <w:r w:rsidR="00FD224A" w:rsidRPr="00F04D5C">
        <w:rPr>
          <w:rFonts w:ascii="Arial" w:hAnsi="Arial" w:cs="Arial"/>
          <w:sz w:val="24"/>
          <w:szCs w:val="24"/>
        </w:rPr>
        <w:t xml:space="preserve"> proxies for replacement costs like initial margin.</w:t>
      </w:r>
    </w:p>
    <w:p w14:paraId="2CC9D9C0" w14:textId="14D4CC8E" w:rsidR="00A30CEF" w:rsidRPr="00F04D5C" w:rsidRDefault="00A30CEF" w:rsidP="00A30CEF">
      <w:pPr>
        <w:rPr>
          <w:rFonts w:ascii="Arial" w:hAnsi="Arial" w:cs="Arial"/>
          <w:sz w:val="24"/>
          <w:szCs w:val="24"/>
        </w:rPr>
      </w:pPr>
      <w:r w:rsidRPr="00F04D5C">
        <w:rPr>
          <w:rFonts w:ascii="Arial" w:hAnsi="Arial" w:cs="Arial"/>
          <w:sz w:val="24"/>
          <w:szCs w:val="24"/>
        </w:rPr>
        <w:t xml:space="preserve">As </w:t>
      </w:r>
      <w:r w:rsidR="000C7451" w:rsidRPr="00F04D5C">
        <w:rPr>
          <w:rFonts w:ascii="Arial" w:hAnsi="Arial" w:cs="Arial"/>
          <w:sz w:val="24"/>
          <w:szCs w:val="24"/>
        </w:rPr>
        <w:t>proposed</w:t>
      </w:r>
      <w:r w:rsidR="00A6467E" w:rsidRPr="00F04D5C">
        <w:rPr>
          <w:rFonts w:ascii="Arial" w:hAnsi="Arial" w:cs="Arial"/>
          <w:sz w:val="24"/>
          <w:szCs w:val="24"/>
        </w:rPr>
        <w:t xml:space="preserve"> at</w:t>
      </w:r>
      <w:r w:rsidRPr="00F04D5C">
        <w:rPr>
          <w:rFonts w:ascii="Arial" w:hAnsi="Arial" w:cs="Arial"/>
          <w:sz w:val="24"/>
          <w:szCs w:val="24"/>
        </w:rPr>
        <w:t xml:space="preserve"> </w:t>
      </w:r>
      <w:r w:rsidR="000C7451" w:rsidRPr="00F04D5C">
        <w:rPr>
          <w:rFonts w:ascii="Arial" w:hAnsi="Arial" w:cs="Arial"/>
          <w:sz w:val="24"/>
          <w:szCs w:val="24"/>
        </w:rPr>
        <w:t xml:space="preserve">paragraph 110, the </w:t>
      </w:r>
      <w:r w:rsidRPr="00F04D5C">
        <w:rPr>
          <w:rFonts w:ascii="Arial" w:hAnsi="Arial" w:cs="Arial"/>
          <w:sz w:val="24"/>
          <w:szCs w:val="24"/>
        </w:rPr>
        <w:t>valu</w:t>
      </w:r>
      <w:r w:rsidR="008B1B34" w:rsidRPr="00F04D5C">
        <w:rPr>
          <w:rFonts w:ascii="Arial" w:hAnsi="Arial" w:cs="Arial"/>
          <w:sz w:val="24"/>
          <w:szCs w:val="24"/>
        </w:rPr>
        <w:t xml:space="preserve">er </w:t>
      </w:r>
      <w:r w:rsidRPr="00F04D5C">
        <w:rPr>
          <w:rFonts w:ascii="Arial" w:hAnsi="Arial" w:cs="Arial"/>
          <w:sz w:val="24"/>
          <w:szCs w:val="24"/>
        </w:rPr>
        <w:t xml:space="preserve">could use as many observations as possible from resolution, assuming that the recovery plan would have allowed the CCP to use similar tools and taking path-dependency into account. For instance, the </w:t>
      </w:r>
      <w:r w:rsidRPr="00F04D5C">
        <w:rPr>
          <w:rFonts w:ascii="Arial" w:hAnsi="Arial" w:cs="Arial"/>
          <w:sz w:val="24"/>
          <w:szCs w:val="24"/>
        </w:rPr>
        <w:lastRenderedPageBreak/>
        <w:t>impact of VMGH for each clearing participant will depend on the day VMGH is enacted.</w:t>
      </w:r>
    </w:p>
    <w:p w14:paraId="39D8A838" w14:textId="09D781B9" w:rsidR="00747522" w:rsidRPr="00F04D5C" w:rsidRDefault="00E36296" w:rsidP="0058431F">
      <w:pPr>
        <w:rPr>
          <w:rFonts w:ascii="Arial" w:hAnsi="Arial" w:cs="Arial"/>
          <w:sz w:val="24"/>
          <w:szCs w:val="24"/>
        </w:rPr>
      </w:pPr>
      <w:r w:rsidRPr="00F04D5C">
        <w:rPr>
          <w:rFonts w:ascii="Arial" w:hAnsi="Arial" w:cs="Arial"/>
          <w:sz w:val="24"/>
          <w:szCs w:val="24"/>
        </w:rPr>
        <w:t>Overall, we agree that the valuer will have to follow a simplistic approach,</w:t>
      </w:r>
      <w:r w:rsidR="007D7F0D" w:rsidRPr="00F04D5C">
        <w:rPr>
          <w:rFonts w:ascii="Arial" w:hAnsi="Arial" w:cs="Arial"/>
          <w:sz w:val="24"/>
          <w:szCs w:val="24"/>
        </w:rPr>
        <w:t xml:space="preserve"> </w:t>
      </w:r>
      <w:r w:rsidRPr="00F04D5C">
        <w:rPr>
          <w:rFonts w:ascii="Arial" w:hAnsi="Arial" w:cs="Arial"/>
          <w:sz w:val="24"/>
          <w:szCs w:val="24"/>
        </w:rPr>
        <w:t xml:space="preserve">as long as this </w:t>
      </w:r>
      <w:r w:rsidR="003A063A" w:rsidRPr="00F04D5C">
        <w:rPr>
          <w:rFonts w:ascii="Arial" w:hAnsi="Arial" w:cs="Arial"/>
          <w:sz w:val="24"/>
          <w:szCs w:val="24"/>
        </w:rPr>
        <w:t xml:space="preserve">simplistic approach results in </w:t>
      </w:r>
      <w:r w:rsidRPr="00F04D5C">
        <w:rPr>
          <w:rFonts w:ascii="Arial" w:hAnsi="Arial" w:cs="Arial"/>
          <w:sz w:val="24"/>
          <w:szCs w:val="24"/>
        </w:rPr>
        <w:t>fair estimates</w:t>
      </w:r>
      <w:r w:rsidR="007D7F0D" w:rsidRPr="00F04D5C">
        <w:rPr>
          <w:rFonts w:ascii="Arial" w:hAnsi="Arial" w:cs="Arial"/>
          <w:sz w:val="24"/>
          <w:szCs w:val="24"/>
        </w:rPr>
        <w:t>.</w:t>
      </w:r>
    </w:p>
    <w:p w14:paraId="01F51980" w14:textId="32DFF900" w:rsidR="0058431F" w:rsidRPr="00F04D5C" w:rsidRDefault="0058431F" w:rsidP="003311DE">
      <w:pPr>
        <w:rPr>
          <w:rFonts w:ascii="Arial" w:hAnsi="Arial" w:cs="Arial"/>
          <w:sz w:val="24"/>
          <w:szCs w:val="24"/>
        </w:rPr>
      </w:pPr>
    </w:p>
    <w:p w14:paraId="55604300" w14:textId="77777777" w:rsidR="0058431F" w:rsidRPr="00F04D5C" w:rsidRDefault="0058431F" w:rsidP="003311DE">
      <w:pPr>
        <w:rPr>
          <w:rFonts w:ascii="Arial" w:hAnsi="Arial" w:cs="Arial"/>
          <w:sz w:val="24"/>
          <w:szCs w:val="24"/>
        </w:rPr>
      </w:pPr>
    </w:p>
    <w:p w14:paraId="10BF4B67" w14:textId="4FDD8437" w:rsidR="003311DE" w:rsidRPr="00F04D5C" w:rsidRDefault="003311DE" w:rsidP="003311DE">
      <w:pPr>
        <w:rPr>
          <w:rFonts w:ascii="Arial" w:hAnsi="Arial" w:cs="Arial"/>
          <w:sz w:val="24"/>
          <w:szCs w:val="24"/>
        </w:rPr>
      </w:pPr>
      <w:r w:rsidRPr="00F04D5C">
        <w:rPr>
          <w:rFonts w:ascii="Arial" w:hAnsi="Arial" w:cs="Arial"/>
          <w:sz w:val="24"/>
          <w:szCs w:val="24"/>
        </w:rPr>
        <w:t>&lt;ESMA_QUESTION_VLTN_07&gt;</w:t>
      </w:r>
    </w:p>
    <w:p w14:paraId="4D8CB92D" w14:textId="77777777" w:rsidR="003311DE" w:rsidRPr="00F04D5C" w:rsidRDefault="003311DE" w:rsidP="003311DE">
      <w:pPr>
        <w:rPr>
          <w:lang w:eastAsia="en-GB"/>
        </w:rPr>
      </w:pPr>
    </w:p>
    <w:p w14:paraId="2776437F" w14:textId="18606870" w:rsidR="003311DE" w:rsidRPr="00F04D5C" w:rsidRDefault="003311DE" w:rsidP="001E4E74">
      <w:pPr>
        <w:pStyle w:val="Questionstyle"/>
      </w:pPr>
      <w:r w:rsidRPr="00F04D5C">
        <w:t>: Question 8:</w:t>
      </w:r>
      <w:r w:rsidRPr="00F04D5C">
        <w:tab/>
        <w:t>Do you agree with the proposed list of direct replacement costs to be included in the NCWO valuation?</w:t>
      </w:r>
    </w:p>
    <w:p w14:paraId="21C9C72D" w14:textId="32C186EB" w:rsidR="003311DE" w:rsidRPr="00F04D5C" w:rsidRDefault="003311DE" w:rsidP="003311DE">
      <w:pPr>
        <w:rPr>
          <w:rFonts w:ascii="Arial" w:hAnsi="Arial" w:cs="Arial"/>
          <w:sz w:val="24"/>
          <w:szCs w:val="24"/>
        </w:rPr>
      </w:pPr>
      <w:r w:rsidRPr="00F04D5C">
        <w:rPr>
          <w:rFonts w:ascii="Arial" w:hAnsi="Arial" w:cs="Arial"/>
          <w:sz w:val="24"/>
          <w:szCs w:val="24"/>
        </w:rPr>
        <w:t>&lt;ESMA_QUESTION_VLTN_08&gt;</w:t>
      </w:r>
    </w:p>
    <w:p w14:paraId="6A6DA616" w14:textId="4BF4162B" w:rsidR="000E1C9D" w:rsidRPr="00F04D5C" w:rsidRDefault="000E1C9D" w:rsidP="000E1C9D">
      <w:pPr>
        <w:rPr>
          <w:rFonts w:ascii="Arial" w:hAnsi="Arial" w:cs="Arial"/>
          <w:sz w:val="24"/>
          <w:szCs w:val="24"/>
        </w:rPr>
      </w:pPr>
      <w:r w:rsidRPr="00F04D5C">
        <w:rPr>
          <w:rFonts w:ascii="Arial" w:hAnsi="Arial" w:cs="Arial"/>
          <w:sz w:val="24"/>
          <w:szCs w:val="24"/>
        </w:rPr>
        <w:t xml:space="preserve">With respect to </w:t>
      </w:r>
      <w:r w:rsidR="003075FE" w:rsidRPr="00F04D5C">
        <w:rPr>
          <w:rFonts w:ascii="Arial" w:hAnsi="Arial" w:cs="Arial"/>
          <w:sz w:val="24"/>
          <w:szCs w:val="24"/>
        </w:rPr>
        <w:t>A</w:t>
      </w:r>
      <w:r w:rsidRPr="00F04D5C">
        <w:rPr>
          <w:rFonts w:ascii="Arial" w:hAnsi="Arial" w:cs="Arial"/>
          <w:sz w:val="24"/>
          <w:szCs w:val="24"/>
        </w:rPr>
        <w:t>rt</w:t>
      </w:r>
      <w:r w:rsidR="00B35B4A" w:rsidRPr="00F04D5C">
        <w:rPr>
          <w:rFonts w:ascii="Arial" w:hAnsi="Arial" w:cs="Arial"/>
          <w:sz w:val="24"/>
          <w:szCs w:val="24"/>
        </w:rPr>
        <w:t>icle</w:t>
      </w:r>
      <w:r w:rsidRPr="00F04D5C">
        <w:rPr>
          <w:rFonts w:ascii="Arial" w:hAnsi="Arial" w:cs="Arial"/>
          <w:sz w:val="24"/>
          <w:szCs w:val="24"/>
        </w:rPr>
        <w:t xml:space="preserve"> 25 of the draft RTS, we strongly disagree with the concept of including commercially reasonable replacement costs in the calculation as described in the draft </w:t>
      </w:r>
      <w:r w:rsidR="003075FE" w:rsidRPr="00F04D5C">
        <w:rPr>
          <w:rFonts w:ascii="Arial" w:hAnsi="Arial" w:cs="Arial"/>
          <w:sz w:val="24"/>
          <w:szCs w:val="24"/>
        </w:rPr>
        <w:t>A</w:t>
      </w:r>
      <w:r w:rsidRPr="00F04D5C">
        <w:rPr>
          <w:rFonts w:ascii="Arial" w:hAnsi="Arial" w:cs="Arial"/>
          <w:sz w:val="24"/>
          <w:szCs w:val="24"/>
        </w:rPr>
        <w:t>rticle 24 RTS. While we appreciate that ESMA has a mandate to draft standards to determine such replacement costs, there are significant practical challenges in deriving a reasonable estimate of what such cost would be</w:t>
      </w:r>
      <w:r w:rsidR="00F04D5C">
        <w:rPr>
          <w:rFonts w:ascii="Arial" w:hAnsi="Arial" w:cs="Arial"/>
          <w:sz w:val="24"/>
          <w:szCs w:val="24"/>
        </w:rPr>
        <w:t>,</w:t>
      </w:r>
      <w:r w:rsidRPr="00F04D5C">
        <w:rPr>
          <w:rFonts w:ascii="Arial" w:hAnsi="Arial" w:cs="Arial"/>
          <w:sz w:val="24"/>
          <w:szCs w:val="24"/>
        </w:rPr>
        <w:t xml:space="preserve"> given the number of assumptions a valuer would need to make. To provide some examples:</w:t>
      </w:r>
    </w:p>
    <w:p w14:paraId="38C503A6" w14:textId="1F72712A" w:rsidR="000E1C9D" w:rsidRPr="00F04D5C" w:rsidRDefault="000E1C9D" w:rsidP="000E1C9D">
      <w:pPr>
        <w:rPr>
          <w:rFonts w:ascii="Arial" w:hAnsi="Arial" w:cs="Arial"/>
          <w:sz w:val="24"/>
          <w:szCs w:val="24"/>
        </w:rPr>
      </w:pPr>
      <w:r w:rsidRPr="00F04D5C">
        <w:rPr>
          <w:rFonts w:ascii="Arial" w:hAnsi="Arial" w:cs="Arial"/>
          <w:sz w:val="24"/>
          <w:szCs w:val="24"/>
        </w:rPr>
        <w:t xml:space="preserve">Some market participants may reinstate their positions if their existing positions would have been closed out due to a CCP’s insolvency. </w:t>
      </w:r>
      <w:r w:rsidR="00C76A15" w:rsidRPr="00F04D5C">
        <w:rPr>
          <w:rFonts w:ascii="Arial" w:hAnsi="Arial" w:cs="Arial"/>
          <w:sz w:val="24"/>
          <w:szCs w:val="24"/>
        </w:rPr>
        <w:t>However,</w:t>
      </w:r>
      <w:r w:rsidRPr="00F04D5C">
        <w:rPr>
          <w:rFonts w:ascii="Arial" w:hAnsi="Arial" w:cs="Arial"/>
          <w:sz w:val="24"/>
          <w:szCs w:val="24"/>
        </w:rPr>
        <w:t xml:space="preserve"> this may be done through other instruments (</w:t>
      </w:r>
      <w:r w:rsidR="00C76A15" w:rsidRPr="00F04D5C">
        <w:rPr>
          <w:rFonts w:ascii="Arial" w:hAnsi="Arial" w:cs="Arial"/>
          <w:sz w:val="24"/>
          <w:szCs w:val="24"/>
        </w:rPr>
        <w:t xml:space="preserve">e.g., </w:t>
      </w:r>
      <w:r w:rsidRPr="00F04D5C">
        <w:rPr>
          <w:rFonts w:ascii="Arial" w:hAnsi="Arial" w:cs="Arial"/>
          <w:sz w:val="24"/>
          <w:szCs w:val="24"/>
        </w:rPr>
        <w:t>a future versus a swap), this may be done in tranches and therefore over time, this might not be done at all (as the hedge is no longer needed as both the client position mirroring the house position have been closed out due to liquidation)</w:t>
      </w:r>
      <w:r w:rsidR="00B35B4A" w:rsidRPr="00F04D5C">
        <w:rPr>
          <w:rFonts w:ascii="Arial" w:hAnsi="Arial" w:cs="Arial"/>
          <w:sz w:val="24"/>
          <w:szCs w:val="24"/>
        </w:rPr>
        <w:t>,</w:t>
      </w:r>
      <w:r w:rsidRPr="00F04D5C">
        <w:rPr>
          <w:rFonts w:ascii="Arial" w:hAnsi="Arial" w:cs="Arial"/>
          <w:sz w:val="24"/>
          <w:szCs w:val="24"/>
        </w:rPr>
        <w:t xml:space="preserve"> or this may be done bilaterally or at CCPs elsewhere in the world. It is nearly impossible to determine the </w:t>
      </w:r>
      <w:r w:rsidR="001F6A30" w:rsidRPr="00F04D5C">
        <w:rPr>
          <w:rFonts w:ascii="Arial" w:hAnsi="Arial" w:cs="Arial"/>
          <w:sz w:val="24"/>
          <w:szCs w:val="24"/>
        </w:rPr>
        <w:t xml:space="preserve">replacement cost and the </w:t>
      </w:r>
      <w:r w:rsidRPr="00F04D5C">
        <w:rPr>
          <w:rFonts w:ascii="Arial" w:hAnsi="Arial" w:cs="Arial"/>
          <w:sz w:val="24"/>
          <w:szCs w:val="24"/>
        </w:rPr>
        <w:t xml:space="preserve">cost of funding for margin should positions be reinstated, as this depends how many other market participants would reinstate their positions at the same alternate venue at the same time. </w:t>
      </w:r>
      <w:r w:rsidR="005A5A36" w:rsidRPr="00F04D5C">
        <w:rPr>
          <w:rFonts w:ascii="Arial" w:hAnsi="Arial" w:cs="Arial"/>
          <w:sz w:val="24"/>
          <w:szCs w:val="24"/>
        </w:rPr>
        <w:t>Therefore,</w:t>
      </w:r>
      <w:r w:rsidRPr="00F04D5C">
        <w:rPr>
          <w:rFonts w:ascii="Arial" w:hAnsi="Arial" w:cs="Arial"/>
          <w:sz w:val="24"/>
          <w:szCs w:val="24"/>
        </w:rPr>
        <w:t xml:space="preserve"> any assumptions on concentrated positions cannot be made with confidence as this is highly dependent on the </w:t>
      </w:r>
      <w:r w:rsidR="00C76A15" w:rsidRPr="00F04D5C">
        <w:rPr>
          <w:rFonts w:ascii="Arial" w:hAnsi="Arial" w:cs="Arial"/>
          <w:sz w:val="24"/>
          <w:szCs w:val="24"/>
        </w:rPr>
        <w:t>behaviour</w:t>
      </w:r>
      <w:r w:rsidRPr="00F04D5C">
        <w:rPr>
          <w:rFonts w:ascii="Arial" w:hAnsi="Arial" w:cs="Arial"/>
          <w:sz w:val="24"/>
          <w:szCs w:val="24"/>
        </w:rPr>
        <w:t xml:space="preserve"> of the market as a whole and not solely of one or two market participants. In </w:t>
      </w:r>
      <w:r w:rsidR="005A5A36" w:rsidRPr="00F04D5C">
        <w:rPr>
          <w:rFonts w:ascii="Arial" w:hAnsi="Arial" w:cs="Arial"/>
          <w:sz w:val="24"/>
          <w:szCs w:val="24"/>
        </w:rPr>
        <w:t>addition,</w:t>
      </w:r>
      <w:r w:rsidRPr="00F04D5C">
        <w:rPr>
          <w:rFonts w:ascii="Arial" w:hAnsi="Arial" w:cs="Arial"/>
          <w:sz w:val="24"/>
          <w:szCs w:val="24"/>
        </w:rPr>
        <w:t xml:space="preserve"> there could be offsetting positions or other portfolio effects which decrease overall margin requirements at the alternate CCP. </w:t>
      </w:r>
      <w:r w:rsidR="005A5A36" w:rsidRPr="00F04D5C">
        <w:rPr>
          <w:rFonts w:ascii="Arial" w:hAnsi="Arial" w:cs="Arial"/>
          <w:sz w:val="24"/>
          <w:szCs w:val="24"/>
        </w:rPr>
        <w:t>Moreover</w:t>
      </w:r>
      <w:r w:rsidR="00C76A15" w:rsidRPr="00F04D5C">
        <w:rPr>
          <w:rFonts w:ascii="Arial" w:hAnsi="Arial" w:cs="Arial"/>
          <w:sz w:val="24"/>
          <w:szCs w:val="24"/>
        </w:rPr>
        <w:t>,</w:t>
      </w:r>
      <w:r w:rsidRPr="00F04D5C">
        <w:rPr>
          <w:rFonts w:ascii="Arial" w:hAnsi="Arial" w:cs="Arial"/>
          <w:sz w:val="24"/>
          <w:szCs w:val="24"/>
        </w:rPr>
        <w:t xml:space="preserve"> the cost of funding (for initial margin) is different for each clearing member</w:t>
      </w:r>
      <w:r w:rsidR="002A7024" w:rsidRPr="00F04D5C">
        <w:rPr>
          <w:rFonts w:ascii="Arial" w:hAnsi="Arial" w:cs="Arial"/>
          <w:sz w:val="24"/>
          <w:szCs w:val="24"/>
        </w:rPr>
        <w:t xml:space="preserve">: the cost </w:t>
      </w:r>
      <w:r w:rsidRPr="00F04D5C">
        <w:rPr>
          <w:rFonts w:ascii="Arial" w:hAnsi="Arial" w:cs="Arial"/>
          <w:sz w:val="24"/>
          <w:szCs w:val="24"/>
        </w:rPr>
        <w:t>may be negative for some and positive for others. Finally, there could be market circumstances that would warrant market participants to not replace their liquidated positions within a reasonable timeframe as participants prefer to see the market stabilize first, which could take some time.</w:t>
      </w:r>
    </w:p>
    <w:p w14:paraId="6AF45EA3" w14:textId="52E8ABD1" w:rsidR="002A7024" w:rsidRPr="00F04D5C" w:rsidRDefault="000E1C9D" w:rsidP="000E1C9D">
      <w:pPr>
        <w:rPr>
          <w:rFonts w:ascii="Arial" w:hAnsi="Arial" w:cs="Arial"/>
          <w:sz w:val="24"/>
          <w:szCs w:val="24"/>
        </w:rPr>
      </w:pPr>
      <w:r w:rsidRPr="00F04D5C">
        <w:rPr>
          <w:rFonts w:ascii="Arial" w:hAnsi="Arial" w:cs="Arial"/>
          <w:sz w:val="24"/>
          <w:szCs w:val="24"/>
        </w:rPr>
        <w:t>These reasons amongst others indicate the significant challenges in deriving a reasonable estimate of replacement costs given the many variables involved. As a result, we strongly recommend that ESMA formulates standards that would minimize the outcome of any replacement cost calculation</w:t>
      </w:r>
      <w:r w:rsidR="002A7024" w:rsidRPr="00F04D5C">
        <w:rPr>
          <w:rFonts w:ascii="Arial" w:hAnsi="Arial" w:cs="Arial"/>
          <w:sz w:val="24"/>
          <w:szCs w:val="24"/>
        </w:rPr>
        <w:t>.</w:t>
      </w:r>
    </w:p>
    <w:p w14:paraId="7408289A" w14:textId="2B4E2E9F" w:rsidR="002A7024" w:rsidRPr="00F04D5C" w:rsidRDefault="002A7024" w:rsidP="000E1C9D">
      <w:pPr>
        <w:rPr>
          <w:rFonts w:ascii="Arial" w:hAnsi="Arial" w:cs="Arial"/>
          <w:sz w:val="24"/>
          <w:szCs w:val="24"/>
        </w:rPr>
      </w:pPr>
      <w:r w:rsidRPr="00F04D5C">
        <w:rPr>
          <w:rFonts w:ascii="Arial" w:hAnsi="Arial" w:cs="Arial"/>
          <w:sz w:val="24"/>
          <w:szCs w:val="24"/>
        </w:rPr>
        <w:lastRenderedPageBreak/>
        <w:t>Having said that, and acknowledging that ESMA will feel bound by Level 1 rules, we make some more detailed comments to the proposed rules:</w:t>
      </w:r>
    </w:p>
    <w:p w14:paraId="29707413" w14:textId="5740559E" w:rsidR="00516AC7" w:rsidRPr="00F04D5C" w:rsidRDefault="00C24EA7" w:rsidP="000E1C9D">
      <w:pPr>
        <w:rPr>
          <w:rFonts w:ascii="Arial" w:hAnsi="Arial" w:cs="Arial"/>
          <w:sz w:val="24"/>
          <w:szCs w:val="24"/>
        </w:rPr>
      </w:pPr>
      <w:r w:rsidRPr="00F04D5C">
        <w:rPr>
          <w:rFonts w:ascii="Arial" w:hAnsi="Arial" w:cs="Arial"/>
          <w:sz w:val="24"/>
          <w:szCs w:val="24"/>
        </w:rPr>
        <w:t xml:space="preserve">We </w:t>
      </w:r>
      <w:r w:rsidR="005B0231" w:rsidRPr="00F04D5C">
        <w:rPr>
          <w:rFonts w:ascii="Arial" w:hAnsi="Arial" w:cs="Arial"/>
          <w:sz w:val="24"/>
          <w:szCs w:val="24"/>
        </w:rPr>
        <w:t>agree</w:t>
      </w:r>
      <w:r w:rsidRPr="00F04D5C">
        <w:rPr>
          <w:rFonts w:ascii="Arial" w:hAnsi="Arial" w:cs="Arial"/>
          <w:sz w:val="24"/>
          <w:szCs w:val="24"/>
        </w:rPr>
        <w:t xml:space="preserve"> that the direct replacement cost would be </w:t>
      </w:r>
      <w:r w:rsidR="005B0231" w:rsidRPr="00F04D5C">
        <w:rPr>
          <w:rFonts w:ascii="Arial" w:hAnsi="Arial" w:cs="Arial"/>
          <w:sz w:val="24"/>
          <w:szCs w:val="24"/>
        </w:rPr>
        <w:t>mainly the difference in valuation of the positions at the old CCP and the price at which these could be re-opened.</w:t>
      </w:r>
      <w:r w:rsidR="00762333" w:rsidRPr="00F04D5C">
        <w:rPr>
          <w:rFonts w:ascii="Arial" w:hAnsi="Arial" w:cs="Arial"/>
          <w:sz w:val="24"/>
          <w:szCs w:val="24"/>
        </w:rPr>
        <w:t xml:space="preserve"> </w:t>
      </w:r>
      <w:r w:rsidR="005F23DC" w:rsidRPr="00F04D5C">
        <w:rPr>
          <w:rFonts w:ascii="Arial" w:hAnsi="Arial" w:cs="Arial"/>
          <w:sz w:val="24"/>
          <w:szCs w:val="24"/>
        </w:rPr>
        <w:t xml:space="preserve">As mentioned in the response to question 7, we believe that the time difference between these two events </w:t>
      </w:r>
      <w:r w:rsidR="00762333" w:rsidRPr="00F04D5C">
        <w:rPr>
          <w:rFonts w:ascii="Arial" w:hAnsi="Arial" w:cs="Arial"/>
          <w:sz w:val="24"/>
          <w:szCs w:val="24"/>
        </w:rPr>
        <w:t xml:space="preserve">(insolvency at the </w:t>
      </w:r>
      <w:r w:rsidR="008D7E3E" w:rsidRPr="00F04D5C">
        <w:rPr>
          <w:rFonts w:ascii="Arial" w:hAnsi="Arial" w:cs="Arial"/>
          <w:sz w:val="24"/>
          <w:szCs w:val="24"/>
        </w:rPr>
        <w:t>old</w:t>
      </w:r>
      <w:r w:rsidR="00762333" w:rsidRPr="00F04D5C">
        <w:rPr>
          <w:rFonts w:ascii="Arial" w:hAnsi="Arial" w:cs="Arial"/>
          <w:sz w:val="24"/>
          <w:szCs w:val="24"/>
        </w:rPr>
        <w:t xml:space="preserve"> CCP and re-hedging) </w:t>
      </w:r>
      <w:r w:rsidR="005F23DC" w:rsidRPr="00F04D5C">
        <w:rPr>
          <w:rFonts w:ascii="Arial" w:hAnsi="Arial" w:cs="Arial"/>
          <w:sz w:val="24"/>
          <w:szCs w:val="24"/>
        </w:rPr>
        <w:t xml:space="preserve">will be very short, as clearing participants will re-hedge themselves as soon as they deem the existing hedges at a CCP likely to be in default proceeding not to be effective. </w:t>
      </w:r>
      <w:r w:rsidR="008B3F86" w:rsidRPr="00F04D5C">
        <w:rPr>
          <w:rFonts w:ascii="Arial" w:hAnsi="Arial" w:cs="Arial"/>
          <w:sz w:val="24"/>
          <w:szCs w:val="24"/>
        </w:rPr>
        <w:t xml:space="preserve">Some firms might </w:t>
      </w:r>
      <w:r w:rsidR="00D74973" w:rsidRPr="00F04D5C">
        <w:rPr>
          <w:rFonts w:ascii="Arial" w:hAnsi="Arial" w:cs="Arial"/>
          <w:sz w:val="24"/>
          <w:szCs w:val="24"/>
        </w:rPr>
        <w:t xml:space="preserve">use other hedging </w:t>
      </w:r>
      <w:r w:rsidR="000B5B7C" w:rsidRPr="00F04D5C">
        <w:rPr>
          <w:rFonts w:ascii="Arial" w:hAnsi="Arial" w:cs="Arial"/>
          <w:sz w:val="24"/>
          <w:szCs w:val="24"/>
        </w:rPr>
        <w:t>strategies</w:t>
      </w:r>
      <w:r w:rsidR="00D74973" w:rsidRPr="00F04D5C">
        <w:rPr>
          <w:rFonts w:ascii="Arial" w:hAnsi="Arial" w:cs="Arial"/>
          <w:sz w:val="24"/>
          <w:szCs w:val="24"/>
        </w:rPr>
        <w:t xml:space="preserve"> or </w:t>
      </w:r>
      <w:r w:rsidR="008B3F86" w:rsidRPr="00F04D5C">
        <w:rPr>
          <w:rFonts w:ascii="Arial" w:hAnsi="Arial" w:cs="Arial"/>
          <w:sz w:val="24"/>
          <w:szCs w:val="24"/>
        </w:rPr>
        <w:t xml:space="preserve">decide not to re-hedge at all. </w:t>
      </w:r>
    </w:p>
    <w:p w14:paraId="3D3BF345" w14:textId="045DFF74" w:rsidR="008B3F86" w:rsidRPr="00F04D5C" w:rsidRDefault="00C047E0" w:rsidP="005F23DC">
      <w:pPr>
        <w:rPr>
          <w:rFonts w:ascii="Arial" w:hAnsi="Arial" w:cs="Arial"/>
          <w:sz w:val="24"/>
          <w:szCs w:val="24"/>
        </w:rPr>
      </w:pPr>
      <w:r w:rsidRPr="00F04D5C">
        <w:rPr>
          <w:rFonts w:ascii="Arial" w:hAnsi="Arial" w:cs="Arial"/>
          <w:sz w:val="24"/>
          <w:szCs w:val="24"/>
        </w:rPr>
        <w:t>In any case</w:t>
      </w:r>
      <w:r w:rsidR="006C4458" w:rsidRPr="00F04D5C">
        <w:rPr>
          <w:rFonts w:ascii="Arial" w:hAnsi="Arial" w:cs="Arial"/>
          <w:sz w:val="24"/>
          <w:szCs w:val="24"/>
        </w:rPr>
        <w:t>,</w:t>
      </w:r>
      <w:r w:rsidRPr="00F04D5C">
        <w:rPr>
          <w:rFonts w:ascii="Arial" w:hAnsi="Arial" w:cs="Arial"/>
          <w:sz w:val="24"/>
          <w:szCs w:val="24"/>
        </w:rPr>
        <w:t xml:space="preserve"> it will be very hard to proxy for replacement costs if these are not actually incurred.</w:t>
      </w:r>
    </w:p>
    <w:p w14:paraId="36430371" w14:textId="076C304A" w:rsidR="00C21DCC" w:rsidRDefault="008D7E3E" w:rsidP="003311DE">
      <w:pPr>
        <w:rPr>
          <w:rFonts w:ascii="Arial" w:hAnsi="Arial" w:cs="Arial"/>
          <w:sz w:val="24"/>
          <w:szCs w:val="24"/>
        </w:rPr>
      </w:pPr>
      <w:r w:rsidRPr="00F04D5C">
        <w:rPr>
          <w:rFonts w:ascii="Arial" w:hAnsi="Arial" w:cs="Arial"/>
          <w:sz w:val="24"/>
          <w:szCs w:val="24"/>
        </w:rPr>
        <w:t xml:space="preserve">Please find below some comments </w:t>
      </w:r>
      <w:r w:rsidR="0045797B" w:rsidRPr="00F04D5C">
        <w:rPr>
          <w:rFonts w:ascii="Arial" w:hAnsi="Arial" w:cs="Arial"/>
          <w:sz w:val="24"/>
          <w:szCs w:val="24"/>
        </w:rPr>
        <w:t xml:space="preserve">and request for clarification </w:t>
      </w:r>
      <w:r w:rsidR="00C416BC" w:rsidRPr="00F04D5C">
        <w:rPr>
          <w:rFonts w:ascii="Arial" w:hAnsi="Arial" w:cs="Arial"/>
          <w:sz w:val="24"/>
          <w:szCs w:val="24"/>
        </w:rPr>
        <w:t xml:space="preserve">relating </w:t>
      </w:r>
      <w:r w:rsidRPr="00F04D5C">
        <w:rPr>
          <w:rFonts w:ascii="Arial" w:hAnsi="Arial" w:cs="Arial"/>
          <w:sz w:val="24"/>
          <w:szCs w:val="24"/>
        </w:rPr>
        <w:t xml:space="preserve">to the additional costs </w:t>
      </w:r>
      <w:r w:rsidR="00A037F0" w:rsidRPr="00F04D5C">
        <w:rPr>
          <w:rFonts w:ascii="Arial" w:hAnsi="Arial" w:cs="Arial"/>
          <w:sz w:val="24"/>
          <w:szCs w:val="24"/>
        </w:rPr>
        <w:t>in article 25 (2):</w:t>
      </w:r>
    </w:p>
    <w:p w14:paraId="06AF014F" w14:textId="77777777" w:rsidR="008F4F7B" w:rsidRPr="00317AB9" w:rsidRDefault="008F4F7B" w:rsidP="00317AB9">
      <w:pPr>
        <w:pStyle w:val="ListParagraph"/>
        <w:numPr>
          <w:ilvl w:val="0"/>
          <w:numId w:val="21"/>
        </w:numPr>
        <w:rPr>
          <w:rFonts w:ascii="Arial" w:hAnsi="Arial" w:cs="Arial"/>
          <w:sz w:val="24"/>
          <w:szCs w:val="24"/>
        </w:rPr>
      </w:pPr>
      <w:r w:rsidRPr="00317AB9">
        <w:rPr>
          <w:rFonts w:ascii="Arial" w:hAnsi="Arial" w:cs="Arial"/>
          <w:sz w:val="24"/>
          <w:szCs w:val="24"/>
        </w:rPr>
        <w:t>We are not clear what is meant with the “hypothetical credit exposures of the clearing members to the CCP at the time of replacing the net positions” and what cost would be attached to credit exposures.</w:t>
      </w:r>
    </w:p>
    <w:p w14:paraId="02D1EBE6" w14:textId="77777777" w:rsidR="008F4F7B" w:rsidRPr="00317AB9" w:rsidRDefault="008F4F7B" w:rsidP="00317AB9">
      <w:pPr>
        <w:pStyle w:val="ListParagraph"/>
        <w:numPr>
          <w:ilvl w:val="0"/>
          <w:numId w:val="21"/>
        </w:numPr>
        <w:rPr>
          <w:rFonts w:ascii="Arial" w:hAnsi="Arial" w:cs="Arial"/>
          <w:sz w:val="24"/>
          <w:szCs w:val="24"/>
        </w:rPr>
      </w:pPr>
      <w:r w:rsidRPr="00317AB9">
        <w:rPr>
          <w:rFonts w:ascii="Arial" w:hAnsi="Arial" w:cs="Arial"/>
          <w:sz w:val="24"/>
          <w:szCs w:val="24"/>
        </w:rPr>
        <w:t>On liquidity and concentration cost, a good proxy would be the margin add-ons that the old CCP was charging for liquidity and concentration, unless the add-ons of a likely fallback CCP are well known. We also want to highlight that these are not direct cost, but margin to be posted. Additional cost for clearing participants would only be the funding cost for this margin.</w:t>
      </w:r>
    </w:p>
    <w:p w14:paraId="4A5392DF" w14:textId="77777777" w:rsidR="008F4F7B" w:rsidRPr="00317AB9" w:rsidRDefault="008F4F7B" w:rsidP="00317AB9">
      <w:pPr>
        <w:pStyle w:val="ListParagraph"/>
        <w:numPr>
          <w:ilvl w:val="0"/>
          <w:numId w:val="21"/>
        </w:numPr>
        <w:rPr>
          <w:rFonts w:ascii="Arial" w:hAnsi="Arial" w:cs="Arial"/>
          <w:sz w:val="24"/>
          <w:szCs w:val="24"/>
        </w:rPr>
      </w:pPr>
      <w:r w:rsidRPr="00317AB9">
        <w:rPr>
          <w:rFonts w:ascii="Arial" w:hAnsi="Arial" w:cs="Arial"/>
          <w:sz w:val="24"/>
          <w:szCs w:val="24"/>
        </w:rPr>
        <w:t>On fees, we would argue that ongoing fees that are linked to transaction flows would have been incurred in a similar way by the wound down CCP. Cost for becoming a member or client of a member at the fall-back CCP will depend on whether there is already a membership – especially large firms already maintain multiple clearing memberships. In addition, one cannot become a new member of an alternative CCP overnight. As a result, it is questionable if these costs can be measured in a timely fashion.</w:t>
      </w:r>
    </w:p>
    <w:p w14:paraId="5C852EAB" w14:textId="1F1D5780" w:rsidR="008F4F7B" w:rsidRPr="00317AB9" w:rsidRDefault="008F4F7B" w:rsidP="00317AB9">
      <w:pPr>
        <w:pStyle w:val="ListParagraph"/>
        <w:numPr>
          <w:ilvl w:val="0"/>
          <w:numId w:val="21"/>
        </w:numPr>
        <w:rPr>
          <w:rFonts w:ascii="Arial" w:hAnsi="Arial" w:cs="Arial"/>
          <w:sz w:val="24"/>
          <w:szCs w:val="24"/>
        </w:rPr>
      </w:pPr>
      <w:r w:rsidRPr="00317AB9">
        <w:rPr>
          <w:rFonts w:ascii="Arial" w:hAnsi="Arial" w:cs="Arial"/>
          <w:sz w:val="24"/>
          <w:szCs w:val="24"/>
        </w:rPr>
        <w:t>The funding cost for differences in margin requirements and default fund contributions shouldn’t be material, as margin and default fund of similar efficiently managed CCPs would not be too different – and the cost is merely funding cost, not the amount of collateral itself. It is also a temporary cost, as clearing members will at some point receive their margin back from the wound down CCP.</w:t>
      </w:r>
      <w:r w:rsidRPr="00317AB9">
        <w:rPr>
          <w:rFonts w:ascii="Arial" w:hAnsi="Arial" w:cs="Arial"/>
          <w:sz w:val="24"/>
          <w:szCs w:val="24"/>
        </w:rPr>
        <w:br/>
      </w:r>
      <w:r w:rsidRPr="00317AB9">
        <w:rPr>
          <w:rFonts w:ascii="Arial" w:hAnsi="Arial" w:cs="Arial"/>
          <w:sz w:val="24"/>
          <w:szCs w:val="24"/>
        </w:rPr>
        <w:t>The impact on margin requirements will also be different for each clearing member because of portfolio effects. Margin requirements do not even need to increase – they could also decrease. How margin requirements change will also depend on the CCP selected by each clearing member as a fall-back (please also see the comments on re-hedging under question 8 above).</w:t>
      </w:r>
    </w:p>
    <w:p w14:paraId="67C071FF" w14:textId="60186694" w:rsidR="008F4F7B" w:rsidRDefault="008F4F7B" w:rsidP="003311DE">
      <w:pPr>
        <w:rPr>
          <w:rFonts w:ascii="Arial" w:hAnsi="Arial" w:cs="Arial"/>
          <w:sz w:val="24"/>
          <w:szCs w:val="24"/>
        </w:rPr>
      </w:pPr>
    </w:p>
    <w:p w14:paraId="389A0489" w14:textId="5A7127E7" w:rsidR="00B77FF4" w:rsidRPr="00F04D5C" w:rsidRDefault="00B77FF4" w:rsidP="00615BF9">
      <w:pPr>
        <w:rPr>
          <w:rFonts w:ascii="Arial" w:hAnsi="Arial" w:cs="Arial"/>
          <w:sz w:val="24"/>
          <w:szCs w:val="24"/>
        </w:rPr>
      </w:pPr>
    </w:p>
    <w:p w14:paraId="4214C05B" w14:textId="1E394CED" w:rsidR="00C047E0" w:rsidRPr="00F04D5C" w:rsidRDefault="00C047E0" w:rsidP="00615BF9">
      <w:pPr>
        <w:rPr>
          <w:rFonts w:ascii="Arial" w:hAnsi="Arial" w:cs="Arial"/>
          <w:sz w:val="24"/>
          <w:szCs w:val="24"/>
        </w:rPr>
      </w:pPr>
      <w:r w:rsidRPr="00F04D5C">
        <w:rPr>
          <w:rFonts w:ascii="Arial" w:hAnsi="Arial" w:cs="Arial"/>
          <w:sz w:val="24"/>
          <w:szCs w:val="24"/>
        </w:rPr>
        <w:t xml:space="preserve">While </w:t>
      </w:r>
      <w:r w:rsidR="00907816" w:rsidRPr="00F04D5C">
        <w:rPr>
          <w:rFonts w:ascii="Arial" w:hAnsi="Arial" w:cs="Arial"/>
          <w:sz w:val="24"/>
          <w:szCs w:val="24"/>
        </w:rPr>
        <w:t xml:space="preserve">we appreciate that </w:t>
      </w:r>
      <w:r w:rsidRPr="00F04D5C">
        <w:rPr>
          <w:rFonts w:ascii="Arial" w:hAnsi="Arial" w:cs="Arial"/>
          <w:sz w:val="24"/>
          <w:szCs w:val="24"/>
        </w:rPr>
        <w:t xml:space="preserve">some of these cost elements to be taken into account </w:t>
      </w:r>
      <w:r w:rsidR="003075FE" w:rsidRPr="00F04D5C">
        <w:rPr>
          <w:rFonts w:ascii="Arial" w:hAnsi="Arial" w:cs="Arial"/>
          <w:sz w:val="24"/>
          <w:szCs w:val="24"/>
        </w:rPr>
        <w:t>stem from</w:t>
      </w:r>
      <w:r w:rsidRPr="00F04D5C">
        <w:rPr>
          <w:rFonts w:ascii="Arial" w:hAnsi="Arial" w:cs="Arial"/>
          <w:sz w:val="24"/>
          <w:szCs w:val="24"/>
        </w:rPr>
        <w:t xml:space="preserve"> </w:t>
      </w:r>
      <w:r w:rsidR="00F8009F" w:rsidRPr="00F04D5C">
        <w:rPr>
          <w:rFonts w:ascii="Arial" w:hAnsi="Arial" w:cs="Arial"/>
          <w:sz w:val="24"/>
          <w:szCs w:val="24"/>
        </w:rPr>
        <w:t xml:space="preserve">the </w:t>
      </w:r>
      <w:r w:rsidRPr="00F04D5C">
        <w:rPr>
          <w:rFonts w:ascii="Arial" w:hAnsi="Arial" w:cs="Arial"/>
          <w:sz w:val="24"/>
          <w:szCs w:val="24"/>
        </w:rPr>
        <w:t>CCPRRR level 1</w:t>
      </w:r>
      <w:r w:rsidR="00F8009F" w:rsidRPr="00F04D5C">
        <w:rPr>
          <w:rFonts w:ascii="Arial" w:hAnsi="Arial" w:cs="Arial"/>
          <w:sz w:val="24"/>
          <w:szCs w:val="24"/>
        </w:rPr>
        <w:t xml:space="preserve"> mandate</w:t>
      </w:r>
      <w:r w:rsidRPr="00F04D5C">
        <w:rPr>
          <w:rFonts w:ascii="Arial" w:hAnsi="Arial" w:cs="Arial"/>
          <w:sz w:val="24"/>
          <w:szCs w:val="24"/>
        </w:rPr>
        <w:t xml:space="preserve">, we note that </w:t>
      </w:r>
      <w:r w:rsidR="003F20C0" w:rsidRPr="00F04D5C">
        <w:rPr>
          <w:rFonts w:ascii="Arial" w:hAnsi="Arial" w:cs="Arial"/>
          <w:sz w:val="24"/>
          <w:szCs w:val="24"/>
        </w:rPr>
        <w:t xml:space="preserve">most of these additional costs are </w:t>
      </w:r>
      <w:r w:rsidR="00C26A62" w:rsidRPr="00F04D5C">
        <w:rPr>
          <w:rFonts w:ascii="Arial" w:hAnsi="Arial" w:cs="Arial"/>
          <w:sz w:val="24"/>
          <w:szCs w:val="24"/>
        </w:rPr>
        <w:t>very difficult</w:t>
      </w:r>
      <w:r w:rsidR="003F20C0" w:rsidRPr="00F04D5C">
        <w:rPr>
          <w:rFonts w:ascii="Arial" w:hAnsi="Arial" w:cs="Arial"/>
          <w:sz w:val="24"/>
          <w:szCs w:val="24"/>
        </w:rPr>
        <w:t xml:space="preserve"> to estimate. Also, by inflating the cost of the counterfactual</w:t>
      </w:r>
      <w:r w:rsidR="00A01BE6" w:rsidRPr="00F04D5C">
        <w:rPr>
          <w:rFonts w:ascii="Arial" w:hAnsi="Arial" w:cs="Arial"/>
          <w:sz w:val="24"/>
          <w:szCs w:val="24"/>
        </w:rPr>
        <w:t xml:space="preserve">, the NCWO safeguard in EU regulation will be less effective </w:t>
      </w:r>
      <w:r w:rsidR="00D22BF3" w:rsidRPr="00F04D5C">
        <w:rPr>
          <w:rFonts w:ascii="Arial" w:hAnsi="Arial" w:cs="Arial"/>
          <w:sz w:val="24"/>
          <w:szCs w:val="24"/>
        </w:rPr>
        <w:t xml:space="preserve">compared </w:t>
      </w:r>
      <w:r w:rsidR="003075FE" w:rsidRPr="00F04D5C">
        <w:rPr>
          <w:rFonts w:ascii="Arial" w:hAnsi="Arial" w:cs="Arial"/>
          <w:sz w:val="24"/>
          <w:szCs w:val="24"/>
        </w:rPr>
        <w:t>to the</w:t>
      </w:r>
      <w:r w:rsidR="00571B85" w:rsidRPr="00F04D5C">
        <w:rPr>
          <w:rFonts w:ascii="Arial" w:hAnsi="Arial" w:cs="Arial"/>
          <w:sz w:val="24"/>
          <w:szCs w:val="24"/>
        </w:rPr>
        <w:t xml:space="preserve"> NCWO safeguard </w:t>
      </w:r>
      <w:r w:rsidR="00A01BE6" w:rsidRPr="00F04D5C">
        <w:rPr>
          <w:rFonts w:ascii="Arial" w:hAnsi="Arial" w:cs="Arial"/>
          <w:sz w:val="24"/>
          <w:szCs w:val="24"/>
        </w:rPr>
        <w:t xml:space="preserve">in other </w:t>
      </w:r>
      <w:r w:rsidR="008B3AF2" w:rsidRPr="00F04D5C">
        <w:rPr>
          <w:rFonts w:ascii="Arial" w:hAnsi="Arial" w:cs="Arial"/>
          <w:sz w:val="24"/>
          <w:szCs w:val="24"/>
        </w:rPr>
        <w:t>jurisdictions</w:t>
      </w:r>
      <w:r w:rsidR="00A01BE6" w:rsidRPr="00F04D5C">
        <w:rPr>
          <w:rFonts w:ascii="Arial" w:hAnsi="Arial" w:cs="Arial"/>
          <w:sz w:val="24"/>
          <w:szCs w:val="24"/>
        </w:rPr>
        <w:t>.</w:t>
      </w:r>
    </w:p>
    <w:p w14:paraId="50B8EA04" w14:textId="2F838EC8" w:rsidR="003311DE" w:rsidRPr="00F04D5C" w:rsidRDefault="003311DE" w:rsidP="003311DE">
      <w:pPr>
        <w:rPr>
          <w:rFonts w:ascii="Arial" w:hAnsi="Arial" w:cs="Arial"/>
          <w:sz w:val="24"/>
          <w:szCs w:val="24"/>
        </w:rPr>
      </w:pPr>
      <w:r w:rsidRPr="00F04D5C">
        <w:rPr>
          <w:rFonts w:ascii="Arial" w:hAnsi="Arial" w:cs="Arial"/>
          <w:sz w:val="24"/>
          <w:szCs w:val="24"/>
        </w:rPr>
        <w:t>&lt;ESMA_QUESTION_VLTN_08&gt;</w:t>
      </w:r>
    </w:p>
    <w:p w14:paraId="695DA7A4" w14:textId="77777777" w:rsidR="003311DE" w:rsidRPr="00F04D5C" w:rsidRDefault="003311DE" w:rsidP="003311DE">
      <w:pPr>
        <w:rPr>
          <w:lang w:eastAsia="en-GB"/>
        </w:rPr>
      </w:pPr>
    </w:p>
    <w:p w14:paraId="7F0817A1" w14:textId="1F73072D" w:rsidR="003311DE" w:rsidRPr="00F04D5C" w:rsidRDefault="003311DE" w:rsidP="001E4E74">
      <w:pPr>
        <w:pStyle w:val="Questionstyle"/>
      </w:pPr>
      <w:r w:rsidRPr="00F04D5C">
        <w:t>: Do you agree with the proposed approach for the calculation of the buffer for additional losses to be included in provisional valuations?</w:t>
      </w:r>
    </w:p>
    <w:p w14:paraId="4DA8B9F9" w14:textId="2E0A5375" w:rsidR="003311DE" w:rsidRPr="00F04D5C" w:rsidRDefault="003311DE" w:rsidP="003311DE">
      <w:pPr>
        <w:rPr>
          <w:rFonts w:ascii="Arial" w:hAnsi="Arial" w:cs="Arial"/>
          <w:sz w:val="24"/>
          <w:szCs w:val="24"/>
        </w:rPr>
      </w:pPr>
      <w:r w:rsidRPr="00F04D5C">
        <w:rPr>
          <w:rFonts w:ascii="Arial" w:hAnsi="Arial" w:cs="Arial"/>
          <w:sz w:val="24"/>
          <w:szCs w:val="24"/>
        </w:rPr>
        <w:t>&lt;ESMA_QUESTION_VLTN_09&gt;</w:t>
      </w:r>
    </w:p>
    <w:p w14:paraId="7140B854" w14:textId="7CEA2285" w:rsidR="004252BC" w:rsidRPr="00F04D5C" w:rsidRDefault="00756E25" w:rsidP="00081249">
      <w:pPr>
        <w:rPr>
          <w:rFonts w:ascii="Arial" w:hAnsi="Arial" w:cs="Arial"/>
          <w:sz w:val="24"/>
          <w:szCs w:val="24"/>
        </w:rPr>
      </w:pPr>
      <w:r w:rsidRPr="00F04D5C">
        <w:rPr>
          <w:rFonts w:ascii="Arial" w:hAnsi="Arial" w:cs="Arial"/>
          <w:sz w:val="24"/>
          <w:szCs w:val="24"/>
        </w:rPr>
        <w:lastRenderedPageBreak/>
        <w:t xml:space="preserve">We believe that the proposed approach for the calculation of a buffer </w:t>
      </w:r>
      <w:r w:rsidR="001729D0" w:rsidRPr="00F04D5C">
        <w:rPr>
          <w:rFonts w:ascii="Arial" w:hAnsi="Arial" w:cs="Arial"/>
          <w:sz w:val="24"/>
          <w:szCs w:val="24"/>
        </w:rPr>
        <w:t xml:space="preserve">is not sufficiently </w:t>
      </w:r>
      <w:r w:rsidR="00C73783" w:rsidRPr="00F04D5C">
        <w:rPr>
          <w:rFonts w:ascii="Arial" w:hAnsi="Arial" w:cs="Arial"/>
          <w:sz w:val="24"/>
          <w:szCs w:val="24"/>
        </w:rPr>
        <w:t xml:space="preserve">adapted to CCPs. For instance, </w:t>
      </w:r>
      <w:r w:rsidR="00081249" w:rsidRPr="00F04D5C">
        <w:rPr>
          <w:rFonts w:ascii="Arial" w:hAnsi="Arial" w:cs="Arial"/>
          <w:sz w:val="24"/>
          <w:szCs w:val="24"/>
        </w:rPr>
        <w:t>extrapolating “</w:t>
      </w:r>
      <w:r w:rsidR="00081249" w:rsidRPr="004572DA">
        <w:rPr>
          <w:rFonts w:ascii="Arial" w:hAnsi="Arial" w:cs="Arial"/>
          <w:i/>
          <w:iCs/>
          <w:sz w:val="24"/>
          <w:szCs w:val="24"/>
        </w:rPr>
        <w:t>average losses estimated for assets of peer competitors</w:t>
      </w:r>
      <w:r w:rsidR="00081249" w:rsidRPr="00F04D5C">
        <w:rPr>
          <w:rFonts w:ascii="Arial" w:hAnsi="Arial" w:cs="Arial"/>
          <w:sz w:val="24"/>
          <w:szCs w:val="24"/>
        </w:rPr>
        <w:t xml:space="preserve">” is sensible in bank </w:t>
      </w:r>
      <w:r w:rsidR="009E1A2F" w:rsidRPr="00F04D5C">
        <w:rPr>
          <w:rFonts w:ascii="Arial" w:hAnsi="Arial" w:cs="Arial"/>
          <w:sz w:val="24"/>
          <w:szCs w:val="24"/>
        </w:rPr>
        <w:t>resolution</w:t>
      </w:r>
      <w:r w:rsidR="00081249" w:rsidRPr="00F04D5C">
        <w:rPr>
          <w:rFonts w:ascii="Arial" w:hAnsi="Arial" w:cs="Arial"/>
          <w:sz w:val="24"/>
          <w:szCs w:val="24"/>
        </w:rPr>
        <w:t>, but we cannot see how this would be helpful in estimating a buffer for CCP resolution, given that resolution of a CCP is expected to be a singular event in the market.</w:t>
      </w:r>
    </w:p>
    <w:p w14:paraId="3483CD0E" w14:textId="1748DA8B" w:rsidR="00F84916" w:rsidRPr="00F04D5C" w:rsidRDefault="00F84916" w:rsidP="00081249">
      <w:pPr>
        <w:rPr>
          <w:rFonts w:ascii="Arial" w:hAnsi="Arial" w:cs="Arial"/>
          <w:sz w:val="24"/>
          <w:szCs w:val="24"/>
        </w:rPr>
      </w:pPr>
      <w:r w:rsidRPr="00F04D5C">
        <w:rPr>
          <w:rFonts w:ascii="Arial" w:hAnsi="Arial" w:cs="Arial"/>
          <w:sz w:val="24"/>
          <w:szCs w:val="24"/>
        </w:rPr>
        <w:t>Other than that</w:t>
      </w:r>
      <w:r w:rsidR="009D2266" w:rsidRPr="00F04D5C">
        <w:rPr>
          <w:rFonts w:ascii="Arial" w:hAnsi="Arial" w:cs="Arial"/>
          <w:sz w:val="24"/>
          <w:szCs w:val="24"/>
        </w:rPr>
        <w:t>,</w:t>
      </w:r>
      <w:r w:rsidRPr="00F04D5C">
        <w:rPr>
          <w:rFonts w:ascii="Arial" w:hAnsi="Arial" w:cs="Arial"/>
          <w:sz w:val="24"/>
          <w:szCs w:val="24"/>
        </w:rPr>
        <w:t xml:space="preserve"> the approach is </w:t>
      </w:r>
      <w:r w:rsidR="009D2266" w:rsidRPr="00F04D5C">
        <w:rPr>
          <w:rFonts w:ascii="Arial" w:hAnsi="Arial" w:cs="Arial"/>
          <w:sz w:val="24"/>
          <w:szCs w:val="24"/>
        </w:rPr>
        <w:t>very generic and leave</w:t>
      </w:r>
      <w:r w:rsidR="00B958C3" w:rsidRPr="00F04D5C">
        <w:rPr>
          <w:rFonts w:ascii="Arial" w:hAnsi="Arial" w:cs="Arial"/>
          <w:sz w:val="24"/>
          <w:szCs w:val="24"/>
        </w:rPr>
        <w:t>s</w:t>
      </w:r>
      <w:r w:rsidR="009D2266" w:rsidRPr="00F04D5C">
        <w:rPr>
          <w:rFonts w:ascii="Arial" w:hAnsi="Arial" w:cs="Arial"/>
          <w:sz w:val="24"/>
          <w:szCs w:val="24"/>
        </w:rPr>
        <w:t xml:space="preserve"> much to the discretion of the valuer. </w:t>
      </w:r>
      <w:r w:rsidR="00B958C3" w:rsidRPr="00F04D5C">
        <w:rPr>
          <w:rFonts w:ascii="Arial" w:hAnsi="Arial" w:cs="Arial"/>
          <w:sz w:val="24"/>
          <w:szCs w:val="24"/>
        </w:rPr>
        <w:t>We</w:t>
      </w:r>
      <w:r w:rsidR="009D2266" w:rsidRPr="00F04D5C">
        <w:rPr>
          <w:rFonts w:ascii="Arial" w:hAnsi="Arial" w:cs="Arial"/>
          <w:sz w:val="24"/>
          <w:szCs w:val="24"/>
        </w:rPr>
        <w:t xml:space="preserve"> agree with this approach, as this buffer is for unexpected losses which cannot be codified in advance</w:t>
      </w:r>
      <w:r w:rsidR="00345A5B" w:rsidRPr="00F04D5C">
        <w:rPr>
          <w:rFonts w:ascii="Arial" w:hAnsi="Arial" w:cs="Arial"/>
          <w:sz w:val="24"/>
          <w:szCs w:val="24"/>
        </w:rPr>
        <w:t>.</w:t>
      </w:r>
    </w:p>
    <w:p w14:paraId="5F256BC8" w14:textId="77777777" w:rsidR="00F84916" w:rsidRPr="00F04D5C" w:rsidRDefault="00F84916" w:rsidP="00081249">
      <w:pPr>
        <w:rPr>
          <w:rFonts w:ascii="Arial" w:hAnsi="Arial" w:cs="Arial"/>
          <w:sz w:val="24"/>
          <w:szCs w:val="24"/>
        </w:rPr>
      </w:pPr>
    </w:p>
    <w:p w14:paraId="7F56BB62" w14:textId="66FD90E8" w:rsidR="003311DE" w:rsidRPr="00F04D5C" w:rsidRDefault="003311DE" w:rsidP="003311DE">
      <w:pPr>
        <w:rPr>
          <w:rFonts w:ascii="Arial" w:hAnsi="Arial" w:cs="Arial"/>
          <w:sz w:val="24"/>
          <w:szCs w:val="24"/>
        </w:rPr>
      </w:pPr>
      <w:r w:rsidRPr="00F04D5C">
        <w:rPr>
          <w:rFonts w:ascii="Arial" w:hAnsi="Arial" w:cs="Arial"/>
          <w:sz w:val="24"/>
          <w:szCs w:val="24"/>
        </w:rPr>
        <w:t>&lt;ESMA_QUESTION_VLTN_09&gt;</w:t>
      </w:r>
    </w:p>
    <w:p w14:paraId="28ACFF0E" w14:textId="77777777" w:rsidR="001E4E74" w:rsidRPr="00F04D5C" w:rsidRDefault="001E4E74" w:rsidP="003311DE">
      <w:pPr>
        <w:rPr>
          <w:rFonts w:ascii="Arial" w:hAnsi="Arial" w:cs="Arial"/>
          <w:sz w:val="24"/>
          <w:szCs w:val="24"/>
        </w:rPr>
      </w:pPr>
    </w:p>
    <w:p w14:paraId="66EBF539" w14:textId="2287F242" w:rsidR="001E4E74" w:rsidRPr="00F04D5C" w:rsidRDefault="001E4E74" w:rsidP="001E4E74">
      <w:pPr>
        <w:pStyle w:val="Questionstyle"/>
      </w:pPr>
      <w:r w:rsidRPr="00F04D5C">
        <w:t>With regards to the proposed policy options for the circumstances for the independent valuer to be deemed independent, do you agree with Option 2? If not please explain? Have you identified other benefits and costs not mentioned above associated to the proposed approach?</w:t>
      </w:r>
    </w:p>
    <w:p w14:paraId="2891BAE4" w14:textId="77777777" w:rsidR="001E4E74" w:rsidRPr="00F04D5C" w:rsidRDefault="001E4E74" w:rsidP="001E4E74">
      <w:pPr>
        <w:pStyle w:val="Questionstyle"/>
        <w:numPr>
          <w:ilvl w:val="0"/>
          <w:numId w:val="0"/>
        </w:numPr>
      </w:pPr>
    </w:p>
    <w:p w14:paraId="3B521826" w14:textId="7C63D627" w:rsidR="001E4E74" w:rsidRPr="00F04D5C" w:rsidRDefault="001E4E74" w:rsidP="001E4E74">
      <w:pPr>
        <w:pStyle w:val="Questionstyle"/>
        <w:numPr>
          <w:ilvl w:val="0"/>
          <w:numId w:val="0"/>
        </w:numPr>
      </w:pPr>
      <w:r w:rsidRPr="00F04D5C">
        <w:t>&lt;ESMA_QUESTION_VLTN_10&gt;</w:t>
      </w:r>
    </w:p>
    <w:p w14:paraId="57754C69" w14:textId="6FF2A1FA" w:rsidR="001E4E74" w:rsidRPr="00F04D5C" w:rsidRDefault="001E4E74" w:rsidP="001E4E74">
      <w:pPr>
        <w:pStyle w:val="Questionstyle"/>
        <w:numPr>
          <w:ilvl w:val="0"/>
          <w:numId w:val="0"/>
        </w:numPr>
        <w:ind w:left="709" w:hanging="709"/>
      </w:pPr>
      <w:r w:rsidRPr="00F04D5C">
        <w:rPr>
          <w:highlight w:val="yellow"/>
        </w:rPr>
        <w:t>TYPE YOUR TEXT HERE</w:t>
      </w:r>
    </w:p>
    <w:p w14:paraId="4A01337B" w14:textId="0F1341FF" w:rsidR="001E4E74" w:rsidRPr="00F04D5C" w:rsidRDefault="001E4E74" w:rsidP="001E4E74">
      <w:pPr>
        <w:pStyle w:val="Questionstyle"/>
        <w:numPr>
          <w:ilvl w:val="0"/>
          <w:numId w:val="0"/>
        </w:numPr>
        <w:ind w:left="709" w:hanging="709"/>
      </w:pPr>
      <w:r w:rsidRPr="00F04D5C">
        <w:t>&lt;ESMA_QUESTION_VLTN_10&gt;</w:t>
      </w:r>
    </w:p>
    <w:p w14:paraId="515BC01E" w14:textId="7D2D9621" w:rsidR="001E4E74" w:rsidRPr="00F04D5C" w:rsidRDefault="001E4E74" w:rsidP="001E4E74">
      <w:pPr>
        <w:pStyle w:val="Questionstyle"/>
        <w:numPr>
          <w:ilvl w:val="0"/>
          <w:numId w:val="0"/>
        </w:numPr>
      </w:pPr>
    </w:p>
    <w:p w14:paraId="58E57941" w14:textId="441CE676" w:rsidR="001E4E74" w:rsidRPr="00F04D5C" w:rsidRDefault="001E4E74" w:rsidP="001E4E74">
      <w:pPr>
        <w:pStyle w:val="Questionstyle"/>
      </w:pPr>
      <w:r w:rsidRPr="00F04D5C">
        <w:t>If you advocate for a different approach, how would it impact the cost and benefit assessment? Please provide details</w:t>
      </w:r>
    </w:p>
    <w:p w14:paraId="671F1F29" w14:textId="77777777" w:rsidR="001E4E74" w:rsidRPr="00F04D5C" w:rsidRDefault="001E4E74" w:rsidP="001E4E74">
      <w:pPr>
        <w:pStyle w:val="Questionstyle"/>
        <w:numPr>
          <w:ilvl w:val="0"/>
          <w:numId w:val="0"/>
        </w:numPr>
      </w:pPr>
    </w:p>
    <w:p w14:paraId="67CE50D9" w14:textId="6FA9B20F" w:rsidR="001E4E74" w:rsidRPr="00F04D5C" w:rsidRDefault="001E4E74" w:rsidP="001E4E74">
      <w:pPr>
        <w:pStyle w:val="Questionstyle"/>
        <w:numPr>
          <w:ilvl w:val="0"/>
          <w:numId w:val="0"/>
        </w:numPr>
      </w:pPr>
      <w:r w:rsidRPr="00F04D5C">
        <w:t>&lt;ESMA_QUESTION_VLTN_11&gt;</w:t>
      </w:r>
    </w:p>
    <w:p w14:paraId="71007530" w14:textId="4A3CD873" w:rsidR="001E4E74" w:rsidRPr="00F04D5C" w:rsidRDefault="001E4E74" w:rsidP="001E4E74">
      <w:pPr>
        <w:pStyle w:val="Questionstyle"/>
        <w:numPr>
          <w:ilvl w:val="0"/>
          <w:numId w:val="0"/>
        </w:numPr>
        <w:ind w:left="709" w:hanging="709"/>
      </w:pPr>
      <w:r w:rsidRPr="00F04D5C">
        <w:rPr>
          <w:highlight w:val="yellow"/>
        </w:rPr>
        <w:t>TYPE YOUR TEXT HERE</w:t>
      </w:r>
    </w:p>
    <w:p w14:paraId="399CA2E8" w14:textId="2E593CAD" w:rsidR="001E4E74" w:rsidRPr="00F04D5C" w:rsidRDefault="001E4E74" w:rsidP="001E4E74">
      <w:pPr>
        <w:pStyle w:val="Questionstyle"/>
        <w:numPr>
          <w:ilvl w:val="0"/>
          <w:numId w:val="0"/>
        </w:numPr>
        <w:ind w:left="709" w:hanging="709"/>
      </w:pPr>
      <w:r w:rsidRPr="00F04D5C">
        <w:t>&lt;ESMA_QUESTION_VLTN_11&gt;</w:t>
      </w:r>
    </w:p>
    <w:p w14:paraId="30798FFE" w14:textId="77777777" w:rsidR="001E4E74" w:rsidRPr="00F04D5C" w:rsidRDefault="001E4E74" w:rsidP="001E4E74">
      <w:pPr>
        <w:rPr>
          <w:lang w:eastAsia="en-GB"/>
        </w:rPr>
      </w:pPr>
    </w:p>
    <w:p w14:paraId="05FDC500" w14:textId="526B43B5" w:rsidR="001E4E74" w:rsidRPr="00F04D5C" w:rsidRDefault="001E4E74" w:rsidP="001E4E74">
      <w:pPr>
        <w:pStyle w:val="Questionstyle"/>
      </w:pPr>
      <w:r w:rsidRPr="00F04D5C">
        <w:t>With regards to the proposed policy options for the information to be used in valuation, do you agree with Option 2? If not please explain? Have you identified other benefits and costs not mentioned above associated to the proposed approach?</w:t>
      </w:r>
    </w:p>
    <w:p w14:paraId="12189405" w14:textId="77777777" w:rsidR="001E4E74" w:rsidRPr="00F04D5C" w:rsidRDefault="001E4E74" w:rsidP="001E4E74">
      <w:pPr>
        <w:pStyle w:val="Questionstyle"/>
        <w:numPr>
          <w:ilvl w:val="0"/>
          <w:numId w:val="0"/>
        </w:numPr>
      </w:pPr>
    </w:p>
    <w:p w14:paraId="2925B1B5" w14:textId="38519F3E" w:rsidR="001E4E74" w:rsidRPr="00F04D5C" w:rsidRDefault="001E4E74" w:rsidP="001E4E74">
      <w:pPr>
        <w:pStyle w:val="Questionstyle"/>
        <w:numPr>
          <w:ilvl w:val="0"/>
          <w:numId w:val="0"/>
        </w:numPr>
      </w:pPr>
      <w:r w:rsidRPr="00F04D5C">
        <w:t>&lt;ESMA_QUESTION_VLTN_12&gt;</w:t>
      </w:r>
    </w:p>
    <w:p w14:paraId="261F2B19" w14:textId="1B488B85" w:rsidR="001E4E74" w:rsidRPr="00F04D5C" w:rsidRDefault="001E4E74" w:rsidP="001E4E74">
      <w:pPr>
        <w:pStyle w:val="Questionstyle"/>
        <w:numPr>
          <w:ilvl w:val="0"/>
          <w:numId w:val="0"/>
        </w:numPr>
        <w:ind w:left="709" w:hanging="709"/>
      </w:pPr>
      <w:r w:rsidRPr="00F04D5C">
        <w:rPr>
          <w:highlight w:val="yellow"/>
        </w:rPr>
        <w:t>TYPE YOUR TEXT HERE</w:t>
      </w:r>
    </w:p>
    <w:p w14:paraId="14C5165B" w14:textId="54504AFA" w:rsidR="001E4E74" w:rsidRPr="00F04D5C" w:rsidRDefault="001E4E74" w:rsidP="001E4E74">
      <w:pPr>
        <w:pStyle w:val="Questionstyle"/>
        <w:numPr>
          <w:ilvl w:val="0"/>
          <w:numId w:val="0"/>
        </w:numPr>
        <w:ind w:left="709" w:hanging="709"/>
      </w:pPr>
      <w:r w:rsidRPr="00F04D5C">
        <w:t>&lt;ESMA_QUESTION_VLTN_12&gt;</w:t>
      </w:r>
    </w:p>
    <w:p w14:paraId="05DB8ADF" w14:textId="77777777" w:rsidR="001E4E74" w:rsidRPr="00F04D5C" w:rsidRDefault="001E4E74" w:rsidP="001E4E74">
      <w:pPr>
        <w:rPr>
          <w:lang w:eastAsia="en-GB"/>
        </w:rPr>
      </w:pPr>
    </w:p>
    <w:p w14:paraId="267B0BE1" w14:textId="338DFC39" w:rsidR="001E4E74" w:rsidRPr="00F04D5C" w:rsidRDefault="001E4E74" w:rsidP="001E4E74">
      <w:pPr>
        <w:pStyle w:val="Questionstyle"/>
      </w:pPr>
      <w:r w:rsidRPr="00F04D5C">
        <w:t>If you advocate for a different approach, how would it impact the cost and benefit assessment? Please provide details.</w:t>
      </w:r>
    </w:p>
    <w:p w14:paraId="271AEEAB" w14:textId="77777777" w:rsidR="001E4E74" w:rsidRPr="00F04D5C" w:rsidRDefault="001E4E74" w:rsidP="001E4E74">
      <w:pPr>
        <w:pStyle w:val="Questionstyle"/>
        <w:numPr>
          <w:ilvl w:val="0"/>
          <w:numId w:val="0"/>
        </w:numPr>
      </w:pPr>
    </w:p>
    <w:p w14:paraId="70AB65F7" w14:textId="5235D0DC" w:rsidR="001E4E74" w:rsidRPr="00F04D5C" w:rsidRDefault="001E4E74" w:rsidP="001E4E74">
      <w:pPr>
        <w:pStyle w:val="Questionstyle"/>
        <w:numPr>
          <w:ilvl w:val="0"/>
          <w:numId w:val="0"/>
        </w:numPr>
      </w:pPr>
      <w:r w:rsidRPr="00F04D5C">
        <w:lastRenderedPageBreak/>
        <w:t>&lt;ESMA_QUESTION_VLTN_13&gt;</w:t>
      </w:r>
    </w:p>
    <w:p w14:paraId="7A739CCD" w14:textId="491D3BB1" w:rsidR="001E4E74" w:rsidRPr="00F04D5C" w:rsidRDefault="001E4E74" w:rsidP="001E4E74">
      <w:pPr>
        <w:pStyle w:val="Questionstyle"/>
        <w:numPr>
          <w:ilvl w:val="0"/>
          <w:numId w:val="0"/>
        </w:numPr>
        <w:ind w:left="709" w:hanging="709"/>
      </w:pPr>
      <w:r w:rsidRPr="00F04D5C">
        <w:rPr>
          <w:highlight w:val="yellow"/>
        </w:rPr>
        <w:t>TYPE YOUR TEXT HERE</w:t>
      </w:r>
    </w:p>
    <w:p w14:paraId="40537037" w14:textId="556708C3" w:rsidR="001E4E74" w:rsidRPr="00F04D5C" w:rsidRDefault="001E4E74" w:rsidP="001E4E74">
      <w:pPr>
        <w:pStyle w:val="Questionstyle"/>
        <w:numPr>
          <w:ilvl w:val="0"/>
          <w:numId w:val="0"/>
        </w:numPr>
        <w:ind w:left="709" w:hanging="709"/>
      </w:pPr>
      <w:r w:rsidRPr="00F04D5C">
        <w:t>&lt;ESMA_QUESTION_VLTN_13&gt;</w:t>
      </w:r>
    </w:p>
    <w:p w14:paraId="6911E5FB" w14:textId="77777777" w:rsidR="001E4E74" w:rsidRPr="00F04D5C" w:rsidRDefault="001E4E74" w:rsidP="001E4E74">
      <w:pPr>
        <w:rPr>
          <w:lang w:eastAsia="en-GB"/>
        </w:rPr>
      </w:pPr>
    </w:p>
    <w:p w14:paraId="6C526737" w14:textId="520419D7" w:rsidR="001E4E74" w:rsidRPr="00F04D5C" w:rsidRDefault="001E4E74" w:rsidP="001E4E74">
      <w:pPr>
        <w:pStyle w:val="Questionstyle"/>
      </w:pPr>
      <w:r w:rsidRPr="00F04D5C">
        <w:t>With regards to the policy options for the measurement basis, do you agree with proposed mixed approach? If not please explain? Have you identified other benefits and costs not mentioned above associated to the proposed approach?</w:t>
      </w:r>
    </w:p>
    <w:p w14:paraId="092DEDDE" w14:textId="77777777" w:rsidR="001E4E74" w:rsidRPr="00F04D5C" w:rsidRDefault="001E4E74" w:rsidP="001E4E74">
      <w:pPr>
        <w:pStyle w:val="Questionstyle"/>
        <w:numPr>
          <w:ilvl w:val="0"/>
          <w:numId w:val="0"/>
        </w:numPr>
      </w:pPr>
    </w:p>
    <w:p w14:paraId="047CA885" w14:textId="67B2513E" w:rsidR="001E4E74" w:rsidRPr="00F04D5C" w:rsidRDefault="001E4E74" w:rsidP="001E4E74">
      <w:pPr>
        <w:pStyle w:val="Questionstyle"/>
        <w:numPr>
          <w:ilvl w:val="0"/>
          <w:numId w:val="0"/>
        </w:numPr>
      </w:pPr>
      <w:r w:rsidRPr="00F04D5C">
        <w:t>&lt;ESMA_QUESTION_VLTN_14&gt;</w:t>
      </w:r>
    </w:p>
    <w:p w14:paraId="3D59A260" w14:textId="77777777" w:rsidR="001E4E74" w:rsidRPr="00F04D5C" w:rsidRDefault="001E4E74" w:rsidP="001E4E74">
      <w:pPr>
        <w:pStyle w:val="Questionstyle"/>
        <w:numPr>
          <w:ilvl w:val="0"/>
          <w:numId w:val="0"/>
        </w:numPr>
        <w:ind w:left="709" w:hanging="709"/>
      </w:pPr>
      <w:r w:rsidRPr="00F04D5C">
        <w:rPr>
          <w:highlight w:val="yellow"/>
        </w:rPr>
        <w:t>TYPE YOUR TEXT HERE</w:t>
      </w:r>
    </w:p>
    <w:p w14:paraId="32B70F39" w14:textId="3E7FE015" w:rsidR="001E4E74" w:rsidRPr="00F04D5C" w:rsidRDefault="001E4E74" w:rsidP="001E4E74">
      <w:pPr>
        <w:pStyle w:val="Questionstyle"/>
        <w:numPr>
          <w:ilvl w:val="0"/>
          <w:numId w:val="0"/>
        </w:numPr>
        <w:ind w:left="709" w:hanging="709"/>
      </w:pPr>
      <w:r w:rsidRPr="00F04D5C">
        <w:t>&lt;ESMA_QUESTION_VLTN_14&gt;</w:t>
      </w:r>
    </w:p>
    <w:p w14:paraId="02603BDB" w14:textId="77777777" w:rsidR="001E4E74" w:rsidRPr="00F04D5C" w:rsidRDefault="001E4E74" w:rsidP="001E4E74">
      <w:pPr>
        <w:rPr>
          <w:lang w:eastAsia="en-GB"/>
        </w:rPr>
      </w:pPr>
    </w:p>
    <w:p w14:paraId="06BF974E" w14:textId="141D8AB4" w:rsidR="001E4E74" w:rsidRPr="00F04D5C" w:rsidRDefault="001E4E74" w:rsidP="001E4E74">
      <w:pPr>
        <w:pStyle w:val="Questionstyle"/>
      </w:pPr>
      <w:r w:rsidRPr="00F04D5C">
        <w:t>If you advocate for a different approach, how would it impact the cost and benefit assessment? Please provide details.</w:t>
      </w:r>
    </w:p>
    <w:p w14:paraId="5F37F144" w14:textId="77777777" w:rsidR="001E4E74" w:rsidRPr="00F04D5C" w:rsidRDefault="001E4E74" w:rsidP="001E4E74">
      <w:pPr>
        <w:pStyle w:val="Questionstyle"/>
        <w:numPr>
          <w:ilvl w:val="0"/>
          <w:numId w:val="0"/>
        </w:numPr>
      </w:pPr>
    </w:p>
    <w:p w14:paraId="23560E51" w14:textId="0343D7C8" w:rsidR="001E4E74" w:rsidRPr="00F04D5C" w:rsidRDefault="001E4E74" w:rsidP="001E4E74">
      <w:pPr>
        <w:pStyle w:val="Questionstyle"/>
        <w:numPr>
          <w:ilvl w:val="0"/>
          <w:numId w:val="0"/>
        </w:numPr>
      </w:pPr>
      <w:r w:rsidRPr="00F04D5C">
        <w:t>&lt;ESMA_QUESTION_VLTN_15&gt;</w:t>
      </w:r>
    </w:p>
    <w:p w14:paraId="376FF059" w14:textId="77777777" w:rsidR="001E4E74" w:rsidRPr="00F04D5C" w:rsidRDefault="001E4E74" w:rsidP="001E4E74">
      <w:pPr>
        <w:pStyle w:val="Questionstyle"/>
        <w:numPr>
          <w:ilvl w:val="0"/>
          <w:numId w:val="0"/>
        </w:numPr>
        <w:ind w:left="709" w:hanging="709"/>
      </w:pPr>
      <w:r w:rsidRPr="00F04D5C">
        <w:rPr>
          <w:highlight w:val="yellow"/>
        </w:rPr>
        <w:t>TYPE YOUR TEXT HERE</w:t>
      </w:r>
    </w:p>
    <w:p w14:paraId="5C6465A4" w14:textId="28F45CA5" w:rsidR="001E4E74" w:rsidRPr="00F04D5C" w:rsidRDefault="001E4E74" w:rsidP="001E4E74">
      <w:pPr>
        <w:pStyle w:val="Questionstyle"/>
        <w:numPr>
          <w:ilvl w:val="0"/>
          <w:numId w:val="0"/>
        </w:numPr>
        <w:ind w:left="709" w:hanging="709"/>
      </w:pPr>
      <w:r w:rsidRPr="00F04D5C">
        <w:t>&lt;ESMA_QUESTION_VLTN_15&gt;</w:t>
      </w:r>
    </w:p>
    <w:p w14:paraId="4192E734" w14:textId="77777777" w:rsidR="001E4E74" w:rsidRPr="00F04D5C" w:rsidRDefault="001E4E74" w:rsidP="001E4E74">
      <w:pPr>
        <w:rPr>
          <w:lang w:eastAsia="en-GB"/>
        </w:rPr>
      </w:pPr>
    </w:p>
    <w:p w14:paraId="0FE1E1AF" w14:textId="4A8FFC8C" w:rsidR="001E4E74" w:rsidRPr="00F04D5C" w:rsidRDefault="001E4E74" w:rsidP="001E4E74">
      <w:pPr>
        <w:pStyle w:val="Questionstyle"/>
      </w:pPr>
      <w:r w:rsidRPr="00F04D5C">
        <w:t>With regards to the proposed policy options for the buffer for additional losses in provisional valuations, do you agree with Option 2? If not please explain? Have you identified other benefits and costs not mentioned above associated to the proposed approach?</w:t>
      </w:r>
    </w:p>
    <w:p w14:paraId="2C28566A" w14:textId="77777777" w:rsidR="001E4E74" w:rsidRPr="00F04D5C" w:rsidRDefault="001E4E74" w:rsidP="001E4E74">
      <w:pPr>
        <w:pStyle w:val="Questionstyle"/>
        <w:numPr>
          <w:ilvl w:val="0"/>
          <w:numId w:val="0"/>
        </w:numPr>
      </w:pPr>
    </w:p>
    <w:p w14:paraId="4034E7A8" w14:textId="6336109E" w:rsidR="001E4E74" w:rsidRPr="00F04D5C" w:rsidRDefault="001E4E74" w:rsidP="001E4E74">
      <w:pPr>
        <w:pStyle w:val="Questionstyle"/>
        <w:numPr>
          <w:ilvl w:val="0"/>
          <w:numId w:val="0"/>
        </w:numPr>
      </w:pPr>
      <w:r w:rsidRPr="00F04D5C">
        <w:t>&lt;ESMA_QUESTION_VLTN_16&gt;</w:t>
      </w:r>
    </w:p>
    <w:p w14:paraId="48A7DE64" w14:textId="77777777" w:rsidR="001E4E74" w:rsidRPr="00F04D5C" w:rsidRDefault="001E4E74" w:rsidP="001E4E74">
      <w:pPr>
        <w:pStyle w:val="Questionstyle"/>
        <w:numPr>
          <w:ilvl w:val="0"/>
          <w:numId w:val="0"/>
        </w:numPr>
        <w:ind w:left="709" w:hanging="709"/>
      </w:pPr>
      <w:r w:rsidRPr="00F04D5C">
        <w:rPr>
          <w:highlight w:val="yellow"/>
        </w:rPr>
        <w:t>TYPE YOUR TEXT HERE</w:t>
      </w:r>
    </w:p>
    <w:p w14:paraId="5B67146B" w14:textId="13E23A49" w:rsidR="001E4E74" w:rsidRPr="00F04D5C" w:rsidRDefault="001E4E74" w:rsidP="000A6C7F">
      <w:pPr>
        <w:pStyle w:val="Questionstyle"/>
        <w:numPr>
          <w:ilvl w:val="0"/>
          <w:numId w:val="0"/>
        </w:numPr>
        <w:ind w:left="709" w:hanging="709"/>
      </w:pPr>
      <w:r w:rsidRPr="00F04D5C">
        <w:t>&lt;ESMA_QUESTION_VLTN_16&gt;</w:t>
      </w:r>
    </w:p>
    <w:p w14:paraId="0838420B" w14:textId="77777777" w:rsidR="001E4E74" w:rsidRPr="00F04D5C" w:rsidRDefault="001E4E74" w:rsidP="001E4E74">
      <w:pPr>
        <w:rPr>
          <w:lang w:eastAsia="en-GB"/>
        </w:rPr>
      </w:pPr>
    </w:p>
    <w:p w14:paraId="7824346E" w14:textId="48362AB5" w:rsidR="001E4E74" w:rsidRPr="00F04D5C" w:rsidRDefault="001E4E74" w:rsidP="001E4E74">
      <w:pPr>
        <w:pStyle w:val="Questionstyle"/>
      </w:pPr>
      <w:r w:rsidRPr="00F04D5C">
        <w:t>If you advocate for a different approach, how would it impact the cost and benefit assessment? Please provide details.</w:t>
      </w:r>
    </w:p>
    <w:p w14:paraId="22B37848" w14:textId="77777777" w:rsidR="001E4E74" w:rsidRPr="00F04D5C" w:rsidRDefault="001E4E74" w:rsidP="001E4E74">
      <w:pPr>
        <w:pStyle w:val="Questionstyle"/>
        <w:numPr>
          <w:ilvl w:val="0"/>
          <w:numId w:val="0"/>
        </w:numPr>
      </w:pPr>
    </w:p>
    <w:p w14:paraId="6F8C4C57" w14:textId="00284810" w:rsidR="001E4E74" w:rsidRPr="00F04D5C" w:rsidRDefault="001E4E74" w:rsidP="001E4E74">
      <w:pPr>
        <w:pStyle w:val="Questionstyle"/>
        <w:numPr>
          <w:ilvl w:val="0"/>
          <w:numId w:val="0"/>
        </w:numPr>
      </w:pPr>
      <w:r w:rsidRPr="00F04D5C">
        <w:t>&lt;ESMA_QUESTION_VLTN_17&gt;</w:t>
      </w:r>
    </w:p>
    <w:p w14:paraId="7459A9ED" w14:textId="77777777" w:rsidR="001E4E74" w:rsidRPr="00F04D5C" w:rsidRDefault="001E4E74" w:rsidP="001E4E74">
      <w:pPr>
        <w:pStyle w:val="Questionstyle"/>
        <w:numPr>
          <w:ilvl w:val="0"/>
          <w:numId w:val="0"/>
        </w:numPr>
        <w:ind w:left="709" w:hanging="709"/>
      </w:pPr>
      <w:r w:rsidRPr="00F04D5C">
        <w:rPr>
          <w:highlight w:val="yellow"/>
        </w:rPr>
        <w:t>TYPE YOUR TEXT HERE</w:t>
      </w:r>
    </w:p>
    <w:p w14:paraId="2ED8E0E9" w14:textId="3A2F0650" w:rsidR="001E4E74" w:rsidRPr="00F04D5C" w:rsidRDefault="001E4E74" w:rsidP="001E4E74">
      <w:pPr>
        <w:pStyle w:val="Questionstyle"/>
        <w:numPr>
          <w:ilvl w:val="0"/>
          <w:numId w:val="0"/>
        </w:numPr>
        <w:ind w:left="709" w:hanging="709"/>
      </w:pPr>
      <w:r w:rsidRPr="00F04D5C">
        <w:t>&lt;ESMA_QUESTION_VLTN_17&gt;</w:t>
      </w:r>
    </w:p>
    <w:p w14:paraId="61114B8D" w14:textId="77777777" w:rsidR="001E4E74" w:rsidRPr="00F04D5C" w:rsidRDefault="001E4E74" w:rsidP="001E4E74">
      <w:pPr>
        <w:rPr>
          <w:lang w:eastAsia="en-GB"/>
        </w:rPr>
      </w:pPr>
    </w:p>
    <w:p w14:paraId="29896445" w14:textId="77777777" w:rsidR="001E4E74" w:rsidRPr="00F04D5C" w:rsidRDefault="001E4E74" w:rsidP="003311DE">
      <w:pPr>
        <w:rPr>
          <w:rFonts w:ascii="Arial" w:hAnsi="Arial" w:cs="Arial"/>
          <w:sz w:val="24"/>
          <w:szCs w:val="24"/>
        </w:rPr>
      </w:pPr>
    </w:p>
    <w:p w14:paraId="7A000E35" w14:textId="77777777" w:rsidR="003311DE" w:rsidRPr="00F04D5C" w:rsidRDefault="003311DE" w:rsidP="003311DE">
      <w:pPr>
        <w:rPr>
          <w:lang w:eastAsia="en-GB"/>
        </w:rPr>
      </w:pPr>
    </w:p>
    <w:p w14:paraId="5D44C4BD" w14:textId="77777777" w:rsidR="002427D5" w:rsidRPr="00F04D5C" w:rsidRDefault="002427D5" w:rsidP="002427D5">
      <w:pPr>
        <w:rPr>
          <w:rFonts w:ascii="Arial" w:hAnsi="Arial" w:cs="Arial"/>
          <w:sz w:val="24"/>
          <w:szCs w:val="24"/>
        </w:rPr>
      </w:pPr>
    </w:p>
    <w:p w14:paraId="372799DE" w14:textId="77777777" w:rsidR="00793CF7" w:rsidRPr="00F04D5C" w:rsidRDefault="00793CF7">
      <w:pPr>
        <w:rPr>
          <w:rFonts w:ascii="Arial" w:hAnsi="Arial" w:cs="Arial"/>
          <w:sz w:val="24"/>
          <w:szCs w:val="24"/>
        </w:rPr>
      </w:pPr>
    </w:p>
    <w:sectPr w:rsidR="00793CF7" w:rsidRPr="00F04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F9A7" w14:textId="77777777" w:rsidR="00444A9A" w:rsidRDefault="00444A9A">
      <w:pPr>
        <w:spacing w:after="0" w:line="240" w:lineRule="auto"/>
      </w:pPr>
      <w:r>
        <w:separator/>
      </w:r>
    </w:p>
  </w:endnote>
  <w:endnote w:type="continuationSeparator" w:id="0">
    <w:p w14:paraId="6AC3EC8C" w14:textId="77777777" w:rsidR="00444A9A" w:rsidRDefault="00444A9A">
      <w:pPr>
        <w:spacing w:after="0" w:line="240" w:lineRule="auto"/>
      </w:pPr>
      <w:r>
        <w:continuationSeparator/>
      </w:r>
    </w:p>
  </w:endnote>
  <w:endnote w:type="continuationNotice" w:id="1">
    <w:p w14:paraId="0B8C3716" w14:textId="77777777" w:rsidR="00444A9A" w:rsidRDefault="00444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FEDE5B9" w14:textId="77777777" w:rsidR="005D12F3" w:rsidRDefault="002A5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10FF" w14:textId="10BFE4CA"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E27F0C">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E27F0C">
      <w:rPr>
        <w:rFonts w:asciiTheme="minorHAnsi" w:hAnsiTheme="minorHAnsi" w:cstheme="minorHAnsi"/>
        <w:color w:val="FFFFFF" w:themeColor="background1"/>
      </w:rPr>
      <w:t>ESMA 91</w:t>
    </w:r>
    <w:r w:rsidRPr="00E27F0C">
      <w:rPr>
        <w:rFonts w:asciiTheme="minorHAnsi" w:hAnsiTheme="minorHAnsi" w:cstheme="minorHAnsi"/>
        <w:color w:val="FFFFFF" w:themeColor="background1"/>
      </w:rPr>
      <w:t>-</w:t>
    </w:r>
    <w:r w:rsidR="004E0345" w:rsidRPr="00E27F0C">
      <w:rPr>
        <w:rFonts w:asciiTheme="minorHAnsi" w:hAnsiTheme="minorHAnsi" w:cstheme="minorHAnsi"/>
        <w:color w:val="FFFFFF" w:themeColor="background1"/>
      </w:rPr>
      <w:t>372</w:t>
    </w:r>
    <w:r w:rsidRPr="00E27F0C">
      <w:rPr>
        <w:rFonts w:asciiTheme="minorHAnsi" w:hAnsiTheme="minorHAnsi" w:cstheme="minorHAnsi"/>
        <w:color w:val="FFFFFF" w:themeColor="background1"/>
      </w:rPr>
      <w:t>-</w:t>
    </w:r>
    <w:r w:rsidR="00E27F0C">
      <w:rPr>
        <w:rFonts w:asciiTheme="minorHAnsi" w:hAnsiTheme="minorHAnsi" w:cstheme="minorHAnsi"/>
        <w:color w:val="FFFFFF" w:themeColor="background1"/>
      </w:rPr>
      <w:t>185</w:t>
    </w:r>
    <w:r w:rsidR="00ED75EC">
      <w:rPr>
        <w:rFonts w:asciiTheme="minorHAnsi" w:hAnsiTheme="minorHAnsi" w:cstheme="minorHAnsi"/>
        <w:color w:val="FFFFFF" w:themeColor="background1"/>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9B36" w14:textId="77777777" w:rsidR="00444A9A" w:rsidRDefault="00444A9A">
      <w:pPr>
        <w:spacing w:after="0" w:line="240" w:lineRule="auto"/>
      </w:pPr>
      <w:r>
        <w:separator/>
      </w:r>
    </w:p>
  </w:footnote>
  <w:footnote w:type="continuationSeparator" w:id="0">
    <w:p w14:paraId="1B8B54B1" w14:textId="77777777" w:rsidR="00444A9A" w:rsidRDefault="00444A9A">
      <w:pPr>
        <w:spacing w:after="0" w:line="240" w:lineRule="auto"/>
      </w:pPr>
      <w:r>
        <w:continuationSeparator/>
      </w:r>
    </w:p>
  </w:footnote>
  <w:footnote w:type="continuationNotice" w:id="1">
    <w:p w14:paraId="7457AC51" w14:textId="77777777" w:rsidR="00444A9A" w:rsidRDefault="00444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81DA" w14:textId="77777777" w:rsidR="005D12F3" w:rsidRDefault="002A5B3E">
    <w:pPr>
      <w:pStyle w:val="Header"/>
    </w:pPr>
  </w:p>
  <w:p w14:paraId="406770CC" w14:textId="77777777" w:rsidR="005D12F3" w:rsidRDefault="002A5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FE9" w14:textId="36B96AAD" w:rsidR="005D12F3" w:rsidRDefault="00E27F0C">
    <w:pPr>
      <w:pStyle w:val="Header"/>
    </w:pPr>
    <w:r>
      <w:rPr>
        <w:noProof/>
      </w:rPr>
      <w:drawing>
        <wp:anchor distT="0" distB="0" distL="114300" distR="114300" simplePos="0" relativeHeight="251659264" behindDoc="1" locked="0" layoutInCell="1" allowOverlap="1" wp14:anchorId="3B54ED27" wp14:editId="6D8A33E7">
          <wp:simplePos x="0" y="0"/>
          <wp:positionH relativeFrom="page">
            <wp:posOffset>11099</wp:posOffset>
          </wp:positionH>
          <wp:positionV relativeFrom="page">
            <wp:posOffset>3891280</wp:posOffset>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612F8">
      <w:rPr>
        <w:noProof/>
      </w:rPr>
      <w:drawing>
        <wp:anchor distT="0" distB="0" distL="114300" distR="114300" simplePos="0" relativeHeight="251660288" behindDoc="0" locked="0" layoutInCell="1" allowOverlap="1" wp14:anchorId="5915E4BA" wp14:editId="6AD56A71">
          <wp:simplePos x="0" y="0"/>
          <wp:positionH relativeFrom="page">
            <wp:posOffset>366395</wp:posOffset>
          </wp:positionH>
          <wp:positionV relativeFrom="page">
            <wp:posOffset>372745</wp:posOffset>
          </wp:positionV>
          <wp:extent cx="2209800" cy="904875"/>
          <wp:effectExtent l="0" t="0" r="0" b="9525"/>
          <wp:wrapNone/>
          <wp:docPr id="16" name="Picture 1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26C"/>
    <w:multiLevelType w:val="hybridMultilevel"/>
    <w:tmpl w:val="30FA2C5E"/>
    <w:lvl w:ilvl="0" w:tplc="9532326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476D9"/>
    <w:multiLevelType w:val="hybridMultilevel"/>
    <w:tmpl w:val="4EF47D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C08ED"/>
    <w:multiLevelType w:val="hybridMultilevel"/>
    <w:tmpl w:val="5A1C7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8024A"/>
    <w:multiLevelType w:val="hybridMultilevel"/>
    <w:tmpl w:val="58D6699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E5455"/>
    <w:multiLevelType w:val="hybridMultilevel"/>
    <w:tmpl w:val="766A3EB8"/>
    <w:lvl w:ilvl="0" w:tplc="7A069AEC">
      <w:start w:val="1"/>
      <w:numFmt w:val="decimal"/>
      <w:pStyle w:val="Question"/>
      <w:lvlText w:val="Question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C556C6"/>
    <w:multiLevelType w:val="hybridMultilevel"/>
    <w:tmpl w:val="FB8CC31C"/>
    <w:lvl w:ilvl="0" w:tplc="A53C7854">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3171A6"/>
    <w:multiLevelType w:val="hybridMultilevel"/>
    <w:tmpl w:val="9258D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86217D"/>
    <w:multiLevelType w:val="hybridMultilevel"/>
    <w:tmpl w:val="9B189130"/>
    <w:lvl w:ilvl="0" w:tplc="545CE5A8">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404093"/>
    <w:multiLevelType w:val="hybridMultilevel"/>
    <w:tmpl w:val="329032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52232B"/>
    <w:multiLevelType w:val="hybridMultilevel"/>
    <w:tmpl w:val="E12E530A"/>
    <w:lvl w:ilvl="0" w:tplc="2A0424C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42E5F"/>
    <w:multiLevelType w:val="hybridMultilevel"/>
    <w:tmpl w:val="85BE6E50"/>
    <w:lvl w:ilvl="0" w:tplc="79E6E486">
      <w:start w:val="1"/>
      <w:numFmt w:val="lowerLetter"/>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1D06EF4"/>
    <w:multiLevelType w:val="hybridMultilevel"/>
    <w:tmpl w:val="1C1CDF70"/>
    <w:lvl w:ilvl="0" w:tplc="64AEC0C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1DA5F2C"/>
    <w:multiLevelType w:val="hybridMultilevel"/>
    <w:tmpl w:val="A7305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3610D"/>
    <w:multiLevelType w:val="hybridMultilevel"/>
    <w:tmpl w:val="0C4642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393F27"/>
    <w:multiLevelType w:val="hybridMultilevel"/>
    <w:tmpl w:val="E774D0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44D04EF"/>
    <w:multiLevelType w:val="hybridMultilevel"/>
    <w:tmpl w:val="0838A0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1C4FDD"/>
    <w:multiLevelType w:val="hybridMultilevel"/>
    <w:tmpl w:val="107CAF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
  </w:num>
  <w:num w:numId="8">
    <w:abstractNumId w:val="1"/>
  </w:num>
  <w:num w:numId="9">
    <w:abstractNumId w:val="9"/>
  </w:num>
  <w:num w:numId="10">
    <w:abstractNumId w:val="3"/>
  </w:num>
  <w:num w:numId="11">
    <w:abstractNumId w:val="15"/>
  </w:num>
  <w:num w:numId="12">
    <w:abstractNumId w:val="16"/>
  </w:num>
  <w:num w:numId="13">
    <w:abstractNumId w:val="0"/>
  </w:num>
  <w:num w:numId="14">
    <w:abstractNumId w:val="13"/>
  </w:num>
  <w:num w:numId="15">
    <w:abstractNumId w:val="6"/>
  </w:num>
  <w:num w:numId="16">
    <w:abstractNumId w:val="19"/>
  </w:num>
  <w:num w:numId="17">
    <w:abstractNumId w:val="5"/>
  </w:num>
  <w:num w:numId="18">
    <w:abstractNumId w:val="12"/>
  </w:num>
  <w:num w:numId="19">
    <w:abstractNumId w:val="14"/>
  </w:num>
  <w:num w:numId="20">
    <w:abstractNumId w:val="7"/>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00403"/>
    <w:rsid w:val="000007DE"/>
    <w:rsid w:val="00005238"/>
    <w:rsid w:val="00005C36"/>
    <w:rsid w:val="00006C07"/>
    <w:rsid w:val="000077B8"/>
    <w:rsid w:val="00007D86"/>
    <w:rsid w:val="000138DD"/>
    <w:rsid w:val="00030976"/>
    <w:rsid w:val="00034349"/>
    <w:rsid w:val="000447D4"/>
    <w:rsid w:val="0006768E"/>
    <w:rsid w:val="0007107D"/>
    <w:rsid w:val="00074A92"/>
    <w:rsid w:val="00081249"/>
    <w:rsid w:val="00085334"/>
    <w:rsid w:val="000A26A3"/>
    <w:rsid w:val="000A6C7F"/>
    <w:rsid w:val="000B5B7C"/>
    <w:rsid w:val="000B6D4C"/>
    <w:rsid w:val="000C7451"/>
    <w:rsid w:val="000C766B"/>
    <w:rsid w:val="000D2B40"/>
    <w:rsid w:val="000D7044"/>
    <w:rsid w:val="000E1C9D"/>
    <w:rsid w:val="000E3CF8"/>
    <w:rsid w:val="000F345E"/>
    <w:rsid w:val="000F531E"/>
    <w:rsid w:val="000F7E6B"/>
    <w:rsid w:val="00103CBB"/>
    <w:rsid w:val="001061B4"/>
    <w:rsid w:val="0010625B"/>
    <w:rsid w:val="00107A98"/>
    <w:rsid w:val="00111B42"/>
    <w:rsid w:val="0012048A"/>
    <w:rsid w:val="00122994"/>
    <w:rsid w:val="00152686"/>
    <w:rsid w:val="00152B0C"/>
    <w:rsid w:val="001729D0"/>
    <w:rsid w:val="0017507C"/>
    <w:rsid w:val="00184CB6"/>
    <w:rsid w:val="00187A64"/>
    <w:rsid w:val="001955BD"/>
    <w:rsid w:val="00195AD3"/>
    <w:rsid w:val="001A3801"/>
    <w:rsid w:val="001C6AB9"/>
    <w:rsid w:val="001D546F"/>
    <w:rsid w:val="001E4E74"/>
    <w:rsid w:val="001F6A30"/>
    <w:rsid w:val="002020D7"/>
    <w:rsid w:val="002022F7"/>
    <w:rsid w:val="00202815"/>
    <w:rsid w:val="0020687F"/>
    <w:rsid w:val="002165FC"/>
    <w:rsid w:val="00220CBC"/>
    <w:rsid w:val="00220E27"/>
    <w:rsid w:val="00223754"/>
    <w:rsid w:val="002427D5"/>
    <w:rsid w:val="00245B8C"/>
    <w:rsid w:val="0024755B"/>
    <w:rsid w:val="002553C5"/>
    <w:rsid w:val="00270A1E"/>
    <w:rsid w:val="00276F7E"/>
    <w:rsid w:val="00291EB1"/>
    <w:rsid w:val="002977BA"/>
    <w:rsid w:val="002A16DF"/>
    <w:rsid w:val="002A3F3A"/>
    <w:rsid w:val="002A5B3E"/>
    <w:rsid w:val="002A7024"/>
    <w:rsid w:val="002C0D83"/>
    <w:rsid w:val="002C6F80"/>
    <w:rsid w:val="002D39F8"/>
    <w:rsid w:val="002E3B8E"/>
    <w:rsid w:val="002F6A26"/>
    <w:rsid w:val="00303575"/>
    <w:rsid w:val="003072B1"/>
    <w:rsid w:val="003075FE"/>
    <w:rsid w:val="003112F0"/>
    <w:rsid w:val="0031301E"/>
    <w:rsid w:val="00317AB9"/>
    <w:rsid w:val="00317DAC"/>
    <w:rsid w:val="003311DE"/>
    <w:rsid w:val="00333409"/>
    <w:rsid w:val="0033346A"/>
    <w:rsid w:val="00341A95"/>
    <w:rsid w:val="00343B3B"/>
    <w:rsid w:val="00345A5B"/>
    <w:rsid w:val="00350557"/>
    <w:rsid w:val="00364EFB"/>
    <w:rsid w:val="0037608F"/>
    <w:rsid w:val="003764D0"/>
    <w:rsid w:val="00381BFC"/>
    <w:rsid w:val="00382B95"/>
    <w:rsid w:val="00393A74"/>
    <w:rsid w:val="003A063A"/>
    <w:rsid w:val="003A694C"/>
    <w:rsid w:val="003C1802"/>
    <w:rsid w:val="003C3A0E"/>
    <w:rsid w:val="003C45D8"/>
    <w:rsid w:val="003D4361"/>
    <w:rsid w:val="003D4AE8"/>
    <w:rsid w:val="003E1D56"/>
    <w:rsid w:val="003F18BB"/>
    <w:rsid w:val="003F1EE7"/>
    <w:rsid w:val="003F20C0"/>
    <w:rsid w:val="00422A53"/>
    <w:rsid w:val="004252BC"/>
    <w:rsid w:val="00432B20"/>
    <w:rsid w:val="00444A9A"/>
    <w:rsid w:val="0045106E"/>
    <w:rsid w:val="00451F5B"/>
    <w:rsid w:val="00456684"/>
    <w:rsid w:val="004572DA"/>
    <w:rsid w:val="0045797B"/>
    <w:rsid w:val="00460D7B"/>
    <w:rsid w:val="0046495B"/>
    <w:rsid w:val="0048227B"/>
    <w:rsid w:val="0048650F"/>
    <w:rsid w:val="004A008D"/>
    <w:rsid w:val="004B4C71"/>
    <w:rsid w:val="004B5A04"/>
    <w:rsid w:val="004B74B7"/>
    <w:rsid w:val="004C355B"/>
    <w:rsid w:val="004C3BC4"/>
    <w:rsid w:val="004C7BC9"/>
    <w:rsid w:val="004D4AF2"/>
    <w:rsid w:val="004E0345"/>
    <w:rsid w:val="004E4670"/>
    <w:rsid w:val="004F0D83"/>
    <w:rsid w:val="004F12E9"/>
    <w:rsid w:val="004F5869"/>
    <w:rsid w:val="00503D5E"/>
    <w:rsid w:val="00516AC7"/>
    <w:rsid w:val="00532035"/>
    <w:rsid w:val="0053514E"/>
    <w:rsid w:val="00540041"/>
    <w:rsid w:val="00546A11"/>
    <w:rsid w:val="0055306C"/>
    <w:rsid w:val="005547DE"/>
    <w:rsid w:val="0056432D"/>
    <w:rsid w:val="00567B28"/>
    <w:rsid w:val="00571B85"/>
    <w:rsid w:val="0057260C"/>
    <w:rsid w:val="0058431F"/>
    <w:rsid w:val="00592D3D"/>
    <w:rsid w:val="0059389E"/>
    <w:rsid w:val="005A5A36"/>
    <w:rsid w:val="005B0231"/>
    <w:rsid w:val="005C7C0D"/>
    <w:rsid w:val="005D55D4"/>
    <w:rsid w:val="005F0B0D"/>
    <w:rsid w:val="005F23DC"/>
    <w:rsid w:val="005F2F94"/>
    <w:rsid w:val="005F5C04"/>
    <w:rsid w:val="005F6EE3"/>
    <w:rsid w:val="005F75C2"/>
    <w:rsid w:val="006054B2"/>
    <w:rsid w:val="00615BF9"/>
    <w:rsid w:val="00622703"/>
    <w:rsid w:val="00623B0C"/>
    <w:rsid w:val="00634088"/>
    <w:rsid w:val="006610CD"/>
    <w:rsid w:val="00661C42"/>
    <w:rsid w:val="00662F2C"/>
    <w:rsid w:val="0066357F"/>
    <w:rsid w:val="00676402"/>
    <w:rsid w:val="00677F6C"/>
    <w:rsid w:val="0069387F"/>
    <w:rsid w:val="006C4458"/>
    <w:rsid w:val="006D66BA"/>
    <w:rsid w:val="006D7321"/>
    <w:rsid w:val="006E3317"/>
    <w:rsid w:val="006F3995"/>
    <w:rsid w:val="006F60F1"/>
    <w:rsid w:val="0070010F"/>
    <w:rsid w:val="0070682B"/>
    <w:rsid w:val="00720853"/>
    <w:rsid w:val="0072633C"/>
    <w:rsid w:val="00747522"/>
    <w:rsid w:val="007512F6"/>
    <w:rsid w:val="00754131"/>
    <w:rsid w:val="00756E25"/>
    <w:rsid w:val="00761572"/>
    <w:rsid w:val="0076176C"/>
    <w:rsid w:val="00762333"/>
    <w:rsid w:val="00765543"/>
    <w:rsid w:val="00786BC7"/>
    <w:rsid w:val="00786FFC"/>
    <w:rsid w:val="00790060"/>
    <w:rsid w:val="00793CF7"/>
    <w:rsid w:val="00793F7B"/>
    <w:rsid w:val="007A03A4"/>
    <w:rsid w:val="007A5136"/>
    <w:rsid w:val="007C0008"/>
    <w:rsid w:val="007C134D"/>
    <w:rsid w:val="007C15D3"/>
    <w:rsid w:val="007C5A49"/>
    <w:rsid w:val="007D7F0D"/>
    <w:rsid w:val="007E596C"/>
    <w:rsid w:val="007F03F6"/>
    <w:rsid w:val="007F23EC"/>
    <w:rsid w:val="007F246E"/>
    <w:rsid w:val="0081535F"/>
    <w:rsid w:val="008167AC"/>
    <w:rsid w:val="0085263B"/>
    <w:rsid w:val="00854F01"/>
    <w:rsid w:val="00862A7B"/>
    <w:rsid w:val="00873919"/>
    <w:rsid w:val="00874169"/>
    <w:rsid w:val="008742A7"/>
    <w:rsid w:val="00881DF2"/>
    <w:rsid w:val="00886D58"/>
    <w:rsid w:val="00897FFC"/>
    <w:rsid w:val="008A1203"/>
    <w:rsid w:val="008A702E"/>
    <w:rsid w:val="008B1B34"/>
    <w:rsid w:val="008B3AF2"/>
    <w:rsid w:val="008B3F86"/>
    <w:rsid w:val="008C7A02"/>
    <w:rsid w:val="008D7E3E"/>
    <w:rsid w:val="008E1486"/>
    <w:rsid w:val="008E6590"/>
    <w:rsid w:val="008F4F7B"/>
    <w:rsid w:val="00901413"/>
    <w:rsid w:val="00907816"/>
    <w:rsid w:val="0092350E"/>
    <w:rsid w:val="00926980"/>
    <w:rsid w:val="00930663"/>
    <w:rsid w:val="0095775C"/>
    <w:rsid w:val="009612F8"/>
    <w:rsid w:val="00981B57"/>
    <w:rsid w:val="00983BDD"/>
    <w:rsid w:val="009912EF"/>
    <w:rsid w:val="009A59E2"/>
    <w:rsid w:val="009A6853"/>
    <w:rsid w:val="009B036D"/>
    <w:rsid w:val="009B144A"/>
    <w:rsid w:val="009B220F"/>
    <w:rsid w:val="009B2680"/>
    <w:rsid w:val="009B3CD2"/>
    <w:rsid w:val="009B5880"/>
    <w:rsid w:val="009C2510"/>
    <w:rsid w:val="009D2266"/>
    <w:rsid w:val="009D4DE6"/>
    <w:rsid w:val="009E1A2F"/>
    <w:rsid w:val="00A01BE6"/>
    <w:rsid w:val="00A037F0"/>
    <w:rsid w:val="00A045E8"/>
    <w:rsid w:val="00A051CF"/>
    <w:rsid w:val="00A10F84"/>
    <w:rsid w:val="00A17F15"/>
    <w:rsid w:val="00A20E8B"/>
    <w:rsid w:val="00A253FB"/>
    <w:rsid w:val="00A30CEF"/>
    <w:rsid w:val="00A345A2"/>
    <w:rsid w:val="00A360AB"/>
    <w:rsid w:val="00A51B2A"/>
    <w:rsid w:val="00A6467E"/>
    <w:rsid w:val="00A92D8C"/>
    <w:rsid w:val="00AA3B9A"/>
    <w:rsid w:val="00AA420A"/>
    <w:rsid w:val="00AA60F5"/>
    <w:rsid w:val="00AA736D"/>
    <w:rsid w:val="00AA7C39"/>
    <w:rsid w:val="00AA7CEF"/>
    <w:rsid w:val="00AB7355"/>
    <w:rsid w:val="00AC356B"/>
    <w:rsid w:val="00AD6380"/>
    <w:rsid w:val="00AE3B4E"/>
    <w:rsid w:val="00B1267F"/>
    <w:rsid w:val="00B2446A"/>
    <w:rsid w:val="00B25758"/>
    <w:rsid w:val="00B35B4A"/>
    <w:rsid w:val="00B505CF"/>
    <w:rsid w:val="00B54BA0"/>
    <w:rsid w:val="00B613FE"/>
    <w:rsid w:val="00B64737"/>
    <w:rsid w:val="00B77FF4"/>
    <w:rsid w:val="00B8272D"/>
    <w:rsid w:val="00B87B57"/>
    <w:rsid w:val="00B92B2F"/>
    <w:rsid w:val="00B958C3"/>
    <w:rsid w:val="00B96928"/>
    <w:rsid w:val="00BA008A"/>
    <w:rsid w:val="00BA0362"/>
    <w:rsid w:val="00BA3940"/>
    <w:rsid w:val="00BB0823"/>
    <w:rsid w:val="00BC17AC"/>
    <w:rsid w:val="00BD3E6E"/>
    <w:rsid w:val="00BE129F"/>
    <w:rsid w:val="00C019E5"/>
    <w:rsid w:val="00C047E0"/>
    <w:rsid w:val="00C05A2D"/>
    <w:rsid w:val="00C10526"/>
    <w:rsid w:val="00C21DCC"/>
    <w:rsid w:val="00C22217"/>
    <w:rsid w:val="00C24EA7"/>
    <w:rsid w:val="00C26A62"/>
    <w:rsid w:val="00C27C14"/>
    <w:rsid w:val="00C416BC"/>
    <w:rsid w:val="00C466EC"/>
    <w:rsid w:val="00C52158"/>
    <w:rsid w:val="00C55D14"/>
    <w:rsid w:val="00C567F0"/>
    <w:rsid w:val="00C73783"/>
    <w:rsid w:val="00C744C1"/>
    <w:rsid w:val="00C76A15"/>
    <w:rsid w:val="00C84638"/>
    <w:rsid w:val="00C9787B"/>
    <w:rsid w:val="00CB5E4E"/>
    <w:rsid w:val="00CB65C3"/>
    <w:rsid w:val="00CB67D2"/>
    <w:rsid w:val="00CC59B0"/>
    <w:rsid w:val="00CD749B"/>
    <w:rsid w:val="00D05890"/>
    <w:rsid w:val="00D221B4"/>
    <w:rsid w:val="00D22BF3"/>
    <w:rsid w:val="00D33939"/>
    <w:rsid w:val="00D33DE2"/>
    <w:rsid w:val="00D342D8"/>
    <w:rsid w:val="00D4089F"/>
    <w:rsid w:val="00D4204C"/>
    <w:rsid w:val="00D424B7"/>
    <w:rsid w:val="00D51A2D"/>
    <w:rsid w:val="00D53C5E"/>
    <w:rsid w:val="00D54380"/>
    <w:rsid w:val="00D576CC"/>
    <w:rsid w:val="00D64093"/>
    <w:rsid w:val="00D67D5F"/>
    <w:rsid w:val="00D736B5"/>
    <w:rsid w:val="00D73FD3"/>
    <w:rsid w:val="00D74973"/>
    <w:rsid w:val="00D8540D"/>
    <w:rsid w:val="00D85CB7"/>
    <w:rsid w:val="00D93AC0"/>
    <w:rsid w:val="00DA2C50"/>
    <w:rsid w:val="00DB1DB2"/>
    <w:rsid w:val="00DB2A2B"/>
    <w:rsid w:val="00DB69B2"/>
    <w:rsid w:val="00DB6E1C"/>
    <w:rsid w:val="00DD170D"/>
    <w:rsid w:val="00DD2134"/>
    <w:rsid w:val="00DE1FBD"/>
    <w:rsid w:val="00DE6E39"/>
    <w:rsid w:val="00DF0BE6"/>
    <w:rsid w:val="00DF4ECF"/>
    <w:rsid w:val="00DF7B95"/>
    <w:rsid w:val="00E105AD"/>
    <w:rsid w:val="00E13DFB"/>
    <w:rsid w:val="00E1656A"/>
    <w:rsid w:val="00E16E3D"/>
    <w:rsid w:val="00E243BB"/>
    <w:rsid w:val="00E27F0C"/>
    <w:rsid w:val="00E33FD1"/>
    <w:rsid w:val="00E36296"/>
    <w:rsid w:val="00E37210"/>
    <w:rsid w:val="00E53EB2"/>
    <w:rsid w:val="00E63E3A"/>
    <w:rsid w:val="00E82EC6"/>
    <w:rsid w:val="00E861AD"/>
    <w:rsid w:val="00E92C72"/>
    <w:rsid w:val="00EA305E"/>
    <w:rsid w:val="00EB429B"/>
    <w:rsid w:val="00EC0285"/>
    <w:rsid w:val="00EC3B5C"/>
    <w:rsid w:val="00EC5383"/>
    <w:rsid w:val="00ED75EC"/>
    <w:rsid w:val="00EE0A13"/>
    <w:rsid w:val="00F04171"/>
    <w:rsid w:val="00F04D5C"/>
    <w:rsid w:val="00F17CDB"/>
    <w:rsid w:val="00F25A79"/>
    <w:rsid w:val="00F3001C"/>
    <w:rsid w:val="00F321FB"/>
    <w:rsid w:val="00F441AC"/>
    <w:rsid w:val="00F44BF7"/>
    <w:rsid w:val="00F46B75"/>
    <w:rsid w:val="00F559EC"/>
    <w:rsid w:val="00F57797"/>
    <w:rsid w:val="00F57DE0"/>
    <w:rsid w:val="00F70550"/>
    <w:rsid w:val="00F71064"/>
    <w:rsid w:val="00F71406"/>
    <w:rsid w:val="00F8009F"/>
    <w:rsid w:val="00F84916"/>
    <w:rsid w:val="00F874D6"/>
    <w:rsid w:val="00F878D7"/>
    <w:rsid w:val="00F91A61"/>
    <w:rsid w:val="00F9474E"/>
    <w:rsid w:val="00FA3E98"/>
    <w:rsid w:val="00FB4FCF"/>
    <w:rsid w:val="00FC5A45"/>
    <w:rsid w:val="00FD02B1"/>
    <w:rsid w:val="00FD224A"/>
    <w:rsid w:val="00FD2839"/>
    <w:rsid w:val="00FE3F9A"/>
    <w:rsid w:val="00FF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1DE"/>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F4F7B"/>
    <w:pPr>
      <w:numPr>
        <w:numId w:val="18"/>
      </w:numPr>
      <w:tabs>
        <w:tab w:val="left" w:pos="0"/>
        <w:tab w:val="left" w:pos="142"/>
        <w:tab w:val="left" w:pos="284"/>
        <w:tab w:val="left" w:pos="567"/>
      </w:tabs>
      <w:autoSpaceDE w:val="0"/>
      <w:autoSpaceDN w:val="0"/>
      <w:adjustRightInd w:val="0"/>
      <w:spacing w:after="0" w:line="264" w:lineRule="auto"/>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1E4E74"/>
    <w:pPr>
      <w:numPr>
        <w:numId w:val="3"/>
      </w:numPr>
      <w:tabs>
        <w:tab w:val="left" w:pos="851"/>
        <w:tab w:val="left" w:pos="1560"/>
      </w:tabs>
      <w:spacing w:after="250" w:line="276" w:lineRule="auto"/>
      <w:ind w:left="709" w:hanging="709"/>
      <w:contextualSpacing/>
      <w:jc w:val="both"/>
    </w:pPr>
    <w:rPr>
      <w:rFonts w:ascii="Arial" w:eastAsia="Times New Roman" w:hAnsi="Arial" w:cs="Arial"/>
      <w:sz w:val="24"/>
      <w:szCs w:val="24"/>
      <w:lang w:eastAsia="en-GB"/>
    </w:rPr>
  </w:style>
  <w:style w:type="character" w:customStyle="1" w:styleId="QuestionstyleChar">
    <w:name w:val="Question style Char"/>
    <w:basedOn w:val="DefaultParagraphFont"/>
    <w:link w:val="Questionstyle"/>
    <w:rsid w:val="001E4E74"/>
    <w:rPr>
      <w:rFonts w:ascii="Arial" w:eastAsia="Times New Roman" w:hAnsi="Arial" w:cs="Arial"/>
      <w:sz w:val="24"/>
      <w:szCs w:val="24"/>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F4F7B"/>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rsid w:val="002427D5"/>
    <w:rPr>
      <w:sz w:val="20"/>
      <w:szCs w:val="20"/>
    </w:rPr>
  </w:style>
  <w:style w:type="paragraph" w:customStyle="1" w:styleId="Question">
    <w:name w:val="Question"/>
    <w:basedOn w:val="Normal"/>
    <w:link w:val="QuestionChar"/>
    <w:qFormat/>
    <w:rsid w:val="001E4E74"/>
    <w:pPr>
      <w:numPr>
        <w:numId w:val="6"/>
      </w:numPr>
      <w:spacing w:before="120" w:after="120" w:line="276" w:lineRule="auto"/>
      <w:ind w:left="0" w:firstLine="0"/>
      <w:jc w:val="both"/>
    </w:pPr>
    <w:rPr>
      <w:rFonts w:eastAsia="Times New Roman" w:cs="Times New Roman"/>
      <w:b/>
      <w:bCs/>
      <w:i/>
      <w:iCs/>
      <w:szCs w:val="20"/>
    </w:rPr>
  </w:style>
  <w:style w:type="character" w:customStyle="1" w:styleId="QuestionChar">
    <w:name w:val="Question Char"/>
    <w:basedOn w:val="DefaultParagraphFont"/>
    <w:link w:val="Question"/>
    <w:rsid w:val="001E4E74"/>
    <w:rPr>
      <w:rFonts w:eastAsia="Times New Roman" w:cs="Times New Roman"/>
      <w:b/>
      <w:bCs/>
      <w:i/>
      <w:iCs/>
      <w:szCs w:val="20"/>
    </w:rPr>
  </w:style>
  <w:style w:type="paragraph" w:styleId="Revision">
    <w:name w:val="Revision"/>
    <w:hidden/>
    <w:uiPriority w:val="99"/>
    <w:semiHidden/>
    <w:rsid w:val="0048227B"/>
    <w:pPr>
      <w:spacing w:after="0" w:line="240" w:lineRule="auto"/>
    </w:pPr>
  </w:style>
  <w:style w:type="paragraph" w:styleId="CommentSubject">
    <w:name w:val="annotation subject"/>
    <w:basedOn w:val="CommentText"/>
    <w:next w:val="CommentText"/>
    <w:link w:val="CommentSubjectChar"/>
    <w:uiPriority w:val="99"/>
    <w:semiHidden/>
    <w:unhideWhenUsed/>
    <w:rsid w:val="007A03A4"/>
    <w:rPr>
      <w:b/>
      <w:bCs/>
    </w:rPr>
  </w:style>
  <w:style w:type="character" w:customStyle="1" w:styleId="CommentSubjectChar">
    <w:name w:val="Comment Subject Char"/>
    <w:basedOn w:val="CommentTextChar"/>
    <w:link w:val="CommentSubject"/>
    <w:uiPriority w:val="99"/>
    <w:semiHidden/>
    <w:rsid w:val="007A03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b1af2f151fee4e71ab04d3be0acf309a>
    <c0a75b1bac544bb79ff9701b7c8df79e xmlns="52e67915-6641-4f72-9fe9-b8cc95953e2e">
      <Terms xmlns="http://schemas.microsoft.com/office/infopath/2007/PartnerControls"/>
    </c0a75b1bac544bb79ff9701b7c8df79e>
    <MeetingDate xmlns="52e67915-6641-4f72-9fe9-b8cc95953e2e" xsi:nil="true"/>
    <TaxCatchAll xmlns="52e67915-6641-4f72-9fe9-b8cc95953e2e"/>
    <IconOverlay xmlns="http://schemas.microsoft.com/sharepoint/v4" xsi:nil="true"/>
    <Year xmlns="52e67915-6641-4f72-9fe9-b8cc95953e2e"/>
    <h6d3aedb91e548d9a7a4b474e9cdf7ee xmlns="52e67915-6641-4f72-9fe9-b8cc95953e2e">
      <Terms xmlns="http://schemas.microsoft.com/office/infopath/2007/PartnerControls"/>
    </h6d3aedb91e548d9a7a4b474e9cdf7ee>
    <ocd626d180d94eeaae0a33d4a9b513ce xmlns="52e67915-6641-4f72-9fe9-b8cc95953e2e">
      <Terms xmlns="http://schemas.microsoft.com/office/infopath/2007/PartnerControls"/>
    </ocd626d180d94eeaae0a33d4a9b513ce>
    <ac4f39f6cc8445948be69a6c278de6ef xmlns="52e67915-6641-4f72-9fe9-b8cc95953e2e">
      <Terms xmlns="http://schemas.microsoft.com/office/infopath/2007/PartnerControls"/>
    </ac4f39f6cc8445948be69a6c278de6ef>
    <c4c347a134a6410b9867f4d35258a852 xmlns="52e67915-6641-4f72-9fe9-b8cc95953e2e">
      <Terms xmlns="http://schemas.microsoft.com/office/infopath/2007/PartnerControls"/>
    </c4c347a134a6410b9867f4d35258a852>
    <_dlc_DocId xmlns="52e67915-6641-4f72-9fe9-b8cc95953e2e" xsi:nil="true"/>
    <_dlc_DocIdUrl xmlns="52e67915-6641-4f72-9fe9-b8cc95953e2e">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 ds:uri="52e67915-6641-4f72-9fe9-b8cc95953e2e"/>
    <ds:schemaRef ds:uri="http://schemas.microsoft.com/sharepoint/v4"/>
  </ds:schemaRefs>
</ds:datastoreItem>
</file>

<file path=customXml/itemProps3.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4.xml><?xml version="1.0" encoding="utf-8"?>
<ds:datastoreItem xmlns:ds="http://schemas.openxmlformats.org/officeDocument/2006/customXml" ds:itemID="{6701F32C-A3D2-4F51-8602-6AE9271359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Ulrich Karl</cp:lastModifiedBy>
  <cp:revision>8</cp:revision>
  <dcterms:created xsi:type="dcterms:W3CDTF">2022-01-24T12:19:00Z</dcterms:created>
  <dcterms:modified xsi:type="dcterms:W3CDTF">2022-01-24T12:36:00Z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e87f98ee-050b-447e-b8c7-4e5094fe84ff</vt:lpwstr>
  </property>
</Properties>
</file>