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56BB6">
            <w:trPr>
              <w:trHeight w:hRule="exact" w:val="747"/>
            </w:trPr>
            <w:tc>
              <w:tcPr>
                <w:tcW w:w="10490" w:type="dxa"/>
                <w:tcMar>
                  <w:top w:w="142" w:type="dxa"/>
                </w:tcMar>
              </w:tcPr>
              <w:p w14:paraId="6891B0AD" w14:textId="5C13227C" w:rsidR="002427D5" w:rsidRPr="00E3664A" w:rsidRDefault="00B6537C" w:rsidP="00456BB6">
                <w:pPr>
                  <w:pStyle w:val="Heading2"/>
                  <w:numPr>
                    <w:ilvl w:val="0"/>
                    <w:numId w:val="0"/>
                  </w:numPr>
                  <w:spacing w:before="0"/>
                  <w:rPr>
                    <w:rFonts w:ascii="Arial" w:hAnsi="Arial" w:cs="Arial"/>
                  </w:rPr>
                </w:pPr>
                <w:r w:rsidRPr="00B6537C">
                  <w:rPr>
                    <w:rFonts w:ascii="Arial" w:hAnsi="Arial" w:cs="Arial"/>
                    <w:lang w:eastAsia="en-US"/>
                  </w:rPr>
                  <w:t xml:space="preserve">Draft </w:t>
                </w:r>
                <w:r w:rsidR="008C0EEA">
                  <w:rPr>
                    <w:rFonts w:ascii="Arial" w:hAnsi="Arial" w:cs="Arial"/>
                    <w:lang w:eastAsia="en-US"/>
                  </w:rPr>
                  <w:t>Guideline</w:t>
                </w:r>
                <w:r w:rsidRPr="00B6537C">
                  <w:rPr>
                    <w:rFonts w:ascii="Arial" w:hAnsi="Arial" w:cs="Arial"/>
                    <w:lang w:eastAsia="en-US"/>
                  </w:rPr>
                  <w:t xml:space="preserve">s </w:t>
                </w:r>
                <w:r w:rsidR="008C0EEA">
                  <w:rPr>
                    <w:rFonts w:ascii="Arial" w:hAnsi="Arial" w:cs="Arial"/>
                    <w:lang w:eastAsia="en-US"/>
                  </w:rPr>
                  <w:t>for the m</w:t>
                </w:r>
                <w:r w:rsidRPr="00B6537C">
                  <w:rPr>
                    <w:rFonts w:ascii="Arial" w:hAnsi="Arial" w:cs="Arial"/>
                    <w:lang w:eastAsia="en-US"/>
                  </w:rPr>
                  <w:t>ethodology to value each contract prior to termination</w:t>
                </w:r>
                <w:r>
                  <w:t xml:space="preserve"> </w:t>
                </w:r>
                <w:r w:rsidRPr="00B6537C">
                  <w:rPr>
                    <w:rFonts w:ascii="Arial" w:hAnsi="Arial" w:cs="Arial"/>
                    <w:lang w:eastAsia="en-US"/>
                  </w:rPr>
                  <w:t xml:space="preserve">(Article 29(7) </w:t>
                </w:r>
                <w:r w:rsidR="008C0EEA">
                  <w:rPr>
                    <w:rFonts w:ascii="Arial" w:hAnsi="Arial" w:cs="Arial"/>
                    <w:lang w:eastAsia="en-US"/>
                  </w:rPr>
                  <w:t xml:space="preserve">of the </w:t>
                </w:r>
                <w:r w:rsidRPr="00B6537C">
                  <w:rPr>
                    <w:rFonts w:ascii="Arial" w:hAnsi="Arial" w:cs="Arial"/>
                    <w:lang w:eastAsia="en-US"/>
                  </w:rPr>
                  <w:t>CCPRRR)</w:t>
                </w: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respond to the question </w:t>
          </w:r>
          <w:proofErr w:type="gramStart"/>
          <w:r w:rsidRPr="00E3664A">
            <w:rPr>
              <w:rFonts w:ascii="Arial" w:eastAsiaTheme="minorEastAsia" w:hAnsi="Arial" w:cs="Arial"/>
              <w:szCs w:val="20"/>
            </w:rPr>
            <w:t>stated;</w:t>
          </w:r>
          <w:proofErr w:type="gramEnd"/>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indicate the specific question to which the comment </w:t>
          </w:r>
          <w:proofErr w:type="gramStart"/>
          <w:r w:rsidRPr="00E3664A">
            <w:rPr>
              <w:rFonts w:ascii="Arial" w:eastAsiaTheme="minorEastAsia" w:hAnsi="Arial" w:cs="Arial"/>
              <w:szCs w:val="20"/>
            </w:rPr>
            <w:t>relates;</w:t>
          </w:r>
          <w:proofErr w:type="gramEnd"/>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3FBAC08C"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B6537C">
            <w:rPr>
              <w:rFonts w:ascii="Arial" w:eastAsiaTheme="minorEastAsia" w:hAnsi="Arial" w:cs="Arial"/>
              <w:b/>
              <w:szCs w:val="20"/>
            </w:rPr>
            <w:t>4</w:t>
          </w:r>
          <w:r w:rsidRPr="00A92D8C">
            <w:rPr>
              <w:rFonts w:ascii="Arial" w:eastAsiaTheme="minorEastAsia" w:hAnsi="Arial" w:cs="Arial"/>
              <w:b/>
              <w:szCs w:val="20"/>
            </w:rPr>
            <w:t xml:space="preserve"> </w:t>
          </w:r>
          <w:r w:rsidR="00B6537C">
            <w:rPr>
              <w:rFonts w:ascii="Arial" w:eastAsiaTheme="minorEastAsia" w:hAnsi="Arial" w:cs="Arial"/>
              <w:b/>
              <w:szCs w:val="20"/>
            </w:rPr>
            <w:t>January</w:t>
          </w:r>
          <w:r w:rsidRPr="00A92D8C">
            <w:rPr>
              <w:rFonts w:ascii="Arial" w:eastAsiaTheme="minorEastAsia" w:hAnsi="Arial" w:cs="Arial"/>
              <w:b/>
              <w:szCs w:val="20"/>
            </w:rPr>
            <w:t xml:space="preserve"> 202</w:t>
          </w:r>
          <w:r w:rsidR="009B4C1E">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5"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8229311"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057EE06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B6537C">
            <w:rPr>
              <w:rFonts w:ascii="Arial" w:eastAsiaTheme="minorEastAsia" w:hAnsi="Arial" w:cs="Arial"/>
              <w:szCs w:val="20"/>
              <w:lang w:eastAsia="en-US"/>
            </w:rPr>
            <w:t>VALPT</w:t>
          </w:r>
          <w:r w:rsidRPr="00E3664A">
            <w:rPr>
              <w:rFonts w:ascii="Arial" w:eastAsiaTheme="minorEastAsia" w:hAnsi="Arial" w:cs="Arial"/>
              <w:szCs w:val="20"/>
              <w:lang w:eastAsia="en-US"/>
            </w:rPr>
            <w:t>_ABCD_RESPONSEFORM.</w:t>
          </w:r>
        </w:p>
        <w:p w14:paraId="11889093" w14:textId="4B5F10F5"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6"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AE6200">
            <w:rPr>
              <w:rFonts w:ascii="Arial" w:hAnsi="Arial" w:cs="Arial"/>
              <w:lang w:eastAsia="en-US"/>
            </w:rPr>
            <w:t xml:space="preserve">the </w:t>
          </w:r>
          <w:r w:rsidR="00AE6200" w:rsidRPr="00B6537C">
            <w:rPr>
              <w:rFonts w:ascii="Arial" w:hAnsi="Arial" w:cs="Arial"/>
              <w:lang w:eastAsia="en-US"/>
            </w:rPr>
            <w:t>Methodology to value each contract prior to termination</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received will be published following the close of the </w:t>
          </w:r>
          <w:proofErr w:type="gramStart"/>
          <w:r w:rsidRPr="00E3664A">
            <w:rPr>
              <w:rFonts w:ascii="Arial" w:eastAsiaTheme="minorEastAsia" w:hAnsi="Arial" w:cs="Arial"/>
              <w:szCs w:val="20"/>
            </w:rPr>
            <w:t>consultation, unless</w:t>
          </w:r>
          <w:proofErr w:type="gramEnd"/>
          <w:r w:rsidRPr="00E3664A">
            <w:rPr>
              <w:rFonts w:ascii="Arial" w:eastAsiaTheme="minorEastAsia" w:hAnsi="Arial" w:cs="Arial"/>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8"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4B8ECC31" w:rsidR="002427D5" w:rsidRPr="00E3664A" w:rsidRDefault="00D64414" w:rsidP="00456BB6">
                <w:pPr>
                  <w:rPr>
                    <w:rFonts w:ascii="Arial" w:hAnsi="Arial" w:cs="Arial"/>
                    <w:color w:val="808080"/>
                    <w:sz w:val="20"/>
                    <w:lang w:eastAsia="de-DE"/>
                  </w:rPr>
                </w:pPr>
                <w:r>
                  <w:rPr>
                    <w:rFonts w:ascii="Arial" w:hAnsi="Arial" w:cs="Arial"/>
                    <w:color w:val="808080"/>
                    <w:sz w:val="20"/>
                    <w:lang w:eastAsia="de-DE"/>
                  </w:rPr>
                  <w:t>European Association of CCP Clearing Houses</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63254DA3" w:rsidR="002427D5" w:rsidRPr="00E3664A" w:rsidRDefault="009B7936"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64414">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59B597AC" w:rsidR="002427D5" w:rsidRPr="00E3664A" w:rsidRDefault="00D64414" w:rsidP="00456BB6">
                <w:pPr>
                  <w:rPr>
                    <w:rFonts w:ascii="Arial" w:hAnsi="Arial" w:cs="Arial"/>
                    <w:sz w:val="20"/>
                    <w:lang w:eastAsia="de-DE"/>
                  </w:rPr>
                </w:pPr>
                <w:r>
                  <w:rPr>
                    <w:rFonts w:ascii="MS Gothic" w:eastAsia="MS Gothic" w:hAnsi="MS Gothic" w:cs="Arial" w:hint="eastAsia"/>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60232BF7" w:rsidR="002427D5" w:rsidRPr="00E3664A" w:rsidRDefault="00D64414" w:rsidP="00456BB6">
                <w:pPr>
                  <w:rPr>
                    <w:rFonts w:ascii="Arial" w:hAnsi="Arial" w:cs="Arial"/>
                    <w:sz w:val="20"/>
                    <w:lang w:eastAsia="de-DE"/>
                  </w:rPr>
                </w:pPr>
                <w:r>
                  <w:rPr>
                    <w:rFonts w:ascii="Arial" w:hAnsi="Arial" w:cs="Arial"/>
                    <w:sz w:val="20"/>
                    <w:lang w:eastAsia="de-DE"/>
                  </w:rPr>
                  <w:t>Belgium</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 xml:space="preserve">Please make your introductory comments </w:t>
      </w:r>
      <w:proofErr w:type="gramStart"/>
      <w:r w:rsidRPr="00E3664A">
        <w:rPr>
          <w:rFonts w:ascii="Arial" w:eastAsiaTheme="minorEastAsia" w:hAnsi="Arial" w:cs="Arial"/>
          <w:b/>
          <w:bCs/>
          <w:i/>
          <w:iCs/>
          <w:szCs w:val="20"/>
        </w:rPr>
        <w:t>below, if</w:t>
      </w:r>
      <w:proofErr w:type="gramEnd"/>
      <w:r w:rsidRPr="00E3664A">
        <w:rPr>
          <w:rFonts w:ascii="Arial" w:eastAsiaTheme="minorEastAsia" w:hAnsi="Arial" w:cs="Arial"/>
          <w:b/>
          <w:bCs/>
          <w:i/>
          <w:iCs/>
          <w:szCs w:val="20"/>
        </w:rPr>
        <w:t xml:space="preserve"> any</w:t>
      </w:r>
    </w:p>
    <w:p w14:paraId="4B66CCEF" w14:textId="63DEB2F3"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6537C">
        <w:rPr>
          <w:rFonts w:ascii="Arial" w:eastAsiaTheme="minorEastAsia" w:hAnsi="Arial" w:cs="Arial"/>
          <w:szCs w:val="20"/>
        </w:rPr>
        <w:t>VALPT</w:t>
      </w:r>
      <w:r w:rsidRPr="00E3664A">
        <w:rPr>
          <w:rFonts w:ascii="Arial" w:eastAsiaTheme="minorEastAsia" w:hAnsi="Arial" w:cs="Arial"/>
          <w:szCs w:val="20"/>
        </w:rPr>
        <w:t>_00&gt;</w:t>
      </w:r>
    </w:p>
    <w:p w14:paraId="55E80104" w14:textId="30BB736D" w:rsidR="00C96FED" w:rsidRPr="00C96FED" w:rsidRDefault="00C96FED" w:rsidP="00C96FED">
      <w:pPr>
        <w:spacing w:after="250" w:line="276" w:lineRule="auto"/>
        <w:jc w:val="both"/>
        <w:rPr>
          <w:rFonts w:ascii="Arial" w:eastAsiaTheme="minorEastAsia" w:hAnsi="Arial" w:cs="Arial"/>
          <w:szCs w:val="20"/>
        </w:rPr>
      </w:pPr>
      <w:r w:rsidRPr="00C96FED">
        <w:rPr>
          <w:rFonts w:ascii="Arial" w:eastAsiaTheme="minorEastAsia" w:hAnsi="Arial" w:cs="Arial"/>
          <w:szCs w:val="20"/>
        </w:rPr>
        <w:t xml:space="preserve">The European Association of CCP Clearing Houses (EACH) represents the interests of Central Counterparties (CCPs) in Europe since 1992. CCPs are financial market infrastructures that significantly contribute to safer, more </w:t>
      </w:r>
      <w:proofErr w:type="gramStart"/>
      <w:r w:rsidRPr="00C96FED">
        <w:rPr>
          <w:rFonts w:ascii="Arial" w:eastAsiaTheme="minorEastAsia" w:hAnsi="Arial" w:cs="Arial"/>
          <w:szCs w:val="20"/>
        </w:rPr>
        <w:t>efficient</w:t>
      </w:r>
      <w:proofErr w:type="gramEnd"/>
      <w:r w:rsidRPr="00C96FED">
        <w:rPr>
          <w:rFonts w:ascii="Arial" w:eastAsiaTheme="minorEastAsia" w:hAnsi="Arial" w:cs="Arial"/>
          <w:szCs w:val="20"/>
        </w:rPr>
        <w:t xml:space="preserve"> and transparent global financial markets. EACH currently has 19 members from 15 different European countries. EACH is registered in the European Union Transparency Register with number 36897011311-96.</w:t>
      </w:r>
    </w:p>
    <w:p w14:paraId="41D0C444" w14:textId="407BDB88" w:rsidR="002427D5" w:rsidRPr="00C85C8B" w:rsidRDefault="00C96FED" w:rsidP="00C96FED">
      <w:pPr>
        <w:spacing w:after="250" w:line="276" w:lineRule="auto"/>
        <w:jc w:val="both"/>
        <w:rPr>
          <w:rFonts w:ascii="Arial" w:eastAsiaTheme="minorEastAsia" w:hAnsi="Arial" w:cs="Arial"/>
          <w:szCs w:val="20"/>
        </w:rPr>
      </w:pPr>
      <w:r w:rsidRPr="00C96FED">
        <w:rPr>
          <w:rFonts w:ascii="Arial" w:eastAsiaTheme="minorEastAsia" w:hAnsi="Arial" w:cs="Arial"/>
          <w:szCs w:val="20"/>
        </w:rPr>
        <w:t>EACH appreciates the opportunity to provide feedback to the Draft Guidelines for the methodology to value each contract prior to termination (Article 29(7) of the CCPRRR) (hereinafter called “The consultation”).</w:t>
      </w:r>
    </w:p>
    <w:p w14:paraId="01063D92" w14:textId="6FB42B2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B6537C">
        <w:rPr>
          <w:rFonts w:ascii="Arial" w:eastAsiaTheme="minorEastAsia" w:hAnsi="Arial" w:cs="Arial"/>
          <w:szCs w:val="20"/>
        </w:rPr>
        <w:t>VALPT</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B8C950A" w:rsidR="002427D5" w:rsidRPr="00AE6200"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17280749" w14:textId="221CD68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 xml:space="preserve">Do you agree with the proposed analysis and the corresponding limitations on the use of market standard approaches? If not, please explain why? Have you identified other points not mentioned </w:t>
      </w:r>
      <w:proofErr w:type="gramStart"/>
      <w:r w:rsidR="00AE6200" w:rsidRPr="00AE6200">
        <w:rPr>
          <w:rFonts w:ascii="Arial" w:hAnsi="Arial" w:cs="Arial"/>
          <w:sz w:val="24"/>
          <w:szCs w:val="24"/>
        </w:rPr>
        <w:t>above</w:t>
      </w:r>
      <w:r w:rsidR="00536880">
        <w:rPr>
          <w:rFonts w:ascii="Arial" w:hAnsi="Arial" w:cs="Arial"/>
          <w:sz w:val="24"/>
          <w:szCs w:val="24"/>
        </w:rPr>
        <w:t>.</w:t>
      </w:r>
      <w:proofErr w:type="gramEnd"/>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05BA7CFE"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_01&gt;</w:t>
      </w:r>
    </w:p>
    <w:p w14:paraId="01981917" w14:textId="5AF0F18D" w:rsidR="002427D5" w:rsidRPr="00AA60F5" w:rsidRDefault="001730A7" w:rsidP="002427D5">
      <w:pPr>
        <w:rPr>
          <w:rFonts w:ascii="Arial" w:hAnsi="Arial" w:cs="Arial"/>
          <w:sz w:val="24"/>
          <w:szCs w:val="24"/>
        </w:rPr>
      </w:pPr>
      <w:r w:rsidRPr="001730A7">
        <w:rPr>
          <w:rFonts w:ascii="Arial" w:hAnsi="Arial" w:cs="Arial"/>
          <w:sz w:val="24"/>
          <w:szCs w:val="24"/>
        </w:rPr>
        <w:t>Yes, EACH generally agrees with the proposed analysis and particularly with the corresponding limitations.</w:t>
      </w:r>
    </w:p>
    <w:p w14:paraId="43072554" w14:textId="3752C11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_01&gt;</w:t>
      </w:r>
    </w:p>
    <w:p w14:paraId="042FD42C" w14:textId="46F26E88" w:rsidR="002427D5" w:rsidRPr="00AA60F5" w:rsidRDefault="002427D5" w:rsidP="002427D5">
      <w:pPr>
        <w:rPr>
          <w:rFonts w:ascii="Arial" w:hAnsi="Arial" w:cs="Arial"/>
          <w:b/>
          <w:sz w:val="24"/>
          <w:szCs w:val="24"/>
        </w:rPr>
      </w:pPr>
    </w:p>
    <w:p w14:paraId="39EB53F5" w14:textId="1B7BB9A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proposed analysis on the scope of the methodology and the concept of “contracts”? If not, please explain why and provide your analysis</w:t>
      </w:r>
      <w:r w:rsidR="00536880">
        <w:rPr>
          <w:rFonts w:ascii="Arial" w:hAnsi="Arial" w:cs="Arial"/>
          <w:sz w:val="24"/>
          <w:szCs w:val="24"/>
        </w:rPr>
        <w:t>.</w:t>
      </w:r>
    </w:p>
    <w:p w14:paraId="1400ABC8" w14:textId="00F2D8F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_02&gt;</w:t>
      </w:r>
    </w:p>
    <w:p w14:paraId="3BE26C78" w14:textId="5798C7F5" w:rsidR="006E3955" w:rsidRPr="006E3955" w:rsidRDefault="006E3955" w:rsidP="006E3955">
      <w:pPr>
        <w:rPr>
          <w:rFonts w:ascii="Arial" w:hAnsi="Arial" w:cs="Arial"/>
          <w:sz w:val="24"/>
          <w:szCs w:val="24"/>
        </w:rPr>
      </w:pPr>
      <w:r w:rsidRPr="006E3955">
        <w:rPr>
          <w:rFonts w:ascii="Arial" w:hAnsi="Arial" w:cs="Arial"/>
          <w:sz w:val="24"/>
          <w:szCs w:val="24"/>
        </w:rPr>
        <w:t>Yes, EACH agrees with the proposed analysis on the scope of the methodology and the concept of “contracts”, which as the consultation paper notes, can be referred to in the CCPs’ rulebooks in other ways, such as position, open interest, etc.</w:t>
      </w:r>
      <w:r w:rsidRPr="006E3955">
        <w:rPr>
          <w:rFonts w:ascii="Arial" w:hAnsi="Arial" w:cs="Arial"/>
          <w:b/>
          <w:bCs/>
          <w:sz w:val="24"/>
          <w:szCs w:val="24"/>
        </w:rPr>
        <w:t xml:space="preserve"> </w:t>
      </w:r>
      <w:r w:rsidRPr="006E3955">
        <w:rPr>
          <w:rFonts w:ascii="Arial" w:hAnsi="Arial" w:cs="Arial"/>
          <w:sz w:val="24"/>
          <w:szCs w:val="24"/>
        </w:rPr>
        <w:t>We therefore</w:t>
      </w:r>
      <w:r w:rsidRPr="006E3955">
        <w:rPr>
          <w:rFonts w:ascii="Arial" w:hAnsi="Arial" w:cs="Arial"/>
          <w:b/>
          <w:bCs/>
          <w:sz w:val="24"/>
          <w:szCs w:val="24"/>
        </w:rPr>
        <w:t xml:space="preserve"> </w:t>
      </w:r>
      <w:r w:rsidRPr="006E3955">
        <w:rPr>
          <w:rFonts w:ascii="Arial" w:hAnsi="Arial" w:cs="Arial"/>
          <w:sz w:val="24"/>
          <w:szCs w:val="24"/>
        </w:rPr>
        <w:t>support the suggestion to account for the terminology included in the rulebooks, with the relevant corresponding adjustments if the rule book and operational processes usually handles those similar but different concepts.</w:t>
      </w:r>
    </w:p>
    <w:p w14:paraId="78CADFF5" w14:textId="552BBCC3" w:rsidR="002427D5" w:rsidRPr="006E3955" w:rsidRDefault="006E3955" w:rsidP="002427D5">
      <w:pPr>
        <w:rPr>
          <w:rFonts w:ascii="Arial" w:hAnsi="Arial" w:cs="Arial"/>
          <w:sz w:val="24"/>
          <w:szCs w:val="24"/>
        </w:rPr>
      </w:pPr>
      <w:r w:rsidRPr="006E3955">
        <w:rPr>
          <w:rFonts w:ascii="Arial" w:hAnsi="Arial" w:cs="Arial"/>
          <w:sz w:val="24"/>
          <w:szCs w:val="24"/>
        </w:rPr>
        <w:t xml:space="preserve">EACH also particularly agrees with the clarification that </w:t>
      </w:r>
      <w:r w:rsidRPr="006E3955">
        <w:rPr>
          <w:rFonts w:ascii="Arial" w:hAnsi="Arial" w:cs="Arial"/>
          <w:i/>
          <w:iCs/>
          <w:sz w:val="24"/>
          <w:szCs w:val="24"/>
        </w:rPr>
        <w:t>“CCPs can net economically equivalent contracts and use cross-margining with correlated contracts cleared by the same CCP. Hence where the contracts have been subject to netting or other post-trade risk reduction measures within the CCP, only the restated and the new contracts (if any) would be captured by the termination and valuation as part of position allocation”</w:t>
      </w:r>
      <w:r w:rsidRPr="006E3955">
        <w:rPr>
          <w:rFonts w:ascii="Arial" w:hAnsi="Arial" w:cs="Arial"/>
          <w:sz w:val="24"/>
          <w:szCs w:val="24"/>
        </w:rPr>
        <w:t>.</w:t>
      </w:r>
    </w:p>
    <w:p w14:paraId="19FEC513" w14:textId="7C551B0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_02&gt;</w:t>
      </w:r>
    </w:p>
    <w:p w14:paraId="5DDB222C" w14:textId="006816FF" w:rsidR="002427D5" w:rsidRPr="00AA60F5" w:rsidRDefault="002427D5" w:rsidP="002427D5">
      <w:pPr>
        <w:rPr>
          <w:rFonts w:ascii="Arial" w:hAnsi="Arial" w:cs="Arial"/>
          <w:b/>
          <w:sz w:val="24"/>
          <w:szCs w:val="24"/>
        </w:rPr>
      </w:pPr>
    </w:p>
    <w:p w14:paraId="3ABADBA2" w14:textId="52C1DA4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 xml:space="preserve">Do you agree with the interpretation of what could be the resolution authority methodology </w:t>
      </w:r>
      <w:proofErr w:type="gramStart"/>
      <w:r w:rsidR="00AE6200" w:rsidRPr="00AE6200">
        <w:rPr>
          <w:rFonts w:ascii="Arial" w:hAnsi="Arial" w:cs="Arial"/>
          <w:sz w:val="24"/>
          <w:szCs w:val="24"/>
        </w:rPr>
        <w:t>i.e.</w:t>
      </w:r>
      <w:proofErr w:type="gramEnd"/>
      <w:r w:rsidR="00AE6200" w:rsidRPr="00AE6200">
        <w:rPr>
          <w:rFonts w:ascii="Arial" w:hAnsi="Arial" w:cs="Arial"/>
          <w:sz w:val="24"/>
          <w:szCs w:val="24"/>
        </w:rPr>
        <w:t xml:space="preserve"> the re-use of the valuation methodology of the CCP unless the resolution authority deems it necessary to use another appropriate price discovery method? If not, please explain why and provide your interpretation of methodology and sequencing</w:t>
      </w:r>
      <w:r w:rsidR="00536880">
        <w:rPr>
          <w:rFonts w:ascii="Arial" w:hAnsi="Arial" w:cs="Arial"/>
          <w:sz w:val="24"/>
          <w:szCs w:val="24"/>
        </w:rPr>
        <w:t>.</w:t>
      </w:r>
    </w:p>
    <w:p w14:paraId="2D88B40A" w14:textId="0C8DC6C8" w:rsidR="002427D5" w:rsidRPr="00AA60F5" w:rsidRDefault="002427D5" w:rsidP="002427D5">
      <w:pPr>
        <w:rPr>
          <w:rFonts w:ascii="Arial" w:hAnsi="Arial" w:cs="Arial"/>
          <w:sz w:val="24"/>
          <w:szCs w:val="24"/>
        </w:rPr>
      </w:pPr>
      <w:bookmarkStart w:id="0" w:name="_Hlk76119363"/>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_03&gt;</w:t>
      </w:r>
    </w:p>
    <w:p w14:paraId="6E4AB2ED" w14:textId="77777777" w:rsidR="0089242C" w:rsidRPr="0089242C" w:rsidRDefault="0089242C" w:rsidP="0089242C">
      <w:pPr>
        <w:rPr>
          <w:rFonts w:ascii="Arial" w:hAnsi="Arial" w:cs="Arial"/>
          <w:sz w:val="24"/>
          <w:szCs w:val="24"/>
        </w:rPr>
      </w:pPr>
      <w:r w:rsidRPr="0089242C">
        <w:rPr>
          <w:rFonts w:ascii="Arial" w:hAnsi="Arial" w:cs="Arial"/>
          <w:sz w:val="24"/>
          <w:szCs w:val="24"/>
        </w:rPr>
        <w:t>Yes, EACH Members agree with the interpretation of what could be the resolution authority methodology.</w:t>
      </w:r>
    </w:p>
    <w:p w14:paraId="706FA378" w14:textId="022C0865" w:rsidR="002427D5" w:rsidRPr="00AA60F5" w:rsidRDefault="002427D5" w:rsidP="002427D5">
      <w:pPr>
        <w:rPr>
          <w:rFonts w:ascii="Arial" w:hAnsi="Arial" w:cs="Arial"/>
          <w:sz w:val="24"/>
          <w:szCs w:val="24"/>
        </w:rPr>
      </w:pPr>
    </w:p>
    <w:p w14:paraId="32AFA07A" w14:textId="1092F0C6" w:rsidR="002427D5" w:rsidRPr="00AA60F5" w:rsidRDefault="002427D5" w:rsidP="002427D5">
      <w:pPr>
        <w:rPr>
          <w:rFonts w:ascii="Arial" w:hAnsi="Arial" w:cs="Arial"/>
          <w:sz w:val="24"/>
          <w:szCs w:val="24"/>
        </w:rPr>
      </w:pPr>
      <w:r w:rsidRPr="00AA60F5">
        <w:rPr>
          <w:rFonts w:ascii="Arial" w:hAnsi="Arial" w:cs="Arial"/>
          <w:sz w:val="24"/>
          <w:szCs w:val="24"/>
        </w:rPr>
        <w:lastRenderedPageBreak/>
        <w:t>&lt;ESMA_QUESTION_</w:t>
      </w:r>
      <w:r w:rsidR="00B6537C">
        <w:rPr>
          <w:rFonts w:ascii="Arial" w:hAnsi="Arial" w:cs="Arial"/>
          <w:sz w:val="24"/>
          <w:szCs w:val="24"/>
        </w:rPr>
        <w:t>VALPT</w:t>
      </w:r>
      <w:r w:rsidRPr="00AA60F5">
        <w:rPr>
          <w:rFonts w:ascii="Arial" w:hAnsi="Arial" w:cs="Arial"/>
          <w:sz w:val="24"/>
          <w:szCs w:val="24"/>
        </w:rPr>
        <w:t>_03&gt;</w:t>
      </w:r>
    </w:p>
    <w:bookmarkEnd w:id="0"/>
    <w:p w14:paraId="16AC2A56" w14:textId="77777777" w:rsidR="002427D5" w:rsidRPr="00AA60F5" w:rsidRDefault="002427D5" w:rsidP="002427D5">
      <w:pPr>
        <w:rPr>
          <w:rFonts w:ascii="Arial" w:hAnsi="Arial" w:cs="Arial"/>
          <w:sz w:val="24"/>
          <w:szCs w:val="24"/>
        </w:rPr>
      </w:pPr>
    </w:p>
    <w:p w14:paraId="65E0D9B1" w14:textId="25625E11"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proposed analysis with regards to the valuation methodology? If not, please explain why and provide your analysis</w:t>
      </w:r>
      <w:r w:rsidR="00536880">
        <w:rPr>
          <w:rFonts w:ascii="Arial" w:hAnsi="Arial" w:cs="Arial"/>
          <w:sz w:val="24"/>
          <w:szCs w:val="24"/>
        </w:rPr>
        <w:t>.</w:t>
      </w:r>
    </w:p>
    <w:p w14:paraId="7E0C3AD5" w14:textId="7ABEA597"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_04&gt;</w:t>
      </w:r>
    </w:p>
    <w:p w14:paraId="1B421997" w14:textId="406E29FD" w:rsidR="0029539E" w:rsidRDefault="0029539E" w:rsidP="002427D5">
      <w:pPr>
        <w:rPr>
          <w:rFonts w:ascii="Arial" w:hAnsi="Arial" w:cs="Arial"/>
          <w:sz w:val="24"/>
          <w:szCs w:val="24"/>
        </w:rPr>
      </w:pPr>
      <w:r w:rsidRPr="0029539E">
        <w:rPr>
          <w:rFonts w:ascii="Arial" w:hAnsi="Arial" w:cs="Arial"/>
          <w:sz w:val="24"/>
          <w:szCs w:val="24"/>
        </w:rPr>
        <w:t>EACH generally agrees with the proposed analysis with regard to the valuation methodology. The settlement prices which CCPs are obligated to calculate daily to settle variation margins (VM) would represent a consistent, reliable, and transparent basis for the termination prices. Settlement prices could be modified by resolution authorities on a case-by-case basis depending on the specific circumstances of the resolution. In our view, this methodology would conform with the ESMA proposal under Guideline 4(2).</w:t>
      </w:r>
    </w:p>
    <w:p w14:paraId="4950333D" w14:textId="107CB54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6A6EA047"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Do you agree with the Option 2, if not please explain</w:t>
      </w:r>
      <w:r w:rsidR="00AE6200">
        <w:rPr>
          <w:rFonts w:ascii="Arial" w:hAnsi="Arial" w:cs="Arial"/>
          <w:sz w:val="24"/>
          <w:szCs w:val="24"/>
        </w:rPr>
        <w:t>.</w:t>
      </w:r>
      <w:r w:rsidR="00AE6200" w:rsidRPr="00AE6200">
        <w:rPr>
          <w:rFonts w:ascii="Arial" w:hAnsi="Arial" w:cs="Arial"/>
          <w:sz w:val="24"/>
          <w:szCs w:val="24"/>
        </w:rPr>
        <w:t xml:space="preserve"> Have you identified other benefits and costs not mentioned above associated to the proposed approach (Option 2)?</w:t>
      </w:r>
    </w:p>
    <w:p w14:paraId="5C8DB53B" w14:textId="7E8CC3A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_05&gt;</w:t>
      </w:r>
    </w:p>
    <w:p w14:paraId="436E7AAA" w14:textId="51F553D6" w:rsidR="002427D5" w:rsidRPr="00AA60F5" w:rsidRDefault="00DC42F6" w:rsidP="002427D5">
      <w:pPr>
        <w:rPr>
          <w:rFonts w:ascii="Arial" w:hAnsi="Arial" w:cs="Arial"/>
          <w:sz w:val="24"/>
          <w:szCs w:val="24"/>
        </w:rPr>
      </w:pPr>
      <w:r w:rsidRPr="00DC42F6">
        <w:rPr>
          <w:rFonts w:ascii="Arial" w:hAnsi="Arial" w:cs="Arial"/>
          <w:sz w:val="24"/>
          <w:szCs w:val="24"/>
        </w:rPr>
        <w:t>Yes, EACH agrees with Option 2.</w:t>
      </w:r>
    </w:p>
    <w:p w14:paraId="0064AA9F" w14:textId="516CE8F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6DBAE973"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AE6200" w:rsidRPr="00AE6200">
        <w:rPr>
          <w:rFonts w:ascii="Arial" w:hAnsi="Arial" w:cs="Arial"/>
          <w:sz w:val="24"/>
          <w:szCs w:val="24"/>
        </w:rPr>
        <w:t>If you advocated for a different approach, how would it impact the cost and benefit assessment? Please provide detail</w:t>
      </w:r>
      <w:r w:rsidR="00AE6200">
        <w:rPr>
          <w:rFonts w:ascii="Arial" w:hAnsi="Arial" w:cs="Arial"/>
          <w:sz w:val="24"/>
          <w:szCs w:val="24"/>
        </w:rPr>
        <w:t>s.</w:t>
      </w:r>
    </w:p>
    <w:p w14:paraId="7F980B8E" w14:textId="7031BAA1"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_06&gt;</w:t>
      </w:r>
    </w:p>
    <w:p w14:paraId="07005481" w14:textId="77777777" w:rsidR="002427D5" w:rsidRPr="00AA60F5" w:rsidRDefault="002427D5" w:rsidP="002427D5">
      <w:pPr>
        <w:rPr>
          <w:rFonts w:ascii="Arial" w:hAnsi="Arial" w:cs="Arial"/>
          <w:sz w:val="24"/>
          <w:szCs w:val="24"/>
        </w:rPr>
      </w:pPr>
      <w:r w:rsidRPr="00AA60F5">
        <w:rPr>
          <w:rFonts w:ascii="Arial" w:hAnsi="Arial" w:cs="Arial"/>
          <w:sz w:val="24"/>
          <w:szCs w:val="24"/>
          <w:highlight w:val="yellow"/>
        </w:rPr>
        <w:t>TYPE YOUR TEXT HERE</w:t>
      </w:r>
    </w:p>
    <w:p w14:paraId="5B2CB5BC" w14:textId="48BE2CA0"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B6537C">
        <w:rPr>
          <w:rFonts w:ascii="Arial" w:hAnsi="Arial" w:cs="Arial"/>
          <w:sz w:val="24"/>
          <w:szCs w:val="24"/>
        </w:rPr>
        <w:t>VALPT</w:t>
      </w:r>
      <w:r w:rsidRPr="00AA60F5">
        <w:rPr>
          <w:rFonts w:ascii="Arial" w:hAnsi="Arial" w:cs="Arial"/>
          <w:sz w:val="24"/>
          <w:szCs w:val="24"/>
        </w:rPr>
        <w:t>_06&gt;</w:t>
      </w:r>
    </w:p>
    <w:p w14:paraId="5D44C4BD" w14:textId="77777777" w:rsidR="002427D5" w:rsidRPr="00AA60F5" w:rsidRDefault="002427D5" w:rsidP="002427D5">
      <w:pPr>
        <w:rPr>
          <w:rFonts w:ascii="Arial" w:hAnsi="Arial" w:cs="Arial"/>
          <w:sz w:val="24"/>
          <w:szCs w:val="24"/>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0465" w14:textId="77777777" w:rsidR="009B7936" w:rsidRDefault="009B7936">
      <w:pPr>
        <w:spacing w:after="0" w:line="240" w:lineRule="auto"/>
      </w:pPr>
      <w:r>
        <w:separator/>
      </w:r>
    </w:p>
  </w:endnote>
  <w:endnote w:type="continuationSeparator" w:id="0">
    <w:p w14:paraId="301F245F" w14:textId="77777777" w:rsidR="009B7936" w:rsidRDefault="009B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9B7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2D40ED69"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4F7BD8">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4E0345">
      <w:rPr>
        <w:rFonts w:asciiTheme="minorHAnsi" w:hAnsiTheme="minorHAnsi" w:cstheme="minorHAnsi"/>
        <w:color w:val="FFFFFF" w:themeColor="background1"/>
      </w:rPr>
      <w:t>ESMA 91</w:t>
    </w:r>
    <w:r w:rsidRPr="004E0345">
      <w:rPr>
        <w:rFonts w:asciiTheme="minorHAnsi" w:hAnsiTheme="minorHAnsi" w:cstheme="minorHAnsi"/>
        <w:color w:val="FFFFFF" w:themeColor="background1"/>
      </w:rPr>
      <w:t>-</w:t>
    </w:r>
    <w:r w:rsidR="004E0345" w:rsidRPr="004E0345">
      <w:rPr>
        <w:rFonts w:asciiTheme="minorHAnsi" w:hAnsiTheme="minorHAnsi" w:cstheme="minorHAnsi"/>
        <w:color w:val="FFFFFF" w:themeColor="background1"/>
      </w:rPr>
      <w:t>372</w:t>
    </w:r>
    <w:r w:rsidRPr="004E0345">
      <w:rPr>
        <w:rFonts w:asciiTheme="minorHAnsi" w:hAnsiTheme="minorHAnsi" w:cstheme="minorHAnsi"/>
        <w:color w:val="FFFFFF" w:themeColor="background1"/>
      </w:rPr>
      <w:t>-</w:t>
    </w:r>
    <w:r w:rsidR="004F7BD8">
      <w:rPr>
        <w:rFonts w:asciiTheme="minorHAnsi" w:hAnsiTheme="minorHAnsi" w:cstheme="minorHAnsi"/>
        <w:color w:val="FFFFFF" w:themeColor="background1"/>
      </w:rPr>
      <w:t>1857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BB52" w14:textId="77777777" w:rsidR="009B7936" w:rsidRDefault="009B7936">
      <w:pPr>
        <w:spacing w:after="0" w:line="240" w:lineRule="auto"/>
      </w:pPr>
      <w:r>
        <w:separator/>
      </w:r>
    </w:p>
  </w:footnote>
  <w:footnote w:type="continuationSeparator" w:id="0">
    <w:p w14:paraId="596039D5" w14:textId="77777777" w:rsidR="009B7936" w:rsidRDefault="009B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9B7936">
    <w:pPr>
      <w:pStyle w:val="Header"/>
    </w:pPr>
  </w:p>
  <w:p w14:paraId="406770CC" w14:textId="77777777" w:rsidR="005D12F3" w:rsidRDefault="009B7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10625B"/>
    <w:rsid w:val="00157D9D"/>
    <w:rsid w:val="001730A7"/>
    <w:rsid w:val="002427D5"/>
    <w:rsid w:val="0029539E"/>
    <w:rsid w:val="003C45D8"/>
    <w:rsid w:val="004E0345"/>
    <w:rsid w:val="004F7BD8"/>
    <w:rsid w:val="00536880"/>
    <w:rsid w:val="00661C42"/>
    <w:rsid w:val="0067799A"/>
    <w:rsid w:val="006E3955"/>
    <w:rsid w:val="00793CF7"/>
    <w:rsid w:val="008167AC"/>
    <w:rsid w:val="0089242C"/>
    <w:rsid w:val="008C0EEA"/>
    <w:rsid w:val="009612F8"/>
    <w:rsid w:val="009B4C1E"/>
    <w:rsid w:val="009B7936"/>
    <w:rsid w:val="00A92D8C"/>
    <w:rsid w:val="00AA60F5"/>
    <w:rsid w:val="00AE6200"/>
    <w:rsid w:val="00B6537C"/>
    <w:rsid w:val="00BA7C77"/>
    <w:rsid w:val="00C567F0"/>
    <w:rsid w:val="00C96FED"/>
    <w:rsid w:val="00D342D8"/>
    <w:rsid w:val="00D64414"/>
    <w:rsid w:val="00DC42F6"/>
    <w:rsid w:val="00E66301"/>
    <w:rsid w:val="00FF5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footer" Target="foot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2.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3.xml><?xml version="1.0" encoding="utf-8"?>
<ds:datastoreItem xmlns:ds="http://schemas.openxmlformats.org/officeDocument/2006/customXml" ds:itemID="{1C61A79B-1270-4B26-A82D-854BFA0411CA}"/>
</file>

<file path=customXml/itemProps4.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EACH</cp:lastModifiedBy>
  <cp:revision>9</cp:revision>
  <dcterms:created xsi:type="dcterms:W3CDTF">2021-11-18T11:24:00Z</dcterms:created>
  <dcterms:modified xsi:type="dcterms:W3CDTF">2022-01-24T11:42:00Z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0x010100337D5393D9CB04469885AAD5E4AC9695</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e8665f09-ea3e-432b-b8e6-1091888e5c4e</vt:lpwstr>
  </property>
</Properties>
</file>