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21DB22E" w:rsidR="00C85C8B" w:rsidRPr="00C85C8B" w:rsidRDefault="007C11D3" w:rsidP="00C85C8B">
                <w:pPr>
                  <w:rPr>
                    <w:rFonts w:ascii="Arial" w:hAnsi="Arial" w:cs="Arial"/>
                    <w:color w:val="808080"/>
                    <w:sz w:val="20"/>
                    <w:lang w:eastAsia="de-DE"/>
                  </w:rPr>
                </w:pPr>
                <w:proofErr w:type="spellStart"/>
                <w:r>
                  <w:rPr>
                    <w:rFonts w:ascii="Arial" w:hAnsi="Arial" w:cs="Arial"/>
                    <w:color w:val="808080"/>
                    <w:sz w:val="20"/>
                    <w:lang w:eastAsia="de-DE"/>
                  </w:rPr>
                  <w:t>Eurelectric</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2627703" w:rsidR="00C85C8B" w:rsidRPr="00C85C8B" w:rsidRDefault="00FB7A9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C11D3">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2928D31" w:rsidR="00C85C8B" w:rsidRPr="00C85C8B" w:rsidRDefault="007C11D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D5F1A5B" w:rsidR="00C85C8B" w:rsidRPr="00C85C8B" w:rsidRDefault="007C11D3"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0F837A3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2D8DB709" w14:textId="77777777" w:rsidR="007C11D3" w:rsidRPr="007C11D3" w:rsidRDefault="007C11D3" w:rsidP="007C11D3">
      <w:pPr>
        <w:pStyle w:val="Default"/>
        <w:jc w:val="both"/>
        <w:rPr>
          <w:rFonts w:eastAsia="Times New Roman"/>
          <w:color w:val="auto"/>
          <w:lang w:val="en-GB" w:eastAsia="en-GB"/>
        </w:rPr>
      </w:pPr>
      <w:permStart w:id="87702194" w:edGrp="everyone"/>
      <w:r w:rsidRPr="007C11D3">
        <w:rPr>
          <w:rFonts w:eastAsia="Times New Roman"/>
          <w:color w:val="auto"/>
          <w:lang w:val="en-GB" w:eastAsia="en-GB"/>
        </w:rPr>
        <w:t xml:space="preserve">Yes. We are of the opinion that since the commodity derivatives </w:t>
      </w:r>
      <w:proofErr w:type="gramStart"/>
      <w:r w:rsidRPr="007C11D3">
        <w:rPr>
          <w:rFonts w:eastAsia="Times New Roman"/>
          <w:color w:val="auto"/>
          <w:lang w:val="en-GB" w:eastAsia="en-GB"/>
        </w:rPr>
        <w:t>entered into</w:t>
      </w:r>
      <w:proofErr w:type="gramEnd"/>
      <w:r w:rsidRPr="007C11D3">
        <w:rPr>
          <w:rFonts w:eastAsia="Times New Roman"/>
          <w:color w:val="auto"/>
          <w:lang w:val="en-GB" w:eastAsia="en-GB"/>
        </w:rPr>
        <w:t xml:space="preserve"> by a financial entity are aimed at reducing risks related to the commercial activities of a non-financial company in a predominantly commercial group, the modus operandi of the aggregation of positions should be the same as that of non-financial companies. Therefore, these positions should not be aggregated.</w:t>
      </w:r>
    </w:p>
    <w:permEnd w:id="87702194"/>
    <w:p w14:paraId="3E4B5260" w14:textId="678E371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629BA97E" w14:textId="77777777" w:rsidR="007C11D3" w:rsidRPr="007C11D3" w:rsidRDefault="007C11D3" w:rsidP="007C11D3">
      <w:pPr>
        <w:pStyle w:val="Default"/>
        <w:jc w:val="both"/>
        <w:rPr>
          <w:rFonts w:eastAsia="Times New Roman"/>
          <w:color w:val="auto"/>
          <w:lang w:val="en-GB" w:eastAsia="en-GB"/>
        </w:rPr>
      </w:pPr>
      <w:permStart w:id="1839020708" w:edGrp="everyone"/>
      <w:r w:rsidRPr="007C11D3">
        <w:rPr>
          <w:rFonts w:eastAsia="Times New Roman"/>
          <w:color w:val="auto"/>
          <w:lang w:val="en-GB" w:eastAsia="en-GB"/>
        </w:rPr>
        <w:t xml:space="preserve">Yes. We are of the opinion that since the commodity derivatives </w:t>
      </w:r>
      <w:proofErr w:type="gramStart"/>
      <w:r w:rsidRPr="007C11D3">
        <w:rPr>
          <w:rFonts w:eastAsia="Times New Roman"/>
          <w:color w:val="auto"/>
          <w:lang w:val="en-GB" w:eastAsia="en-GB"/>
        </w:rPr>
        <w:t>entered into</w:t>
      </w:r>
      <w:proofErr w:type="gramEnd"/>
      <w:r w:rsidRPr="007C11D3">
        <w:rPr>
          <w:rFonts w:eastAsia="Times New Roman"/>
          <w:color w:val="auto"/>
          <w:lang w:val="en-GB" w:eastAsia="en-GB"/>
        </w:rPr>
        <w:t xml:space="preserve"> by a financial entity are aimed at reducing risks related to the commercial activities of a non-financial company in a predominantly commercial group, the circumstances under which said positions may qualify as risk-reducing should replicate the circumstances set out in Article 7(1) regarding the positions held by NFEs. </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0B5EA186" w14:textId="77777777" w:rsidR="007C11D3" w:rsidRDefault="007C11D3" w:rsidP="001F23C9">
      <w:pPr>
        <w:rPr>
          <w:rFonts w:ascii="Arial" w:hAnsi="Arial" w:cs="Arial"/>
        </w:rPr>
      </w:pPr>
      <w:permStart w:id="1383364894" w:edGrp="everyone"/>
      <w:r w:rsidRPr="007C11D3">
        <w:rPr>
          <w:rFonts w:ascii="Arial" w:hAnsi="Arial" w:cs="Arial"/>
        </w:rPr>
        <w:t>Yes, we agree with the ESMA proposal</w:t>
      </w:r>
      <w:r>
        <w:rPr>
          <w:rFonts w:ascii="Arial" w:hAnsi="Arial" w:cs="Arial"/>
        </w:rPr>
        <w:t>.</w:t>
      </w:r>
    </w:p>
    <w:permEnd w:id="1383364894"/>
    <w:p w14:paraId="6BED19E8" w14:textId="51D8F5E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3716F633" w14:textId="77777777" w:rsidR="007C11D3" w:rsidRPr="007C11D3" w:rsidRDefault="007C11D3" w:rsidP="001F23C9">
      <w:pPr>
        <w:rPr>
          <w:rFonts w:ascii="Arial" w:hAnsi="Arial" w:cs="Arial"/>
        </w:rPr>
      </w:pPr>
      <w:permStart w:id="1723492748" w:edGrp="everyone"/>
      <w:r w:rsidRPr="007C11D3">
        <w:rPr>
          <w:rFonts w:ascii="Arial" w:hAnsi="Arial" w:cs="Arial"/>
        </w:rPr>
        <w:t>Yes, we agree with ESMA’s proposal as we think the information requested is necessary to prove the nature and purpose of the positions</w:t>
      </w:r>
      <w:r w:rsidRPr="007C11D3">
        <w:rPr>
          <w:rFonts w:ascii="Arial" w:hAnsi="Arial" w:cs="Arial"/>
        </w:rPr>
        <w:t>.</w:t>
      </w:r>
    </w:p>
    <w:permEnd w:id="1723492748"/>
    <w:p w14:paraId="768D899B" w14:textId="64E8191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54EFA387" w14:textId="381E4E8B" w:rsidR="001F23C9" w:rsidRDefault="007C11D3" w:rsidP="001F23C9">
      <w:pPr>
        <w:rPr>
          <w:rFonts w:ascii="Arial" w:hAnsi="Arial" w:cs="Arial"/>
        </w:rPr>
      </w:pPr>
      <w:permStart w:id="377302903" w:edGrp="everyone"/>
      <w:r>
        <w:rPr>
          <w:rFonts w:ascii="Arial" w:hAnsi="Arial" w:cs="Arial"/>
        </w:rPr>
        <w:t>Yes, we agree.</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lastRenderedPageBreak/>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B13A9F4" w14:textId="2C6BB388" w:rsidR="007C11D3" w:rsidRPr="007C11D3" w:rsidRDefault="007C11D3" w:rsidP="001F23C9">
      <w:pPr>
        <w:rPr>
          <w:rFonts w:ascii="Arial" w:hAnsi="Arial" w:cs="Arial"/>
        </w:rPr>
      </w:pPr>
      <w:permStart w:id="1290170203" w:edGrp="everyone"/>
      <w:r w:rsidRPr="007C11D3">
        <w:rPr>
          <w:rFonts w:ascii="Arial" w:hAnsi="Arial" w:cs="Arial"/>
        </w:rPr>
        <w:t>Yes, we agree with ESMA’s proposal</w:t>
      </w:r>
      <w:r w:rsidRPr="007C11D3">
        <w:rPr>
          <w:rFonts w:ascii="Arial" w:hAnsi="Arial" w:cs="Arial"/>
        </w:rPr>
        <w:t>.</w:t>
      </w:r>
    </w:p>
    <w:permEnd w:id="1290170203"/>
    <w:p w14:paraId="74B06132" w14:textId="456ABE4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79F4CB3A" w14:textId="77777777" w:rsidR="001F23C9" w:rsidRDefault="001F23C9" w:rsidP="001F23C9">
      <w:pPr>
        <w:rPr>
          <w:rFonts w:ascii="Arial" w:hAnsi="Arial" w:cs="Arial"/>
        </w:rPr>
      </w:pPr>
      <w:permStart w:id="463824392" w:edGrp="everyone"/>
      <w:r>
        <w:rPr>
          <w:rFonts w:ascii="Arial" w:hAnsi="Arial" w:cs="Arial"/>
        </w:rPr>
        <w:t>TYPE YOUR TEXT HERE</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9460283" w14:textId="77777777" w:rsidR="007C11D3" w:rsidRPr="007C11D3" w:rsidRDefault="007C11D3" w:rsidP="007C11D3">
      <w:pPr>
        <w:rPr>
          <w:rFonts w:ascii="Arial" w:hAnsi="Arial" w:cs="Arial"/>
        </w:rPr>
      </w:pPr>
      <w:permStart w:id="71388718" w:edGrp="everyone"/>
      <w:r w:rsidRPr="007C11D3">
        <w:rPr>
          <w:rFonts w:ascii="Arial" w:hAnsi="Arial" w:cs="Arial"/>
        </w:rPr>
        <w:t xml:space="preserve">We support the deletion of the reference to “the same commodity derivative” and the proposed treatment of </w:t>
      </w:r>
      <w:proofErr w:type="spellStart"/>
      <w:r w:rsidRPr="007C11D3">
        <w:rPr>
          <w:rFonts w:ascii="Arial" w:hAnsi="Arial" w:cs="Arial"/>
        </w:rPr>
        <w:t>balmos</w:t>
      </w:r>
      <w:proofErr w:type="spellEnd"/>
      <w:r w:rsidRPr="007C11D3">
        <w:rPr>
          <w:rFonts w:ascii="Arial" w:hAnsi="Arial" w:cs="Arial"/>
        </w:rPr>
        <w:t xml:space="preserve"> (other closely related derivatives that are a fraction of the value of a corresponding standard futures contract or whose pricing period is defined as the selected start date to the end of the contract month of the standard futures contract traded on the same trading venue), provided that a clear guidance is given to market participants by ESMA and NCAs about what products shall be aggregated under the same limit. </w:t>
      </w:r>
    </w:p>
    <w:p w14:paraId="2DDB2060" w14:textId="77777777" w:rsidR="007C11D3" w:rsidRPr="007C11D3" w:rsidRDefault="007C11D3" w:rsidP="007C11D3">
      <w:pPr>
        <w:rPr>
          <w:rFonts w:ascii="Arial" w:hAnsi="Arial" w:cs="Arial"/>
        </w:rPr>
      </w:pPr>
    </w:p>
    <w:p w14:paraId="4A75D2F9" w14:textId="77777777" w:rsidR="007C11D3" w:rsidRPr="007C11D3" w:rsidRDefault="007C11D3" w:rsidP="007C11D3">
      <w:pPr>
        <w:rPr>
          <w:rFonts w:ascii="Arial" w:hAnsi="Arial" w:cs="Arial"/>
        </w:rPr>
      </w:pPr>
      <w:r w:rsidRPr="007C11D3">
        <w:rPr>
          <w:rFonts w:ascii="Arial" w:hAnsi="Arial" w:cs="Arial"/>
        </w:rPr>
        <w:t xml:space="preserve">With reference to the proposal made regarding spreads, we see first a need to clarify the underlying meaning of spread contracts. In the energy </w:t>
      </w:r>
      <w:proofErr w:type="spellStart"/>
      <w:r w:rsidRPr="007C11D3">
        <w:rPr>
          <w:rFonts w:ascii="Arial" w:hAnsi="Arial" w:cs="Arial"/>
        </w:rPr>
        <w:t>busines</w:t>
      </w:r>
      <w:proofErr w:type="spellEnd"/>
      <w:r w:rsidRPr="007C11D3">
        <w:rPr>
          <w:rFonts w:ascii="Arial" w:hAnsi="Arial" w:cs="Arial"/>
        </w:rPr>
        <w:t xml:space="preserve"> spread contracts are usually no outright contracts but rather strategies where the two legs consist of an outright contract that are executed simultaneously. </w:t>
      </w:r>
    </w:p>
    <w:p w14:paraId="252B7AF7" w14:textId="77777777" w:rsidR="007C11D3" w:rsidRPr="007C11D3" w:rsidRDefault="007C11D3" w:rsidP="007C11D3">
      <w:pPr>
        <w:rPr>
          <w:rFonts w:ascii="Arial" w:hAnsi="Arial" w:cs="Arial"/>
        </w:rPr>
      </w:pPr>
    </w:p>
    <w:p w14:paraId="130DC322" w14:textId="1203B497" w:rsidR="007C11D3" w:rsidRDefault="007C11D3" w:rsidP="001F23C9">
      <w:pPr>
        <w:rPr>
          <w:rFonts w:ascii="Arial" w:hAnsi="Arial" w:cs="Arial"/>
        </w:rPr>
      </w:pPr>
      <w:r w:rsidRPr="007C11D3">
        <w:rPr>
          <w:rFonts w:ascii="Arial" w:hAnsi="Arial" w:cs="Arial"/>
        </w:rPr>
        <w:t xml:space="preserve">If some spread contracts exist directly offered by trading venues and having their own position limits, no disaggregation should be applied in such cases, </w:t>
      </w:r>
      <w:proofErr w:type="gramStart"/>
      <w:r w:rsidRPr="007C11D3">
        <w:rPr>
          <w:rFonts w:ascii="Arial" w:hAnsi="Arial" w:cs="Arial"/>
        </w:rPr>
        <w:t>in order to</w:t>
      </w:r>
      <w:proofErr w:type="gramEnd"/>
      <w:r w:rsidRPr="007C11D3">
        <w:rPr>
          <w:rFonts w:ascii="Arial" w:hAnsi="Arial" w:cs="Arial"/>
        </w:rPr>
        <w:t xml:space="preserve"> avoid a double imposition of position limits on market participants.</w:t>
      </w:r>
    </w:p>
    <w:permEnd w:id="71388718"/>
    <w:p w14:paraId="611C3F91" w14:textId="30FDC8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23CD3E6B" w14:textId="77777777" w:rsidR="007C11D3" w:rsidRPr="007C11D3" w:rsidRDefault="007C11D3" w:rsidP="007C11D3">
      <w:pPr>
        <w:rPr>
          <w:rFonts w:ascii="Arial" w:hAnsi="Arial" w:cs="Arial"/>
        </w:rPr>
      </w:pPr>
      <w:permStart w:id="819753946" w:edGrp="everyone"/>
      <w:r w:rsidRPr="007C11D3">
        <w:rPr>
          <w:rFonts w:ascii="Arial" w:hAnsi="Arial" w:cs="Arial"/>
          <w:u w:val="single"/>
        </w:rPr>
        <w:t>We do not agree</w:t>
      </w:r>
      <w:r w:rsidRPr="007C11D3">
        <w:rPr>
          <w:rFonts w:ascii="Arial" w:hAnsi="Arial" w:cs="Arial"/>
        </w:rPr>
        <w:t xml:space="preserve"> with the proposal to set the baseline for the spot month based on the open interest in case the deliverable supply is significantly higher than the former. This generally happens in less developed, illiquid markets. </w:t>
      </w:r>
      <w:proofErr w:type="gramStart"/>
      <w:r w:rsidRPr="007C11D3">
        <w:rPr>
          <w:rFonts w:ascii="Arial" w:hAnsi="Arial" w:cs="Arial"/>
        </w:rPr>
        <w:t>So</w:t>
      </w:r>
      <w:proofErr w:type="gramEnd"/>
      <w:r w:rsidRPr="007C11D3">
        <w:rPr>
          <w:rFonts w:ascii="Arial" w:hAnsi="Arial" w:cs="Arial"/>
        </w:rPr>
        <w:t xml:space="preserve"> if a low limit is set in these cases, it will not be possible for these markets to increase trading, develop further and become more liquid. </w:t>
      </w:r>
    </w:p>
    <w:p w14:paraId="601CF344" w14:textId="77777777" w:rsidR="007C11D3" w:rsidRDefault="007C11D3" w:rsidP="001F23C9">
      <w:pPr>
        <w:rPr>
          <w:rFonts w:ascii="Arial" w:hAnsi="Arial" w:cs="Arial"/>
        </w:rPr>
      </w:pPr>
      <w:r w:rsidRPr="007C11D3">
        <w:rPr>
          <w:rFonts w:ascii="Arial" w:hAnsi="Arial" w:cs="Arial"/>
        </w:rPr>
        <w:t>Therefore, we suggest using the deliverable supply as the baseline for the spot month in all cases.</w:t>
      </w:r>
    </w:p>
    <w:permEnd w:id="819753946"/>
    <w:p w14:paraId="6AB0A535" w14:textId="2151F47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lastRenderedPageBreak/>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9266B68" w14:textId="7CF51B60" w:rsidR="001F23C9" w:rsidRDefault="007C11D3" w:rsidP="001F23C9">
      <w:pPr>
        <w:rPr>
          <w:rFonts w:ascii="Arial" w:hAnsi="Arial" w:cs="Arial"/>
        </w:rPr>
      </w:pPr>
      <w:permStart w:id="89662115" w:edGrp="everyone"/>
      <w:r w:rsidRPr="007C11D3">
        <w:rPr>
          <w:rFonts w:ascii="Arial" w:hAnsi="Arial" w:cs="Arial"/>
        </w:rPr>
        <w:t>We agree with ESMA arguments about the possible lack of public data sources over the one-year period immediately preceding the calculation of deliverable supply.  However, the impression about the new wording proposed by ESMA is that it does not differ substantially from the original version. We hence propose rephrasing the wording as follows: “</w:t>
      </w:r>
      <w:r w:rsidRPr="007C11D3">
        <w:rPr>
          <w:rFonts w:ascii="Arial" w:hAnsi="Arial" w:cs="Arial"/>
          <w:i/>
          <w:iCs/>
        </w:rPr>
        <w:t xml:space="preserve">Competent authorities shall determine the deliverable supply for a commodity derivative referred to in paragraph 1 by reference to the average monthly amount of the underlying commodity available for delivery based </w:t>
      </w:r>
      <w:r w:rsidRPr="007C11D3">
        <w:rPr>
          <w:rFonts w:ascii="Arial" w:hAnsi="Arial" w:cs="Arial"/>
          <w:b/>
          <w:bCs/>
          <w:i/>
          <w:iCs/>
          <w:u w:val="single"/>
        </w:rPr>
        <w:t>on the most recent available data over a representative period of time</w:t>
      </w:r>
      <w:r w:rsidRPr="007C11D3">
        <w:rPr>
          <w:rFonts w:ascii="Arial" w:hAnsi="Arial" w:cs="Arial"/>
          <w:b/>
          <w:bCs/>
          <w:u w:val="single"/>
        </w:rPr>
        <w:t>.</w:t>
      </w:r>
      <w:r w:rsidRPr="007C11D3">
        <w:rPr>
          <w:rFonts w:ascii="Arial" w:hAnsi="Arial" w:cs="Arial"/>
        </w:rPr>
        <w:t>”</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0849F4B2" w14:textId="77777777" w:rsidR="007C11D3" w:rsidRPr="007C11D3" w:rsidRDefault="007C11D3" w:rsidP="007C11D3">
      <w:pPr>
        <w:rPr>
          <w:rFonts w:ascii="Arial" w:hAnsi="Arial" w:cs="Arial"/>
        </w:rPr>
      </w:pPr>
      <w:permStart w:id="1905472427" w:edGrp="everyone"/>
      <w:r w:rsidRPr="007C11D3">
        <w:rPr>
          <w:rFonts w:ascii="Arial" w:hAnsi="Arial" w:cs="Arial"/>
        </w:rPr>
        <w:t>We agree with the ESMA proposal of calculating open interest “</w:t>
      </w:r>
      <w:r w:rsidRPr="007C11D3">
        <w:rPr>
          <w:rFonts w:ascii="Arial" w:hAnsi="Arial" w:cs="Arial"/>
          <w:i/>
          <w:iCs/>
        </w:rPr>
        <w:t>over a representative period of time</w:t>
      </w:r>
      <w:r w:rsidRPr="007C11D3">
        <w:rPr>
          <w:rFonts w:ascii="Arial" w:hAnsi="Arial" w:cs="Arial"/>
        </w:rPr>
        <w:t>”, provided that this period takes into account seasonality trends for each commodity considered (</w:t>
      </w:r>
      <w:proofErr w:type="gramStart"/>
      <w:r w:rsidRPr="007C11D3">
        <w:rPr>
          <w:rFonts w:ascii="Arial" w:hAnsi="Arial" w:cs="Arial"/>
        </w:rPr>
        <w:t>i.e.</w:t>
      </w:r>
      <w:proofErr w:type="gramEnd"/>
      <w:r w:rsidRPr="007C11D3">
        <w:rPr>
          <w:rFonts w:ascii="Arial" w:hAnsi="Arial" w:cs="Arial"/>
        </w:rPr>
        <w:t xml:space="preserve"> a more precise definition is required)</w:t>
      </w:r>
    </w:p>
    <w:p w14:paraId="183D1813" w14:textId="77777777" w:rsidR="007C11D3" w:rsidRPr="007C11D3" w:rsidRDefault="007C11D3" w:rsidP="007C11D3">
      <w:pPr>
        <w:rPr>
          <w:rFonts w:ascii="Arial" w:hAnsi="Arial" w:cs="Arial"/>
        </w:rPr>
      </w:pPr>
      <w:r w:rsidRPr="007C11D3">
        <w:rPr>
          <w:rFonts w:ascii="Arial" w:hAnsi="Arial" w:cs="Arial"/>
        </w:rPr>
        <w:t xml:space="preserve">We also agree with the specification that the open interest shall be net, as this would have a harmonizing effect on its calculation. </w:t>
      </w:r>
    </w:p>
    <w:p w14:paraId="7AD14859" w14:textId="77777777" w:rsidR="007C11D3" w:rsidRPr="007C11D3" w:rsidRDefault="007C11D3" w:rsidP="007C11D3">
      <w:pPr>
        <w:rPr>
          <w:rFonts w:ascii="Arial" w:hAnsi="Arial" w:cs="Arial"/>
        </w:rPr>
      </w:pPr>
      <w:r w:rsidRPr="007C11D3">
        <w:rPr>
          <w:rFonts w:ascii="Arial" w:hAnsi="Arial" w:cs="Arial"/>
        </w:rPr>
        <w:t xml:space="preserve">Regarding the proposal of monitoring open interest </w:t>
      </w:r>
      <w:proofErr w:type="gramStart"/>
      <w:r w:rsidRPr="007C11D3">
        <w:rPr>
          <w:rFonts w:ascii="Arial" w:hAnsi="Arial" w:cs="Arial"/>
        </w:rPr>
        <w:t>on the basis of</w:t>
      </w:r>
      <w:proofErr w:type="gramEnd"/>
      <w:r w:rsidRPr="007C11D3">
        <w:rPr>
          <w:rFonts w:ascii="Arial" w:hAnsi="Arial" w:cs="Arial"/>
        </w:rPr>
        <w:t xml:space="preserve"> reported data, we believe this methodology can be applied only to contracts traded on a Trading Venue. Including in open interest estimate also contracts reported as EEOTC would inevitably add an element of confusion, as EEOTC classification ultimately depends on evaluations of each company trading OTC.</w:t>
      </w:r>
    </w:p>
    <w:p w14:paraId="4FFB561C" w14:textId="77777777" w:rsidR="007C11D3" w:rsidRDefault="007C11D3" w:rsidP="001F23C9">
      <w:pPr>
        <w:rPr>
          <w:rFonts w:ascii="Arial" w:hAnsi="Arial" w:cs="Arial"/>
        </w:rPr>
      </w:pPr>
      <w:r w:rsidRPr="007C11D3">
        <w:rPr>
          <w:rFonts w:ascii="Arial" w:hAnsi="Arial" w:cs="Arial"/>
        </w:rPr>
        <w:t>Finally, we also share ESMA’s considerations about open interest calculations in the case of mergers or similar corporate events for trading venues.</w:t>
      </w:r>
    </w:p>
    <w:permEnd w:id="1905472427"/>
    <w:p w14:paraId="1CD7B3CA" w14:textId="54F4D77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4DE94D38" w14:textId="1ADAADAD" w:rsidR="001F23C9" w:rsidRDefault="007C11D3" w:rsidP="001F23C9">
      <w:pPr>
        <w:rPr>
          <w:rFonts w:ascii="Arial" w:hAnsi="Arial" w:cs="Arial"/>
        </w:rPr>
      </w:pPr>
      <w:permStart w:id="436235028" w:edGrp="everyone"/>
      <w:r>
        <w:rPr>
          <w:rFonts w:ascii="Arial" w:hAnsi="Arial" w:cs="Arial"/>
        </w:rPr>
        <w:t xml:space="preserve">Not relevant for </w:t>
      </w:r>
      <w:proofErr w:type="spellStart"/>
      <w:r>
        <w:rPr>
          <w:rFonts w:ascii="Arial" w:hAnsi="Arial" w:cs="Arial"/>
        </w:rPr>
        <w:t>Eurelectric</w:t>
      </w:r>
      <w:proofErr w:type="spellEnd"/>
      <w:r>
        <w:rPr>
          <w:rFonts w:ascii="Arial" w:hAnsi="Arial" w:cs="Arial"/>
        </w:rPr>
        <w:t>.</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80816FB" w14:textId="096646DF" w:rsidR="007C11D3" w:rsidRDefault="007C11D3" w:rsidP="001F23C9">
      <w:pPr>
        <w:rPr>
          <w:rFonts w:ascii="Arial" w:hAnsi="Arial" w:cs="Arial"/>
        </w:rPr>
      </w:pPr>
      <w:permStart w:id="1785143847" w:edGrp="everyone"/>
      <w:r w:rsidRPr="007C11D3">
        <w:rPr>
          <w:rFonts w:ascii="Arial" w:hAnsi="Arial" w:cs="Arial"/>
        </w:rPr>
        <w:t>We agree with the proposal in article 19.3 that where the open interest is significantly lower than the deliverable supply, competent authorities shall adjust the other months’ position limit upwards to increase trading in these markets. However, we do not agree with the competent authorities adjusting of the spot month position limit downwards</w:t>
      </w:r>
      <w:r>
        <w:rPr>
          <w:rFonts w:ascii="Arial" w:hAnsi="Arial" w:cs="Arial"/>
        </w:rPr>
        <w:t>.</w:t>
      </w:r>
    </w:p>
    <w:permEnd w:id="1785143847"/>
    <w:p w14:paraId="709175DF" w14:textId="44CD6E2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2AEA2C01" w14:textId="4AC5B8A6" w:rsidR="001F23C9" w:rsidRDefault="007C11D3" w:rsidP="001F23C9">
      <w:pPr>
        <w:rPr>
          <w:rFonts w:ascii="Arial" w:hAnsi="Arial" w:cs="Arial"/>
        </w:rPr>
      </w:pPr>
      <w:permStart w:id="1033585913" w:edGrp="everyone"/>
      <w:proofErr w:type="gramStart"/>
      <w:r>
        <w:rPr>
          <w:rFonts w:ascii="Arial" w:hAnsi="Arial" w:cs="Arial"/>
        </w:rPr>
        <w:t>Yes</w:t>
      </w:r>
      <w:proofErr w:type="gramEnd"/>
      <w:r>
        <w:rPr>
          <w:rFonts w:ascii="Arial" w:hAnsi="Arial" w:cs="Arial"/>
        </w:rPr>
        <w:t xml:space="preserve"> we agree with ESMA’s proposal.</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23DB0471" w14:textId="56256629" w:rsidR="001F23C9" w:rsidRDefault="007C11D3" w:rsidP="001F23C9">
      <w:pPr>
        <w:rPr>
          <w:rFonts w:ascii="Arial" w:hAnsi="Arial" w:cs="Arial"/>
        </w:rPr>
      </w:pPr>
      <w:permStart w:id="360059141" w:edGrp="everyone"/>
      <w:r>
        <w:rPr>
          <w:rFonts w:ascii="Arial" w:hAnsi="Arial" w:cs="Arial"/>
        </w:rPr>
        <w:t xml:space="preserve">Not relevant for </w:t>
      </w:r>
      <w:proofErr w:type="spellStart"/>
      <w:r>
        <w:rPr>
          <w:rFonts w:ascii="Arial" w:hAnsi="Arial" w:cs="Arial"/>
        </w:rPr>
        <w:t>Eurelectric</w:t>
      </w:r>
      <w:proofErr w:type="spellEnd"/>
      <w:r>
        <w:rPr>
          <w:rFonts w:ascii="Arial" w:hAnsi="Arial" w:cs="Arial"/>
        </w:rPr>
        <w:t>.</w:t>
      </w:r>
    </w:p>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1258DF08" w14:textId="77777777" w:rsidR="007C11D3" w:rsidRPr="007C11D3" w:rsidRDefault="007C11D3" w:rsidP="007C11D3">
      <w:pPr>
        <w:rPr>
          <w:rFonts w:ascii="Arial" w:hAnsi="Arial" w:cs="Arial"/>
        </w:rPr>
      </w:pPr>
      <w:permStart w:id="1365146390" w:edGrp="everyone"/>
      <w:r w:rsidRPr="007C11D3">
        <w:rPr>
          <w:rFonts w:ascii="Arial" w:hAnsi="Arial" w:cs="Arial"/>
        </w:rPr>
        <w:t>We generally agree with the proposal for trading venues having arrangements for ongoing position monitoring in place; ideally combined with a respective alert process for trading participants.</w:t>
      </w:r>
    </w:p>
    <w:p w14:paraId="4469994A" w14:textId="77777777" w:rsidR="007C11D3" w:rsidRDefault="007C11D3" w:rsidP="001F23C9">
      <w:pPr>
        <w:rPr>
          <w:rFonts w:ascii="Arial" w:hAnsi="Arial" w:cs="Arial"/>
        </w:rPr>
      </w:pPr>
      <w:r w:rsidRPr="007C11D3">
        <w:rPr>
          <w:rFonts w:ascii="Arial" w:hAnsi="Arial" w:cs="Arial"/>
        </w:rPr>
        <w:t xml:space="preserve">However, we are concerned as regards the level at which monitoring requirements and accountability levels should apply. The concept of persons with close links is not a </w:t>
      </w:r>
      <w:proofErr w:type="spellStart"/>
      <w:r w:rsidRPr="007C11D3">
        <w:rPr>
          <w:rFonts w:ascii="Arial" w:hAnsi="Arial" w:cs="Arial"/>
        </w:rPr>
        <w:t>know</w:t>
      </w:r>
      <w:proofErr w:type="spellEnd"/>
      <w:r w:rsidRPr="007C11D3">
        <w:rPr>
          <w:rFonts w:ascii="Arial" w:hAnsi="Arial" w:cs="Arial"/>
        </w:rPr>
        <w:t xml:space="preserve"> concept for EU commodity derivative trading venues and they have no access to such information. Furthermore, entities that fall within the category of close links often run have their own independent trading activities and are not allowed to share sensitive information. It is therefore highly recommended that ESMA uses the existing reporting formats, which include information on end position holder and parent undertaking.</w:t>
      </w:r>
    </w:p>
    <w:permEnd w:id="1365146390"/>
    <w:p w14:paraId="78E3242B" w14:textId="66BB8EF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16712F84" w14:textId="31148B9E" w:rsidR="007C11D3" w:rsidRDefault="007C11D3" w:rsidP="007C11D3">
      <w:pPr>
        <w:rPr>
          <w:rFonts w:ascii="Arial" w:hAnsi="Arial" w:cs="Arial"/>
        </w:rPr>
      </w:pPr>
      <w:permStart w:id="1933463559" w:edGrp="everyone"/>
      <w:r w:rsidRPr="007C11D3">
        <w:rPr>
          <w:rFonts w:ascii="Arial" w:hAnsi="Arial" w:cs="Arial"/>
        </w:rPr>
        <w:t xml:space="preserve">Generally, we think companies are already under burdensome reporting </w:t>
      </w:r>
      <w:proofErr w:type="gramStart"/>
      <w:r w:rsidRPr="007C11D3">
        <w:rPr>
          <w:rFonts w:ascii="Arial" w:hAnsi="Arial" w:cs="Arial"/>
        </w:rPr>
        <w:t>requirements  and</w:t>
      </w:r>
      <w:proofErr w:type="gramEnd"/>
      <w:r w:rsidRPr="007C11D3">
        <w:rPr>
          <w:rFonts w:ascii="Arial" w:hAnsi="Arial" w:cs="Arial"/>
        </w:rPr>
        <w:t xml:space="preserve"> any new  provision of information should be evaluated carefully.  We are supportive of trading venues having position management </w:t>
      </w:r>
      <w:proofErr w:type="spellStart"/>
      <w:r w:rsidRPr="007C11D3">
        <w:rPr>
          <w:rFonts w:ascii="Arial" w:hAnsi="Arial" w:cs="Arial"/>
        </w:rPr>
        <w:t>arranegements</w:t>
      </w:r>
      <w:proofErr w:type="spellEnd"/>
      <w:r w:rsidRPr="007C11D3">
        <w:rPr>
          <w:rFonts w:ascii="Arial" w:hAnsi="Arial" w:cs="Arial"/>
        </w:rPr>
        <w:t xml:space="preserve"> in place, but we are concerned that the current ESMA proposal will create considerable burdens for both the trading venues and market participants. </w:t>
      </w:r>
    </w:p>
    <w:p w14:paraId="7C3D06D5" w14:textId="77777777" w:rsidR="007C11D3" w:rsidRPr="007C11D3" w:rsidRDefault="007C11D3" w:rsidP="007C11D3">
      <w:pPr>
        <w:rPr>
          <w:rFonts w:ascii="Arial" w:hAnsi="Arial" w:cs="Arial"/>
        </w:rPr>
      </w:pPr>
    </w:p>
    <w:p w14:paraId="0F388EF5" w14:textId="4B5C803B" w:rsidR="007C11D3" w:rsidRDefault="007C11D3" w:rsidP="007C11D3">
      <w:pPr>
        <w:rPr>
          <w:rFonts w:ascii="Arial" w:hAnsi="Arial" w:cs="Arial"/>
        </w:rPr>
      </w:pPr>
      <w:r w:rsidRPr="007C11D3">
        <w:rPr>
          <w:rFonts w:ascii="Arial" w:hAnsi="Arial" w:cs="Arial"/>
        </w:rPr>
        <w:t xml:space="preserve">Rather than </w:t>
      </w:r>
      <w:proofErr w:type="spellStart"/>
      <w:r w:rsidRPr="007C11D3">
        <w:rPr>
          <w:rFonts w:ascii="Arial" w:hAnsi="Arial" w:cs="Arial"/>
        </w:rPr>
        <w:t>presribing</w:t>
      </w:r>
      <w:proofErr w:type="spellEnd"/>
      <w:r w:rsidRPr="007C11D3">
        <w:rPr>
          <w:rFonts w:ascii="Arial" w:hAnsi="Arial" w:cs="Arial"/>
        </w:rPr>
        <w:t xml:space="preserve"> very detailed provisions for the trading venues in general, we believe </w:t>
      </w:r>
      <w:proofErr w:type="gramStart"/>
      <w:r w:rsidRPr="007C11D3">
        <w:rPr>
          <w:rFonts w:ascii="Arial" w:hAnsi="Arial" w:cs="Arial"/>
        </w:rPr>
        <w:t>that  the</w:t>
      </w:r>
      <w:proofErr w:type="gramEnd"/>
      <w:r w:rsidRPr="007C11D3">
        <w:rPr>
          <w:rFonts w:ascii="Arial" w:hAnsi="Arial" w:cs="Arial"/>
        </w:rPr>
        <w:t xml:space="preserve"> concept of accountability levels should allow discretion to the trading venues to determine on which contracts to set those accountability levels, when to </w:t>
      </w:r>
      <w:r w:rsidRPr="007C11D3">
        <w:rPr>
          <w:rFonts w:ascii="Arial" w:hAnsi="Arial" w:cs="Arial"/>
        </w:rPr>
        <w:lastRenderedPageBreak/>
        <w:t xml:space="preserve">actively monitor them (spot month and/or other month or even closer to delivery) and whether indeed to request additional information if an accountability level is exceeded. </w:t>
      </w:r>
    </w:p>
    <w:p w14:paraId="36B03F23" w14:textId="77777777" w:rsidR="007C11D3" w:rsidRPr="007C11D3" w:rsidRDefault="007C11D3" w:rsidP="007C11D3">
      <w:pPr>
        <w:rPr>
          <w:rFonts w:ascii="Arial" w:hAnsi="Arial" w:cs="Arial"/>
        </w:rPr>
      </w:pPr>
    </w:p>
    <w:p w14:paraId="07D102BB" w14:textId="2272E42E" w:rsidR="007C11D3" w:rsidRDefault="007C11D3" w:rsidP="007C11D3">
      <w:pPr>
        <w:rPr>
          <w:rFonts w:ascii="Arial" w:hAnsi="Arial" w:cs="Arial"/>
        </w:rPr>
      </w:pPr>
      <w:r w:rsidRPr="007C11D3">
        <w:rPr>
          <w:rFonts w:ascii="Arial" w:hAnsi="Arial" w:cs="Arial"/>
        </w:rPr>
        <w:t xml:space="preserve">This would be in line with MiFID II Art. 57 par. 8, which lays down the powers for trading venues to establish position management controls </w:t>
      </w:r>
      <w:proofErr w:type="gramStart"/>
      <w:r w:rsidRPr="007C11D3">
        <w:rPr>
          <w:rFonts w:ascii="Arial" w:hAnsi="Arial" w:cs="Arial"/>
        </w:rPr>
        <w:t>and also</w:t>
      </w:r>
      <w:proofErr w:type="gramEnd"/>
      <w:r w:rsidRPr="007C11D3">
        <w:rPr>
          <w:rFonts w:ascii="Arial" w:hAnsi="Arial" w:cs="Arial"/>
        </w:rPr>
        <w:t xml:space="preserve"> be </w:t>
      </w:r>
      <w:proofErr w:type="spellStart"/>
      <w:r w:rsidRPr="007C11D3">
        <w:rPr>
          <w:rFonts w:ascii="Arial" w:hAnsi="Arial" w:cs="Arial"/>
        </w:rPr>
        <w:t>algined</w:t>
      </w:r>
      <w:proofErr w:type="spellEnd"/>
      <w:r w:rsidRPr="007C11D3">
        <w:rPr>
          <w:rFonts w:ascii="Arial" w:hAnsi="Arial" w:cs="Arial"/>
        </w:rPr>
        <w:t xml:space="preserve"> with CFTC rules (which serve as basis for the ESMA </w:t>
      </w:r>
      <w:proofErr w:type="spellStart"/>
      <w:r w:rsidRPr="007C11D3">
        <w:rPr>
          <w:rFonts w:ascii="Arial" w:hAnsi="Arial" w:cs="Arial"/>
        </w:rPr>
        <w:t>concpet</w:t>
      </w:r>
      <w:proofErr w:type="spellEnd"/>
      <w:r w:rsidRPr="007C11D3">
        <w:rPr>
          <w:rFonts w:ascii="Arial" w:hAnsi="Arial" w:cs="Arial"/>
        </w:rPr>
        <w:t xml:space="preserve"> </w:t>
      </w:r>
      <w:proofErr w:type="spellStart"/>
      <w:r w:rsidRPr="007C11D3">
        <w:rPr>
          <w:rFonts w:ascii="Arial" w:hAnsi="Arial" w:cs="Arial"/>
        </w:rPr>
        <w:t>anayway</w:t>
      </w:r>
      <w:proofErr w:type="spellEnd"/>
      <w:r w:rsidRPr="007C11D3">
        <w:rPr>
          <w:rFonts w:ascii="Arial" w:hAnsi="Arial" w:cs="Arial"/>
        </w:rPr>
        <w:t>).</w:t>
      </w:r>
    </w:p>
    <w:p w14:paraId="2CA8709C" w14:textId="77777777" w:rsidR="007C11D3" w:rsidRPr="007C11D3" w:rsidRDefault="007C11D3" w:rsidP="007C11D3">
      <w:pPr>
        <w:rPr>
          <w:rFonts w:ascii="Arial" w:hAnsi="Arial" w:cs="Arial"/>
        </w:rPr>
      </w:pPr>
    </w:p>
    <w:p w14:paraId="7F003725" w14:textId="78627C79" w:rsidR="001F23C9" w:rsidRDefault="007C11D3" w:rsidP="001F23C9">
      <w:pPr>
        <w:rPr>
          <w:rFonts w:ascii="Arial" w:hAnsi="Arial" w:cs="Arial"/>
        </w:rPr>
      </w:pPr>
      <w:proofErr w:type="spellStart"/>
      <w:r w:rsidRPr="007C11D3">
        <w:rPr>
          <w:rFonts w:ascii="Arial" w:hAnsi="Arial" w:cs="Arial"/>
        </w:rPr>
        <w:t>Againts</w:t>
      </w:r>
      <w:proofErr w:type="spellEnd"/>
      <w:r w:rsidRPr="007C11D3">
        <w:rPr>
          <w:rFonts w:ascii="Arial" w:hAnsi="Arial" w:cs="Arial"/>
        </w:rPr>
        <w:t xml:space="preserve"> this background we propose that in Art. 2 par. 1, 2 and 3, as well as the second part of paragraph 4, the words “shall” should be replaced by “may”. </w:t>
      </w:r>
      <w:permEnd w:id="1933463559"/>
      <w:r w:rsidR="001F23C9">
        <w:rPr>
          <w:rFonts w:ascii="Arial" w:hAnsi="Arial" w:cs="Arial"/>
        </w:rPr>
        <w:t>&lt;ESMA_QUESTION_</w:t>
      </w:r>
      <w:r w:rsidR="006B391B">
        <w:rPr>
          <w:rFonts w:ascii="Arial" w:hAnsi="Arial" w:cs="Arial"/>
        </w:rPr>
        <w:t>CD</w:t>
      </w:r>
      <w:r w:rsidR="001F23C9">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43041E30" w14:textId="3D62A44E" w:rsidR="007C11D3" w:rsidRDefault="007C11D3" w:rsidP="007C11D3">
      <w:pPr>
        <w:rPr>
          <w:rFonts w:ascii="Arial" w:hAnsi="Arial" w:cs="Arial"/>
        </w:rPr>
      </w:pPr>
      <w:permStart w:id="1388730375" w:edGrp="everyone"/>
      <w:r w:rsidRPr="007C11D3">
        <w:rPr>
          <w:rFonts w:ascii="Arial" w:hAnsi="Arial" w:cs="Arial"/>
        </w:rPr>
        <w:t xml:space="preserve">We think positions qualifying as reducing risks directly related to commercial activities and transactions </w:t>
      </w:r>
      <w:proofErr w:type="gramStart"/>
      <w:r w:rsidRPr="007C11D3">
        <w:rPr>
          <w:rFonts w:ascii="Arial" w:hAnsi="Arial" w:cs="Arial"/>
        </w:rPr>
        <w:t>entered into</w:t>
      </w:r>
      <w:proofErr w:type="gramEnd"/>
      <w:r w:rsidRPr="007C11D3">
        <w:rPr>
          <w:rFonts w:ascii="Arial" w:hAnsi="Arial" w:cs="Arial"/>
        </w:rPr>
        <w:t xml:space="preserve"> to fulfil obligations to provide liquidity should not count towards the accountability levels.</w:t>
      </w:r>
    </w:p>
    <w:p w14:paraId="0C46218C" w14:textId="77777777" w:rsidR="007C11D3" w:rsidRPr="007C11D3" w:rsidRDefault="007C11D3" w:rsidP="007C11D3">
      <w:pPr>
        <w:rPr>
          <w:rFonts w:ascii="Arial" w:hAnsi="Arial" w:cs="Arial"/>
        </w:rPr>
      </w:pPr>
    </w:p>
    <w:p w14:paraId="489EFEAD" w14:textId="77777777" w:rsidR="007C11D3" w:rsidRDefault="007C11D3" w:rsidP="001F23C9">
      <w:pPr>
        <w:rPr>
          <w:rFonts w:ascii="Arial" w:hAnsi="Arial" w:cs="Arial"/>
        </w:rPr>
      </w:pPr>
      <w:proofErr w:type="gramStart"/>
      <w:r w:rsidRPr="007C11D3">
        <w:rPr>
          <w:rFonts w:ascii="Arial" w:hAnsi="Arial" w:cs="Arial"/>
        </w:rPr>
        <w:t>In order to</w:t>
      </w:r>
      <w:proofErr w:type="gramEnd"/>
      <w:r w:rsidRPr="007C11D3">
        <w:rPr>
          <w:rFonts w:ascii="Arial" w:hAnsi="Arial" w:cs="Arial"/>
        </w:rPr>
        <w:t xml:space="preserve"> get an exemption for these transactions to not count for the position limits, companies have to send to their competent authorities detailed information regarding said positions. Therefore, we consider it should not be necessary to send again this same information regarding the nature and purpose of the position, now to the trading venues.</w:t>
      </w:r>
    </w:p>
    <w:permEnd w:id="1388730375"/>
    <w:p w14:paraId="161D58CB" w14:textId="77D8862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2F3E0E33" w14:textId="422FC8A1" w:rsidR="00EC15D5" w:rsidRPr="00EC15D5" w:rsidRDefault="007C11D3" w:rsidP="00EC15D5">
      <w:pPr>
        <w:rPr>
          <w:rFonts w:ascii="Arial" w:hAnsi="Arial" w:cs="Arial"/>
        </w:rPr>
      </w:pPr>
      <w:permStart w:id="1252535276" w:edGrp="everyone"/>
      <w:r w:rsidRPr="007C11D3">
        <w:rPr>
          <w:rFonts w:ascii="Arial" w:hAnsi="Arial" w:cs="Arial"/>
        </w:rPr>
        <w:t xml:space="preserve">We generally </w:t>
      </w:r>
      <w:proofErr w:type="spellStart"/>
      <w:r w:rsidRPr="007C11D3">
        <w:rPr>
          <w:rFonts w:ascii="Arial" w:hAnsi="Arial" w:cs="Arial"/>
        </w:rPr>
        <w:t>agee</w:t>
      </w:r>
      <w:proofErr w:type="spellEnd"/>
      <w:r w:rsidRPr="007C11D3">
        <w:rPr>
          <w:rFonts w:ascii="Arial" w:hAnsi="Arial" w:cs="Arial"/>
        </w:rPr>
        <w:t xml:space="preserve"> with ESMA’s proposal.</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050F775B" w14:textId="77777777" w:rsidR="007C11D3" w:rsidRDefault="007C11D3" w:rsidP="00EC15D5">
      <w:pPr>
        <w:rPr>
          <w:rFonts w:ascii="Arial" w:hAnsi="Arial" w:cs="Arial"/>
        </w:rPr>
      </w:pPr>
      <w:permStart w:id="133526605" w:edGrp="everyone"/>
      <w:r w:rsidRPr="007C11D3">
        <w:rPr>
          <w:rFonts w:ascii="Arial" w:hAnsi="Arial" w:cs="Arial"/>
        </w:rPr>
        <w:t>As laid out in Q17, we do not consider that additional position management controls, beyond those already proposed, should be further introduced by ESMA. Instead, trading venues should have the discretion to introduce relevant measures, if and where necessary.</w:t>
      </w:r>
    </w:p>
    <w:permEnd w:id="133526605"/>
    <w:p w14:paraId="0CC67D21" w14:textId="0103ACF9"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lastRenderedPageBreak/>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lastRenderedPageBreak/>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5545B3AC" w14:textId="77777777" w:rsidR="00EC15D5" w:rsidRPr="00EC15D5" w:rsidRDefault="00EC15D5" w:rsidP="00EC15D5">
      <w:pPr>
        <w:rPr>
          <w:rFonts w:ascii="Arial" w:hAnsi="Arial" w:cs="Arial"/>
        </w:rPr>
      </w:pPr>
      <w:permStart w:id="448079908" w:edGrp="everyone"/>
      <w:r w:rsidRPr="00EC15D5">
        <w:rPr>
          <w:rFonts w:ascii="Arial" w:hAnsi="Arial" w:cs="Arial"/>
        </w:rPr>
        <w:t>TYPE YOUR TEXT HERE</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77777777" w:rsidR="00EC15D5" w:rsidRPr="00EC15D5" w:rsidRDefault="00EC15D5" w:rsidP="00EC15D5">
      <w:pPr>
        <w:rPr>
          <w:rFonts w:ascii="Arial" w:hAnsi="Arial" w:cs="Arial"/>
        </w:rPr>
      </w:pPr>
      <w:permStart w:id="1125347083" w:edGrp="everyone"/>
      <w:r w:rsidRPr="00EC15D5">
        <w:rPr>
          <w:rFonts w:ascii="Arial" w:hAnsi="Arial" w:cs="Arial"/>
        </w:rPr>
        <w:t>TYPE YOUR TEXT HERE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CFFC" w14:textId="77777777" w:rsidR="00282B3A" w:rsidRDefault="00282B3A" w:rsidP="007E7997">
      <w:r>
        <w:separator/>
      </w:r>
    </w:p>
  </w:endnote>
  <w:endnote w:type="continuationSeparator" w:id="0">
    <w:p w14:paraId="5955CBDE" w14:textId="77777777" w:rsidR="00282B3A" w:rsidRDefault="00282B3A" w:rsidP="007E7997">
      <w:r>
        <w:continuationSeparator/>
      </w:r>
    </w:p>
  </w:endnote>
  <w:endnote w:type="continuationNotice" w:id="1">
    <w:p w14:paraId="44C927FC" w14:textId="77777777" w:rsidR="00282B3A" w:rsidRDefault="0028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FF1E" w14:textId="77777777" w:rsidR="00282B3A" w:rsidRDefault="00282B3A" w:rsidP="007E7997">
      <w:r>
        <w:separator/>
      </w:r>
    </w:p>
  </w:footnote>
  <w:footnote w:type="continuationSeparator" w:id="0">
    <w:p w14:paraId="56A380DB" w14:textId="77777777" w:rsidR="00282B3A" w:rsidRDefault="00282B3A" w:rsidP="007E7997">
      <w:r>
        <w:continuationSeparator/>
      </w:r>
    </w:p>
  </w:footnote>
  <w:footnote w:type="continuationNotice" w:id="1">
    <w:p w14:paraId="7CCF86EA" w14:textId="77777777" w:rsidR="00282B3A" w:rsidRDefault="0028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837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0qA4wgEAAGoDAAAOAAAAZHJzL2Uyb0RvYy54bWysU02P2yAQvVfqf0DcGzteJY2sOHvIdntJ 20i7/QETwDEqZhCQ2Pn3HYiTdttb1Qsa5uPNmzewfhx7w87KB4224fNZyZmyAqW2x4Z/f33+sOIs RLASDFrV8IsK/HHz/t16cLWqsEMjlWcEYkM9uIZ3Mbq6KILoVA9hhk5ZCrboe4h09cdCehgIvTdF VZbLYkAvnUehQiDv0zXINxm/bZWI39o2qMhMw4lbzKfP5yGdxWYN9dGD67SYaMA/sOhBW2p6h3qC COzk9V9QvRYeA7ZxJrAvsG21UHkGmmZe/jHNSwdO5VlInODuMoX/Byu+nveeadnwijMLPa1op61i 82WSZnChpoyt3fs0nBjti9uh+BGYxW0H9qgyxdeLo7p5qijelKRLcNTgMHxBSTlwiph1GlvfJ0hS gI15HZf7OtQYmbg6BXkXi9V8ucjgUN/qnA/xs8KeJaPhhjhnXDjvQkw8oL6lpDYWn7UxednGsoHI Vh/LMlcENFqmaMoL/njYGs/OQO+lWj0sVg9T4zdpHk9WZrROgfw02RG0udrU3dhJjDT/VckDysve 30SihWaa0+NLL+b3e67+9UU2PwEAAP//AwBQSwMEFAAGAAgAAAAhAI0GJdXeAAAACgEAAA8AAABk cnMvZG93bnJldi54bWxMj8FOwzAMhu9IvENkJG4saWEdKk0nhMShQjswYOe0MW1H41RNtpW3x4jD ONr+9Pv7i/XsBnHEKfSeNCQLBQKp8banVsP72/PNPYgQDVkzeEIN3xhgXV5eFCa3/kSveNzGVnAI hdxo6GIccylD06EzYeFHJL59+smZyOPUSjuZE4e7QaZKZdKZnvhDZ0Z86rD52h6chrmW6sXv7zZJ 8oG31X5Xbeqp0vr6an58ABFxjmcYfvVZHUp2qv2BbBCDhnSZcJeoYZVmIBj4W9RMZmoJsizk/wrl DwAAAP//AwBQSwECLQAUAAYACAAAACEAtoM4kv4AAADhAQAAEwAAAAAAAAAAAAAAAAAAAAAAW0Nv bnRlbnRfVHlwZXNdLnhtbFBLAQItABQABgAIAAAAIQA4/SH/1gAAAJQBAAALAAAAAAAAAAAAAAAA AC8BAABfcmVscy8ucmVsc1BLAQItABQABgAIAAAAIQC30qA4wgEAAGoDAAAOAAAAAAAAAAAAAAAA AC4CAABkcnMvZTJvRG9jLnhtbFBLAQItABQABgAIAAAAIQCNBiXV3gAAAAoBAAAPAAAAAAAAAAAA AAAAABwEAABkcnMvZG93bnJldi54bWxQSwUGAAAAAAQABADzAAAAJwUAAAAA "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3"/>
  </w:num>
  <w:num w:numId="5">
    <w:abstractNumId w:val="11"/>
  </w:num>
  <w:num w:numId="6">
    <w:abstractNumId w:val="21"/>
  </w:num>
  <w:num w:numId="7">
    <w:abstractNumId w:val="10"/>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9"/>
  </w:num>
  <w:num w:numId="21">
    <w:abstractNumId w:val="18"/>
  </w:num>
  <w:num w:numId="22">
    <w:abstractNumId w:val="12"/>
  </w:num>
  <w:num w:numId="23">
    <w:abstractNumId w:val="15"/>
  </w:num>
  <w:num w:numId="24">
    <w:abstractNumId w:val="0"/>
  </w:num>
  <w:num w:numId="25">
    <w:abstractNumId w:val="14"/>
  </w:num>
  <w:num w:numId="26">
    <w:abstractNumId w:val="13"/>
  </w:num>
  <w:num w:numId="27">
    <w:abstractNumId w:val="8"/>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1D3"/>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B7A90"/>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1D3"/>
    <w:pPr>
      <w:autoSpaceDE w:val="0"/>
      <w:autoSpaceDN w:val="0"/>
      <w:adjustRightInd w:val="0"/>
      <w:spacing w:after="0" w:line="240" w:lineRule="auto"/>
    </w:pPr>
    <w:rPr>
      <w:rFonts w:ascii="Arial" w:eastAsiaTheme="minorHAns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240">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13868382">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15</TotalTime>
  <Pages>11</Pages>
  <Words>2504</Words>
  <Characters>14274</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Stella BENFATTO</cp:lastModifiedBy>
  <cp:revision>2</cp:revision>
  <cp:lastPrinted>2017-07-24T14:47:00Z</cp:lastPrinted>
  <dcterms:created xsi:type="dcterms:W3CDTF">2021-07-23T14:38:00Z</dcterms:created>
  <dcterms:modified xsi:type="dcterms:W3CDTF">2021-07-23T14:38:00Z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