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6891B0AD" w14:textId="0C857273" w:rsidR="002427D5" w:rsidRPr="00E3664A" w:rsidRDefault="00F24133" w:rsidP="00456BB6">
                <w:pPr>
                  <w:pStyle w:val="Heading2"/>
                  <w:numPr>
                    <w:ilvl w:val="0"/>
                    <w:numId w:val="0"/>
                  </w:numPr>
                  <w:spacing w:before="0"/>
                  <w:rPr>
                    <w:rFonts w:ascii="Arial" w:hAnsi="Arial" w:cs="Arial"/>
                  </w:rPr>
                </w:pPr>
                <w:bookmarkStart w:id="1" w:name="_Hlk38024836"/>
                <w:r w:rsidRPr="00F24133">
                  <w:rPr>
                    <w:rFonts w:ascii="Arial" w:hAnsi="Arial" w:cs="Arial"/>
                    <w:lang w:eastAsia="en-US"/>
                  </w:rPr>
                  <w:t>Draft G</w:t>
                </w:r>
                <w:r w:rsidR="008D1BBE">
                  <w:rPr>
                    <w:rFonts w:ascii="Arial" w:hAnsi="Arial" w:cs="Arial"/>
                    <w:lang w:eastAsia="en-US"/>
                  </w:rPr>
                  <w:t>uidelines</w:t>
                </w:r>
                <w:r w:rsidRPr="00F24133">
                  <w:rPr>
                    <w:rFonts w:ascii="Arial" w:hAnsi="Arial" w:cs="Arial"/>
                    <w:lang w:eastAsia="en-US"/>
                  </w:rPr>
                  <w:t xml:space="preserve"> on the application of the circumstances under which a CCP is deemed to be failing or likely to fail (Article 22(6) CCPRRR)</w:t>
                </w:r>
                <w:bookmarkEnd w:id="1"/>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describe</w:t>
          </w:r>
          <w:proofErr w:type="gramEnd"/>
          <w:r w:rsidRPr="00E3664A">
            <w:rPr>
              <w:rFonts w:ascii="Arial" w:eastAsiaTheme="minorEastAsia" w:hAnsi="Arial" w:cs="Arial"/>
              <w:szCs w:val="20"/>
            </w:rPr>
            <w:t xml:space="preserve"> any alternatives ESMA should consider.</w:t>
          </w:r>
        </w:p>
        <w:p w14:paraId="54F8E0F1" w14:textId="7FE9CEDD"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F24133">
            <w:rPr>
              <w:rFonts w:ascii="Arial" w:eastAsiaTheme="minorEastAsia" w:hAnsi="Arial" w:cs="Arial"/>
              <w:b/>
              <w:szCs w:val="20"/>
            </w:rPr>
            <w:t>4</w:t>
          </w:r>
          <w:r w:rsidRPr="00A92D8C">
            <w:rPr>
              <w:rFonts w:ascii="Arial" w:eastAsiaTheme="minorEastAsia" w:hAnsi="Arial" w:cs="Arial"/>
              <w:b/>
              <w:szCs w:val="20"/>
            </w:rPr>
            <w:t xml:space="preserve"> </w:t>
          </w:r>
          <w:r w:rsidR="00F24133">
            <w:rPr>
              <w:rFonts w:ascii="Arial" w:eastAsiaTheme="minorEastAsia" w:hAnsi="Arial" w:cs="Arial"/>
              <w:b/>
              <w:szCs w:val="20"/>
            </w:rPr>
            <w:t>January</w:t>
          </w:r>
          <w:r w:rsidRPr="00A92D8C">
            <w:rPr>
              <w:rFonts w:ascii="Arial" w:eastAsiaTheme="minorEastAsia" w:hAnsi="Arial" w:cs="Arial"/>
              <w:b/>
              <w:szCs w:val="20"/>
            </w:rPr>
            <w:t xml:space="preserve"> 202</w:t>
          </w:r>
          <w:r w:rsidR="00F24133">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6B62494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745C9D8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_ABCD_RESPONSEFORM.</w:t>
          </w:r>
        </w:p>
        <w:p w14:paraId="11889093" w14:textId="1ABDA42E"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F24133" w:rsidRPr="00F24133">
            <w:rPr>
              <w:rFonts w:ascii="Arial" w:hAnsi="Arial" w:cs="Arial"/>
              <w:lang w:eastAsia="en-US"/>
            </w:rPr>
            <w:t>the application of the circumstances under which a CCP is deemed to be failing or likely to fail</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32AE4254" w:rsidR="002427D5" w:rsidRPr="00E3664A" w:rsidRDefault="00BB4975" w:rsidP="00456BB6">
                <w:pPr>
                  <w:rPr>
                    <w:rFonts w:ascii="Arial" w:hAnsi="Arial" w:cs="Arial"/>
                    <w:color w:val="808080"/>
                    <w:sz w:val="20"/>
                    <w:lang w:eastAsia="de-DE"/>
                  </w:rPr>
                </w:pPr>
                <w:r>
                  <w:rPr>
                    <w:rFonts w:ascii="Arial" w:hAnsi="Arial" w:cs="Arial"/>
                    <w:color w:val="808080"/>
                    <w:sz w:val="20"/>
                    <w:lang w:eastAsia="de-DE"/>
                  </w:rPr>
                  <w:t>LSEG</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6A220F9E" w:rsidR="002427D5" w:rsidRPr="00E3664A" w:rsidRDefault="00785B53"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B4975">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456BB6">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0EABA288" w:rsidR="002427D5" w:rsidRPr="00E3664A" w:rsidRDefault="00BB4975" w:rsidP="00456BB6">
                <w:pPr>
                  <w:rPr>
                    <w:rFonts w:ascii="Arial" w:hAnsi="Arial" w:cs="Arial"/>
                    <w:sz w:val="20"/>
                    <w:lang w:eastAsia="de-DE"/>
                  </w:rPr>
                </w:pPr>
                <w:r>
                  <w:rPr>
                    <w:rFonts w:ascii="Arial" w:hAnsi="Arial" w:cs="Arial"/>
                    <w:sz w:val="20"/>
                    <w:lang w:eastAsia="de-DE"/>
                  </w:rPr>
                  <w:t>UK</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6E1041E2"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F24133">
        <w:rPr>
          <w:rFonts w:ascii="Arial" w:eastAsiaTheme="minorEastAsia" w:hAnsi="Arial" w:cs="Arial"/>
          <w:szCs w:val="20"/>
        </w:rPr>
        <w:t>FOLTF</w:t>
      </w:r>
      <w:r w:rsidRPr="00E3664A">
        <w:rPr>
          <w:rFonts w:ascii="Arial" w:eastAsiaTheme="minorEastAsia" w:hAnsi="Arial" w:cs="Arial"/>
          <w:szCs w:val="20"/>
        </w:rPr>
        <w:t>_00&gt;</w:t>
      </w:r>
    </w:p>
    <w:p w14:paraId="07574B52" w14:textId="77777777" w:rsidR="00806777" w:rsidRDefault="00806777" w:rsidP="00806777">
      <w:pPr>
        <w:pStyle w:val="IntroductoryText"/>
        <w:jc w:val="both"/>
        <w:rPr>
          <w:rFonts w:eastAsia="Times New Roman"/>
          <w:sz w:val="22"/>
          <w:szCs w:val="22"/>
        </w:rPr>
      </w:pPr>
      <w:r w:rsidRPr="00092C9F">
        <w:rPr>
          <w:sz w:val="22"/>
          <w:szCs w:val="22"/>
          <w:lang w:eastAsia="zh-CN"/>
        </w:rPr>
        <w:t>LSEG welcomes the opportunity to respond to</w:t>
      </w:r>
      <w:r>
        <w:rPr>
          <w:sz w:val="22"/>
          <w:szCs w:val="22"/>
          <w:lang w:eastAsia="zh-CN"/>
        </w:rPr>
        <w:t xml:space="preserve"> ESMA’s</w:t>
      </w:r>
      <w:r w:rsidRPr="00092C9F">
        <w:rPr>
          <w:sz w:val="22"/>
          <w:szCs w:val="22"/>
          <w:lang w:eastAsia="zh-CN"/>
        </w:rPr>
        <w:t xml:space="preserve"> </w:t>
      </w:r>
      <w:r w:rsidRPr="008C7884">
        <w:rPr>
          <w:sz w:val="22"/>
          <w:szCs w:val="22"/>
          <w:lang w:eastAsia="zh-CN"/>
        </w:rPr>
        <w:t>consultation on Draft Guidelines on the application of the circumstances under which a CCP is deemed to be failing or likely to fail</w:t>
      </w:r>
      <w:r w:rsidRPr="00092C9F">
        <w:rPr>
          <w:sz w:val="22"/>
          <w:szCs w:val="22"/>
          <w:lang w:eastAsia="zh-CN"/>
        </w:rPr>
        <w:t>.</w:t>
      </w:r>
      <w:r>
        <w:rPr>
          <w:rFonts w:eastAsia="Times New Roman"/>
          <w:sz w:val="22"/>
          <w:szCs w:val="22"/>
        </w:rPr>
        <w:t xml:space="preserve"> </w:t>
      </w:r>
      <w:r w:rsidRPr="00657213">
        <w:rPr>
          <w:rFonts w:eastAsia="Times New Roman"/>
          <w:sz w:val="22"/>
          <w:szCs w:val="22"/>
        </w:rPr>
        <w:t>We would</w:t>
      </w:r>
      <w:r>
        <w:rPr>
          <w:rFonts w:eastAsia="Times New Roman"/>
          <w:sz w:val="22"/>
          <w:szCs w:val="22"/>
        </w:rPr>
        <w:t xml:space="preserve"> </w:t>
      </w:r>
      <w:r w:rsidRPr="00657213">
        <w:rPr>
          <w:rFonts w:eastAsia="Times New Roman"/>
          <w:sz w:val="22"/>
          <w:szCs w:val="22"/>
        </w:rPr>
        <w:t>like to make the following key observations:</w:t>
      </w:r>
    </w:p>
    <w:p w14:paraId="3AF13359" w14:textId="77777777" w:rsidR="00806777" w:rsidRDefault="00806777" w:rsidP="00806777">
      <w:pPr>
        <w:pStyle w:val="ListParagraph"/>
        <w:numPr>
          <w:ilvl w:val="0"/>
          <w:numId w:val="6"/>
        </w:numPr>
        <w:tabs>
          <w:tab w:val="clear" w:pos="0"/>
          <w:tab w:val="clear" w:pos="142"/>
          <w:tab w:val="clear" w:pos="284"/>
          <w:tab w:val="clear" w:pos="567"/>
        </w:tabs>
        <w:autoSpaceDE/>
        <w:autoSpaceDN/>
        <w:adjustRightInd/>
        <w:spacing w:after="120" w:line="240" w:lineRule="auto"/>
        <w:contextualSpacing/>
        <w:rPr>
          <w:lang w:eastAsia="zh-CN"/>
        </w:rPr>
      </w:pPr>
      <w:r w:rsidRPr="00372FAB">
        <w:rPr>
          <w:rFonts w:eastAsia="Times New Roman"/>
        </w:rPr>
        <w:t xml:space="preserve">We believe that </w:t>
      </w:r>
      <w:r w:rsidRPr="00372FAB">
        <w:rPr>
          <w:lang w:eastAsia="zh-CN"/>
        </w:rPr>
        <w:t>regarding the timing of whether a CCP is failing or likely to fail, the CCP in question should already be towards the end of the recovery process and it should be clear that its available resources are exhausted to a large extend or that they are insufficient to restore its viability. CCPs should not be prevented from executing their recovery plans or interrupted in their actions undertaken in line with these approved plans within the recovery phase. It is important to allow CCPs to perform their default management processes and apply their recovery tools to the highest possible degree.</w:t>
      </w:r>
    </w:p>
    <w:p w14:paraId="524BBDC4" w14:textId="77777777" w:rsidR="00806777" w:rsidRDefault="00806777" w:rsidP="00806777">
      <w:pPr>
        <w:pStyle w:val="ListParagraph"/>
        <w:numPr>
          <w:ilvl w:val="0"/>
          <w:numId w:val="0"/>
        </w:numPr>
        <w:ind w:left="360"/>
        <w:rPr>
          <w:lang w:eastAsia="zh-CN"/>
        </w:rPr>
      </w:pPr>
    </w:p>
    <w:p w14:paraId="3EBBD947" w14:textId="77777777" w:rsidR="00806777" w:rsidRDefault="00806777" w:rsidP="00806777">
      <w:pPr>
        <w:pStyle w:val="ListParagraph"/>
        <w:numPr>
          <w:ilvl w:val="0"/>
          <w:numId w:val="6"/>
        </w:numPr>
        <w:tabs>
          <w:tab w:val="clear" w:pos="0"/>
          <w:tab w:val="clear" w:pos="142"/>
          <w:tab w:val="clear" w:pos="284"/>
          <w:tab w:val="clear" w:pos="567"/>
        </w:tabs>
        <w:autoSpaceDE/>
        <w:autoSpaceDN/>
        <w:adjustRightInd/>
        <w:spacing w:after="120" w:line="240" w:lineRule="auto"/>
        <w:contextualSpacing/>
        <w:rPr>
          <w:lang w:eastAsia="zh-CN"/>
        </w:rPr>
      </w:pPr>
      <w:r>
        <w:rPr>
          <w:lang w:eastAsia="zh-CN"/>
        </w:rPr>
        <w:t xml:space="preserve">Regarding the assessment of market conditions that may impede the CCP converting between collateral assets classes as swiftly as necessary to meet its related obligations or realising the value of the collateral it holds under such conditions, we believe that such assessment during extreme market volatility would be hard to conduct. Therefore, </w:t>
      </w:r>
      <w:r w:rsidRPr="00560E47">
        <w:rPr>
          <w:lang w:eastAsia="zh-CN"/>
        </w:rPr>
        <w:t>we don’t believe that this should be part of the assessment to determine a CCP in resolution since there are many external factors that could influence the result of that market assessment which could wrongly place a CCP in resolution.</w:t>
      </w:r>
    </w:p>
    <w:p w14:paraId="478B40CD" w14:textId="77777777" w:rsidR="00806777" w:rsidRPr="00372FAB" w:rsidRDefault="00806777" w:rsidP="00806777">
      <w:pPr>
        <w:pStyle w:val="ListParagraph"/>
        <w:numPr>
          <w:ilvl w:val="0"/>
          <w:numId w:val="0"/>
        </w:numPr>
        <w:ind w:left="1068"/>
        <w:rPr>
          <w:lang w:eastAsia="zh-CN"/>
        </w:rPr>
      </w:pPr>
    </w:p>
    <w:p w14:paraId="4441C14E" w14:textId="77777777" w:rsidR="00806777" w:rsidRPr="00560E47" w:rsidRDefault="00806777" w:rsidP="00806777">
      <w:pPr>
        <w:pStyle w:val="ListParagraph"/>
        <w:numPr>
          <w:ilvl w:val="0"/>
          <w:numId w:val="6"/>
        </w:numPr>
        <w:tabs>
          <w:tab w:val="clear" w:pos="0"/>
          <w:tab w:val="clear" w:pos="142"/>
          <w:tab w:val="clear" w:pos="284"/>
          <w:tab w:val="clear" w:pos="567"/>
        </w:tabs>
        <w:autoSpaceDE/>
        <w:autoSpaceDN/>
        <w:adjustRightInd/>
        <w:spacing w:after="120" w:line="240" w:lineRule="auto"/>
        <w:contextualSpacing/>
      </w:pPr>
      <w:r w:rsidRPr="00560E47">
        <w:t xml:space="preserve">We don’t agree with ESMA’s proposal to assess </w:t>
      </w:r>
      <w:r w:rsidRPr="00560E47">
        <w:rPr>
          <w:i/>
          <w:iCs/>
        </w:rPr>
        <w:t xml:space="preserve">“the loss of confidence of its clearing participants and other stakeholders in the CCP’s ability to manage risks, operationally and/or financially”. </w:t>
      </w:r>
      <w:r w:rsidRPr="00560E47">
        <w:t xml:space="preserve">Members’ choices on where to clear </w:t>
      </w:r>
      <w:proofErr w:type="gramStart"/>
      <w:r w:rsidRPr="00560E47">
        <w:t>is</w:t>
      </w:r>
      <w:proofErr w:type="gramEnd"/>
      <w:r w:rsidRPr="00560E47">
        <w:t xml:space="preserve"> strictly a commercial decision. Their decision to move existing contracts to a different CCP is “controlled” through their contractual obligations under a CCP’s rulebook, therefore there cannot be circumstances whereby “</w:t>
      </w:r>
      <w:r w:rsidRPr="00560E47">
        <w:rPr>
          <w:i/>
          <w:iCs/>
        </w:rPr>
        <w:t>loss of business to a competitor CCP could be uncontrollable</w:t>
      </w:r>
      <w:r w:rsidRPr="00560E47">
        <w:t>” as noted in paragraph 35.</w:t>
      </w:r>
    </w:p>
    <w:p w14:paraId="01063D92" w14:textId="5521A724"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F24133">
        <w:rPr>
          <w:rFonts w:ascii="Arial" w:eastAsiaTheme="minorEastAsia" w:hAnsi="Arial" w:cs="Arial"/>
          <w:szCs w:val="20"/>
        </w:rPr>
        <w:t>FOLTF</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19CF38BE"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DC096C8" w14:textId="77777777" w:rsidR="002D4161" w:rsidRPr="002D4161" w:rsidRDefault="002D4161" w:rsidP="002427D5">
      <w:pPr>
        <w:spacing w:line="276" w:lineRule="auto"/>
        <w:rPr>
          <w:rFonts w:ascii="Arial" w:hAnsi="Arial" w:cs="Arial"/>
          <w:b/>
          <w:sz w:val="28"/>
          <w:szCs w:val="28"/>
        </w:rPr>
      </w:pPr>
    </w:p>
    <w:p w14:paraId="17280749" w14:textId="6405BBB2"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F24133" w:rsidRPr="00576E6B">
        <w:rPr>
          <w:rFonts w:ascii="Arial" w:hAnsi="Arial" w:cs="Arial"/>
          <w:sz w:val="24"/>
          <w:szCs w:val="24"/>
        </w:rPr>
        <w:t>Do you agree with the proposed Guidelines 1 and 2, specifying the general considerations in determining if a CCP is failing or likely to fail? If not, please explain.</w:t>
      </w:r>
    </w:p>
    <w:p w14:paraId="75AC2B9F" w14:textId="77777777" w:rsidR="002427D5" w:rsidRPr="00576E6B" w:rsidRDefault="002427D5" w:rsidP="00D925C9">
      <w:pPr>
        <w:pStyle w:val="Questionstyle"/>
        <w:numPr>
          <w:ilvl w:val="0"/>
          <w:numId w:val="0"/>
        </w:numPr>
        <w:rPr>
          <w:rFonts w:ascii="Arial" w:hAnsi="Arial" w:cs="Arial"/>
          <w:sz w:val="24"/>
          <w:szCs w:val="24"/>
        </w:rPr>
      </w:pPr>
    </w:p>
    <w:p w14:paraId="69126420" w14:textId="6F2614B8" w:rsidR="002427D5" w:rsidRPr="00576E6B" w:rsidRDefault="002427D5" w:rsidP="00D925C9">
      <w:pPr>
        <w:pStyle w:val="Questionstyle"/>
        <w:numPr>
          <w:ilvl w:val="0"/>
          <w:numId w:val="0"/>
        </w:numPr>
        <w:rPr>
          <w:rFonts w:ascii="Arial" w:eastAsiaTheme="minorHAnsi" w:hAnsi="Arial" w:cs="Arial"/>
          <w:sz w:val="24"/>
          <w:szCs w:val="24"/>
          <w:lang w:eastAsia="en-US"/>
        </w:rPr>
      </w:pPr>
      <w:r w:rsidRPr="00576E6B">
        <w:rPr>
          <w:rFonts w:ascii="Arial" w:eastAsiaTheme="minorHAnsi" w:hAnsi="Arial" w:cs="Arial"/>
          <w:sz w:val="24"/>
          <w:szCs w:val="24"/>
          <w:lang w:eastAsia="en-US"/>
        </w:rPr>
        <w:t>&lt;ESMA_QUESTION_</w:t>
      </w:r>
      <w:r w:rsidR="00F24133" w:rsidRPr="00576E6B">
        <w:rPr>
          <w:rFonts w:ascii="Arial" w:eastAsiaTheme="minorHAnsi" w:hAnsi="Arial" w:cs="Arial"/>
          <w:sz w:val="24"/>
          <w:szCs w:val="24"/>
          <w:lang w:eastAsia="en-US"/>
        </w:rPr>
        <w:t>FOLTF</w:t>
      </w:r>
      <w:r w:rsidRPr="00576E6B">
        <w:rPr>
          <w:rFonts w:ascii="Arial" w:eastAsiaTheme="minorHAnsi" w:hAnsi="Arial" w:cs="Arial"/>
          <w:sz w:val="24"/>
          <w:szCs w:val="24"/>
          <w:lang w:eastAsia="en-US"/>
        </w:rPr>
        <w:t>_01&gt;</w:t>
      </w:r>
    </w:p>
    <w:p w14:paraId="34B5EBA1" w14:textId="77777777" w:rsidR="00B1139B" w:rsidRDefault="00B1139B" w:rsidP="00B1139B">
      <w:pPr>
        <w:jc w:val="both"/>
        <w:rPr>
          <w:lang w:eastAsia="zh-CN"/>
        </w:rPr>
      </w:pPr>
      <w:r w:rsidRPr="00F51CBE">
        <w:rPr>
          <w:lang w:eastAsia="zh-CN"/>
        </w:rPr>
        <w:t xml:space="preserve">We agree with ESMA’s </w:t>
      </w:r>
      <w:r>
        <w:rPr>
          <w:lang w:eastAsia="zh-CN"/>
        </w:rPr>
        <w:t xml:space="preserve">proposed guidelines 1 &amp; 2, specifying the general considerations in determining if a CCP is failing or likely to fail. We believe, as noted in the guidelines, that such determination is only made after a comprehensive </w:t>
      </w:r>
      <w:r w:rsidRPr="00CB3C5E">
        <w:rPr>
          <w:lang w:eastAsia="zh-CN"/>
        </w:rPr>
        <w:t>assessment of both qualitative and quantitative objective elements</w:t>
      </w:r>
      <w:r>
        <w:rPr>
          <w:lang w:eastAsia="zh-CN"/>
        </w:rPr>
        <w:t xml:space="preserve"> based on information available at such time. </w:t>
      </w:r>
    </w:p>
    <w:p w14:paraId="421D49BE" w14:textId="77777777" w:rsidR="00B1139B" w:rsidRDefault="00B1139B" w:rsidP="00B1139B">
      <w:pPr>
        <w:jc w:val="both"/>
        <w:rPr>
          <w:lang w:eastAsia="zh-CN"/>
        </w:rPr>
      </w:pPr>
      <w:r>
        <w:rPr>
          <w:lang w:eastAsia="zh-CN"/>
        </w:rPr>
        <w:t xml:space="preserve">We would also highlight that, as noted in previous responses on this issue, regarding the timing of such determination, the CCP in question should already be towards the end of the recovery process and it should be clear that its available resources are exhausted to a large extend or that they are insufficient to restore its viability. </w:t>
      </w:r>
      <w:r w:rsidRPr="006177D4">
        <w:rPr>
          <w:lang w:eastAsia="zh-CN"/>
        </w:rPr>
        <w:t xml:space="preserve">CCPs should not be prevented from executing </w:t>
      </w:r>
      <w:r>
        <w:rPr>
          <w:lang w:eastAsia="zh-CN"/>
        </w:rPr>
        <w:t>their recovery</w:t>
      </w:r>
      <w:r w:rsidRPr="006177D4">
        <w:rPr>
          <w:lang w:eastAsia="zh-CN"/>
        </w:rPr>
        <w:t xml:space="preserve"> plans or interrupted in their actions undertaken in line with these approved plans within the recovery phase. It is important to allow CCPs to perform their default management processes and apply their recovery tools to the highest possible degree</w:t>
      </w:r>
      <w:r>
        <w:rPr>
          <w:lang w:eastAsia="zh-CN"/>
        </w:rPr>
        <w:t>.</w:t>
      </w:r>
    </w:p>
    <w:p w14:paraId="43072554" w14:textId="4B28460A"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_01&gt;</w:t>
      </w:r>
    </w:p>
    <w:p w14:paraId="042FD42C" w14:textId="0C3809C6" w:rsidR="002427D5" w:rsidRPr="00576E6B" w:rsidRDefault="002427D5" w:rsidP="002427D5">
      <w:pPr>
        <w:rPr>
          <w:rFonts w:ascii="Arial" w:hAnsi="Arial" w:cs="Arial"/>
          <w:b/>
          <w:sz w:val="24"/>
          <w:szCs w:val="24"/>
        </w:rPr>
      </w:pPr>
    </w:p>
    <w:p w14:paraId="39EB53F5" w14:textId="788C4751"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3, considering the availability and adequacy of the CCP’s recovery tools in determining if a CCP is failing or likely to fail? If not, please explain.</w:t>
      </w:r>
    </w:p>
    <w:p w14:paraId="1400ABC8" w14:textId="0856E47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_02&gt;</w:t>
      </w:r>
    </w:p>
    <w:p w14:paraId="0E14A823" w14:textId="77777777" w:rsidR="00343989" w:rsidRDefault="00343989" w:rsidP="00343989">
      <w:pPr>
        <w:jc w:val="both"/>
        <w:rPr>
          <w:lang w:eastAsia="zh-CN"/>
        </w:rPr>
      </w:pPr>
      <w:r w:rsidRPr="006E10E7">
        <w:rPr>
          <w:lang w:eastAsia="zh-CN"/>
        </w:rPr>
        <w:t>LSEG agree</w:t>
      </w:r>
      <w:r>
        <w:rPr>
          <w:lang w:eastAsia="zh-CN"/>
        </w:rPr>
        <w:t>s</w:t>
      </w:r>
      <w:r w:rsidRPr="006E10E7">
        <w:rPr>
          <w:lang w:eastAsia="zh-CN"/>
        </w:rPr>
        <w:t xml:space="preserve"> with the proposed guideline 3, considering the availability and adequacy of the CCP’s recovery tools in determining if a CCP is failing or likely to fail. </w:t>
      </w:r>
      <w:r>
        <w:rPr>
          <w:lang w:eastAsia="zh-CN"/>
        </w:rPr>
        <w:t xml:space="preserve">We note that in addition to the ability of stakeholders to cover potential liquidity shortfalls in the recovery other </w:t>
      </w:r>
      <w:r w:rsidRPr="004300BE">
        <w:rPr>
          <w:lang w:eastAsia="zh-CN"/>
        </w:rPr>
        <w:t>liquidity providers</w:t>
      </w:r>
      <w:r>
        <w:rPr>
          <w:lang w:eastAsia="zh-CN"/>
        </w:rPr>
        <w:t xml:space="preserve"> </w:t>
      </w:r>
      <w:r w:rsidRPr="004300BE">
        <w:rPr>
          <w:lang w:eastAsia="zh-CN"/>
        </w:rPr>
        <w:t>such as credit facilities provided by the Central Bank</w:t>
      </w:r>
      <w:r>
        <w:rPr>
          <w:lang w:eastAsia="zh-CN"/>
        </w:rPr>
        <w:t xml:space="preserve"> should also be considered. </w:t>
      </w:r>
    </w:p>
    <w:p w14:paraId="19FEC513" w14:textId="39B78FD7"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_02&gt;</w:t>
      </w:r>
    </w:p>
    <w:p w14:paraId="5DDB222C" w14:textId="7299DC64" w:rsidR="002427D5" w:rsidRPr="00576E6B" w:rsidRDefault="002427D5" w:rsidP="002427D5">
      <w:pPr>
        <w:rPr>
          <w:rFonts w:ascii="Arial" w:hAnsi="Arial" w:cs="Arial"/>
          <w:b/>
          <w:sz w:val="24"/>
          <w:szCs w:val="24"/>
        </w:rPr>
      </w:pPr>
    </w:p>
    <w:p w14:paraId="3ABADBA2" w14:textId="02332E83"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Guidelines 4 and 5, considering the financial resources of the CCP’s in determining if a CCP is failing or likely to fail? If not, please explain.</w:t>
      </w:r>
    </w:p>
    <w:p w14:paraId="2D88B40A" w14:textId="306CB93C" w:rsidR="002427D5" w:rsidRPr="00576E6B" w:rsidRDefault="002427D5" w:rsidP="002427D5">
      <w:pPr>
        <w:rPr>
          <w:rFonts w:ascii="Arial" w:hAnsi="Arial" w:cs="Arial"/>
          <w:sz w:val="24"/>
          <w:szCs w:val="24"/>
        </w:rPr>
      </w:pPr>
      <w:bookmarkStart w:id="2" w:name="_Hlk76119363"/>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_03&gt;</w:t>
      </w:r>
    </w:p>
    <w:p w14:paraId="1382848C" w14:textId="77777777" w:rsidR="0084145A" w:rsidRDefault="0084145A" w:rsidP="0084145A">
      <w:pPr>
        <w:jc w:val="both"/>
        <w:rPr>
          <w:lang w:eastAsia="zh-CN"/>
        </w:rPr>
      </w:pPr>
      <w:r w:rsidRPr="00A07663">
        <w:rPr>
          <w:lang w:eastAsia="zh-CN"/>
        </w:rPr>
        <w:t xml:space="preserve">We broadly agree with the proposed guidelines 4 &amp; 5, considering the financial resources of the CCP’s in determining if a CCP is failing or likely to fail. </w:t>
      </w:r>
    </w:p>
    <w:p w14:paraId="11239886" w14:textId="77777777" w:rsidR="0084145A" w:rsidRDefault="0084145A" w:rsidP="0084145A">
      <w:pPr>
        <w:jc w:val="both"/>
        <w:rPr>
          <w:lang w:eastAsia="zh-CN"/>
        </w:rPr>
      </w:pPr>
      <w:r>
        <w:rPr>
          <w:lang w:eastAsia="zh-CN"/>
        </w:rPr>
        <w:lastRenderedPageBreak/>
        <w:t>Regarding the assessment of market conditions that may impede the CCP converting between collateral assets classes as swiftly as necessary to meet its related obligations or realising the value of the collateral it holds under such conditions, we believe that such assessment during extreme market volatility would be hard to conduct. In addition, a CCP will always place its holdings on high graded and highly liquid collateral asset classes however market conditions at such time would usually dictate the value and rate at which assets can be liquidated. However, we don’t believe that this should be part of the assessment to determine a CCP in resolution since there are many external factors that could influence the result of that market assessment which could wrongly place a CCP in resolution.</w:t>
      </w:r>
    </w:p>
    <w:p w14:paraId="1D9EFFDC" w14:textId="77777777" w:rsidR="0084145A" w:rsidRDefault="0084145A" w:rsidP="0084145A">
      <w:pPr>
        <w:jc w:val="both"/>
        <w:rPr>
          <w:lang w:eastAsia="zh-CN"/>
        </w:rPr>
      </w:pPr>
      <w:r>
        <w:rPr>
          <w:lang w:eastAsia="zh-CN"/>
        </w:rPr>
        <w:t xml:space="preserve">Therefore, we believe that ESMA’s assessment should be limited to the market conditions but not to the CCP’s ability to convert between asset classes.  </w:t>
      </w:r>
    </w:p>
    <w:p w14:paraId="32AFA07A" w14:textId="00DC7BCC"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_03&gt;</w:t>
      </w:r>
    </w:p>
    <w:bookmarkEnd w:id="2"/>
    <w:p w14:paraId="16AC2A56" w14:textId="77777777" w:rsidR="002427D5" w:rsidRPr="00576E6B" w:rsidRDefault="002427D5" w:rsidP="002427D5">
      <w:pPr>
        <w:rPr>
          <w:rFonts w:ascii="Arial" w:hAnsi="Arial" w:cs="Arial"/>
          <w:sz w:val="24"/>
          <w:szCs w:val="24"/>
        </w:rPr>
      </w:pPr>
    </w:p>
    <w:p w14:paraId="65E0D9B1" w14:textId="18197ED4"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6, considering the operational capacity of the CCP in determining if a CCP is failing or likely to fail? If not, please explain.</w:t>
      </w:r>
    </w:p>
    <w:p w14:paraId="7E0C3AD5" w14:textId="6B14505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_04&gt;</w:t>
      </w:r>
    </w:p>
    <w:p w14:paraId="08157F1D" w14:textId="77777777" w:rsidR="00273C42" w:rsidRDefault="00273C42" w:rsidP="00273C42">
      <w:pPr>
        <w:jc w:val="both"/>
      </w:pPr>
      <w:r>
        <w:t xml:space="preserve">We don’t agree with ESMA’s proposal to assess </w:t>
      </w:r>
      <w:r w:rsidRPr="008E452F">
        <w:rPr>
          <w:i/>
          <w:iCs/>
        </w:rPr>
        <w:t>“the loss of confidence of its clearing participants and other stakeholders in the CCP’s ability to manage risks, operationally and/or financially”</w:t>
      </w:r>
      <w:r>
        <w:rPr>
          <w:i/>
          <w:iCs/>
        </w:rPr>
        <w:t xml:space="preserve">. </w:t>
      </w:r>
      <w:r>
        <w:t xml:space="preserve">We believe that such assessment goes beyond ESMA’s mandate under Level 1 text and is not an indication that a CCP is failing or is likely to fail. </w:t>
      </w:r>
    </w:p>
    <w:p w14:paraId="3BBA366F" w14:textId="77777777" w:rsidR="00273C42" w:rsidRDefault="00273C42" w:rsidP="00273C42">
      <w:pPr>
        <w:jc w:val="both"/>
      </w:pPr>
      <w:r>
        <w:t xml:space="preserve">Members’ choices on where to clear </w:t>
      </w:r>
      <w:proofErr w:type="gramStart"/>
      <w:r>
        <w:t>is</w:t>
      </w:r>
      <w:proofErr w:type="gramEnd"/>
      <w:r>
        <w:t xml:space="preserve"> strictly a commercial decision. Their decision to move existing contracts to a different CCP is “controlled” through their contractual obligations under a CCP’s rulebook, therefore there cannot be circumstances whereby “</w:t>
      </w:r>
      <w:r w:rsidRPr="00811376">
        <w:rPr>
          <w:i/>
          <w:iCs/>
        </w:rPr>
        <w:t>loss of business to a competitor CCP could be uncontrollable</w:t>
      </w:r>
      <w:r>
        <w:t>” as noted in paragraph 35.</w:t>
      </w:r>
    </w:p>
    <w:p w14:paraId="71C701F3" w14:textId="77777777" w:rsidR="00273C42" w:rsidRDefault="00273C42" w:rsidP="00273C42">
      <w:pPr>
        <w:jc w:val="both"/>
      </w:pPr>
      <w:r>
        <w:t xml:space="preserve">Furthermore, if there is a </w:t>
      </w:r>
      <w:r w:rsidRPr="00F83013">
        <w:t>decrease in transactions submitted for clearing</w:t>
      </w:r>
      <w:r>
        <w:t xml:space="preserve"> within a particular service or the majority of clearing members decide to terminate contracts within that service, the CCP </w:t>
      </w:r>
      <w:r w:rsidRPr="003F4C8C">
        <w:t xml:space="preserve">can activate its orderly wind-down plan, as it should be clear that a CCP without any business would </w:t>
      </w:r>
      <w:r>
        <w:t xml:space="preserve">not </w:t>
      </w:r>
      <w:r w:rsidRPr="003F4C8C">
        <w:t>have any critical functions anymore</w:t>
      </w:r>
      <w:r>
        <w:t xml:space="preserve">. Finally, a decrease in transactions submitted for clearing is not an appropriate indicator to evaluate the operational viability of a CCP given potential “buffer” CCPs might have and/or membership structure whereby fees are not directly linked to volumes of transactions executed with that CCP. </w:t>
      </w:r>
    </w:p>
    <w:p w14:paraId="4950333D" w14:textId="4139F75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_04&gt;</w:t>
      </w:r>
      <w:r w:rsidRPr="00576E6B">
        <w:rPr>
          <w:rFonts w:ascii="Arial" w:hAnsi="Arial" w:cs="Arial"/>
          <w:b/>
          <w:sz w:val="24"/>
          <w:szCs w:val="24"/>
        </w:rPr>
        <w:t xml:space="preserve"> </w:t>
      </w:r>
    </w:p>
    <w:p w14:paraId="24CA8154" w14:textId="77777777" w:rsidR="002427D5" w:rsidRPr="00576E6B" w:rsidRDefault="002427D5" w:rsidP="002427D5">
      <w:pPr>
        <w:rPr>
          <w:rFonts w:ascii="Arial" w:hAnsi="Arial" w:cs="Arial"/>
          <w:sz w:val="24"/>
          <w:szCs w:val="24"/>
        </w:rPr>
      </w:pPr>
    </w:p>
    <w:p w14:paraId="07D04903" w14:textId="11F22B5B"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7 specifying other requirements for continuing authorisation in determining if a CCP is failing or likely to fail? If not, please explain.</w:t>
      </w:r>
    </w:p>
    <w:p w14:paraId="5C8DB53B" w14:textId="0426BBA0"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_05&gt;</w:t>
      </w:r>
    </w:p>
    <w:p w14:paraId="4D3721A0" w14:textId="77777777" w:rsidR="003C09C2" w:rsidRDefault="003C09C2" w:rsidP="003C09C2">
      <w:pPr>
        <w:jc w:val="both"/>
      </w:pPr>
      <w:r>
        <w:lastRenderedPageBreak/>
        <w:t>We agree with the proposed guideline 7, specifying other requirements for continuing authorisation in determining if a CCP is failing or likely to fail. We would however note</w:t>
      </w:r>
      <w:r w:rsidRPr="00FA12E1">
        <w:t xml:space="preserve"> that</w:t>
      </w:r>
      <w:r>
        <w:t>,</w:t>
      </w:r>
      <w:r w:rsidRPr="00FA12E1">
        <w:t xml:space="preserve"> paragraph 42(e) “</w:t>
      </w:r>
      <w:r w:rsidRPr="00206412">
        <w:rPr>
          <w:i/>
          <w:iCs/>
        </w:rPr>
        <w:t>major on-going litigation or disputes to which the CCP is a party</w:t>
      </w:r>
      <w:r>
        <w:rPr>
          <w:i/>
          <w:iCs/>
        </w:rPr>
        <w:t>”</w:t>
      </w:r>
      <w:r w:rsidRPr="00206412">
        <w:rPr>
          <w:i/>
          <w:iCs/>
        </w:rPr>
        <w:t xml:space="preserve"> should, by itself</w:t>
      </w:r>
      <w:r w:rsidRPr="00FA12E1">
        <w:t xml:space="preserve">, not lead to </w:t>
      </w:r>
      <w:r>
        <w:t>a determination of whether a CCP is failing or likely to fail</w:t>
      </w:r>
      <w:r w:rsidRPr="00FA12E1">
        <w:t xml:space="preserve"> just because the CCP in involved in a litigation or dispute. </w:t>
      </w:r>
      <w:r>
        <w:t>This could be o</w:t>
      </w:r>
      <w:r w:rsidRPr="00FA12E1">
        <w:t xml:space="preserve">nly once the final </w:t>
      </w:r>
      <w:r>
        <w:t>decision</w:t>
      </w:r>
      <w:r w:rsidRPr="00FA12E1">
        <w:t xml:space="preserve"> has come out, </w:t>
      </w:r>
      <w:r>
        <w:t xml:space="preserve">and only if it </w:t>
      </w:r>
      <w:r w:rsidRPr="00FA12E1">
        <w:t xml:space="preserve">affects the financial position of the CCP </w:t>
      </w:r>
      <w:r>
        <w:t>justified i.e. its viability</w:t>
      </w:r>
      <w:r w:rsidRPr="00FA12E1">
        <w:t>.</w:t>
      </w:r>
      <w:r>
        <w:t xml:space="preserve"> Therefore, this requirement </w:t>
      </w:r>
      <w:r w:rsidRPr="00E914B5">
        <w:t>seems</w:t>
      </w:r>
      <w:r>
        <w:t xml:space="preserve"> highly</w:t>
      </w:r>
      <w:r w:rsidRPr="00E914B5">
        <w:t xml:space="preserve"> </w:t>
      </w:r>
      <w:proofErr w:type="spellStart"/>
      <w:r w:rsidRPr="00E914B5">
        <w:t>procyclical</w:t>
      </w:r>
      <w:proofErr w:type="spellEnd"/>
      <w:r w:rsidRPr="00E914B5">
        <w:t xml:space="preserve">, </w:t>
      </w:r>
      <w:r>
        <w:t xml:space="preserve">and </w:t>
      </w:r>
      <w:r w:rsidRPr="00E914B5">
        <w:t>removing authorisation while a CCP is in Recovery or Resolution may have unintended adverse consequences for the CMs</w:t>
      </w:r>
      <w:r>
        <w:t xml:space="preserve">. As such we would suggest removing for the final text. </w:t>
      </w:r>
    </w:p>
    <w:p w14:paraId="0064AA9F" w14:textId="45F91002"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_05&gt;</w:t>
      </w:r>
    </w:p>
    <w:p w14:paraId="30F24797" w14:textId="77777777" w:rsidR="002427D5" w:rsidRPr="00576E6B" w:rsidRDefault="002427D5" w:rsidP="002427D5">
      <w:pPr>
        <w:rPr>
          <w:rFonts w:ascii="Arial" w:hAnsi="Arial" w:cs="Arial"/>
          <w:sz w:val="24"/>
          <w:szCs w:val="24"/>
        </w:rPr>
      </w:pPr>
    </w:p>
    <w:p w14:paraId="59B13DAD" w14:textId="67C29C47"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Guidelines 8 and 9 on information sharing? If not, please explain.</w:t>
      </w:r>
    </w:p>
    <w:p w14:paraId="7F980B8E" w14:textId="2540FAF6"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_06&gt;</w:t>
      </w:r>
    </w:p>
    <w:p w14:paraId="390E7A10" w14:textId="77777777" w:rsidR="005B2F5A" w:rsidRPr="00FC4070" w:rsidRDefault="005B2F5A" w:rsidP="005B2F5A">
      <w:pPr>
        <w:jc w:val="both"/>
      </w:pPr>
      <w:r w:rsidRPr="00FC4070">
        <w:t xml:space="preserve">We agree with the proposed guidelines 8 &amp; 9 on information sharing the resolution and competent authority. </w:t>
      </w:r>
    </w:p>
    <w:p w14:paraId="32B68D8A" w14:textId="17557C6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_06&gt;</w:t>
      </w:r>
    </w:p>
    <w:p w14:paraId="65DBF48B" w14:textId="1AA20005" w:rsidR="002427D5" w:rsidRPr="00576E6B" w:rsidRDefault="002427D5" w:rsidP="002427D5">
      <w:pPr>
        <w:rPr>
          <w:rFonts w:ascii="Arial" w:hAnsi="Arial" w:cs="Arial"/>
          <w:sz w:val="24"/>
          <w:szCs w:val="24"/>
        </w:rPr>
      </w:pPr>
    </w:p>
    <w:p w14:paraId="424158A1" w14:textId="2F9CD901"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Option 2?  If not please explain. If yes, have you identified other benefits and costs not mentioned above associated to the proposed approach (Option 1)?</w:t>
      </w:r>
    </w:p>
    <w:p w14:paraId="5FF1F40D" w14:textId="45911F50" w:rsidR="002427D5" w:rsidRPr="00576E6B" w:rsidRDefault="002427D5" w:rsidP="002427D5">
      <w:pPr>
        <w:rPr>
          <w:rFonts w:ascii="Arial" w:hAnsi="Arial" w:cs="Arial"/>
          <w:sz w:val="24"/>
          <w:szCs w:val="24"/>
        </w:rPr>
      </w:pPr>
      <w:bookmarkStart w:id="3" w:name="_Hlk76119475"/>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_07&gt;</w:t>
      </w:r>
    </w:p>
    <w:p w14:paraId="0B192493" w14:textId="77777777" w:rsidR="00B730E4" w:rsidRPr="00611970" w:rsidRDefault="00B730E4" w:rsidP="00B730E4">
      <w:pPr>
        <w:jc w:val="both"/>
      </w:pPr>
      <w:r>
        <w:t xml:space="preserve">We agree with option 2 in an effort to create more convergence between EU competent authorities. </w:t>
      </w:r>
    </w:p>
    <w:p w14:paraId="23B35850" w14:textId="063DCB0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_07&gt;</w:t>
      </w:r>
    </w:p>
    <w:bookmarkEnd w:id="3"/>
    <w:p w14:paraId="6896FF9E" w14:textId="3D6A9A78" w:rsidR="002427D5" w:rsidRPr="00576E6B" w:rsidRDefault="002427D5" w:rsidP="002427D5">
      <w:pPr>
        <w:rPr>
          <w:rFonts w:ascii="Arial" w:hAnsi="Arial" w:cs="Arial"/>
          <w:sz w:val="24"/>
          <w:szCs w:val="24"/>
        </w:rPr>
      </w:pPr>
    </w:p>
    <w:p w14:paraId="3EF98387" w14:textId="41C80F6A"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If you advocated for a different approach, how would it impact the cost and benefit assessment? Please provide details.</w:t>
      </w:r>
    </w:p>
    <w:p w14:paraId="0537B09B" w14:textId="126B14D0"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lang w:eastAsia="en-GB"/>
        </w:rPr>
        <w:t>&lt;ESMA_QUESTION_</w:t>
      </w:r>
      <w:r w:rsidR="00F24133" w:rsidRPr="00576E6B">
        <w:rPr>
          <w:rFonts w:ascii="Arial" w:eastAsia="Times New Roman" w:hAnsi="Arial" w:cs="Arial"/>
          <w:sz w:val="24"/>
          <w:szCs w:val="24"/>
          <w:lang w:eastAsia="en-GB"/>
        </w:rPr>
        <w:t>FOLTF</w:t>
      </w:r>
      <w:r w:rsidRPr="00576E6B">
        <w:rPr>
          <w:rFonts w:ascii="Arial" w:eastAsia="Times New Roman" w:hAnsi="Arial" w:cs="Arial"/>
          <w:sz w:val="24"/>
          <w:szCs w:val="24"/>
          <w:lang w:eastAsia="en-GB"/>
        </w:rPr>
        <w:t>_08&gt;</w:t>
      </w:r>
    </w:p>
    <w:p w14:paraId="447EE6A0" w14:textId="14D09A5C" w:rsidR="002427D5" w:rsidRPr="00576E6B" w:rsidRDefault="00B730E4" w:rsidP="002427D5">
      <w:pPr>
        <w:rPr>
          <w:rFonts w:ascii="Arial" w:eastAsia="Times New Roman" w:hAnsi="Arial" w:cs="Arial"/>
          <w:sz w:val="24"/>
          <w:szCs w:val="24"/>
          <w:lang w:eastAsia="en-GB"/>
        </w:rPr>
      </w:pPr>
      <w:r>
        <w:rPr>
          <w:rFonts w:ascii="Arial" w:eastAsia="Times New Roman" w:hAnsi="Arial" w:cs="Arial"/>
          <w:sz w:val="24"/>
          <w:szCs w:val="24"/>
          <w:lang w:eastAsia="en-GB"/>
        </w:rPr>
        <w:t>N/A</w:t>
      </w:r>
    </w:p>
    <w:p w14:paraId="53626A6E" w14:textId="6F47DBA4"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lang w:eastAsia="en-GB"/>
        </w:rPr>
        <w:t>&lt;ESMA_QUESTION_</w:t>
      </w:r>
      <w:r w:rsidR="00F24133" w:rsidRPr="00576E6B">
        <w:rPr>
          <w:rFonts w:ascii="Arial" w:eastAsia="Times New Roman" w:hAnsi="Arial" w:cs="Arial"/>
          <w:sz w:val="24"/>
          <w:szCs w:val="24"/>
          <w:lang w:eastAsia="en-GB"/>
        </w:rPr>
        <w:t>FOLTF</w:t>
      </w:r>
      <w:r w:rsidRPr="00576E6B">
        <w:rPr>
          <w:rFonts w:ascii="Arial" w:eastAsia="Times New Roman" w:hAnsi="Arial" w:cs="Arial"/>
          <w:sz w:val="24"/>
          <w:szCs w:val="24"/>
          <w:lang w:eastAsia="en-GB"/>
        </w:rPr>
        <w:t>_08&gt;</w:t>
      </w:r>
    </w:p>
    <w:p w14:paraId="5DD9960E" w14:textId="7F5E866D" w:rsidR="002427D5" w:rsidRPr="00AA60F5" w:rsidRDefault="002427D5" w:rsidP="002427D5">
      <w:pPr>
        <w:rPr>
          <w:rFonts w:ascii="Arial" w:eastAsia="Times New Roman" w:hAnsi="Arial" w:cs="Arial"/>
          <w:sz w:val="24"/>
          <w:szCs w:val="24"/>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E21A2" w14:textId="77777777" w:rsidR="00166A45" w:rsidRDefault="00166A45">
      <w:pPr>
        <w:spacing w:after="0" w:line="240" w:lineRule="auto"/>
      </w:pPr>
      <w:r>
        <w:separator/>
      </w:r>
    </w:p>
  </w:endnote>
  <w:endnote w:type="continuationSeparator" w:id="0">
    <w:p w14:paraId="51522EA0" w14:textId="77777777" w:rsidR="00166A45" w:rsidRDefault="001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sidR="00785B53">
          <w:rPr>
            <w:noProof/>
          </w:rPr>
          <w:t>7</w:t>
        </w:r>
        <w:r>
          <w:rPr>
            <w:noProof/>
          </w:rPr>
          <w:fldChar w:fldCharType="end"/>
        </w:r>
      </w:p>
    </w:sdtContent>
  </w:sdt>
  <w:p w14:paraId="1FEDE5B9" w14:textId="77777777" w:rsidR="005D12F3" w:rsidRDefault="00785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10FF" w14:textId="0D470C80"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311556">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 xml:space="preserve">ESMA </w:t>
    </w:r>
    <w:r w:rsidR="004E0345" w:rsidRPr="00311556">
      <w:rPr>
        <w:rFonts w:asciiTheme="minorHAnsi" w:hAnsiTheme="minorHAnsi" w:cstheme="minorHAnsi"/>
        <w:color w:val="FFFFFF" w:themeColor="background1"/>
      </w:rPr>
      <w:t>91</w:t>
    </w:r>
    <w:r w:rsidRPr="00311556">
      <w:rPr>
        <w:rFonts w:asciiTheme="minorHAnsi" w:hAnsiTheme="minorHAnsi" w:cstheme="minorHAnsi"/>
        <w:color w:val="FFFFFF" w:themeColor="background1"/>
      </w:rPr>
      <w:t>-</w:t>
    </w:r>
    <w:r w:rsidR="004E0345" w:rsidRPr="00311556">
      <w:rPr>
        <w:rFonts w:asciiTheme="minorHAnsi" w:hAnsiTheme="minorHAnsi" w:cstheme="minorHAnsi"/>
        <w:color w:val="FFFFFF" w:themeColor="background1"/>
      </w:rPr>
      <w:t>3</w:t>
    </w:r>
    <w:r w:rsidR="00311556">
      <w:rPr>
        <w:rFonts w:asciiTheme="minorHAnsi" w:hAnsiTheme="minorHAnsi" w:cstheme="minorHAnsi"/>
        <w:color w:val="FFFFFF" w:themeColor="background1"/>
      </w:rPr>
      <w:t>72-1853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6E81B" w14:textId="77777777" w:rsidR="00166A45" w:rsidRDefault="00166A45">
      <w:pPr>
        <w:spacing w:after="0" w:line="240" w:lineRule="auto"/>
      </w:pPr>
      <w:r>
        <w:separator/>
      </w:r>
    </w:p>
  </w:footnote>
  <w:footnote w:type="continuationSeparator" w:id="0">
    <w:p w14:paraId="3E7EBE3F" w14:textId="77777777" w:rsidR="00166A45" w:rsidRDefault="00166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981DA" w14:textId="77777777" w:rsidR="005D12F3" w:rsidRDefault="00785B53">
    <w:pPr>
      <w:pStyle w:val="Header"/>
    </w:pPr>
  </w:p>
  <w:p w14:paraId="406770CC" w14:textId="77777777" w:rsidR="005D12F3" w:rsidRDefault="00785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A52232B"/>
    <w:multiLevelType w:val="hybridMultilevel"/>
    <w:tmpl w:val="5052DD58"/>
    <w:lvl w:ilvl="0" w:tplc="0F6C1F82">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3C632B2"/>
    <w:multiLevelType w:val="hybridMultilevel"/>
    <w:tmpl w:val="56821D14"/>
    <w:lvl w:ilvl="0" w:tplc="EABA8CD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D5"/>
    <w:rsid w:val="00036A4A"/>
    <w:rsid w:val="0010625B"/>
    <w:rsid w:val="00166A45"/>
    <w:rsid w:val="002427D5"/>
    <w:rsid w:val="00273C42"/>
    <w:rsid w:val="002D4161"/>
    <w:rsid w:val="00311556"/>
    <w:rsid w:val="00343989"/>
    <w:rsid w:val="003C09C2"/>
    <w:rsid w:val="003C45D8"/>
    <w:rsid w:val="004E0345"/>
    <w:rsid w:val="00576E6B"/>
    <w:rsid w:val="005B2F5A"/>
    <w:rsid w:val="005B458E"/>
    <w:rsid w:val="00612A2F"/>
    <w:rsid w:val="00661C42"/>
    <w:rsid w:val="00785B53"/>
    <w:rsid w:val="00793CF7"/>
    <w:rsid w:val="00806777"/>
    <w:rsid w:val="008167AC"/>
    <w:rsid w:val="0084145A"/>
    <w:rsid w:val="00850F0C"/>
    <w:rsid w:val="008D1BBE"/>
    <w:rsid w:val="009612F8"/>
    <w:rsid w:val="00A92D8C"/>
    <w:rsid w:val="00AA60F5"/>
    <w:rsid w:val="00B1139B"/>
    <w:rsid w:val="00B730E4"/>
    <w:rsid w:val="00BB4975"/>
    <w:rsid w:val="00C567F0"/>
    <w:rsid w:val="00D342D8"/>
    <w:rsid w:val="00D925C9"/>
    <w:rsid w:val="00F2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925C9"/>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925C9"/>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Revision">
    <w:name w:val="Revision"/>
    <w:hidden/>
    <w:uiPriority w:val="99"/>
    <w:semiHidden/>
    <w:rsid w:val="008D1BBE"/>
    <w:pPr>
      <w:spacing w:after="0" w:line="240" w:lineRule="auto"/>
    </w:pPr>
  </w:style>
  <w:style w:type="paragraph" w:customStyle="1" w:styleId="IntroductoryText">
    <w:name w:val="Introductory Text"/>
    <w:qFormat/>
    <w:rsid w:val="00806777"/>
    <w:pPr>
      <w:spacing w:after="240" w:line="264" w:lineRule="auto"/>
    </w:pPr>
    <w:rPr>
      <w:rFonts w:ascii="Arial" w:eastAsiaTheme="minorEastAsia" w:hAnsi="Arial" w:cs="Times New Roman (Body 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925C9"/>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925C9"/>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Revision">
    <w:name w:val="Revision"/>
    <w:hidden/>
    <w:uiPriority w:val="99"/>
    <w:semiHidden/>
    <w:rsid w:val="008D1BBE"/>
    <w:pPr>
      <w:spacing w:after="0" w:line="240" w:lineRule="auto"/>
    </w:pPr>
  </w:style>
  <w:style w:type="paragraph" w:customStyle="1" w:styleId="IntroductoryText">
    <w:name w:val="Introductory Text"/>
    <w:qFormat/>
    <w:rsid w:val="00806777"/>
    <w:pPr>
      <w:spacing w:after="240" w:line="264" w:lineRule="auto"/>
    </w:pPr>
    <w:rPr>
      <w:rFonts w:ascii="Arial" w:eastAsiaTheme="minorEastAsia" w:hAnsi="Arial" w:cs="Times New Roman (Body 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ESMA91-372-1853</_dlc_DocId>
    <_dlc_DocIdUrl xmlns="52e67915-6641-4f72-9fe9-b8cc95953e2e">
      <Url>https://sherpa.esma.europa.eu/sites/CCP/_layouts/15/DocIdRedir.aspx?ID=ESMA91-372-1853</Url>
      <Description>ESMA91-372-1853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6C991-50AC-4E63-B614-18FE72D8E549}">
  <ds:schemaRefs>
    <ds:schemaRef ds:uri="http://purl.org/dc/dcmitype/"/>
    <ds:schemaRef ds:uri="http://schemas.microsoft.com/sharepoint/v4"/>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52e67915-6641-4f72-9fe9-b8cc95953e2e"/>
    <ds:schemaRef ds:uri="http://schemas.microsoft.com/office/2006/metadata/properties"/>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6701F32C-A3D2-4F51-8602-6AE9271359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De La Cruz</dc:creator>
  <cp:lastModifiedBy>Athanasios Kagiaras</cp:lastModifiedBy>
  <cp:revision>2</cp:revision>
  <dcterms:created xsi:type="dcterms:W3CDTF">2022-01-24T16:09:00Z</dcterms:created>
  <dcterms:modified xsi:type="dcterms:W3CDTF">2022-01-24T16:09:00Z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02b77cdf-e0a7-45e8-8f89-a86677d99919</vt:lpwstr>
  </property>
</Properties>
</file>