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7BA33815" w14:textId="77777777" w:rsidTr="00315E96">
        <w:trPr>
          <w:trHeight w:val="284"/>
        </w:trPr>
        <w:tc>
          <w:tcPr>
            <w:tcW w:w="9412" w:type="dxa"/>
          </w:tcPr>
          <w:p w14:paraId="6CC278DA" w14:textId="1408D520" w:rsidR="00C2094B" w:rsidRPr="00583885" w:rsidRDefault="00A52EBB" w:rsidP="0071740A">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6C2D5A">
              <w:rPr>
                <w:rFonts w:cs="Arial"/>
                <w:color w:val="FFFFFF" w:themeColor="background1"/>
                <w:sz w:val="22"/>
                <w:szCs w:val="22"/>
              </w:rPr>
              <w:t>17</w:t>
            </w:r>
            <w:r w:rsidR="00B61CD3">
              <w:rPr>
                <w:rFonts w:cs="Arial"/>
                <w:color w:val="FFFFFF" w:themeColor="background1"/>
                <w:sz w:val="22"/>
                <w:szCs w:val="22"/>
              </w:rPr>
              <w:t xml:space="preserve"> </w:t>
            </w:r>
            <w:r w:rsidR="006C2D5A">
              <w:rPr>
                <w:rFonts w:cs="Arial"/>
                <w:color w:val="FFFFFF" w:themeColor="background1"/>
                <w:sz w:val="22"/>
                <w:szCs w:val="22"/>
              </w:rPr>
              <w:t>November</w:t>
            </w:r>
            <w:r w:rsidR="00B61CD3">
              <w:rPr>
                <w:rFonts w:cs="Arial"/>
                <w:color w:val="FFFFFF" w:themeColor="background1"/>
                <w:sz w:val="22"/>
                <w:szCs w:val="22"/>
              </w:rPr>
              <w:t xml:space="preserve"> 202</w:t>
            </w:r>
            <w:r w:rsidR="006C2D5A">
              <w:rPr>
                <w:rFonts w:cs="Arial"/>
                <w:color w:val="FFFFFF" w:themeColor="background1"/>
                <w:sz w:val="22"/>
                <w:szCs w:val="22"/>
              </w:rPr>
              <w:t>1</w:t>
            </w:r>
          </w:p>
        </w:tc>
      </w:tr>
    </w:tbl>
    <w:p w14:paraId="3FAB6541" w14:textId="77777777" w:rsidR="00FD7A8D" w:rsidRPr="00616B9B" w:rsidRDefault="00FD7A8D" w:rsidP="00FD7A8D">
      <w:pPr>
        <w:rPr>
          <w:rFonts w:cs="Arial"/>
          <w:vanish/>
        </w:rPr>
      </w:pPr>
    </w:p>
    <w:tbl>
      <w:tblPr>
        <w:tblpPr w:leftFromText="8505" w:vertAnchor="page" w:horzAnchor="page" w:tblpX="1532" w:tblpY="4401"/>
        <w:tblW w:w="9113" w:type="dxa"/>
        <w:tblLayout w:type="fixed"/>
        <w:tblCellMar>
          <w:left w:w="0" w:type="dxa"/>
          <w:right w:w="0" w:type="dxa"/>
        </w:tblCellMar>
        <w:tblLook w:val="01E0" w:firstRow="1" w:lastRow="1" w:firstColumn="1" w:lastColumn="1" w:noHBand="0" w:noVBand="0"/>
      </w:tblPr>
      <w:tblGrid>
        <w:gridCol w:w="9113"/>
      </w:tblGrid>
      <w:tr w:rsidR="00060F72" w:rsidRPr="00616B9B" w14:paraId="75E3C024" w14:textId="77777777" w:rsidTr="006C2D5A">
        <w:trPr>
          <w:trHeight w:hRule="exact" w:val="1985"/>
        </w:trPr>
        <w:tc>
          <w:tcPr>
            <w:tcW w:w="9113" w:type="dxa"/>
            <w:vAlign w:val="bottom"/>
          </w:tcPr>
          <w:p w14:paraId="2D58508C" w14:textId="51699443" w:rsidR="00791EB4" w:rsidRDefault="00AE627C" w:rsidP="006C2D5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6C2D5A">
              <w:rPr>
                <w:rFonts w:cs="Arial"/>
              </w:rPr>
              <w:t xml:space="preserve">Discussion Paper </w:t>
            </w:r>
            <w:r w:rsidR="00F107EF" w:rsidRPr="00F107EF">
              <w:rPr>
                <w:rFonts w:cs="Arial"/>
              </w:rPr>
              <w:t xml:space="preserve">on the </w:t>
            </w:r>
            <w:r w:rsidR="006C2D5A">
              <w:rPr>
                <w:rFonts w:cs="Arial"/>
              </w:rPr>
              <w:t>review of the clearing thresholds under EMIR</w:t>
            </w:r>
          </w:p>
          <w:p w14:paraId="3016CDD9" w14:textId="77777777" w:rsidR="00B61CD3" w:rsidRPr="00616B9B" w:rsidRDefault="00B61CD3" w:rsidP="006C2D5A">
            <w:pPr>
              <w:pStyle w:val="01aDBTitle"/>
              <w:jc w:val="left"/>
              <w:rPr>
                <w:rFonts w:cs="Arial"/>
              </w:rPr>
            </w:pPr>
          </w:p>
        </w:tc>
      </w:tr>
      <w:tr w:rsidR="00060F72" w:rsidRPr="00616B9B" w14:paraId="1EE8FD41" w14:textId="77777777" w:rsidTr="006C2D5A">
        <w:trPr>
          <w:trHeight w:hRule="exact" w:val="605"/>
        </w:trPr>
        <w:tc>
          <w:tcPr>
            <w:tcW w:w="9113" w:type="dxa"/>
            <w:tcMar>
              <w:top w:w="142" w:type="dxa"/>
            </w:tcMar>
          </w:tcPr>
          <w:p w14:paraId="3D4F1BC4" w14:textId="77777777" w:rsidR="00D91010" w:rsidRPr="00616B9B" w:rsidRDefault="00013CCE" w:rsidP="006C2D5A">
            <w:pPr>
              <w:pStyle w:val="01bDBSubtitle"/>
              <w:rPr>
                <w:rFonts w:ascii="Arial" w:hAnsi="Arial" w:cs="Arial"/>
              </w:rPr>
            </w:pPr>
            <w:r w:rsidRPr="00616B9B">
              <w:rPr>
                <w:rFonts w:ascii="Arial" w:hAnsi="Arial" w:cs="Arial"/>
              </w:rPr>
              <w:t xml:space="preserve"> </w:t>
            </w:r>
          </w:p>
        </w:tc>
      </w:tr>
    </w:tbl>
    <w:p w14:paraId="6B48724A"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926DEB1" w14:textId="77777777" w:rsidTr="00315E96">
        <w:trPr>
          <w:trHeight w:hRule="exact" w:val="964"/>
        </w:trPr>
        <w:tc>
          <w:tcPr>
            <w:tcW w:w="2325" w:type="dxa"/>
          </w:tcPr>
          <w:p w14:paraId="55556C41" w14:textId="157648DD" w:rsidR="00620D7C" w:rsidRPr="00A52EBB" w:rsidRDefault="00620D7C" w:rsidP="00B1467D">
            <w:pPr>
              <w:pStyle w:val="02Date"/>
              <w:rPr>
                <w:rFonts w:cs="Arial"/>
              </w:rPr>
            </w:pPr>
            <w:r w:rsidRPr="00A52EBB">
              <w:rPr>
                <w:rFonts w:cs="Arial"/>
              </w:rPr>
              <w:lastRenderedPageBreak/>
              <w:t>Date:</w:t>
            </w:r>
            <w:r w:rsidR="00FD2893">
              <w:rPr>
                <w:rFonts w:cs="Arial"/>
              </w:rPr>
              <w:t xml:space="preserve"> </w:t>
            </w:r>
            <w:r w:rsidR="00FD2893" w:rsidRPr="00FD2893">
              <w:rPr>
                <w:rFonts w:cs="Arial"/>
              </w:rPr>
              <w:t>17 November 2021</w:t>
            </w:r>
          </w:p>
        </w:tc>
      </w:tr>
    </w:tbl>
    <w:p w14:paraId="733A0769"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143B428E" w14:textId="0C1916D2"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FD2893">
        <w:rPr>
          <w:rFonts w:cs="Arial"/>
        </w:rPr>
        <w:t>Discussio</w:t>
      </w:r>
      <w:r w:rsidR="000E49B7">
        <w:rPr>
          <w:rFonts w:cs="Arial"/>
        </w:rPr>
        <w:t xml:space="preserve">n Paper on the </w:t>
      </w:r>
      <w:r w:rsidR="00FD2893">
        <w:rPr>
          <w:rFonts w:cs="Arial"/>
        </w:rPr>
        <w:t>review of the clearing thresholds</w:t>
      </w:r>
      <w:r w:rsidR="00F107EF" w:rsidRPr="00F107EF">
        <w:rPr>
          <w:rFonts w:cs="Arial"/>
        </w:rPr>
        <w:t xml:space="preserve"> </w:t>
      </w:r>
      <w:r w:rsidR="00015B5E" w:rsidRPr="00EF0769">
        <w:rPr>
          <w:rFonts w:cs="Arial"/>
        </w:rPr>
        <w:t>published on the ESMA website</w:t>
      </w:r>
      <w:r w:rsidR="004E49B0" w:rsidRPr="00EF0769">
        <w:rPr>
          <w:rFonts w:cs="Arial"/>
        </w:rPr>
        <w:t>.</w:t>
      </w:r>
    </w:p>
    <w:p w14:paraId="4074FB5B" w14:textId="77777777" w:rsidR="001D000A" w:rsidRDefault="001D000A" w:rsidP="00F574D0">
      <w:pPr>
        <w:autoSpaceDE w:val="0"/>
        <w:autoSpaceDN w:val="0"/>
        <w:adjustRightInd w:val="0"/>
        <w:spacing w:before="120" w:after="120" w:line="276" w:lineRule="auto"/>
        <w:jc w:val="both"/>
        <w:rPr>
          <w:rStyle w:val="Strong4"/>
          <w:rFonts w:cs="Arial"/>
          <w:i/>
        </w:rPr>
      </w:pPr>
    </w:p>
    <w:p w14:paraId="62DBAD9F"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20A08541"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4924D5F2"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25307BC2" w14:textId="50250CD1"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FD2893">
        <w:rPr>
          <w:rFonts w:cs="Arial"/>
        </w:rPr>
        <w:t>D</w:t>
      </w:r>
      <w:r w:rsidR="00227C1A">
        <w:rPr>
          <w:rFonts w:cs="Arial"/>
        </w:rPr>
        <w:t>P_</w:t>
      </w:r>
      <w:r w:rsidR="00FD2893">
        <w:rPr>
          <w:rFonts w:cs="Arial"/>
        </w:rPr>
        <w:t>EMIR</w:t>
      </w:r>
      <w:r w:rsidR="00F107EF">
        <w:rPr>
          <w:rFonts w:cs="Arial"/>
        </w:rPr>
        <w:t>_</w:t>
      </w:r>
      <w:r w:rsidR="00FD2893">
        <w:rPr>
          <w:rFonts w:cs="Arial"/>
        </w:rPr>
        <w:t>CTs</w:t>
      </w:r>
      <w:r w:rsidR="00F574D0" w:rsidRPr="00293D78">
        <w:rPr>
          <w:rFonts w:cs="Arial"/>
        </w:rPr>
        <w:t>&gt; - i.e. the response to one question has to be framed by the 2 tags corresponding to the question; and</w:t>
      </w:r>
    </w:p>
    <w:p w14:paraId="500888F5"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727B03C8"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744CF542"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4769CA81"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408A957F"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1F9612CA"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B5B8734" w14:textId="77777777" w:rsidR="001D000A" w:rsidRDefault="001D000A" w:rsidP="000D17AA">
      <w:pPr>
        <w:pStyle w:val="04BodyText"/>
        <w:spacing w:before="120" w:after="120"/>
        <w:jc w:val="left"/>
        <w:rPr>
          <w:rFonts w:cs="Arial"/>
          <w:b/>
        </w:rPr>
      </w:pPr>
    </w:p>
    <w:p w14:paraId="615EBC17" w14:textId="77777777" w:rsidR="000D17AA" w:rsidRPr="00EF0769" w:rsidRDefault="00606240" w:rsidP="000D17AA">
      <w:pPr>
        <w:pStyle w:val="04BodyText"/>
        <w:spacing w:before="120" w:after="120"/>
        <w:jc w:val="left"/>
        <w:rPr>
          <w:rFonts w:cs="Arial"/>
          <w:b/>
        </w:rPr>
      </w:pPr>
      <w:r>
        <w:rPr>
          <w:rFonts w:cs="Arial"/>
          <w:b/>
        </w:rPr>
        <w:t>Naming protocol</w:t>
      </w:r>
    </w:p>
    <w:p w14:paraId="0A62B545"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07D0D5A9" w14:textId="165F019C" w:rsidR="000D17AA" w:rsidRPr="00EF0769" w:rsidRDefault="00021E83" w:rsidP="000D17AA">
      <w:pPr>
        <w:pStyle w:val="04BodyText"/>
        <w:spacing w:before="120" w:after="120"/>
        <w:jc w:val="left"/>
        <w:rPr>
          <w:rFonts w:cs="Arial"/>
        </w:rPr>
      </w:pPr>
      <w:r w:rsidRPr="00EF0769">
        <w:rPr>
          <w:rFonts w:cs="Arial"/>
        </w:rPr>
        <w:t>ESMA_</w:t>
      </w:r>
      <w:r w:rsidR="00FD2893">
        <w:rPr>
          <w:rFonts w:cs="Arial"/>
        </w:rPr>
        <w:t>D</w:t>
      </w:r>
      <w:r w:rsidR="00227C1A">
        <w:rPr>
          <w:rFonts w:cs="Arial"/>
        </w:rPr>
        <w:t>P_</w:t>
      </w:r>
      <w:r w:rsidR="00FD2893">
        <w:rPr>
          <w:rFonts w:cs="Arial"/>
        </w:rPr>
        <w:t>EMIR_CTs</w:t>
      </w:r>
      <w:r w:rsidR="00227C1A">
        <w:rPr>
          <w:rFonts w:cs="Arial"/>
        </w:rPr>
        <w:t>_</w:t>
      </w:r>
      <w:r w:rsidRPr="00EF0769">
        <w:rPr>
          <w:rFonts w:cs="Arial"/>
        </w:rPr>
        <w:t>NAMEOFCOMPANY_NAMEOFDOCUMENT</w:t>
      </w:r>
      <w:r w:rsidR="000D17AA" w:rsidRPr="00EF0769">
        <w:rPr>
          <w:rFonts w:cs="Arial"/>
        </w:rPr>
        <w:t>.</w:t>
      </w:r>
    </w:p>
    <w:p w14:paraId="71A173B5"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211518B1" w14:textId="4855BCC1" w:rsidR="000D17AA" w:rsidRPr="00EF0769" w:rsidRDefault="00021E83" w:rsidP="00FD2893">
      <w:pPr>
        <w:pStyle w:val="04BodyText"/>
        <w:spacing w:before="120" w:after="120"/>
        <w:jc w:val="left"/>
        <w:rPr>
          <w:rFonts w:cs="Arial"/>
        </w:rPr>
      </w:pPr>
      <w:r w:rsidRPr="00EF0769">
        <w:rPr>
          <w:rFonts w:cs="Arial"/>
        </w:rPr>
        <w:t>ESMA_</w:t>
      </w:r>
      <w:r w:rsidR="00FD2893" w:rsidRPr="00FD2893">
        <w:rPr>
          <w:rFonts w:cs="Arial"/>
        </w:rPr>
        <w:t xml:space="preserve"> </w:t>
      </w:r>
      <w:r w:rsidR="00FD2893">
        <w:rPr>
          <w:rFonts w:cs="Arial"/>
        </w:rPr>
        <w:t>DP_EMIR_CTs_</w:t>
      </w:r>
      <w:r w:rsidRPr="00EF0769">
        <w:rPr>
          <w:rFonts w:cs="Arial"/>
        </w:rPr>
        <w:t xml:space="preserve">ESMA_REPLYFORM </w:t>
      </w:r>
    </w:p>
    <w:p w14:paraId="4160FAFE"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4089C10F"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7FC02DAB" w14:textId="3BA9E356" w:rsidR="00F574D0" w:rsidRPr="00EF0769" w:rsidRDefault="00F574D0" w:rsidP="00F574D0">
      <w:pPr>
        <w:pStyle w:val="04BodyText"/>
        <w:spacing w:before="120" w:after="120"/>
        <w:rPr>
          <w:rFonts w:cs="Arial"/>
        </w:rPr>
      </w:pPr>
      <w:r w:rsidRPr="00EF0769">
        <w:rPr>
          <w:rFonts w:cs="Arial"/>
        </w:rPr>
        <w:t xml:space="preserve">Responses must reach us by </w:t>
      </w:r>
      <w:r w:rsidR="00F107EF">
        <w:rPr>
          <w:rFonts w:cs="Arial"/>
          <w:b/>
        </w:rPr>
        <w:t>1</w:t>
      </w:r>
      <w:r w:rsidR="00FD2893">
        <w:rPr>
          <w:rFonts w:cs="Arial"/>
          <w:b/>
        </w:rPr>
        <w:t>9</w:t>
      </w:r>
      <w:r w:rsidR="00227C1A">
        <w:rPr>
          <w:rFonts w:cs="Arial"/>
          <w:b/>
        </w:rPr>
        <w:t xml:space="preserve"> </w:t>
      </w:r>
      <w:r w:rsidR="00FD2893">
        <w:rPr>
          <w:rFonts w:cs="Arial"/>
          <w:b/>
        </w:rPr>
        <w:t>January</w:t>
      </w:r>
      <w:r w:rsidR="00F107EF">
        <w:rPr>
          <w:rFonts w:cs="Arial"/>
          <w:b/>
        </w:rPr>
        <w:t xml:space="preserve"> 202</w:t>
      </w:r>
      <w:r w:rsidR="00FD2893">
        <w:rPr>
          <w:rFonts w:cs="Arial"/>
          <w:b/>
        </w:rPr>
        <w:t>1</w:t>
      </w:r>
      <w:r w:rsidR="00021E83" w:rsidRPr="00EF0769">
        <w:rPr>
          <w:rFonts w:cs="Arial"/>
          <w:b/>
        </w:rPr>
        <w:t>.</w:t>
      </w:r>
    </w:p>
    <w:p w14:paraId="0AA4F56E"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75683D9F"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3B10F399"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45E11B9"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77DA9136"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1701CED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B69ACB5"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60136CF9"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644888C3" w14:textId="77777777" w:rsidR="00332304" w:rsidRDefault="00332304">
      <w:pPr>
        <w:rPr>
          <w:rFonts w:cs="Arial"/>
          <w:b/>
          <w:bCs/>
          <w:kern w:val="32"/>
          <w:sz w:val="24"/>
          <w:szCs w:val="32"/>
        </w:rPr>
      </w:pPr>
      <w:r>
        <w:br w:type="page"/>
      </w:r>
    </w:p>
    <w:p w14:paraId="4DB387CA"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191B647C" w14:textId="77777777" w:rsidTr="00FA5524">
        <w:tc>
          <w:tcPr>
            <w:tcW w:w="3929" w:type="dxa"/>
            <w:shd w:val="clear" w:color="auto" w:fill="auto"/>
          </w:tcPr>
          <w:p w14:paraId="7B6D403F" w14:textId="77777777" w:rsidR="00C2682A" w:rsidRPr="00E40A5C" w:rsidRDefault="00C2682A" w:rsidP="00FA5524">
            <w:pPr>
              <w:rPr>
                <w:rFonts w:cs="Arial"/>
                <w:sz w:val="22"/>
              </w:rPr>
            </w:pPr>
            <w:permStart w:id="908806099"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2946B85C" w14:textId="002EACB9" w:rsidR="00C2682A" w:rsidRPr="00AB6D88" w:rsidRDefault="00F54D06" w:rsidP="00FA5524">
                <w:pPr>
                  <w:rPr>
                    <w:rStyle w:val="PlaceholderText"/>
                    <w:rFonts w:cs="Arial"/>
                  </w:rPr>
                </w:pPr>
                <w:r>
                  <w:rPr>
                    <w:rStyle w:val="PlaceholderText"/>
                    <w:rFonts w:cs="Arial"/>
                  </w:rPr>
                  <w:t>Uniper</w:t>
                </w:r>
                <w:r w:rsidR="00ED451B">
                  <w:rPr>
                    <w:rStyle w:val="PlaceholderText"/>
                    <w:rFonts w:cs="Arial"/>
                  </w:rPr>
                  <w:t xml:space="preserve"> SE</w:t>
                </w:r>
              </w:p>
            </w:tc>
          </w:sdtContent>
        </w:sdt>
      </w:tr>
      <w:tr w:rsidR="00C2682A" w:rsidRPr="00AB6D88" w14:paraId="1D9CBE45" w14:textId="77777777" w:rsidTr="00FA5524">
        <w:tc>
          <w:tcPr>
            <w:tcW w:w="3929" w:type="dxa"/>
            <w:shd w:val="clear" w:color="auto" w:fill="auto"/>
          </w:tcPr>
          <w:p w14:paraId="4AEAB254" w14:textId="77777777" w:rsidR="00C2682A" w:rsidRPr="00E40A5C" w:rsidRDefault="00C2682A" w:rsidP="00FA5524">
            <w:pPr>
              <w:rPr>
                <w:rFonts w:cs="Arial"/>
                <w:sz w:val="22"/>
              </w:rPr>
            </w:pPr>
            <w:permStart w:id="543449311" w:edGrp="everyone" w:colFirst="1" w:colLast="1"/>
            <w:permEnd w:id="908806099"/>
            <w:r w:rsidRPr="00E40A5C">
              <w:rPr>
                <w:rFonts w:cs="Arial"/>
                <w:sz w:val="22"/>
              </w:rPr>
              <w:t>Activity</w:t>
            </w:r>
          </w:p>
        </w:tc>
        <w:tc>
          <w:tcPr>
            <w:tcW w:w="5595" w:type="dxa"/>
            <w:shd w:val="clear" w:color="auto" w:fill="auto"/>
          </w:tcPr>
          <w:p w14:paraId="28C80CB8" w14:textId="73E7AC4E" w:rsidR="00C2682A" w:rsidRPr="00AB6D88" w:rsidRDefault="00D81E5A"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F54D06">
                  <w:rPr>
                    <w:rFonts w:cs="Arial"/>
                  </w:rPr>
                  <w:t>Non-financial counterparty</w:t>
                </w:r>
              </w:sdtContent>
            </w:sdt>
          </w:p>
        </w:tc>
      </w:tr>
      <w:tr w:rsidR="00C2682A" w:rsidRPr="00AB6D88" w14:paraId="38D352D6" w14:textId="77777777" w:rsidTr="00FA5524">
        <w:tc>
          <w:tcPr>
            <w:tcW w:w="3929" w:type="dxa"/>
            <w:shd w:val="clear" w:color="auto" w:fill="auto"/>
          </w:tcPr>
          <w:p w14:paraId="213C2539" w14:textId="77777777" w:rsidR="00C2682A" w:rsidRPr="00E40A5C" w:rsidRDefault="00C2682A" w:rsidP="00FA5524">
            <w:pPr>
              <w:rPr>
                <w:rFonts w:cs="Arial"/>
                <w:sz w:val="22"/>
              </w:rPr>
            </w:pPr>
            <w:permStart w:id="1344359580" w:edGrp="everyone" w:colFirst="1" w:colLast="1"/>
            <w:permEnd w:id="543449311"/>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1B6CD27A" w14:textId="77777777" w:rsidR="00C2682A" w:rsidRPr="00AB6D88" w:rsidRDefault="00C2682A" w:rsidP="00FA5524">
                <w:pPr>
                  <w:rPr>
                    <w:rFonts w:cs="Arial"/>
                  </w:rPr>
                </w:pPr>
                <w:r>
                  <w:rPr>
                    <w:rFonts w:ascii="MS Gothic" w:eastAsia="MS Gothic" w:hAnsi="MS Gothic" w:cs="Arial" w:hint="eastAsia"/>
                  </w:rPr>
                  <w:t>☐</w:t>
                </w:r>
              </w:p>
            </w:tc>
          </w:sdtContent>
        </w:sdt>
      </w:tr>
      <w:tr w:rsidR="00C2682A" w:rsidRPr="00AB6D88" w14:paraId="55D77BDD" w14:textId="77777777" w:rsidTr="00FA5524">
        <w:tc>
          <w:tcPr>
            <w:tcW w:w="3929" w:type="dxa"/>
            <w:shd w:val="clear" w:color="auto" w:fill="auto"/>
          </w:tcPr>
          <w:p w14:paraId="1E1D9E48" w14:textId="77777777" w:rsidR="00C2682A" w:rsidRPr="00E40A5C" w:rsidRDefault="00C2682A" w:rsidP="00FA5524">
            <w:pPr>
              <w:rPr>
                <w:rFonts w:cs="Arial"/>
                <w:sz w:val="22"/>
              </w:rPr>
            </w:pPr>
            <w:permStart w:id="2044803932" w:edGrp="everyone" w:colFirst="1" w:colLast="1"/>
            <w:permEnd w:id="1344359580"/>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714DEF05" w14:textId="2421696E" w:rsidR="00C2682A" w:rsidRPr="00AB6D88" w:rsidRDefault="00F54D06" w:rsidP="00FA5524">
                <w:pPr>
                  <w:rPr>
                    <w:rFonts w:cs="Arial"/>
                  </w:rPr>
                </w:pPr>
                <w:r>
                  <w:rPr>
                    <w:rFonts w:cs="Arial"/>
                  </w:rPr>
                  <w:t>Germany</w:t>
                </w:r>
              </w:p>
            </w:tc>
          </w:sdtContent>
        </w:sdt>
      </w:tr>
      <w:permEnd w:id="2044803932"/>
    </w:tbl>
    <w:p w14:paraId="46B7C09A" w14:textId="77777777" w:rsidR="00C2682A" w:rsidRDefault="00C2682A" w:rsidP="00F87897">
      <w:pPr>
        <w:spacing w:after="120" w:line="264" w:lineRule="auto"/>
      </w:pPr>
    </w:p>
    <w:p w14:paraId="12649C54" w14:textId="77777777" w:rsidR="00F87897" w:rsidRDefault="00F87897" w:rsidP="00F87897">
      <w:pPr>
        <w:spacing w:after="120" w:line="264" w:lineRule="auto"/>
      </w:pPr>
    </w:p>
    <w:p w14:paraId="38CE07D3" w14:textId="77777777" w:rsidR="00F87897" w:rsidRDefault="00F87897" w:rsidP="00F87897">
      <w:pPr>
        <w:pStyle w:val="Heading1"/>
        <w:numPr>
          <w:ilvl w:val="0"/>
          <w:numId w:val="0"/>
        </w:numPr>
        <w:ind w:left="431" w:hanging="431"/>
      </w:pPr>
      <w:r>
        <w:t>Introduction</w:t>
      </w:r>
    </w:p>
    <w:p w14:paraId="530F042A" w14:textId="77777777" w:rsidR="00F87897" w:rsidRPr="001D47A5" w:rsidRDefault="00F87897" w:rsidP="00F87897">
      <w:pPr>
        <w:rPr>
          <w:rStyle w:val="IntenseEmphasis"/>
        </w:rPr>
      </w:pPr>
      <w:r w:rsidRPr="001D47A5">
        <w:rPr>
          <w:rStyle w:val="IntenseEmphasis"/>
        </w:rPr>
        <w:t>Please make your introductory comments below, if any:</w:t>
      </w:r>
    </w:p>
    <w:p w14:paraId="021FA949" w14:textId="77777777" w:rsidR="00F87897" w:rsidRPr="00BF28DA" w:rsidRDefault="00F87897" w:rsidP="00F87897"/>
    <w:p w14:paraId="13AE09D3" w14:textId="4ED10415" w:rsidR="00F87897" w:rsidRPr="006F4535" w:rsidRDefault="00F87897" w:rsidP="00F87897">
      <w:r w:rsidRPr="006F4535">
        <w:t>&lt;ESMA_COMMENT_</w:t>
      </w:r>
      <w:r w:rsidR="00D76652">
        <w:rPr>
          <w:rFonts w:cs="Arial"/>
        </w:rPr>
        <w:t>DP_EMIR_CT</w:t>
      </w:r>
      <w:r w:rsidR="00581067">
        <w:rPr>
          <w:rFonts w:cs="Arial"/>
        </w:rPr>
        <w:t>s</w:t>
      </w:r>
      <w:r w:rsidRPr="006F4535">
        <w:t>&gt;</w:t>
      </w:r>
    </w:p>
    <w:p w14:paraId="700CA35F" w14:textId="1D1D008B" w:rsidR="00215CDC" w:rsidRPr="00FC72A6" w:rsidRDefault="003079A6" w:rsidP="008C2753">
      <w:pPr>
        <w:spacing w:before="120" w:after="120"/>
        <w:jc w:val="both"/>
        <w:rPr>
          <w:rFonts w:eastAsia="Calibri"/>
          <w:sz w:val="22"/>
          <w:szCs w:val="22"/>
          <w:lang w:eastAsia="en-US"/>
        </w:rPr>
      </w:pPr>
      <w:bookmarkStart w:id="3" w:name="_Hlk91055961"/>
      <w:permStart w:id="1269197972" w:edGrp="everyone"/>
      <w:r w:rsidRPr="003079A6">
        <w:rPr>
          <w:rFonts w:eastAsia="Calibri"/>
          <w:b/>
          <w:bCs/>
          <w:i/>
          <w:iCs/>
          <w:color w:val="000000" w:themeColor="text1"/>
          <w:sz w:val="22"/>
          <w:szCs w:val="22"/>
          <w:lang w:eastAsia="en-US"/>
        </w:rPr>
        <w:t>Uniper SE</w:t>
      </w:r>
      <w:r>
        <w:rPr>
          <w:rFonts w:eastAsia="Calibri"/>
          <w:b/>
          <w:bCs/>
          <w:i/>
          <w:iCs/>
          <w:color w:val="000000" w:themeColor="text1"/>
          <w:sz w:val="22"/>
          <w:szCs w:val="22"/>
          <w:lang w:eastAsia="en-US"/>
        </w:rPr>
        <w:t xml:space="preserve"> </w:t>
      </w:r>
      <w:r w:rsidR="00215CDC" w:rsidRPr="003079A6">
        <w:rPr>
          <w:rFonts w:eastAsia="Calibri"/>
          <w:color w:val="000000" w:themeColor="text1"/>
          <w:sz w:val="22"/>
          <w:szCs w:val="22"/>
          <w:lang w:eastAsia="en-US"/>
        </w:rPr>
        <w:t xml:space="preserve">is </w:t>
      </w:r>
      <w:r w:rsidR="00215CDC" w:rsidRPr="00FC72A6">
        <w:rPr>
          <w:rFonts w:eastAsia="Calibri"/>
          <w:sz w:val="22"/>
          <w:szCs w:val="22"/>
          <w:lang w:eastAsia="en-US"/>
        </w:rPr>
        <w:t>of the opinion that ESMA</w:t>
      </w:r>
      <w:r w:rsidR="002B68A1" w:rsidRPr="00FC72A6">
        <w:rPr>
          <w:rFonts w:eastAsia="Calibri"/>
          <w:sz w:val="22"/>
          <w:szCs w:val="22"/>
          <w:lang w:eastAsia="en-US"/>
        </w:rPr>
        <w:t>’</w:t>
      </w:r>
      <w:r w:rsidR="005F07D3" w:rsidRPr="00FC72A6">
        <w:rPr>
          <w:rFonts w:eastAsia="Calibri"/>
          <w:sz w:val="22"/>
          <w:szCs w:val="22"/>
          <w:lang w:eastAsia="en-US"/>
        </w:rPr>
        <w:t>s</w:t>
      </w:r>
      <w:r w:rsidR="002B68A1" w:rsidRPr="00FC72A6">
        <w:rPr>
          <w:rFonts w:eastAsia="Calibri"/>
          <w:sz w:val="22"/>
          <w:szCs w:val="22"/>
          <w:lang w:eastAsia="en-US"/>
        </w:rPr>
        <w:t xml:space="preserve"> review of the EMIR clearing thresholds</w:t>
      </w:r>
      <w:r w:rsidR="00215CDC" w:rsidRPr="00FC72A6">
        <w:rPr>
          <w:rFonts w:eastAsia="Calibri"/>
          <w:sz w:val="22"/>
          <w:szCs w:val="22"/>
          <w:lang w:eastAsia="en-US"/>
        </w:rPr>
        <w:t xml:space="preserve"> offers a</w:t>
      </w:r>
      <w:r w:rsidR="002826A6" w:rsidRPr="00FC72A6">
        <w:rPr>
          <w:rFonts w:eastAsia="Calibri"/>
          <w:sz w:val="22"/>
          <w:szCs w:val="22"/>
          <w:lang w:eastAsia="en-US"/>
        </w:rPr>
        <w:t>n</w:t>
      </w:r>
      <w:r w:rsidR="00215CDC" w:rsidRPr="00FC72A6">
        <w:rPr>
          <w:rFonts w:eastAsia="Calibri"/>
          <w:sz w:val="22"/>
          <w:szCs w:val="22"/>
          <w:lang w:eastAsia="en-US"/>
        </w:rPr>
        <w:t xml:space="preserve"> opportunity </w:t>
      </w:r>
      <w:bookmarkStart w:id="4" w:name="_Hlk90212297"/>
      <w:r w:rsidR="00215CDC" w:rsidRPr="00FC72A6">
        <w:rPr>
          <w:rFonts w:eastAsia="Calibri"/>
          <w:sz w:val="22"/>
          <w:szCs w:val="22"/>
          <w:lang w:eastAsia="en-US"/>
        </w:rPr>
        <w:t xml:space="preserve">to facilitate the energy transition, </w:t>
      </w:r>
      <w:r w:rsidR="00215CDC" w:rsidRPr="00FC72A6">
        <w:rPr>
          <w:sz w:val="22"/>
          <w:lang w:val="en-US"/>
        </w:rPr>
        <w:t xml:space="preserve">enhance European competitiveness and improve market functioning, whilst safeguarding transparent and safe </w:t>
      </w:r>
      <w:r w:rsidR="00527602" w:rsidRPr="00FC72A6">
        <w:rPr>
          <w:sz w:val="22"/>
          <w:lang w:val="en-US"/>
        </w:rPr>
        <w:t xml:space="preserve">financial </w:t>
      </w:r>
      <w:r w:rsidR="00215CDC" w:rsidRPr="00FC72A6">
        <w:rPr>
          <w:sz w:val="22"/>
          <w:lang w:val="en-US"/>
        </w:rPr>
        <w:t>markets</w:t>
      </w:r>
      <w:bookmarkEnd w:id="4"/>
      <w:r w:rsidR="00DA7B0D" w:rsidRPr="00FC72A6">
        <w:rPr>
          <w:rFonts w:eastAsia="Calibri"/>
          <w:sz w:val="22"/>
          <w:szCs w:val="22"/>
          <w:lang w:eastAsia="en-US"/>
        </w:rPr>
        <w:t>.</w:t>
      </w:r>
      <w:bookmarkEnd w:id="3"/>
    </w:p>
    <w:p w14:paraId="77ABC1CD" w14:textId="52AC98E4" w:rsidR="00215CDC" w:rsidRPr="0041314C" w:rsidRDefault="00215CDC" w:rsidP="008C2753">
      <w:pPr>
        <w:spacing w:before="120" w:after="120"/>
        <w:jc w:val="both"/>
        <w:rPr>
          <w:rFonts w:eastAsia="Calibri"/>
          <w:sz w:val="22"/>
          <w:szCs w:val="22"/>
          <w:lang w:val="en-US" w:eastAsia="en-US"/>
        </w:rPr>
      </w:pPr>
      <w:r w:rsidRPr="00E15D92">
        <w:rPr>
          <w:rFonts w:eastAsia="Calibri"/>
          <w:b/>
          <w:bCs/>
          <w:sz w:val="22"/>
          <w:szCs w:val="22"/>
          <w:lang w:eastAsia="en-US"/>
        </w:rPr>
        <w:t>We therefore urge ESMA to review and increase the EMIR clearing threshold for commodities</w:t>
      </w:r>
      <w:r w:rsidR="00DA7B0D" w:rsidRPr="00E15D92">
        <w:rPr>
          <w:rFonts w:eastAsia="Calibri"/>
          <w:b/>
          <w:bCs/>
          <w:sz w:val="22"/>
          <w:szCs w:val="22"/>
          <w:lang w:eastAsia="en-US"/>
        </w:rPr>
        <w:t xml:space="preserve"> (“EMIR CCT”)</w:t>
      </w:r>
      <w:r w:rsidRPr="00E15D92">
        <w:rPr>
          <w:rFonts w:eastAsia="Calibri"/>
          <w:b/>
          <w:bCs/>
          <w:sz w:val="22"/>
          <w:szCs w:val="22"/>
          <w:lang w:eastAsia="en-US"/>
        </w:rPr>
        <w:t xml:space="preserve"> to a systemic relevant level, considering the higher level of clearing thresholds in 3</w:t>
      </w:r>
      <w:r w:rsidRPr="00E15D92">
        <w:rPr>
          <w:rFonts w:eastAsia="Calibri"/>
          <w:b/>
          <w:bCs/>
          <w:sz w:val="22"/>
          <w:szCs w:val="22"/>
          <w:vertAlign w:val="superscript"/>
          <w:lang w:eastAsia="en-US"/>
        </w:rPr>
        <w:t>rd</w:t>
      </w:r>
      <w:r w:rsidRPr="00E15D92">
        <w:rPr>
          <w:rFonts w:eastAsia="Calibri"/>
          <w:b/>
          <w:bCs/>
          <w:sz w:val="22"/>
          <w:szCs w:val="22"/>
          <w:lang w:eastAsia="en-US"/>
        </w:rPr>
        <w:t xml:space="preserve"> country jurisdictions</w:t>
      </w:r>
      <w:r w:rsidR="00F17350" w:rsidRPr="00E15D92">
        <w:rPr>
          <w:rFonts w:eastAsia="Calibri"/>
          <w:b/>
          <w:bCs/>
          <w:sz w:val="22"/>
          <w:szCs w:val="22"/>
          <w:lang w:eastAsia="en-US"/>
        </w:rPr>
        <w:t xml:space="preserve"> </w:t>
      </w:r>
      <w:r w:rsidR="00A555A0" w:rsidRPr="00E15D92">
        <w:rPr>
          <w:rFonts w:eastAsia="Calibri"/>
          <w:b/>
          <w:bCs/>
          <w:sz w:val="22"/>
          <w:szCs w:val="22"/>
          <w:lang w:eastAsia="en-US"/>
        </w:rPr>
        <w:t>(e.g.,</w:t>
      </w:r>
      <w:r w:rsidR="00F17350" w:rsidRPr="00E15D92">
        <w:rPr>
          <w:rFonts w:eastAsia="Calibri"/>
          <w:b/>
          <w:bCs/>
          <w:sz w:val="22"/>
          <w:szCs w:val="22"/>
          <w:lang w:eastAsia="en-US"/>
        </w:rPr>
        <w:t xml:space="preserve"> the</w:t>
      </w:r>
      <w:r w:rsidR="00685F3A" w:rsidRPr="00E15D92">
        <w:rPr>
          <w:rFonts w:eastAsia="Calibri"/>
          <w:b/>
          <w:bCs/>
          <w:sz w:val="22"/>
          <w:szCs w:val="22"/>
          <w:lang w:eastAsia="en-US"/>
        </w:rPr>
        <w:t xml:space="preserve"> USD 8 Billion threshold under the U.S. Dodd-Frank-Act</w:t>
      </w:r>
      <w:r w:rsidR="00A555A0" w:rsidRPr="00E15D92">
        <w:rPr>
          <w:rFonts w:eastAsia="Calibri"/>
          <w:b/>
          <w:bCs/>
          <w:sz w:val="22"/>
          <w:szCs w:val="22"/>
          <w:lang w:eastAsia="en-US"/>
        </w:rPr>
        <w:t>)</w:t>
      </w:r>
      <w:r w:rsidRPr="00E15D92">
        <w:rPr>
          <w:rFonts w:eastAsia="Calibri"/>
          <w:b/>
          <w:bCs/>
          <w:sz w:val="22"/>
          <w:szCs w:val="22"/>
          <w:lang w:eastAsia="en-US"/>
        </w:rPr>
        <w:t xml:space="preserve"> and lower breadth of application across these jurisdictions.</w:t>
      </w:r>
      <w:r w:rsidRPr="0041314C">
        <w:rPr>
          <w:rFonts w:eastAsia="Calibri"/>
          <w:sz w:val="22"/>
          <w:szCs w:val="22"/>
          <w:lang w:eastAsia="en-US"/>
        </w:rPr>
        <w:t xml:space="preserve"> This proposal means that only relatively simple amendments to the Level 2 text of EMIR</w:t>
      </w:r>
      <w:r w:rsidR="00694C62" w:rsidRPr="0041314C">
        <w:rPr>
          <w:rFonts w:eastAsia="Calibri"/>
          <w:sz w:val="22"/>
          <w:szCs w:val="22"/>
          <w:lang w:eastAsia="en-US"/>
        </w:rPr>
        <w:t xml:space="preserve"> (Article 11 of Regulation (EU) No 149/2013)</w:t>
      </w:r>
      <w:r w:rsidRPr="0041314C">
        <w:rPr>
          <w:rFonts w:eastAsia="Calibri"/>
          <w:sz w:val="22"/>
          <w:szCs w:val="22"/>
          <w:lang w:eastAsia="en-US"/>
        </w:rPr>
        <w:t xml:space="preserve"> would be required.</w:t>
      </w:r>
    </w:p>
    <w:p w14:paraId="1D1ED6FA" w14:textId="17AC7AE7" w:rsidR="00215CDC" w:rsidRPr="00FC72A6" w:rsidRDefault="00DA7B0D" w:rsidP="008C2753">
      <w:pPr>
        <w:spacing w:before="120" w:after="120"/>
        <w:jc w:val="both"/>
        <w:rPr>
          <w:rFonts w:eastAsia="Calibri"/>
          <w:sz w:val="22"/>
          <w:szCs w:val="22"/>
          <w:lang w:eastAsia="en-US"/>
        </w:rPr>
      </w:pPr>
      <w:r w:rsidRPr="00FC72A6">
        <w:rPr>
          <w:rFonts w:eastAsia="Calibri"/>
          <w:sz w:val="22"/>
          <w:szCs w:val="22"/>
          <w:lang w:val="en-US" w:eastAsia="en-US"/>
        </w:rPr>
        <w:t xml:space="preserve">This EMIR CCT increase </w:t>
      </w:r>
      <w:r w:rsidR="00215CDC" w:rsidRPr="00FC72A6">
        <w:rPr>
          <w:rFonts w:eastAsia="Calibri"/>
          <w:sz w:val="22"/>
          <w:szCs w:val="22"/>
          <w:lang w:eastAsia="en-US"/>
        </w:rPr>
        <w:t>would facilitate the energy transition</w:t>
      </w:r>
      <w:r w:rsidR="002B68A1" w:rsidRPr="00FC72A6">
        <w:rPr>
          <w:rFonts w:eastAsia="Calibri"/>
          <w:sz w:val="22"/>
          <w:szCs w:val="22"/>
          <w:lang w:eastAsia="en-US"/>
        </w:rPr>
        <w:t xml:space="preserve"> and enhance European competitiveness</w:t>
      </w:r>
      <w:r w:rsidR="00215CDC" w:rsidRPr="00FC72A6">
        <w:rPr>
          <w:rFonts w:eastAsia="Calibri"/>
          <w:sz w:val="22"/>
          <w:szCs w:val="22"/>
          <w:lang w:eastAsia="en-US"/>
        </w:rPr>
        <w:t xml:space="preserve"> by:</w:t>
      </w:r>
    </w:p>
    <w:p w14:paraId="432A0106" w14:textId="77777777" w:rsidR="00215CDC" w:rsidRPr="00FC72A6" w:rsidRDefault="00215CDC" w:rsidP="006F2628">
      <w:pPr>
        <w:numPr>
          <w:ilvl w:val="0"/>
          <w:numId w:val="45"/>
        </w:numPr>
        <w:spacing w:before="120" w:after="120"/>
        <w:jc w:val="both"/>
        <w:rPr>
          <w:rFonts w:eastAsia="Calibri"/>
          <w:sz w:val="22"/>
          <w:szCs w:val="22"/>
          <w:lang w:val="en-US" w:eastAsia="en-US"/>
        </w:rPr>
      </w:pPr>
      <w:r w:rsidRPr="00FC72A6">
        <w:rPr>
          <w:rFonts w:eastAsia="Calibri"/>
          <w:i/>
          <w:iCs/>
          <w:sz w:val="22"/>
          <w:szCs w:val="22"/>
          <w:lang w:eastAsia="en-US"/>
        </w:rPr>
        <w:t xml:space="preserve">Enabling more effective hedging - </w:t>
      </w:r>
      <w:r w:rsidRPr="00FC72A6">
        <w:rPr>
          <w:rFonts w:eastAsia="Calibri"/>
          <w:sz w:val="22"/>
          <w:szCs w:val="22"/>
          <w:lang w:eastAsia="en-US"/>
        </w:rPr>
        <w:t>By further enabling the</w:t>
      </w:r>
      <w:r w:rsidRPr="00FC72A6">
        <w:rPr>
          <w:rFonts w:eastAsia="Calibri"/>
          <w:sz w:val="22"/>
          <w:szCs w:val="22"/>
          <w:lang w:val="en-US" w:eastAsia="en-US"/>
        </w:rPr>
        <w:t xml:space="preserve"> development of open and competitive energy and commodity derivatives markets in the EU, it would enable energy firms to support the energy transition by providing liquidity to OTC markets and offering hedging opportunities to renewable energy producers and industrial consumers to reduce their commercial risks.</w:t>
      </w:r>
    </w:p>
    <w:p w14:paraId="3D76129B" w14:textId="5275CA24" w:rsidR="00215CDC" w:rsidRPr="00FC72A6" w:rsidRDefault="00215CDC" w:rsidP="006F2628">
      <w:pPr>
        <w:numPr>
          <w:ilvl w:val="0"/>
          <w:numId w:val="45"/>
        </w:numPr>
        <w:spacing w:before="120" w:after="120"/>
        <w:jc w:val="both"/>
        <w:rPr>
          <w:rFonts w:eastAsia="Calibri"/>
          <w:sz w:val="22"/>
          <w:szCs w:val="22"/>
          <w:lang w:eastAsia="en-US"/>
        </w:rPr>
      </w:pPr>
      <w:r w:rsidRPr="00FC72A6">
        <w:rPr>
          <w:rFonts w:eastAsia="Calibri"/>
          <w:i/>
          <w:iCs/>
          <w:sz w:val="22"/>
          <w:szCs w:val="22"/>
          <w:lang w:eastAsia="en-US"/>
        </w:rPr>
        <w:t xml:space="preserve">Enhancing European competitiveness - </w:t>
      </w:r>
      <w:r w:rsidRPr="00FC72A6">
        <w:rPr>
          <w:rFonts w:eastAsia="Calibri"/>
          <w:sz w:val="22"/>
          <w:szCs w:val="22"/>
          <w:lang w:eastAsia="en-US"/>
        </w:rPr>
        <w:t>By aligning the EU regime with those in other jurisdictions</w:t>
      </w:r>
      <w:r w:rsidR="00527602" w:rsidRPr="00FC72A6">
        <w:rPr>
          <w:rFonts w:eastAsia="Calibri"/>
          <w:sz w:val="22"/>
          <w:szCs w:val="22"/>
          <w:lang w:eastAsia="en-US"/>
        </w:rPr>
        <w:t xml:space="preserve"> subject to the same G20 commitments to regulate derivatives markets</w:t>
      </w:r>
      <w:r w:rsidRPr="00FC72A6">
        <w:rPr>
          <w:rFonts w:eastAsia="Calibri"/>
          <w:sz w:val="22"/>
          <w:szCs w:val="22"/>
          <w:lang w:eastAsia="en-US"/>
        </w:rPr>
        <w:t xml:space="preserve">, it would enhance the competitiveness of European firms and enhance the development of euro-denominated energy and commodity markets. </w:t>
      </w:r>
      <w:bookmarkStart w:id="5" w:name="OpenAt"/>
      <w:bookmarkEnd w:id="5"/>
    </w:p>
    <w:p w14:paraId="75B48C76" w14:textId="34B0243C" w:rsidR="00215CDC" w:rsidRPr="00941307" w:rsidRDefault="00215CDC" w:rsidP="006F2628">
      <w:pPr>
        <w:numPr>
          <w:ilvl w:val="0"/>
          <w:numId w:val="45"/>
        </w:numPr>
        <w:spacing w:before="120" w:after="120"/>
        <w:jc w:val="both"/>
        <w:rPr>
          <w:rFonts w:eastAsia="Calibri"/>
          <w:sz w:val="22"/>
          <w:szCs w:val="22"/>
          <w:lang w:eastAsia="en-US"/>
        </w:rPr>
      </w:pPr>
      <w:r w:rsidRPr="00FC72A6">
        <w:rPr>
          <w:rFonts w:eastAsia="Calibri"/>
          <w:i/>
          <w:iCs/>
          <w:sz w:val="22"/>
          <w:szCs w:val="22"/>
          <w:lang w:eastAsia="en-US"/>
        </w:rPr>
        <w:t>Ensuring high standards are maintained -</w:t>
      </w:r>
      <w:r w:rsidRPr="00FC72A6">
        <w:rPr>
          <w:rFonts w:eastAsia="Calibri"/>
          <w:sz w:val="22"/>
          <w:szCs w:val="22"/>
          <w:lang w:eastAsia="en-US"/>
        </w:rPr>
        <w:t xml:space="preserve"> By</w:t>
      </w:r>
      <w:r w:rsidRPr="00FC72A6">
        <w:rPr>
          <w:rFonts w:eastAsia="Calibri"/>
          <w:sz w:val="22"/>
          <w:szCs w:val="22"/>
          <w:lang w:val="en-US" w:eastAsia="en-US"/>
        </w:rPr>
        <w:t xml:space="preserve"> safeguarding the EMIR goals of transparent and safe markets</w:t>
      </w:r>
      <w:r w:rsidR="00824AA7" w:rsidRPr="00FC72A6">
        <w:rPr>
          <w:rFonts w:eastAsia="Calibri"/>
          <w:sz w:val="22"/>
          <w:szCs w:val="22"/>
          <w:lang w:val="en-US" w:eastAsia="en-US"/>
        </w:rPr>
        <w:t>, our</w:t>
      </w:r>
      <w:r w:rsidRPr="00FC72A6">
        <w:rPr>
          <w:rFonts w:eastAsia="Calibri"/>
          <w:sz w:val="22"/>
          <w:szCs w:val="22"/>
          <w:lang w:val="en-US" w:eastAsia="en-US"/>
        </w:rPr>
        <w:t xml:space="preserve"> proposed review adheres to the aims of EMIR to make derivatives markets more transparent, to mitigate credit risk and to reduce operational risks.</w:t>
      </w:r>
    </w:p>
    <w:p w14:paraId="373D3577" w14:textId="6377362A" w:rsidR="00941307" w:rsidRPr="00FC72A6" w:rsidRDefault="00941307" w:rsidP="00941307">
      <w:pPr>
        <w:spacing w:before="120" w:after="120"/>
        <w:jc w:val="both"/>
        <w:rPr>
          <w:rFonts w:eastAsia="Calibri"/>
          <w:sz w:val="22"/>
          <w:szCs w:val="22"/>
          <w:lang w:eastAsia="en-US"/>
        </w:rPr>
      </w:pPr>
      <w:r w:rsidRPr="00941307">
        <w:rPr>
          <w:rFonts w:eastAsia="Calibri"/>
          <w:sz w:val="22"/>
          <w:szCs w:val="22"/>
          <w:lang w:eastAsia="en-US"/>
        </w:rPr>
        <w:t>We would like to refer to the respective examples, supporting data and arguments provided by EFET (e.g. independent legal benchmark study of 4 October 2021).</w:t>
      </w:r>
    </w:p>
    <w:permEnd w:id="1269197972"/>
    <w:p w14:paraId="39C455F8" w14:textId="77777777" w:rsidR="00F87897" w:rsidRDefault="00F87897" w:rsidP="00F87897"/>
    <w:p w14:paraId="346583E4" w14:textId="43967CFC" w:rsidR="00F87897" w:rsidRPr="00BF28DA" w:rsidRDefault="00F87897" w:rsidP="00F87897">
      <w:r w:rsidRPr="00BF28DA">
        <w:t>&lt;ESMA_COMMENT_</w:t>
      </w:r>
      <w:r w:rsidR="00D76652">
        <w:rPr>
          <w:rFonts w:cs="Arial"/>
        </w:rPr>
        <w:t>DP_EMIR_CTs</w:t>
      </w:r>
      <w:r w:rsidRPr="00BF28DA">
        <w:t>&gt;</w:t>
      </w:r>
    </w:p>
    <w:p w14:paraId="35818B1C" w14:textId="77777777" w:rsidR="00F87897" w:rsidRDefault="00F87897">
      <w:pPr>
        <w:rPr>
          <w:rFonts w:eastAsiaTheme="minorEastAsia" w:cstheme="minorBidi"/>
          <w:b/>
          <w:sz w:val="22"/>
          <w:szCs w:val="20"/>
          <w:lang w:eastAsia="en-US"/>
        </w:rPr>
      </w:pPr>
      <w:r>
        <w:br w:type="page"/>
      </w:r>
    </w:p>
    <w:p w14:paraId="45C27D60" w14:textId="3D0CD57E" w:rsidR="00A8728B" w:rsidRPr="00070630" w:rsidRDefault="004648DA" w:rsidP="00431B0A">
      <w:pPr>
        <w:pStyle w:val="CPQuestions"/>
      </w:pPr>
      <w:r w:rsidRPr="00ED3D8A">
        <w:lastRenderedPageBreak/>
        <w:t>Please explain if you see a need for further clarification on how to identify OTC contracts for the purpose of the calculation of the positions to be compared to the clearing thresholds</w:t>
      </w:r>
      <w:r w:rsidR="00276A5A">
        <w:t>.</w:t>
      </w:r>
    </w:p>
    <w:p w14:paraId="51509B4C" w14:textId="044F3473" w:rsidR="00A8728B" w:rsidRPr="006C2D5A" w:rsidRDefault="00A8728B" w:rsidP="00A8728B">
      <w:pPr>
        <w:rPr>
          <w:lang w:val="es-ES"/>
        </w:rPr>
      </w:pPr>
      <w:r w:rsidRPr="006C2D5A">
        <w:rPr>
          <w:lang w:val="es-ES"/>
        </w:rPr>
        <w:t>&lt;ESMA_QUESTION</w:t>
      </w:r>
      <w:r w:rsidR="00D920D1" w:rsidRPr="006C2D5A">
        <w:rPr>
          <w:lang w:val="es-ES"/>
        </w:rPr>
        <w:t>_</w:t>
      </w:r>
      <w:r w:rsidR="00D76652" w:rsidRPr="00D76652">
        <w:rPr>
          <w:rFonts w:cs="Arial"/>
          <w:lang w:val="es-ES"/>
        </w:rPr>
        <w:t xml:space="preserve"> DP_EMIR_CTs</w:t>
      </w:r>
      <w:r w:rsidR="004648DA">
        <w:rPr>
          <w:rFonts w:cs="Arial"/>
          <w:lang w:val="es-ES"/>
        </w:rPr>
        <w:t>_</w:t>
      </w:r>
      <w:r w:rsidR="00D76652">
        <w:rPr>
          <w:lang w:val="es-ES"/>
        </w:rPr>
        <w:t>1</w:t>
      </w:r>
      <w:r w:rsidRPr="006C2D5A">
        <w:rPr>
          <w:lang w:val="es-ES"/>
        </w:rPr>
        <w:t>&gt;</w:t>
      </w:r>
    </w:p>
    <w:p w14:paraId="484BA967" w14:textId="5A901184" w:rsidR="006A18AC" w:rsidRPr="006A18AC" w:rsidRDefault="00A8728B" w:rsidP="006A18AC">
      <w:permStart w:id="2093768910" w:edGrp="everyone"/>
      <w:r>
        <w:t>TYPE YOUR TEXT HERE</w:t>
      </w:r>
    </w:p>
    <w:permEnd w:id="2093768910"/>
    <w:p w14:paraId="038955B3" w14:textId="77777777" w:rsidR="00A8728B" w:rsidRDefault="00A8728B" w:rsidP="00A8728B"/>
    <w:p w14:paraId="0ECC45C2" w14:textId="0E7FD0BA" w:rsidR="00A8728B" w:rsidRPr="00D76652" w:rsidRDefault="00A8728B" w:rsidP="00A8728B">
      <w:pPr>
        <w:rPr>
          <w:lang w:val="es-ES"/>
        </w:rPr>
      </w:pPr>
      <w:r w:rsidRPr="00D76652">
        <w:rPr>
          <w:lang w:val="es-ES"/>
        </w:rPr>
        <w:t>&lt;ESMA_QUESTION</w:t>
      </w:r>
      <w:r w:rsidR="00D920D1" w:rsidRPr="00D76652">
        <w:rPr>
          <w:lang w:val="es-ES"/>
        </w:rPr>
        <w:t>_</w:t>
      </w:r>
      <w:r w:rsidR="00D76652" w:rsidRPr="00D76652">
        <w:rPr>
          <w:rFonts w:cs="Arial"/>
          <w:lang w:val="es-ES"/>
        </w:rPr>
        <w:t xml:space="preserve"> DP_EMIR_CTs</w:t>
      </w:r>
      <w:r w:rsidR="004648DA">
        <w:rPr>
          <w:rFonts w:cs="Arial"/>
          <w:lang w:val="es-ES"/>
        </w:rPr>
        <w:t>_1</w:t>
      </w:r>
      <w:r w:rsidRPr="00D76652">
        <w:rPr>
          <w:lang w:val="es-ES"/>
        </w:rPr>
        <w:t>&gt;</w:t>
      </w:r>
    </w:p>
    <w:p w14:paraId="4D9CE3FD" w14:textId="77777777" w:rsidR="00C228C1" w:rsidRPr="00D76652" w:rsidRDefault="00C228C1" w:rsidP="00A8728B">
      <w:pPr>
        <w:rPr>
          <w:lang w:val="es-ES"/>
        </w:rPr>
      </w:pPr>
    </w:p>
    <w:p w14:paraId="16E349D0" w14:textId="565B1675" w:rsidR="00431DA4" w:rsidRPr="00431DA4" w:rsidRDefault="004648DA" w:rsidP="00EF383B">
      <w:pPr>
        <w:pStyle w:val="CPQuestions"/>
      </w:pPr>
      <w:r w:rsidRPr="00ED3D8A">
        <w:t>Please explain if you see a need for further clarification to identify OTC contracts that can be considered as reducing risks directly relating to commercial activity or treasury financing activity. And please mention any additional aspects to be further considered with regards to the hedging exemption</w:t>
      </w:r>
      <w:r w:rsidR="00276A5A">
        <w:t>.</w:t>
      </w:r>
    </w:p>
    <w:p w14:paraId="28936F6E" w14:textId="7A758485" w:rsidR="00A8728B" w:rsidRPr="006C2D5A" w:rsidRDefault="00A8728B" w:rsidP="00A8728B">
      <w:pPr>
        <w:rPr>
          <w:lang w:val="es-ES"/>
        </w:rPr>
      </w:pPr>
      <w:r w:rsidRPr="006C2D5A">
        <w:rPr>
          <w:lang w:val="es-ES"/>
        </w:rPr>
        <w:t>&lt;ESMA_QUESTION</w:t>
      </w:r>
      <w:r w:rsidR="00D920D1" w:rsidRPr="006C2D5A">
        <w:rPr>
          <w:lang w:val="es-ES"/>
        </w:rPr>
        <w:t>_</w:t>
      </w:r>
      <w:r w:rsidR="00D76652" w:rsidRPr="00D76652">
        <w:rPr>
          <w:rFonts w:cs="Arial"/>
          <w:lang w:val="es-ES"/>
        </w:rPr>
        <w:t xml:space="preserve"> DP_EMIR_CTs</w:t>
      </w:r>
      <w:r w:rsidR="004648DA">
        <w:rPr>
          <w:rFonts w:cs="Arial"/>
          <w:lang w:val="es-ES"/>
        </w:rPr>
        <w:t>_2</w:t>
      </w:r>
      <w:r w:rsidRPr="006C2D5A">
        <w:rPr>
          <w:lang w:val="es-ES"/>
        </w:rPr>
        <w:t>&gt;</w:t>
      </w:r>
    </w:p>
    <w:p w14:paraId="08B27BFE" w14:textId="4FAA098E" w:rsidR="00B20DB3" w:rsidRPr="009260C9" w:rsidRDefault="003E355C" w:rsidP="006E1C40">
      <w:pPr>
        <w:spacing w:before="120" w:after="120"/>
        <w:jc w:val="both"/>
        <w:rPr>
          <w:sz w:val="22"/>
        </w:rPr>
      </w:pPr>
      <w:permStart w:id="2039636534" w:edGrp="everyone"/>
      <w:r>
        <w:rPr>
          <w:sz w:val="22"/>
        </w:rPr>
        <w:t>W</w:t>
      </w:r>
      <w:r w:rsidR="00B20DB3" w:rsidRPr="009260C9">
        <w:rPr>
          <w:sz w:val="22"/>
        </w:rPr>
        <w:t xml:space="preserve">e are requesting to keep </w:t>
      </w:r>
      <w:r w:rsidR="00572E09" w:rsidRPr="009260C9">
        <w:rPr>
          <w:sz w:val="22"/>
        </w:rPr>
        <w:t xml:space="preserve">at least </w:t>
      </w:r>
      <w:r w:rsidR="00B20DB3" w:rsidRPr="009260C9">
        <w:rPr>
          <w:sz w:val="22"/>
        </w:rPr>
        <w:t xml:space="preserve">the current </w:t>
      </w:r>
      <w:r w:rsidR="00572E09" w:rsidRPr="009260C9">
        <w:rPr>
          <w:sz w:val="22"/>
        </w:rPr>
        <w:t xml:space="preserve">Level 1 and 2 </w:t>
      </w:r>
      <w:r w:rsidR="00B20DB3" w:rsidRPr="009260C9">
        <w:rPr>
          <w:sz w:val="22"/>
        </w:rPr>
        <w:t>definition</w:t>
      </w:r>
      <w:r w:rsidR="00572E09" w:rsidRPr="009260C9">
        <w:rPr>
          <w:sz w:val="22"/>
        </w:rPr>
        <w:t>s</w:t>
      </w:r>
      <w:r w:rsidR="00882586" w:rsidRPr="009260C9">
        <w:rPr>
          <w:sz w:val="22"/>
        </w:rPr>
        <w:t xml:space="preserve"> of hedging</w:t>
      </w:r>
      <w:r w:rsidR="00B20DB3" w:rsidRPr="009260C9">
        <w:rPr>
          <w:sz w:val="22"/>
        </w:rPr>
        <w:t xml:space="preserve"> in place</w:t>
      </w:r>
      <w:r w:rsidR="00882586" w:rsidRPr="009260C9">
        <w:rPr>
          <w:sz w:val="22"/>
        </w:rPr>
        <w:t xml:space="preserve"> and </w:t>
      </w:r>
      <w:r w:rsidR="005F07D3" w:rsidRPr="009260C9">
        <w:rPr>
          <w:sz w:val="22"/>
        </w:rPr>
        <w:t xml:space="preserve">to keep </w:t>
      </w:r>
      <w:r w:rsidR="00882586" w:rsidRPr="009260C9">
        <w:rPr>
          <w:sz w:val="22"/>
        </w:rPr>
        <w:t>this independent of any future review of the EMIR CCT</w:t>
      </w:r>
      <w:r w:rsidR="00B20DB3" w:rsidRPr="009260C9">
        <w:rPr>
          <w:sz w:val="22"/>
        </w:rPr>
        <w:t>.</w:t>
      </w:r>
    </w:p>
    <w:p w14:paraId="310C8B28" w14:textId="6446C4AE" w:rsidR="00230814" w:rsidRPr="0053047F" w:rsidRDefault="00B20DB3" w:rsidP="00230814">
      <w:pPr>
        <w:spacing w:before="120" w:after="120"/>
        <w:jc w:val="both"/>
        <w:rPr>
          <w:sz w:val="22"/>
        </w:rPr>
      </w:pPr>
      <w:r w:rsidRPr="0053047F">
        <w:rPr>
          <w:sz w:val="22"/>
        </w:rPr>
        <w:t>However, we believe that</w:t>
      </w:r>
      <w:r w:rsidR="00F53EB3" w:rsidRPr="0053047F">
        <w:rPr>
          <w:sz w:val="22"/>
        </w:rPr>
        <w:t xml:space="preserve"> the</w:t>
      </w:r>
      <w:r w:rsidR="00572E09" w:rsidRPr="0053047F">
        <w:rPr>
          <w:sz w:val="22"/>
        </w:rPr>
        <w:t xml:space="preserve"> </w:t>
      </w:r>
      <w:r w:rsidR="00221F46" w:rsidRPr="0053047F">
        <w:rPr>
          <w:sz w:val="22"/>
        </w:rPr>
        <w:t>understand</w:t>
      </w:r>
      <w:r w:rsidR="00F53EB3" w:rsidRPr="0053047F">
        <w:rPr>
          <w:sz w:val="22"/>
        </w:rPr>
        <w:t>ing</w:t>
      </w:r>
      <w:r w:rsidR="00221F46" w:rsidRPr="0053047F">
        <w:rPr>
          <w:sz w:val="22"/>
        </w:rPr>
        <w:t xml:space="preserve"> of the</w:t>
      </w:r>
      <w:r w:rsidR="00EB492A" w:rsidRPr="0053047F">
        <w:rPr>
          <w:sz w:val="22"/>
        </w:rPr>
        <w:t xml:space="preserve"> term of</w:t>
      </w:r>
      <w:r w:rsidR="00221F46" w:rsidRPr="0053047F">
        <w:rPr>
          <w:sz w:val="22"/>
        </w:rPr>
        <w:t xml:space="preserve"> underlying commercial</w:t>
      </w:r>
      <w:r w:rsidR="00EB492A" w:rsidRPr="0053047F">
        <w:rPr>
          <w:sz w:val="22"/>
        </w:rPr>
        <w:t xml:space="preserve"> business</w:t>
      </w:r>
      <w:r w:rsidR="00FE43F6" w:rsidRPr="0053047F">
        <w:rPr>
          <w:sz w:val="22"/>
        </w:rPr>
        <w:t xml:space="preserve"> (“</w:t>
      </w:r>
      <w:r w:rsidR="00FE43F6" w:rsidRPr="0053047F">
        <w:rPr>
          <w:i/>
          <w:iCs/>
          <w:sz w:val="22"/>
        </w:rPr>
        <w:t>commercial activity</w:t>
      </w:r>
      <w:r w:rsidR="00FE43F6" w:rsidRPr="0053047F">
        <w:rPr>
          <w:sz w:val="22"/>
        </w:rPr>
        <w:t>”)</w:t>
      </w:r>
      <w:r w:rsidR="009F6950" w:rsidRPr="0053047F">
        <w:rPr>
          <w:sz w:val="22"/>
        </w:rPr>
        <w:t xml:space="preserve"> in Art. 10 (</w:t>
      </w:r>
      <w:r w:rsidR="00FE43F6" w:rsidRPr="0053047F">
        <w:rPr>
          <w:sz w:val="22"/>
        </w:rPr>
        <w:t xml:space="preserve">3) </w:t>
      </w:r>
      <w:r w:rsidR="009F6950" w:rsidRPr="0053047F">
        <w:rPr>
          <w:sz w:val="22"/>
        </w:rPr>
        <w:t>of EMIR REFIT</w:t>
      </w:r>
      <w:r w:rsidR="00A96D0B" w:rsidRPr="0053047F">
        <w:rPr>
          <w:sz w:val="22"/>
        </w:rPr>
        <w:t xml:space="preserve">, </w:t>
      </w:r>
      <w:r w:rsidR="00221F46" w:rsidRPr="0053047F">
        <w:rPr>
          <w:sz w:val="22"/>
        </w:rPr>
        <w:t xml:space="preserve">which can be hedged through OTC </w:t>
      </w:r>
      <w:r w:rsidR="001831C0" w:rsidRPr="0053047F">
        <w:rPr>
          <w:sz w:val="22"/>
        </w:rPr>
        <w:t>d</w:t>
      </w:r>
      <w:r w:rsidR="00221F46" w:rsidRPr="0053047F">
        <w:rPr>
          <w:sz w:val="22"/>
        </w:rPr>
        <w:t>erivatives</w:t>
      </w:r>
      <w:r w:rsidR="001831C0" w:rsidRPr="0053047F">
        <w:rPr>
          <w:sz w:val="22"/>
        </w:rPr>
        <w:t xml:space="preserve"> transactions</w:t>
      </w:r>
      <w:r w:rsidR="00221F46" w:rsidRPr="0053047F">
        <w:rPr>
          <w:sz w:val="22"/>
        </w:rPr>
        <w:t>,</w:t>
      </w:r>
      <w:r w:rsidR="001831C0" w:rsidRPr="0053047F">
        <w:rPr>
          <w:sz w:val="22"/>
        </w:rPr>
        <w:t xml:space="preserve"> should be </w:t>
      </w:r>
      <w:r w:rsidR="00ED616A" w:rsidRPr="0053047F">
        <w:rPr>
          <w:sz w:val="22"/>
        </w:rPr>
        <w:t>clarified</w:t>
      </w:r>
      <w:r w:rsidR="00CD07C7" w:rsidRPr="0053047F">
        <w:rPr>
          <w:sz w:val="22"/>
        </w:rPr>
        <w:t xml:space="preserve"> by ESMA through its EMIR QAs</w:t>
      </w:r>
      <w:r w:rsidR="00E85A6A" w:rsidRPr="0053047F">
        <w:rPr>
          <w:sz w:val="22"/>
        </w:rPr>
        <w:t xml:space="preserve"> under the</w:t>
      </w:r>
      <w:r w:rsidR="000619E9" w:rsidRPr="0053047F">
        <w:rPr>
          <w:sz w:val="22"/>
        </w:rPr>
        <w:t xml:space="preserve"> current</w:t>
      </w:r>
      <w:r w:rsidR="001831C0" w:rsidRPr="0053047F">
        <w:rPr>
          <w:sz w:val="22"/>
        </w:rPr>
        <w:t xml:space="preserve"> Level 2 text of Article 10(1) of CDR 129/2013</w:t>
      </w:r>
      <w:r w:rsidR="009504EF" w:rsidRPr="0053047F">
        <w:rPr>
          <w:sz w:val="22"/>
        </w:rPr>
        <w:t xml:space="preserve">. </w:t>
      </w:r>
      <w:r w:rsidR="001831C0" w:rsidRPr="0053047F">
        <w:rPr>
          <w:sz w:val="22"/>
        </w:rPr>
        <w:t xml:space="preserve"> </w:t>
      </w:r>
    </w:p>
    <w:p w14:paraId="7DF3331C" w14:textId="5D6D0E90" w:rsidR="00230814" w:rsidRPr="00BF0551" w:rsidRDefault="00230814" w:rsidP="00BF0551">
      <w:pPr>
        <w:spacing w:before="120" w:after="120"/>
        <w:jc w:val="both"/>
        <w:rPr>
          <w:sz w:val="22"/>
        </w:rPr>
      </w:pPr>
      <w:r w:rsidRPr="00BF0551">
        <w:rPr>
          <w:sz w:val="22"/>
        </w:rPr>
        <w:t>The term “commercial activity” is currently understood to cover only non-financial business (non-MiFID II activities), i.e., currently it does not cover transactions qualified as commodity derivatives under MiFID II. Therefore, hedging the commercial risk of a first (non-hedging) derivative transaction – which forms part of the main commercial business of an NFC – with another second risk-reducing derivative transaction is currently not recognised as hedging, although economically the latter transaction can reduce the market price risk of the former.</w:t>
      </w:r>
      <w:r w:rsidR="00BF0551">
        <w:rPr>
          <w:sz w:val="22"/>
        </w:rPr>
        <w:t xml:space="preserve"> </w:t>
      </w:r>
      <w:r w:rsidRPr="00BF0551">
        <w:rPr>
          <w:b/>
          <w:bCs/>
          <w:sz w:val="22"/>
        </w:rPr>
        <w:t xml:space="preserve">Hence, the understanding of the term “commercial activity” </w:t>
      </w:r>
      <w:r w:rsidR="00E2656A" w:rsidRPr="00BF0551">
        <w:rPr>
          <w:b/>
          <w:bCs/>
          <w:sz w:val="22"/>
        </w:rPr>
        <w:t>sh</w:t>
      </w:r>
      <w:r w:rsidRPr="00BF0551">
        <w:rPr>
          <w:b/>
          <w:bCs/>
          <w:sz w:val="22"/>
        </w:rPr>
        <w:t xml:space="preserve">ould be clarified </w:t>
      </w:r>
      <w:r w:rsidR="00E65D2E" w:rsidRPr="00BF0551">
        <w:rPr>
          <w:b/>
          <w:bCs/>
          <w:sz w:val="22"/>
        </w:rPr>
        <w:t xml:space="preserve">in the sense </w:t>
      </w:r>
      <w:r w:rsidR="00E65D2E" w:rsidRPr="00BF0551">
        <w:rPr>
          <w:sz w:val="22"/>
        </w:rPr>
        <w:t xml:space="preserve">that a core commercial activity of an NFC can consist of buying, selling or owning financial instruments (e.g. see </w:t>
      </w:r>
      <w:r w:rsidRPr="00BF0551">
        <w:rPr>
          <w:sz w:val="22"/>
        </w:rPr>
        <w:t xml:space="preserve">the wording of the new ESMA EMIR QAs (OTC Question 10 (d), page 29, 31 – see </w:t>
      </w:r>
      <w:hyperlink r:id="rId19" w:history="1">
        <w:r w:rsidRPr="00BF0551">
          <w:rPr>
            <w:rStyle w:val="Hyperlink"/>
            <w:sz w:val="22"/>
          </w:rPr>
          <w:t>link</w:t>
        </w:r>
      </w:hyperlink>
      <w:r w:rsidRPr="00BF0551">
        <w:rPr>
          <w:sz w:val="22"/>
        </w:rPr>
        <w:t>)</w:t>
      </w:r>
      <w:r w:rsidR="00CF5584" w:rsidRPr="00BF0551">
        <w:rPr>
          <w:sz w:val="22"/>
        </w:rPr>
        <w:t xml:space="preserve">. </w:t>
      </w:r>
    </w:p>
    <w:p w14:paraId="3DE58C2E" w14:textId="53C15847" w:rsidR="00B02317" w:rsidRPr="009260C9" w:rsidRDefault="005B0F4A" w:rsidP="00EB7BD0">
      <w:pPr>
        <w:spacing w:before="120" w:after="120"/>
        <w:jc w:val="both"/>
        <w:rPr>
          <w:sz w:val="22"/>
        </w:rPr>
      </w:pPr>
      <w:r w:rsidRPr="009260C9">
        <w:rPr>
          <w:sz w:val="22"/>
        </w:rPr>
        <w:t>F</w:t>
      </w:r>
      <w:r w:rsidR="00F55397" w:rsidRPr="009260C9">
        <w:rPr>
          <w:sz w:val="22"/>
        </w:rPr>
        <w:t>or example</w:t>
      </w:r>
      <w:r w:rsidRPr="009260C9">
        <w:rPr>
          <w:sz w:val="22"/>
        </w:rPr>
        <w:t>,</w:t>
      </w:r>
      <w:r w:rsidR="00F55397" w:rsidRPr="009260C9">
        <w:rPr>
          <w:sz w:val="22"/>
        </w:rPr>
        <w:t xml:space="preserve"> </w:t>
      </w:r>
      <w:r w:rsidR="00EC0AF0" w:rsidRPr="009260C9">
        <w:rPr>
          <w:sz w:val="22"/>
        </w:rPr>
        <w:t>energy firms</w:t>
      </w:r>
      <w:r w:rsidR="00F55397" w:rsidRPr="009260C9">
        <w:rPr>
          <w:sz w:val="22"/>
        </w:rPr>
        <w:t xml:space="preserve"> enter into a virtual</w:t>
      </w:r>
      <w:r w:rsidR="00200C87" w:rsidRPr="009260C9">
        <w:rPr>
          <w:sz w:val="22"/>
        </w:rPr>
        <w:t xml:space="preserve"> Power Purchase Agreement</w:t>
      </w:r>
      <w:r w:rsidR="00F55397" w:rsidRPr="009260C9">
        <w:rPr>
          <w:sz w:val="22"/>
        </w:rPr>
        <w:t xml:space="preserve"> </w:t>
      </w:r>
      <w:r w:rsidRPr="009260C9">
        <w:rPr>
          <w:sz w:val="22"/>
        </w:rPr>
        <w:t>(“</w:t>
      </w:r>
      <w:r w:rsidR="00F55397" w:rsidRPr="009260C9">
        <w:rPr>
          <w:sz w:val="22"/>
        </w:rPr>
        <w:t>PPA</w:t>
      </w:r>
      <w:r w:rsidRPr="009260C9">
        <w:rPr>
          <w:sz w:val="22"/>
        </w:rPr>
        <w:t xml:space="preserve">”), e.g., in the form of a </w:t>
      </w:r>
      <w:r w:rsidR="00E718A0" w:rsidRPr="009260C9">
        <w:rPr>
          <w:sz w:val="22"/>
        </w:rPr>
        <w:t>financially settled fix-for-floating</w:t>
      </w:r>
      <w:r w:rsidR="00E51F45" w:rsidRPr="00E51F45">
        <w:rPr>
          <w:sz w:val="22"/>
        </w:rPr>
        <w:t xml:space="preserve"> </w:t>
      </w:r>
      <w:r w:rsidR="00E51F45" w:rsidRPr="009260C9">
        <w:rPr>
          <w:sz w:val="22"/>
        </w:rPr>
        <w:t>swap</w:t>
      </w:r>
      <w:r w:rsidR="00F55397" w:rsidRPr="009260C9">
        <w:rPr>
          <w:sz w:val="22"/>
        </w:rPr>
        <w:t xml:space="preserve"> with a renewable energy producer</w:t>
      </w:r>
      <w:r w:rsidR="006731CB">
        <w:rPr>
          <w:sz w:val="22"/>
        </w:rPr>
        <w:t xml:space="preserve">. </w:t>
      </w:r>
      <w:r w:rsidR="006731CB" w:rsidRPr="009260C9">
        <w:rPr>
          <w:sz w:val="22"/>
        </w:rPr>
        <w:t>Due to various considerations including regulatory constraints this facilitation regularly takes the form of virtual offtake structures which renewable energy asset developers and producers require as a risk management tool (and without which these projects would not materialize).</w:t>
      </w:r>
    </w:p>
    <w:p w14:paraId="11E091AF" w14:textId="799A9668" w:rsidR="00F17350" w:rsidRPr="009260C9" w:rsidRDefault="00F17350" w:rsidP="005C50F4">
      <w:pPr>
        <w:spacing w:before="120" w:after="120"/>
        <w:jc w:val="both"/>
        <w:rPr>
          <w:sz w:val="22"/>
        </w:rPr>
      </w:pPr>
      <w:r w:rsidRPr="009260C9">
        <w:rPr>
          <w:sz w:val="22"/>
          <w:szCs w:val="22"/>
        </w:rPr>
        <w:t xml:space="preserve">The </w:t>
      </w:r>
      <w:r w:rsidR="00DB35FF" w:rsidRPr="009260C9">
        <w:rPr>
          <w:sz w:val="22"/>
          <w:szCs w:val="22"/>
        </w:rPr>
        <w:t xml:space="preserve">payments under such contracts depend not only on a price index, but also on </w:t>
      </w:r>
      <w:r w:rsidR="00B345EF" w:rsidRPr="009260C9">
        <w:rPr>
          <w:sz w:val="22"/>
          <w:szCs w:val="22"/>
        </w:rPr>
        <w:t xml:space="preserve">the </w:t>
      </w:r>
      <w:r w:rsidR="00DB35FF" w:rsidRPr="009260C9">
        <w:rPr>
          <w:sz w:val="22"/>
          <w:szCs w:val="22"/>
        </w:rPr>
        <w:t xml:space="preserve">real physical production of a wind or solar farm by taking account the meter data of produced </w:t>
      </w:r>
      <w:r w:rsidR="00027A85" w:rsidRPr="009260C9">
        <w:rPr>
          <w:sz w:val="22"/>
          <w:szCs w:val="22"/>
        </w:rPr>
        <w:t xml:space="preserve">renewable </w:t>
      </w:r>
      <w:r w:rsidR="00DB35FF" w:rsidRPr="009260C9">
        <w:rPr>
          <w:sz w:val="22"/>
          <w:szCs w:val="22"/>
        </w:rPr>
        <w:t xml:space="preserve">energy (“pay as produced”). Therefore, these contracts </w:t>
      </w:r>
      <w:r w:rsidR="00027A85" w:rsidRPr="009260C9">
        <w:rPr>
          <w:sz w:val="22"/>
          <w:szCs w:val="22"/>
        </w:rPr>
        <w:t>share</w:t>
      </w:r>
      <w:r w:rsidR="00B82110" w:rsidRPr="009260C9">
        <w:rPr>
          <w:sz w:val="22"/>
          <w:szCs w:val="22"/>
        </w:rPr>
        <w:t xml:space="preserve"> some</w:t>
      </w:r>
      <w:r w:rsidR="00DB35FF" w:rsidRPr="009260C9">
        <w:rPr>
          <w:sz w:val="22"/>
          <w:szCs w:val="22"/>
        </w:rPr>
        <w:t xml:space="preserve"> characteristics of commercial power production</w:t>
      </w:r>
      <w:r w:rsidR="00F27F26" w:rsidRPr="009260C9">
        <w:rPr>
          <w:sz w:val="22"/>
          <w:szCs w:val="22"/>
        </w:rPr>
        <w:t xml:space="preserve"> and physical delivery</w:t>
      </w:r>
      <w:r w:rsidR="00DB35FF" w:rsidRPr="009260C9">
        <w:rPr>
          <w:sz w:val="22"/>
          <w:szCs w:val="22"/>
        </w:rPr>
        <w:t xml:space="preserve"> activities.</w:t>
      </w:r>
    </w:p>
    <w:p w14:paraId="2A3F8473" w14:textId="2BEF8952" w:rsidR="00B02317" w:rsidRPr="00FC72A6" w:rsidRDefault="00B02317" w:rsidP="00775759">
      <w:pPr>
        <w:spacing w:before="120" w:after="120"/>
        <w:jc w:val="both"/>
        <w:rPr>
          <w:sz w:val="22"/>
        </w:rPr>
      </w:pPr>
      <w:r w:rsidRPr="00FC72A6">
        <w:rPr>
          <w:sz w:val="22"/>
        </w:rPr>
        <w:t xml:space="preserve">These virtual offtake structures (such as virtual PPAs) qualify today as MiFID II financial instruments and therefore such activity is not deemed to constitute an eligible underlying commercial activity that could be hedged through OTC </w:t>
      </w:r>
      <w:r w:rsidR="005B0F4A" w:rsidRPr="00FC72A6">
        <w:rPr>
          <w:sz w:val="22"/>
        </w:rPr>
        <w:t>d</w:t>
      </w:r>
      <w:r w:rsidRPr="00FC72A6">
        <w:rPr>
          <w:sz w:val="22"/>
        </w:rPr>
        <w:t xml:space="preserve">erivatives from the perspective of the </w:t>
      </w:r>
      <w:r w:rsidR="001B03DB" w:rsidRPr="00FC72A6">
        <w:rPr>
          <w:sz w:val="22"/>
        </w:rPr>
        <w:t>energy trader</w:t>
      </w:r>
      <w:r w:rsidRPr="00FC72A6">
        <w:rPr>
          <w:sz w:val="22"/>
        </w:rPr>
        <w:t xml:space="preserve">. This narrow </w:t>
      </w:r>
      <w:r w:rsidR="001B03DB" w:rsidRPr="00FC72A6">
        <w:rPr>
          <w:sz w:val="22"/>
        </w:rPr>
        <w:t>understanding</w:t>
      </w:r>
      <w:r w:rsidRPr="00FC72A6">
        <w:rPr>
          <w:sz w:val="22"/>
        </w:rPr>
        <w:t xml:space="preserve"> of commercial activity is hence putting a real limitation to renewable energy business development. </w:t>
      </w:r>
    </w:p>
    <w:p w14:paraId="0E730EC8" w14:textId="2A3ADDD0" w:rsidR="00775759" w:rsidRDefault="00B02317" w:rsidP="00775759">
      <w:pPr>
        <w:spacing w:before="120" w:after="120"/>
        <w:jc w:val="both"/>
        <w:rPr>
          <w:sz w:val="22"/>
        </w:rPr>
      </w:pPr>
      <w:r w:rsidRPr="00FC72A6">
        <w:rPr>
          <w:sz w:val="22"/>
        </w:rPr>
        <w:lastRenderedPageBreak/>
        <w:t>The renewable energy industry would in our view greatly benefit from a</w:t>
      </w:r>
      <w:r w:rsidR="001B03DB" w:rsidRPr="00FC72A6">
        <w:rPr>
          <w:sz w:val="22"/>
        </w:rPr>
        <w:t xml:space="preserve"> clarification </w:t>
      </w:r>
      <w:r w:rsidRPr="00FC72A6">
        <w:rPr>
          <w:sz w:val="22"/>
        </w:rPr>
        <w:t>of the definition of underlying commercial activity to include financial instruments offered by NF</w:t>
      </w:r>
      <w:r w:rsidR="0011324D">
        <w:rPr>
          <w:sz w:val="22"/>
        </w:rPr>
        <w:t>C</w:t>
      </w:r>
      <w:r w:rsidRPr="00FC72A6">
        <w:rPr>
          <w:sz w:val="22"/>
        </w:rPr>
        <w:t>s as a risk management service to third parties for physical renewable energy project development.</w:t>
      </w:r>
    </w:p>
    <w:p w14:paraId="4F9DD894" w14:textId="51034702" w:rsidR="00350D9A" w:rsidRPr="00F673A4" w:rsidRDefault="00D00EFA" w:rsidP="00775759">
      <w:pPr>
        <w:spacing w:before="120" w:after="120"/>
        <w:jc w:val="both"/>
        <w:rPr>
          <w:sz w:val="22"/>
        </w:rPr>
      </w:pPr>
      <w:r>
        <w:rPr>
          <w:sz w:val="22"/>
        </w:rPr>
        <w:t>In addition, a</w:t>
      </w:r>
      <w:r w:rsidR="00350D9A">
        <w:rPr>
          <w:sz w:val="22"/>
        </w:rPr>
        <w:t>n energy trading firm might enter into a financial commodity derivative with another NFC to hedge its commodity price risk stemming from another commodity derivatives transaction previously entered into in the course of its core activity of energy trading. If that latter derivative does not hedge a corresponding commercial risk of the energy trading firm, that latter derivative is of a non-hedging nature, but still forms part of the core commercial activity of the concerned energy trading firm. In such a case the energy trading firm typically hedges the commodity price risk from the original derivative by entering into a further offsetting derivative which from an economical perspective is an effective hedge and thus objectively measurable as reducing the risk from the original derivative and thus should be classified as a hedge under the EMIR Level 2 rules.</w:t>
      </w:r>
    </w:p>
    <w:permEnd w:id="2039636534"/>
    <w:p w14:paraId="3F104378" w14:textId="6B35F027" w:rsidR="00A8728B" w:rsidRDefault="00A8728B" w:rsidP="00A8728B"/>
    <w:p w14:paraId="51AE5A1B" w14:textId="3B94778D" w:rsidR="00A8728B" w:rsidRPr="00D76652" w:rsidRDefault="00A8728B" w:rsidP="00A8728B">
      <w:pPr>
        <w:rPr>
          <w:lang w:val="es-ES"/>
        </w:rPr>
      </w:pPr>
      <w:r w:rsidRPr="00D76652">
        <w:rPr>
          <w:lang w:val="es-ES"/>
        </w:rPr>
        <w:t>&lt;ESMA_QUESTION</w:t>
      </w:r>
      <w:r w:rsidR="00D920D1" w:rsidRPr="00D76652">
        <w:rPr>
          <w:lang w:val="es-ES"/>
        </w:rPr>
        <w:t>_</w:t>
      </w:r>
      <w:r w:rsidR="00D76652" w:rsidRPr="00D76652">
        <w:rPr>
          <w:rFonts w:cs="Arial"/>
          <w:lang w:val="es-ES"/>
        </w:rPr>
        <w:t>DP_EMIR_CTs</w:t>
      </w:r>
      <w:r w:rsidR="004648DA">
        <w:rPr>
          <w:rFonts w:cs="Arial"/>
          <w:lang w:val="es-ES"/>
        </w:rPr>
        <w:t>_2</w:t>
      </w:r>
      <w:r w:rsidRPr="00D76652">
        <w:rPr>
          <w:lang w:val="es-ES"/>
        </w:rPr>
        <w:t>&gt;</w:t>
      </w:r>
    </w:p>
    <w:p w14:paraId="28C39E9E" w14:textId="77777777" w:rsidR="002E1760" w:rsidRPr="00D76652" w:rsidRDefault="002E1760" w:rsidP="00A8728B">
      <w:pPr>
        <w:rPr>
          <w:lang w:val="es-ES"/>
        </w:rPr>
      </w:pPr>
    </w:p>
    <w:p w14:paraId="73A8E0F2" w14:textId="52206645" w:rsidR="002E1760" w:rsidRPr="00431DA4" w:rsidRDefault="004648DA" w:rsidP="00293D78">
      <w:pPr>
        <w:pStyle w:val="CPQuestions"/>
      </w:pPr>
      <w:r w:rsidRPr="00425096">
        <w:t>Please provide information and examples on how counterparties count fungible ETDs and OTC derivatives for the purpose of the calculation of the clearing thresholds</w:t>
      </w:r>
      <w:r w:rsidR="00B61CD3" w:rsidRPr="00B61CD3">
        <w:t>?</w:t>
      </w:r>
    </w:p>
    <w:p w14:paraId="30CAA40B" w14:textId="2452752A" w:rsidR="002E1760" w:rsidRPr="006C2D5A" w:rsidRDefault="002E1760" w:rsidP="002E1760">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3&gt;</w:t>
      </w:r>
    </w:p>
    <w:p w14:paraId="690404D9" w14:textId="464AC497" w:rsidR="002E1760" w:rsidRPr="002F6D28" w:rsidRDefault="002E1760" w:rsidP="002E1760">
      <w:permStart w:id="1876965468" w:edGrp="everyone"/>
      <w:r w:rsidRPr="002F6D28">
        <w:t>TYPE YOUR TEXT HERE</w:t>
      </w:r>
    </w:p>
    <w:permEnd w:id="1876965468"/>
    <w:p w14:paraId="169A5C01" w14:textId="77777777" w:rsidR="002E1760" w:rsidRDefault="002E1760" w:rsidP="002E1760"/>
    <w:p w14:paraId="5A3AE447" w14:textId="5A689F39" w:rsidR="002E1760" w:rsidRPr="004648DA" w:rsidRDefault="002E1760" w:rsidP="002E1760">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3&gt;</w:t>
      </w:r>
    </w:p>
    <w:p w14:paraId="205463C4" w14:textId="77777777" w:rsidR="002E1760" w:rsidRPr="004648DA" w:rsidRDefault="002E1760" w:rsidP="00A8728B">
      <w:pPr>
        <w:rPr>
          <w:lang w:val="es-ES"/>
        </w:rPr>
      </w:pPr>
    </w:p>
    <w:p w14:paraId="6084263A" w14:textId="6084A96E" w:rsidR="002E1760" w:rsidRPr="00431DA4" w:rsidRDefault="004648DA" w:rsidP="00293D78">
      <w:pPr>
        <w:pStyle w:val="CPQuestions"/>
      </w:pPr>
      <w:r w:rsidRPr="00425096">
        <w:t>Please provide data and arguments to illustrate the potential impact of the lack of an equivalence decision under Article 2a of EMIR and what could be done to alleviate your concerns (besides an equivalence decision)? Please specify the kind of transactions and activities that would be affected and the purpose of those, and whether there are alternatives</w:t>
      </w:r>
      <w:r w:rsidR="00B61CD3">
        <w:t>.</w:t>
      </w:r>
    </w:p>
    <w:p w14:paraId="48BB589C" w14:textId="24C09D54" w:rsidR="002E1760" w:rsidRPr="006C2D5A" w:rsidRDefault="002E1760" w:rsidP="002E1760">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4&gt;</w:t>
      </w:r>
    </w:p>
    <w:p w14:paraId="4A927FD8" w14:textId="57FCBAA1" w:rsidR="00CA690F" w:rsidRPr="00AE7E45" w:rsidRDefault="00435E81" w:rsidP="00AE7E45">
      <w:pPr>
        <w:spacing w:before="120" w:after="120"/>
        <w:jc w:val="both"/>
        <w:rPr>
          <w:sz w:val="22"/>
        </w:rPr>
      </w:pPr>
      <w:permStart w:id="2122265796" w:edGrp="everyone"/>
      <w:r w:rsidRPr="00AE7E45">
        <w:rPr>
          <w:sz w:val="22"/>
        </w:rPr>
        <w:t xml:space="preserve">The clearing threshold for commodities under EMIR is defined at a </w:t>
      </w:r>
      <w:r w:rsidR="00CA690F" w:rsidRPr="00AE7E45">
        <w:rPr>
          <w:sz w:val="22"/>
        </w:rPr>
        <w:t xml:space="preserve">relatively low </w:t>
      </w:r>
      <w:r w:rsidRPr="00AE7E45">
        <w:rPr>
          <w:sz w:val="22"/>
        </w:rPr>
        <w:t>level of a gross notional value of EUR 3bn (“EMIR CCT”).</w:t>
      </w:r>
      <w:r w:rsidR="00C564A3" w:rsidRPr="00AE7E45">
        <w:rPr>
          <w:sz w:val="22"/>
        </w:rPr>
        <w:t xml:space="preserve"> This threshold is assessed on a group-wide and world-wide basis, with hedging trades ignored.</w:t>
      </w:r>
    </w:p>
    <w:p w14:paraId="4E873279" w14:textId="256585C9" w:rsidR="00C564A3" w:rsidRPr="00AE7E45" w:rsidRDefault="00F80A0A" w:rsidP="00AE7E45">
      <w:pPr>
        <w:spacing w:before="120" w:after="120"/>
        <w:jc w:val="both"/>
        <w:rPr>
          <w:sz w:val="22"/>
        </w:rPr>
      </w:pPr>
      <w:r w:rsidRPr="00AE7E45">
        <w:rPr>
          <w:sz w:val="22"/>
        </w:rPr>
        <w:t xml:space="preserve">In practice, the non-equivalence under Art. 2a of EMIR and </w:t>
      </w:r>
      <w:bookmarkStart w:id="6" w:name="_Hlk90049004"/>
      <w:r w:rsidRPr="00AE7E45">
        <w:rPr>
          <w:sz w:val="22"/>
        </w:rPr>
        <w:t>re-characterisation of derivatives traded on non-equivalent UK venues</w:t>
      </w:r>
      <w:r w:rsidR="00E532FD" w:rsidRPr="00AE7E45">
        <w:rPr>
          <w:sz w:val="22"/>
        </w:rPr>
        <w:t>, i.e.,</w:t>
      </w:r>
      <w:r w:rsidR="00F2473C" w:rsidRPr="00AE7E45">
        <w:rPr>
          <w:sz w:val="22"/>
        </w:rPr>
        <w:t xml:space="preserve"> </w:t>
      </w:r>
      <w:r w:rsidR="00435E81" w:rsidRPr="00AE7E45">
        <w:rPr>
          <w:sz w:val="22"/>
        </w:rPr>
        <w:t>ICE</w:t>
      </w:r>
      <w:r w:rsidR="00E532FD" w:rsidRPr="00AE7E45">
        <w:rPr>
          <w:sz w:val="22"/>
        </w:rPr>
        <w:t>,</w:t>
      </w:r>
      <w:r w:rsidRPr="00AE7E45">
        <w:rPr>
          <w:sz w:val="22"/>
        </w:rPr>
        <w:t xml:space="preserve"> as OTC derivatives </w:t>
      </w:r>
      <w:bookmarkEnd w:id="6"/>
      <w:r w:rsidRPr="00AE7E45">
        <w:rPr>
          <w:sz w:val="22"/>
        </w:rPr>
        <w:t xml:space="preserve">expose </w:t>
      </w:r>
      <w:r w:rsidR="001A7F8A" w:rsidRPr="00AE7E45">
        <w:rPr>
          <w:sz w:val="22"/>
        </w:rPr>
        <w:t>EU NFCs</w:t>
      </w:r>
      <w:r w:rsidRPr="00AE7E45">
        <w:rPr>
          <w:sz w:val="22"/>
        </w:rPr>
        <w:t xml:space="preserve"> </w:t>
      </w:r>
      <w:r w:rsidR="000A13DF" w:rsidRPr="00AE7E45">
        <w:rPr>
          <w:sz w:val="22"/>
        </w:rPr>
        <w:t>to</w:t>
      </w:r>
      <w:r w:rsidRPr="00AE7E45">
        <w:rPr>
          <w:sz w:val="22"/>
        </w:rPr>
        <w:t xml:space="preserve"> the risk of exceeding the EMIR CCT.</w:t>
      </w:r>
    </w:p>
    <w:p w14:paraId="01AAEABE" w14:textId="05F2A7B2" w:rsidR="00B35603" w:rsidRPr="00ED451B" w:rsidRDefault="00C564A3" w:rsidP="00ED451B">
      <w:pPr>
        <w:spacing w:before="120" w:after="120"/>
        <w:jc w:val="both"/>
        <w:rPr>
          <w:sz w:val="22"/>
        </w:rPr>
      </w:pPr>
      <w:r w:rsidRPr="00AE7E45">
        <w:rPr>
          <w:sz w:val="22"/>
        </w:rPr>
        <w:t>Consequently, the lack of</w:t>
      </w:r>
      <w:r w:rsidR="000A24CC" w:rsidRPr="00AE7E45">
        <w:rPr>
          <w:sz w:val="22"/>
        </w:rPr>
        <w:t xml:space="preserve"> an</w:t>
      </w:r>
      <w:r w:rsidRPr="00AE7E45">
        <w:rPr>
          <w:sz w:val="22"/>
        </w:rPr>
        <w:t xml:space="preserve"> equivalence decision expose</w:t>
      </w:r>
      <w:r w:rsidR="000A24CC" w:rsidRPr="00AE7E45">
        <w:rPr>
          <w:sz w:val="22"/>
        </w:rPr>
        <w:t>s</w:t>
      </w:r>
      <w:r w:rsidRPr="00AE7E45">
        <w:rPr>
          <w:sz w:val="22"/>
        </w:rPr>
        <w:t xml:space="preserve"> EU NFCs to </w:t>
      </w:r>
      <w:r w:rsidR="00BB593B" w:rsidRPr="00AE7E45">
        <w:rPr>
          <w:sz w:val="22"/>
        </w:rPr>
        <w:t xml:space="preserve">the risk </w:t>
      </w:r>
      <w:r w:rsidR="000A24CC" w:rsidRPr="00AE7E45">
        <w:rPr>
          <w:sz w:val="22"/>
        </w:rPr>
        <w:t>of becoming</w:t>
      </w:r>
      <w:r w:rsidRPr="00AE7E45">
        <w:rPr>
          <w:sz w:val="22"/>
        </w:rPr>
        <w:t xml:space="preserve"> NFC+s</w:t>
      </w:r>
      <w:r w:rsidR="000A24CC" w:rsidRPr="00AE7E45">
        <w:rPr>
          <w:sz w:val="22"/>
        </w:rPr>
        <w:t>, which are</w:t>
      </w:r>
      <w:r w:rsidRPr="00AE7E45">
        <w:rPr>
          <w:sz w:val="22"/>
        </w:rPr>
        <w:t xml:space="preserve"> subject to mandatory clearing and/or bilateral margining requirements as well as certain other more onerous elements of EMIR</w:t>
      </w:r>
      <w:r w:rsidR="00573807" w:rsidRPr="00AE7E45">
        <w:rPr>
          <w:sz w:val="22"/>
        </w:rPr>
        <w:t>, although the transactions on IFEU are centrally cleared and margined according to international standards</w:t>
      </w:r>
      <w:r w:rsidRPr="00AE7E45">
        <w:rPr>
          <w:sz w:val="22"/>
        </w:rPr>
        <w:t>.</w:t>
      </w:r>
    </w:p>
    <w:permEnd w:id="2122265796"/>
    <w:p w14:paraId="46C3DAA1" w14:textId="77777777" w:rsidR="002E1760" w:rsidRDefault="002E1760" w:rsidP="002E1760"/>
    <w:p w14:paraId="6B4EB940" w14:textId="2B1072FC" w:rsidR="002E1760" w:rsidRPr="004648DA" w:rsidRDefault="002E1760" w:rsidP="002E1760">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4&gt;</w:t>
      </w:r>
    </w:p>
    <w:p w14:paraId="4625BF57" w14:textId="77777777" w:rsidR="002E1760" w:rsidRPr="004648DA" w:rsidRDefault="002E1760" w:rsidP="002E1760">
      <w:pPr>
        <w:rPr>
          <w:lang w:val="es-ES"/>
        </w:rPr>
      </w:pPr>
    </w:p>
    <w:p w14:paraId="312A4672" w14:textId="278AC4CC" w:rsidR="002E1760" w:rsidRPr="00431DA4" w:rsidRDefault="004648DA" w:rsidP="00293D78">
      <w:pPr>
        <w:pStyle w:val="CPQuestions"/>
      </w:pPr>
      <w:r w:rsidRPr="00ED3D8A">
        <w:lastRenderedPageBreak/>
        <w:t>Please describe the scenarios when transactions do not qualify as hedging transactions</w:t>
      </w:r>
      <w:r w:rsidR="00B61CD3">
        <w:t>.</w:t>
      </w:r>
    </w:p>
    <w:p w14:paraId="3DDD5516" w14:textId="44DBAEE4" w:rsidR="00227C1A" w:rsidRPr="006C2D5A" w:rsidRDefault="00227C1A" w:rsidP="00227C1A">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0062022D" w:rsidRPr="006C2D5A">
        <w:rPr>
          <w:lang w:val="es-ES"/>
        </w:rPr>
        <w:t>5</w:t>
      </w:r>
      <w:r w:rsidRPr="006C2D5A">
        <w:rPr>
          <w:lang w:val="es-ES"/>
        </w:rPr>
        <w:t>&gt;</w:t>
      </w:r>
    </w:p>
    <w:p w14:paraId="21D8BC91" w14:textId="1F3FF92C" w:rsidR="00492E10" w:rsidRDefault="00980DE9" w:rsidP="00AE34D5">
      <w:permStart w:id="6888419" w:edGrp="everyone"/>
      <w:r>
        <w:t xml:space="preserve">Please see </w:t>
      </w:r>
      <w:r w:rsidR="00AE34D5" w:rsidRPr="007E571E">
        <w:t>our response to Q2 above</w:t>
      </w:r>
      <w:r w:rsidR="00D15981" w:rsidRPr="007E571E">
        <w:t>.</w:t>
      </w:r>
    </w:p>
    <w:permEnd w:id="6888419"/>
    <w:p w14:paraId="713DC7BD" w14:textId="77777777" w:rsidR="00227C1A" w:rsidRDefault="00227C1A" w:rsidP="00227C1A"/>
    <w:p w14:paraId="3AFFABD4" w14:textId="781CC891" w:rsidR="00227C1A" w:rsidRPr="004648DA" w:rsidRDefault="00227C1A" w:rsidP="00227C1A">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0062022D" w:rsidRPr="004648DA">
        <w:rPr>
          <w:lang w:val="es-ES"/>
        </w:rPr>
        <w:t>5</w:t>
      </w:r>
      <w:r w:rsidRPr="004648DA">
        <w:rPr>
          <w:lang w:val="es-ES"/>
        </w:rPr>
        <w:t>&gt;</w:t>
      </w:r>
    </w:p>
    <w:p w14:paraId="7D6FAFC4" w14:textId="77777777" w:rsidR="002E1760" w:rsidRPr="004648DA" w:rsidRDefault="002E1760" w:rsidP="002E1760">
      <w:pPr>
        <w:rPr>
          <w:lang w:val="es-ES"/>
        </w:rPr>
      </w:pPr>
    </w:p>
    <w:p w14:paraId="40B6E48B" w14:textId="7934202B" w:rsidR="002E1760" w:rsidRPr="00431DA4" w:rsidRDefault="004648DA" w:rsidP="00293D78">
      <w:pPr>
        <w:pStyle w:val="CPQuestions"/>
      </w:pPr>
      <w:r w:rsidRPr="00ED3D8A">
        <w:t>Please describe your views on how the EMIR framework works (also compared to other regimes) for the purpose of the clearing thresholds and the requirements triggered by those? Please provide examples and supporting data</w:t>
      </w:r>
      <w:r w:rsidR="00B61CD3">
        <w:t>.</w:t>
      </w:r>
    </w:p>
    <w:p w14:paraId="436A8987" w14:textId="04174F1E" w:rsidR="0062022D" w:rsidRPr="006C2D5A" w:rsidRDefault="0062022D" w:rsidP="0062022D">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00A263DF" w:rsidRPr="006C2D5A">
        <w:rPr>
          <w:lang w:val="es-ES"/>
        </w:rPr>
        <w:t>6</w:t>
      </w:r>
      <w:r w:rsidRPr="006C2D5A">
        <w:rPr>
          <w:lang w:val="es-ES"/>
        </w:rPr>
        <w:t>&gt;</w:t>
      </w:r>
    </w:p>
    <w:p w14:paraId="0820973B" w14:textId="77777777" w:rsidR="00037406" w:rsidRDefault="00037406" w:rsidP="00037406">
      <w:pPr>
        <w:spacing w:before="120" w:after="120"/>
        <w:jc w:val="both"/>
        <w:rPr>
          <w:rFonts w:eastAsia="Calibri"/>
          <w:sz w:val="22"/>
          <w:szCs w:val="22"/>
          <w:lang w:val="en-US" w:eastAsia="en-US"/>
        </w:rPr>
      </w:pPr>
      <w:permStart w:id="548757607" w:edGrp="everyone"/>
      <w:r>
        <w:rPr>
          <w:rFonts w:eastAsia="Calibri"/>
          <w:sz w:val="22"/>
          <w:szCs w:val="22"/>
          <w:lang w:eastAsia="en-US"/>
        </w:rPr>
        <w:t xml:space="preserve">We </w:t>
      </w:r>
      <w:r w:rsidRPr="007E571E">
        <w:rPr>
          <w:rFonts w:eastAsia="Calibri"/>
          <w:sz w:val="22"/>
          <w:szCs w:val="22"/>
          <w:lang w:eastAsia="en-US"/>
        </w:rPr>
        <w:t>propose to ESMA and EU Commission to increase the EMIR CCT by way of a quick-fix amendment to Article 11 of Regulation (EU) No 149/2013</w:t>
      </w:r>
      <w:r w:rsidRPr="00AF5984">
        <w:t xml:space="preserve"> </w:t>
      </w:r>
      <w:r w:rsidRPr="00AF5984">
        <w:rPr>
          <w:rFonts w:eastAsia="Calibri"/>
          <w:sz w:val="22"/>
          <w:szCs w:val="22"/>
          <w:lang w:eastAsia="en-US"/>
        </w:rPr>
        <w:t xml:space="preserve">to a more systemic level comparable </w:t>
      </w:r>
      <w:r>
        <w:rPr>
          <w:rFonts w:eastAsia="Calibri"/>
          <w:sz w:val="22"/>
          <w:szCs w:val="22"/>
          <w:lang w:eastAsia="en-US"/>
        </w:rPr>
        <w:t>to other regime</w:t>
      </w:r>
      <w:r w:rsidRPr="00AF5984">
        <w:rPr>
          <w:rFonts w:eastAsia="Calibri"/>
          <w:sz w:val="22"/>
          <w:szCs w:val="22"/>
          <w:lang w:eastAsia="en-US"/>
        </w:rPr>
        <w:t>s (e.g., such as the USD 8 Billion threshold under the U.S. Dodd-Frank-Act)</w:t>
      </w:r>
      <w:r w:rsidRPr="007E571E">
        <w:rPr>
          <w:rFonts w:eastAsia="Calibri"/>
          <w:sz w:val="22"/>
          <w:szCs w:val="22"/>
          <w:lang w:eastAsia="en-US"/>
        </w:rPr>
        <w:t xml:space="preserve">. </w:t>
      </w:r>
    </w:p>
    <w:p w14:paraId="2F8E7B65" w14:textId="68036DA6" w:rsidR="00037406" w:rsidRPr="00037406" w:rsidRDefault="00406FF3" w:rsidP="009F0A21">
      <w:pPr>
        <w:spacing w:before="120" w:after="120"/>
        <w:jc w:val="both"/>
      </w:pPr>
      <w:bookmarkStart w:id="7" w:name="_Hlk93494762"/>
      <w:r>
        <w:rPr>
          <w:rFonts w:eastAsia="Calibri"/>
          <w:sz w:val="22"/>
          <w:szCs w:val="22"/>
          <w:lang w:val="en-US" w:eastAsia="en-US"/>
        </w:rPr>
        <w:t>W</w:t>
      </w:r>
      <w:r w:rsidR="00037406">
        <w:rPr>
          <w:rFonts w:eastAsia="Calibri"/>
          <w:sz w:val="22"/>
          <w:szCs w:val="22"/>
          <w:lang w:val="en-US" w:eastAsia="en-US"/>
        </w:rPr>
        <w:t>e would like to refer to the respective examples, supporting data and arguments provided by EFET in their answer (including the</w:t>
      </w:r>
      <w:r w:rsidR="00037406" w:rsidRPr="00C735C6">
        <w:rPr>
          <w:rFonts w:eastAsia="Calibri"/>
          <w:sz w:val="22"/>
          <w:szCs w:val="22"/>
          <w:lang w:val="en-US" w:eastAsia="en-US"/>
        </w:rPr>
        <w:t xml:space="preserve"> independent legal benchmark study</w:t>
      </w:r>
      <w:r w:rsidR="00037406" w:rsidRPr="00C735C6">
        <w:rPr>
          <w:rFonts w:cs="Calibri"/>
          <w:sz w:val="22"/>
          <w:szCs w:val="22"/>
          <w:shd w:val="clear" w:color="auto" w:fill="FFFFFF"/>
        </w:rPr>
        <w:t xml:space="preserve"> of 4 October 2021</w:t>
      </w:r>
      <w:r w:rsidR="00037406" w:rsidRPr="00C735C6">
        <w:rPr>
          <w:rFonts w:eastAsia="Calibri"/>
          <w:sz w:val="22"/>
          <w:szCs w:val="22"/>
          <w:lang w:val="en-US" w:eastAsia="en-US"/>
        </w:rPr>
        <w:t xml:space="preserve">). </w:t>
      </w:r>
      <w:bookmarkStart w:id="8" w:name="_Hlk79571414"/>
      <w:r w:rsidR="00037406" w:rsidRPr="00C735C6">
        <w:rPr>
          <w:rFonts w:eastAsia="Calibri"/>
          <w:sz w:val="22"/>
          <w:szCs w:val="22"/>
          <w:lang w:eastAsia="en-US"/>
        </w:rPr>
        <w:t xml:space="preserve"> </w:t>
      </w:r>
      <w:bookmarkEnd w:id="7"/>
      <w:bookmarkEnd w:id="8"/>
    </w:p>
    <w:p w14:paraId="5DB687FE" w14:textId="4FCABBAB" w:rsidR="009E5E0A" w:rsidRPr="007E571E" w:rsidRDefault="009E5E0A" w:rsidP="009F0A21">
      <w:pPr>
        <w:spacing w:before="120" w:after="120"/>
        <w:jc w:val="both"/>
        <w:rPr>
          <w:rFonts w:eastAsia="Calibri"/>
          <w:sz w:val="22"/>
          <w:szCs w:val="22"/>
          <w:lang w:val="en-US" w:eastAsia="en-US"/>
        </w:rPr>
      </w:pPr>
      <w:r w:rsidRPr="007E571E">
        <w:rPr>
          <w:rFonts w:eastAsia="Calibri"/>
          <w:sz w:val="22"/>
          <w:szCs w:val="22"/>
          <w:lang w:eastAsia="en-US"/>
        </w:rPr>
        <w:t>In particular we note:</w:t>
      </w:r>
    </w:p>
    <w:p w14:paraId="3E8BFBA2" w14:textId="77B15A70" w:rsidR="009E5E0A" w:rsidRPr="007E571E" w:rsidRDefault="009E5E0A" w:rsidP="009F0A21">
      <w:pPr>
        <w:numPr>
          <w:ilvl w:val="0"/>
          <w:numId w:val="47"/>
        </w:numPr>
        <w:spacing w:before="120" w:after="120"/>
        <w:jc w:val="both"/>
        <w:rPr>
          <w:rFonts w:eastAsia="Calibri"/>
          <w:sz w:val="22"/>
          <w:szCs w:val="22"/>
          <w:lang w:val="en-US" w:eastAsia="en-US"/>
        </w:rPr>
      </w:pPr>
      <w:r w:rsidRPr="007E571E">
        <w:rPr>
          <w:rFonts w:eastAsia="Calibri"/>
          <w:sz w:val="22"/>
          <w:szCs w:val="22"/>
          <w:lang w:eastAsia="en-US"/>
        </w:rPr>
        <w:t xml:space="preserve">The EU EMIR framework provides EU non-financial firms with very limited headroom to offer suitable OTC hedging products to renewable energy producers in the EU. When looking internationally it can be seen that the relatively low level of the EMIR clearing threshold of EUR 3bn for commodities creates a strong incentive for EU energy firms to reduce their OTC trading derivatives activities, including the provision of hedges to renewable energy producers. </w:t>
      </w:r>
    </w:p>
    <w:p w14:paraId="68695B61" w14:textId="77777777" w:rsidR="00E66B57" w:rsidRDefault="009E5E0A" w:rsidP="00E66B57">
      <w:pPr>
        <w:numPr>
          <w:ilvl w:val="0"/>
          <w:numId w:val="47"/>
        </w:numPr>
        <w:spacing w:before="120" w:after="120"/>
        <w:jc w:val="both"/>
        <w:rPr>
          <w:rFonts w:eastAsia="Calibri"/>
          <w:sz w:val="22"/>
          <w:szCs w:val="22"/>
          <w:lang w:val="en-US" w:eastAsia="en-US"/>
        </w:rPr>
      </w:pPr>
      <w:r w:rsidRPr="001D4230">
        <w:rPr>
          <w:rFonts w:eastAsia="Calibri"/>
          <w:sz w:val="22"/>
          <w:szCs w:val="22"/>
          <w:lang w:eastAsia="en-US"/>
        </w:rPr>
        <w:t xml:space="preserve">The reason is that for an energy firm providing hedges to renewable energy producers, these transactions will usually not be a hedge </w:t>
      </w:r>
      <w:r w:rsidR="00732ABA" w:rsidRPr="001D4230">
        <w:rPr>
          <w:rFonts w:eastAsia="Calibri"/>
          <w:sz w:val="22"/>
          <w:szCs w:val="22"/>
          <w:lang w:eastAsia="en-US"/>
        </w:rPr>
        <w:t>by itself</w:t>
      </w:r>
      <w:r w:rsidRPr="001D4230">
        <w:rPr>
          <w:rFonts w:eastAsia="Calibri"/>
          <w:sz w:val="22"/>
          <w:szCs w:val="22"/>
          <w:lang w:eastAsia="en-US"/>
        </w:rPr>
        <w:t xml:space="preserve"> and count against the EMIR clearing threshold. This is because energy firms which enter into</w:t>
      </w:r>
      <w:r w:rsidR="0061551F" w:rsidRPr="001D4230">
        <w:rPr>
          <w:rFonts w:eastAsia="Calibri"/>
          <w:sz w:val="22"/>
          <w:szCs w:val="22"/>
          <w:lang w:eastAsia="en-US"/>
        </w:rPr>
        <w:t xml:space="preserve"> these</w:t>
      </w:r>
      <w:r w:rsidRPr="001D4230">
        <w:rPr>
          <w:rFonts w:eastAsia="Calibri"/>
          <w:sz w:val="22"/>
          <w:szCs w:val="22"/>
          <w:lang w:eastAsia="en-US"/>
        </w:rPr>
        <w:t xml:space="preserve"> type</w:t>
      </w:r>
      <w:r w:rsidR="0061551F" w:rsidRPr="001D4230">
        <w:rPr>
          <w:rFonts w:eastAsia="Calibri"/>
          <w:sz w:val="22"/>
          <w:szCs w:val="22"/>
          <w:lang w:eastAsia="en-US"/>
        </w:rPr>
        <w:t>s</w:t>
      </w:r>
      <w:r w:rsidRPr="001D4230">
        <w:rPr>
          <w:rFonts w:eastAsia="Calibri"/>
          <w:sz w:val="22"/>
          <w:szCs w:val="22"/>
          <w:lang w:eastAsia="en-US"/>
        </w:rPr>
        <w:t xml:space="preserve"> of hed</w:t>
      </w:r>
      <w:r w:rsidR="0061551F" w:rsidRPr="001D4230">
        <w:rPr>
          <w:rFonts w:eastAsia="Calibri"/>
          <w:sz w:val="22"/>
          <w:szCs w:val="22"/>
          <w:lang w:eastAsia="en-US"/>
        </w:rPr>
        <w:t>ge</w:t>
      </w:r>
      <w:r w:rsidRPr="001D4230">
        <w:rPr>
          <w:rFonts w:eastAsia="Calibri"/>
          <w:sz w:val="22"/>
          <w:szCs w:val="22"/>
          <w:lang w:eastAsia="en-US"/>
        </w:rPr>
        <w:t xml:space="preserve"> transactions do not usually hedge the commercial risks of their business but rather those of the renewable energy producers. The current </w:t>
      </w:r>
      <w:r w:rsidR="00A5131C" w:rsidRPr="001D4230">
        <w:rPr>
          <w:rFonts w:eastAsia="Calibri"/>
          <w:sz w:val="22"/>
          <w:szCs w:val="22"/>
          <w:lang w:eastAsia="en-US"/>
        </w:rPr>
        <w:t xml:space="preserve">restrictive understanding of the </w:t>
      </w:r>
      <w:r w:rsidRPr="001D4230">
        <w:rPr>
          <w:rFonts w:eastAsia="Calibri"/>
          <w:sz w:val="22"/>
          <w:szCs w:val="22"/>
          <w:lang w:eastAsia="en-US"/>
        </w:rPr>
        <w:t xml:space="preserve">hedging definition of Article 10(1) CDR 149/2013 and the applicable interpretation of ESMA QAs do limit the ability of energy firms to categorise such transactions as reducing risk related to their own business. </w:t>
      </w:r>
      <w:bookmarkStart w:id="9" w:name="_Hlk82099871"/>
      <w:bookmarkStart w:id="10" w:name="_Hlk81485929"/>
    </w:p>
    <w:p w14:paraId="108DB0D5" w14:textId="39B42E86" w:rsidR="002354EC" w:rsidRPr="00E66B57" w:rsidRDefault="00633B08" w:rsidP="00E66B57">
      <w:pPr>
        <w:numPr>
          <w:ilvl w:val="0"/>
          <w:numId w:val="47"/>
        </w:numPr>
        <w:spacing w:before="120" w:after="120"/>
        <w:jc w:val="both"/>
        <w:rPr>
          <w:rFonts w:eastAsia="Calibri"/>
          <w:sz w:val="22"/>
          <w:szCs w:val="22"/>
          <w:lang w:val="en-US" w:eastAsia="en-US"/>
        </w:rPr>
      </w:pPr>
      <w:r w:rsidRPr="00E66B57">
        <w:rPr>
          <w:rFonts w:eastAsia="Calibri"/>
          <w:sz w:val="22"/>
          <w:szCs w:val="22"/>
          <w:lang w:val="en-US" w:eastAsia="en-US"/>
        </w:rPr>
        <w:t xml:space="preserve">The EMIR CCT </w:t>
      </w:r>
      <w:r w:rsidR="00594089" w:rsidRPr="00E66B57">
        <w:rPr>
          <w:rFonts w:eastAsia="Calibri"/>
          <w:sz w:val="22"/>
          <w:szCs w:val="22"/>
          <w:lang w:val="en-US" w:eastAsia="en-US"/>
        </w:rPr>
        <w:t>was</w:t>
      </w:r>
      <w:r w:rsidRPr="00E66B57">
        <w:rPr>
          <w:rFonts w:eastAsia="Calibri"/>
          <w:sz w:val="22"/>
          <w:szCs w:val="22"/>
          <w:lang w:val="en-US" w:eastAsia="en-US"/>
        </w:rPr>
        <w:t xml:space="preserve"> defined</w:t>
      </w:r>
      <w:r w:rsidR="00594089" w:rsidRPr="00E66B57">
        <w:rPr>
          <w:rFonts w:eastAsia="Calibri"/>
          <w:sz w:val="22"/>
          <w:szCs w:val="22"/>
          <w:lang w:val="en-US" w:eastAsia="en-US"/>
        </w:rPr>
        <w:t xml:space="preserve"> in 2012</w:t>
      </w:r>
      <w:r w:rsidRPr="00E66B57">
        <w:rPr>
          <w:rFonts w:eastAsia="Calibri"/>
          <w:sz w:val="22"/>
          <w:szCs w:val="22"/>
          <w:lang w:val="en-US" w:eastAsia="en-US"/>
        </w:rPr>
        <w:t xml:space="preserve"> at a low fixed level of </w:t>
      </w:r>
      <w:r w:rsidR="00594089" w:rsidRPr="00E66B57">
        <w:rPr>
          <w:rFonts w:eastAsia="Calibri"/>
          <w:sz w:val="22"/>
          <w:szCs w:val="22"/>
          <w:lang w:val="en-US" w:eastAsia="en-US"/>
        </w:rPr>
        <w:t xml:space="preserve">a gross notional value of 3bn (see Article 11 (e) CDR 149/2013). </w:t>
      </w:r>
      <w:r w:rsidR="00E85FAA" w:rsidRPr="00E66B57">
        <w:rPr>
          <w:rFonts w:eastAsia="Calibri"/>
          <w:sz w:val="22"/>
          <w:szCs w:val="22"/>
          <w:lang w:val="en-US" w:eastAsia="en-US"/>
        </w:rPr>
        <w:t>When compared to the prices in 2012, i</w:t>
      </w:r>
      <w:r w:rsidR="009436AE" w:rsidRPr="00E66B57">
        <w:rPr>
          <w:rFonts w:eastAsia="Calibri"/>
          <w:sz w:val="22"/>
          <w:szCs w:val="22"/>
          <w:lang w:val="en-US" w:eastAsia="en-US"/>
        </w:rPr>
        <w:t>n 2021</w:t>
      </w:r>
      <w:r w:rsidR="00594089" w:rsidRPr="00E66B57">
        <w:rPr>
          <w:rFonts w:eastAsia="Calibri"/>
          <w:sz w:val="22"/>
          <w:szCs w:val="22"/>
          <w:lang w:val="en-US" w:eastAsia="en-US"/>
        </w:rPr>
        <w:t xml:space="preserve"> the prices</w:t>
      </w:r>
      <w:r w:rsidR="009436AE" w:rsidRPr="00E66B57">
        <w:rPr>
          <w:rFonts w:eastAsia="Calibri"/>
          <w:sz w:val="22"/>
          <w:szCs w:val="22"/>
          <w:lang w:val="en-US" w:eastAsia="en-US"/>
        </w:rPr>
        <w:t xml:space="preserve"> for gas, power and EUAs</w:t>
      </w:r>
      <w:r w:rsidR="00594089" w:rsidRPr="00E66B57">
        <w:rPr>
          <w:rFonts w:eastAsia="Calibri"/>
          <w:sz w:val="22"/>
          <w:szCs w:val="22"/>
          <w:lang w:val="en-US" w:eastAsia="en-US"/>
        </w:rPr>
        <w:t xml:space="preserve"> </w:t>
      </w:r>
      <w:r w:rsidR="00C0505C" w:rsidRPr="00E66B57">
        <w:rPr>
          <w:rFonts w:eastAsia="Calibri"/>
          <w:sz w:val="22"/>
          <w:szCs w:val="22"/>
          <w:lang w:val="en-US" w:eastAsia="en-US"/>
        </w:rPr>
        <w:t xml:space="preserve">have increased </w:t>
      </w:r>
      <w:r w:rsidR="00925E27" w:rsidRPr="00E66B57">
        <w:rPr>
          <w:rFonts w:eastAsia="Calibri"/>
          <w:sz w:val="22"/>
          <w:szCs w:val="22"/>
          <w:lang w:val="en-US" w:eastAsia="en-US"/>
        </w:rPr>
        <w:t>considerably</w:t>
      </w:r>
      <w:r w:rsidR="00594089" w:rsidRPr="00E66B57">
        <w:rPr>
          <w:rFonts w:eastAsia="Calibri"/>
          <w:sz w:val="22"/>
          <w:szCs w:val="22"/>
          <w:lang w:val="en-US" w:eastAsia="en-US"/>
        </w:rPr>
        <w:t>. This means that the gross n</w:t>
      </w:r>
      <w:r w:rsidR="002430B6" w:rsidRPr="00E66B57">
        <w:rPr>
          <w:rFonts w:eastAsia="Calibri"/>
          <w:sz w:val="22"/>
          <w:szCs w:val="22"/>
          <w:lang w:val="en-US" w:eastAsia="en-US"/>
        </w:rPr>
        <w:t>o</w:t>
      </w:r>
      <w:r w:rsidR="00594089" w:rsidRPr="00E66B57">
        <w:rPr>
          <w:rFonts w:eastAsia="Calibri"/>
          <w:sz w:val="22"/>
          <w:szCs w:val="22"/>
          <w:lang w:val="en-US" w:eastAsia="en-US"/>
        </w:rPr>
        <w:t>tional value of open positions in</w:t>
      </w:r>
      <w:r w:rsidR="002354EC" w:rsidRPr="00E66B57">
        <w:rPr>
          <w:rFonts w:eastAsia="Calibri"/>
          <w:sz w:val="22"/>
          <w:szCs w:val="22"/>
          <w:lang w:val="en-US" w:eastAsia="en-US"/>
        </w:rPr>
        <w:t xml:space="preserve"> OTC derivatives contracts relating to</w:t>
      </w:r>
      <w:r w:rsidR="00AF0521" w:rsidRPr="00E66B57">
        <w:rPr>
          <w:rFonts w:eastAsia="Calibri"/>
          <w:sz w:val="22"/>
          <w:szCs w:val="22"/>
          <w:lang w:val="en-US" w:eastAsia="en-US"/>
        </w:rPr>
        <w:t xml:space="preserve"> these</w:t>
      </w:r>
      <w:r w:rsidR="00594089" w:rsidRPr="00E66B57">
        <w:rPr>
          <w:rFonts w:eastAsia="Calibri"/>
          <w:sz w:val="22"/>
          <w:szCs w:val="22"/>
          <w:lang w:val="en-US" w:eastAsia="en-US"/>
        </w:rPr>
        <w:t xml:space="preserve"> commodit</w:t>
      </w:r>
      <w:r w:rsidR="002354EC" w:rsidRPr="00E66B57">
        <w:rPr>
          <w:rFonts w:eastAsia="Calibri"/>
          <w:sz w:val="22"/>
          <w:szCs w:val="22"/>
          <w:lang w:val="en-US" w:eastAsia="en-US"/>
        </w:rPr>
        <w:t>ies</w:t>
      </w:r>
      <w:r w:rsidR="00C0505C" w:rsidRPr="00E66B57">
        <w:rPr>
          <w:rFonts w:eastAsia="Calibri"/>
          <w:sz w:val="22"/>
          <w:szCs w:val="22"/>
          <w:lang w:val="en-US" w:eastAsia="en-US"/>
        </w:rPr>
        <w:t xml:space="preserve"> have</w:t>
      </w:r>
      <w:r w:rsidR="002354EC" w:rsidRPr="00E66B57">
        <w:rPr>
          <w:rFonts w:eastAsia="Calibri"/>
          <w:sz w:val="22"/>
          <w:szCs w:val="22"/>
          <w:lang w:val="en-US" w:eastAsia="en-US"/>
        </w:rPr>
        <w:t xml:space="preserve"> substantially </w:t>
      </w:r>
      <w:r w:rsidR="00C0505C" w:rsidRPr="00E66B57">
        <w:rPr>
          <w:rFonts w:eastAsia="Calibri"/>
          <w:sz w:val="22"/>
          <w:szCs w:val="22"/>
          <w:lang w:val="en-US" w:eastAsia="en-US"/>
        </w:rPr>
        <w:t xml:space="preserve">increased </w:t>
      </w:r>
      <w:r w:rsidR="00AF0521" w:rsidRPr="00E66B57">
        <w:rPr>
          <w:rFonts w:eastAsia="Calibri"/>
          <w:sz w:val="22"/>
          <w:szCs w:val="22"/>
          <w:lang w:val="en-US" w:eastAsia="en-US"/>
        </w:rPr>
        <w:t>and,</w:t>
      </w:r>
      <w:r w:rsidR="00B32415" w:rsidRPr="00E66B57">
        <w:rPr>
          <w:rFonts w:eastAsia="Calibri"/>
          <w:sz w:val="22"/>
          <w:szCs w:val="22"/>
          <w:lang w:val="en-US" w:eastAsia="en-US"/>
        </w:rPr>
        <w:t xml:space="preserve"> </w:t>
      </w:r>
      <w:r w:rsidR="00AF0521" w:rsidRPr="00E66B57">
        <w:rPr>
          <w:rFonts w:eastAsia="Calibri"/>
          <w:sz w:val="22"/>
          <w:szCs w:val="22"/>
          <w:lang w:val="en-US" w:eastAsia="en-US"/>
        </w:rPr>
        <w:t>c</w:t>
      </w:r>
      <w:r w:rsidR="002354EC" w:rsidRPr="00E66B57">
        <w:rPr>
          <w:rFonts w:eastAsia="Calibri"/>
          <w:sz w:val="22"/>
          <w:szCs w:val="22"/>
          <w:lang w:val="en-US" w:eastAsia="en-US"/>
        </w:rPr>
        <w:t>onsequently</w:t>
      </w:r>
      <w:r w:rsidR="00B32415" w:rsidRPr="00E66B57">
        <w:rPr>
          <w:rFonts w:eastAsia="Calibri"/>
          <w:sz w:val="22"/>
          <w:szCs w:val="22"/>
          <w:lang w:val="en-US" w:eastAsia="en-US"/>
        </w:rPr>
        <w:t>, NFCs</w:t>
      </w:r>
      <w:r w:rsidR="00F2561B" w:rsidRPr="00E66B57">
        <w:rPr>
          <w:rFonts w:eastAsia="Calibri"/>
          <w:sz w:val="22"/>
          <w:szCs w:val="22"/>
          <w:lang w:val="en-US" w:eastAsia="en-US"/>
        </w:rPr>
        <w:t>` positions in these</w:t>
      </w:r>
      <w:r w:rsidR="002354EC" w:rsidRPr="00E66B57">
        <w:rPr>
          <w:rFonts w:eastAsia="Calibri"/>
          <w:sz w:val="22"/>
          <w:szCs w:val="22"/>
          <w:lang w:val="en-US" w:eastAsia="en-US"/>
        </w:rPr>
        <w:t xml:space="preserve"> </w:t>
      </w:r>
      <w:r w:rsidR="00925E27" w:rsidRPr="00E66B57">
        <w:rPr>
          <w:rFonts w:eastAsia="Calibri"/>
          <w:sz w:val="22"/>
          <w:szCs w:val="22"/>
          <w:lang w:val="en-US" w:eastAsia="en-US"/>
        </w:rPr>
        <w:t xml:space="preserve">quickly </w:t>
      </w:r>
      <w:r w:rsidR="002354EC" w:rsidRPr="00E66B57">
        <w:rPr>
          <w:rFonts w:eastAsia="Calibri"/>
          <w:sz w:val="22"/>
          <w:szCs w:val="22"/>
          <w:lang w:val="en-US" w:eastAsia="en-US"/>
        </w:rPr>
        <w:t>consume the fixed EMIR CCT</w:t>
      </w:r>
      <w:r w:rsidR="00AF0521" w:rsidRPr="00E66B57">
        <w:rPr>
          <w:rFonts w:eastAsia="Calibri"/>
          <w:sz w:val="22"/>
          <w:szCs w:val="22"/>
          <w:lang w:val="en-US" w:eastAsia="en-US"/>
        </w:rPr>
        <w:t xml:space="preserve">. Hence, </w:t>
      </w:r>
      <w:r w:rsidR="002354EC" w:rsidRPr="00E66B57">
        <w:rPr>
          <w:rFonts w:eastAsia="Calibri"/>
          <w:sz w:val="22"/>
          <w:szCs w:val="22"/>
          <w:lang w:val="en-US" w:eastAsia="en-US"/>
        </w:rPr>
        <w:t>the headroom</w:t>
      </w:r>
      <w:r w:rsidR="009515FF" w:rsidRPr="00E66B57">
        <w:rPr>
          <w:rFonts w:eastAsia="Calibri"/>
          <w:sz w:val="22"/>
          <w:szCs w:val="22"/>
          <w:lang w:val="en-US" w:eastAsia="en-US"/>
        </w:rPr>
        <w:t xml:space="preserve"> available in 2021 </w:t>
      </w:r>
      <w:r w:rsidR="002354EC" w:rsidRPr="00E66B57">
        <w:rPr>
          <w:rFonts w:eastAsia="Calibri"/>
          <w:sz w:val="22"/>
          <w:szCs w:val="22"/>
          <w:lang w:val="en-US" w:eastAsia="en-US"/>
        </w:rPr>
        <w:t xml:space="preserve">for NFCs </w:t>
      </w:r>
      <w:r w:rsidR="00B32415" w:rsidRPr="00E66B57">
        <w:rPr>
          <w:rFonts w:eastAsia="Calibri"/>
          <w:sz w:val="22"/>
          <w:szCs w:val="22"/>
          <w:lang w:val="en-US" w:eastAsia="en-US"/>
        </w:rPr>
        <w:t xml:space="preserve">to enter into </w:t>
      </w:r>
      <w:r w:rsidR="00F2561B" w:rsidRPr="00E66B57">
        <w:rPr>
          <w:rFonts w:eastAsia="Calibri"/>
          <w:sz w:val="22"/>
          <w:szCs w:val="22"/>
          <w:lang w:val="en-US" w:eastAsia="en-US"/>
        </w:rPr>
        <w:t xml:space="preserve">new </w:t>
      </w:r>
      <w:r w:rsidR="00AF0521" w:rsidRPr="00E66B57">
        <w:rPr>
          <w:rFonts w:eastAsia="Calibri"/>
          <w:sz w:val="22"/>
          <w:szCs w:val="22"/>
          <w:lang w:val="en-US" w:eastAsia="en-US"/>
        </w:rPr>
        <w:t xml:space="preserve">OTC derivative </w:t>
      </w:r>
      <w:r w:rsidR="00B32415" w:rsidRPr="00E66B57">
        <w:rPr>
          <w:rFonts w:eastAsia="Calibri"/>
          <w:sz w:val="22"/>
          <w:szCs w:val="22"/>
          <w:lang w:val="en-US" w:eastAsia="en-US"/>
        </w:rPr>
        <w:t>transactions i</w:t>
      </w:r>
      <w:r w:rsidR="002354EC" w:rsidRPr="00E66B57">
        <w:rPr>
          <w:rFonts w:eastAsia="Calibri"/>
          <w:sz w:val="22"/>
          <w:szCs w:val="22"/>
          <w:lang w:val="en-US" w:eastAsia="en-US"/>
        </w:rPr>
        <w:t>s</w:t>
      </w:r>
      <w:r w:rsidR="009515FF" w:rsidRPr="00E66B57">
        <w:rPr>
          <w:rFonts w:eastAsia="Calibri"/>
          <w:sz w:val="22"/>
          <w:szCs w:val="22"/>
          <w:lang w:val="en-US" w:eastAsia="en-US"/>
        </w:rPr>
        <w:t xml:space="preserve"> </w:t>
      </w:r>
      <w:r w:rsidR="002354EC" w:rsidRPr="00E66B57">
        <w:rPr>
          <w:rFonts w:eastAsia="Calibri"/>
          <w:sz w:val="22"/>
          <w:szCs w:val="22"/>
          <w:lang w:val="en-US" w:eastAsia="en-US"/>
        </w:rPr>
        <w:t>dramatically further reduced</w:t>
      </w:r>
      <w:r w:rsidR="009515FF" w:rsidRPr="00E66B57">
        <w:rPr>
          <w:rFonts w:eastAsia="Calibri"/>
          <w:sz w:val="22"/>
          <w:szCs w:val="22"/>
          <w:lang w:val="en-US" w:eastAsia="en-US"/>
        </w:rPr>
        <w:t xml:space="preserve"> when compared to the date of setting the EMIR CCT in 2012</w:t>
      </w:r>
      <w:r w:rsidR="002354EC" w:rsidRPr="00E66B57">
        <w:rPr>
          <w:rFonts w:eastAsia="Calibri"/>
          <w:sz w:val="22"/>
          <w:szCs w:val="22"/>
          <w:lang w:val="en-US" w:eastAsia="en-US"/>
        </w:rPr>
        <w:t>.</w:t>
      </w:r>
      <w:r w:rsidR="00B32415" w:rsidRPr="00E66B57">
        <w:rPr>
          <w:rFonts w:eastAsia="Calibri"/>
          <w:sz w:val="22"/>
          <w:szCs w:val="22"/>
          <w:lang w:val="en-US" w:eastAsia="en-US"/>
        </w:rPr>
        <w:t xml:space="preserve"> </w:t>
      </w:r>
      <w:r w:rsidR="00AF0521" w:rsidRPr="00E66B57">
        <w:rPr>
          <w:rFonts w:eastAsia="Calibri"/>
          <w:sz w:val="22"/>
          <w:szCs w:val="22"/>
          <w:lang w:val="en-US" w:eastAsia="en-US"/>
        </w:rPr>
        <w:t>Th</w:t>
      </w:r>
      <w:r w:rsidR="009515FF" w:rsidRPr="00E66B57">
        <w:rPr>
          <w:rFonts w:eastAsia="Calibri"/>
          <w:sz w:val="22"/>
          <w:szCs w:val="22"/>
          <w:lang w:val="en-US" w:eastAsia="en-US"/>
        </w:rPr>
        <w:t>erefor</w:t>
      </w:r>
      <w:r w:rsidR="00AF0521" w:rsidRPr="00E66B57">
        <w:rPr>
          <w:rFonts w:eastAsia="Calibri"/>
          <w:sz w:val="22"/>
          <w:szCs w:val="22"/>
          <w:lang w:val="en-US" w:eastAsia="en-US"/>
        </w:rPr>
        <w:t>e</w:t>
      </w:r>
      <w:r w:rsidR="009515FF" w:rsidRPr="00E66B57">
        <w:rPr>
          <w:rFonts w:eastAsia="Calibri"/>
          <w:sz w:val="22"/>
          <w:szCs w:val="22"/>
          <w:lang w:val="en-US" w:eastAsia="en-US"/>
        </w:rPr>
        <w:t>, the</w:t>
      </w:r>
      <w:r w:rsidR="00AF0521" w:rsidRPr="00E66B57">
        <w:rPr>
          <w:rFonts w:eastAsia="Calibri"/>
          <w:sz w:val="22"/>
          <w:szCs w:val="22"/>
          <w:lang w:val="en-US" w:eastAsia="en-US"/>
        </w:rPr>
        <w:t xml:space="preserve"> current low </w:t>
      </w:r>
      <w:r w:rsidR="009515FF" w:rsidRPr="00E66B57">
        <w:rPr>
          <w:rFonts w:eastAsia="Calibri"/>
          <w:sz w:val="22"/>
          <w:szCs w:val="22"/>
          <w:lang w:val="en-US" w:eastAsia="en-US"/>
        </w:rPr>
        <w:t xml:space="preserve">EMIR CCT </w:t>
      </w:r>
      <w:r w:rsidR="00AF0521" w:rsidRPr="00E66B57">
        <w:rPr>
          <w:rFonts w:eastAsia="Calibri"/>
          <w:sz w:val="22"/>
          <w:szCs w:val="22"/>
          <w:lang w:val="en-US" w:eastAsia="en-US"/>
        </w:rPr>
        <w:t>level does not provide enough margin to NFCs to mitigate</w:t>
      </w:r>
      <w:r w:rsidR="00526961" w:rsidRPr="00E66B57">
        <w:rPr>
          <w:rFonts w:eastAsia="Calibri"/>
          <w:sz w:val="22"/>
          <w:szCs w:val="22"/>
          <w:lang w:val="en-US" w:eastAsia="en-US"/>
        </w:rPr>
        <w:t xml:space="preserve"> the</w:t>
      </w:r>
      <w:r w:rsidR="00AF0521" w:rsidRPr="00E66B57">
        <w:rPr>
          <w:rFonts w:eastAsia="Calibri"/>
          <w:sz w:val="22"/>
          <w:szCs w:val="22"/>
          <w:lang w:val="en-US" w:eastAsia="en-US"/>
        </w:rPr>
        <w:t xml:space="preserve"> current and any future price volatilities. </w:t>
      </w:r>
    </w:p>
    <w:p w14:paraId="27358A4A" w14:textId="7D98BEF2" w:rsidR="00A36327" w:rsidRPr="0077233F" w:rsidRDefault="00027BA9" w:rsidP="0077233F">
      <w:pPr>
        <w:numPr>
          <w:ilvl w:val="0"/>
          <w:numId w:val="47"/>
        </w:numPr>
        <w:spacing w:before="120" w:after="120"/>
        <w:jc w:val="both"/>
        <w:rPr>
          <w:rFonts w:eastAsia="Calibri"/>
          <w:sz w:val="22"/>
          <w:szCs w:val="22"/>
          <w:lang w:val="en-US" w:eastAsia="en-US"/>
        </w:rPr>
      </w:pPr>
      <w:r w:rsidRPr="00D54941">
        <w:rPr>
          <w:rFonts w:eastAsia="Calibri"/>
          <w:sz w:val="22"/>
          <w:szCs w:val="22"/>
          <w:lang w:val="en-US" w:eastAsia="en-US"/>
        </w:rPr>
        <w:t>The current</w:t>
      </w:r>
      <w:r w:rsidR="00D54941">
        <w:rPr>
          <w:rFonts w:eastAsia="Calibri"/>
          <w:sz w:val="22"/>
          <w:szCs w:val="22"/>
          <w:lang w:val="en-US" w:eastAsia="en-US"/>
        </w:rPr>
        <w:t xml:space="preserve"> </w:t>
      </w:r>
      <w:r w:rsidR="00CD140E">
        <w:rPr>
          <w:rFonts w:eastAsia="Calibri"/>
          <w:sz w:val="22"/>
          <w:szCs w:val="22"/>
          <w:lang w:val="en-US" w:eastAsia="en-US"/>
        </w:rPr>
        <w:t xml:space="preserve">restrictive </w:t>
      </w:r>
      <w:r w:rsidR="00D54941">
        <w:rPr>
          <w:rFonts w:eastAsia="Calibri"/>
          <w:sz w:val="22"/>
          <w:szCs w:val="22"/>
          <w:lang w:val="en-US" w:eastAsia="en-US"/>
        </w:rPr>
        <w:t>netting</w:t>
      </w:r>
      <w:r w:rsidRPr="00D54941">
        <w:rPr>
          <w:rFonts w:eastAsia="Calibri"/>
          <w:sz w:val="22"/>
          <w:szCs w:val="22"/>
          <w:lang w:val="en-US" w:eastAsia="en-US"/>
        </w:rPr>
        <w:t xml:space="preserve"> methodologies</w:t>
      </w:r>
      <w:r w:rsidR="008A2DA0">
        <w:rPr>
          <w:rFonts w:eastAsia="Calibri"/>
          <w:sz w:val="22"/>
          <w:szCs w:val="22"/>
          <w:lang w:val="en-US" w:eastAsia="en-US"/>
        </w:rPr>
        <w:t xml:space="preserve">, </w:t>
      </w:r>
      <w:r w:rsidR="008A2DA0" w:rsidRPr="00A46EF7">
        <w:rPr>
          <w:sz w:val="22"/>
        </w:rPr>
        <w:t>see ESMA QA (OTC Question 3 (f) )</w:t>
      </w:r>
      <w:r w:rsidR="008A2DA0">
        <w:rPr>
          <w:sz w:val="22"/>
        </w:rPr>
        <w:t xml:space="preserve">, </w:t>
      </w:r>
      <w:r w:rsidRPr="00D54941">
        <w:rPr>
          <w:rFonts w:eastAsia="Calibri"/>
          <w:sz w:val="22"/>
          <w:szCs w:val="22"/>
          <w:lang w:val="en-US" w:eastAsia="en-US"/>
        </w:rPr>
        <w:t>unduly inflate the gross notional values of OTC derivatives counting against the EMIR CCT.</w:t>
      </w:r>
      <w:r w:rsidR="0077233F">
        <w:rPr>
          <w:rFonts w:eastAsia="Calibri"/>
          <w:sz w:val="22"/>
          <w:szCs w:val="22"/>
          <w:lang w:val="en-US" w:eastAsia="en-US"/>
        </w:rPr>
        <w:t xml:space="preserve"> </w:t>
      </w:r>
      <w:r w:rsidR="00464696" w:rsidRPr="0077233F">
        <w:rPr>
          <w:sz w:val="22"/>
        </w:rPr>
        <w:t>Other regulations applicable to energy commodity trading firms display a</w:t>
      </w:r>
      <w:r w:rsidR="0061388F" w:rsidRPr="0077233F">
        <w:rPr>
          <w:sz w:val="22"/>
        </w:rPr>
        <w:t xml:space="preserve"> substantial</w:t>
      </w:r>
      <w:r w:rsidR="00464696" w:rsidRPr="0077233F">
        <w:rPr>
          <w:sz w:val="22"/>
        </w:rPr>
        <w:t xml:space="preserve"> wider understanding of </w:t>
      </w:r>
      <w:r w:rsidR="0061388F" w:rsidRPr="0077233F">
        <w:rPr>
          <w:sz w:val="22"/>
        </w:rPr>
        <w:t>netting, in particular for the ancillary activity tests under the CDR 2017/592.</w:t>
      </w:r>
    </w:p>
    <w:p w14:paraId="388DE374" w14:textId="7A973E9D" w:rsidR="00B43D1A" w:rsidRPr="00CE0151" w:rsidRDefault="004166F3" w:rsidP="00CE0151">
      <w:pPr>
        <w:numPr>
          <w:ilvl w:val="0"/>
          <w:numId w:val="47"/>
        </w:numPr>
        <w:spacing w:before="120" w:after="120"/>
        <w:jc w:val="both"/>
        <w:rPr>
          <w:rFonts w:eastAsia="Calibri"/>
          <w:sz w:val="22"/>
          <w:szCs w:val="22"/>
          <w:lang w:val="en-US" w:eastAsia="en-US"/>
        </w:rPr>
      </w:pPr>
      <w:r w:rsidRPr="00A46EF7">
        <w:rPr>
          <w:rFonts w:eastAsia="Calibri"/>
          <w:sz w:val="22"/>
          <w:szCs w:val="22"/>
          <w:lang w:eastAsia="en-US"/>
        </w:rPr>
        <w:lastRenderedPageBreak/>
        <w:t>The Level 1 text of EMIR (Articles 2 (7), 2a (1), 10 (1) provides that derivative contracts, which are not traded on EU regulated markets or on equivalent 3</w:t>
      </w:r>
      <w:r w:rsidRPr="00A46EF7">
        <w:rPr>
          <w:rFonts w:eastAsia="Calibri"/>
          <w:sz w:val="22"/>
          <w:szCs w:val="22"/>
          <w:vertAlign w:val="superscript"/>
          <w:lang w:eastAsia="en-US"/>
        </w:rPr>
        <w:t>rd</w:t>
      </w:r>
      <w:r w:rsidRPr="00A46EF7">
        <w:rPr>
          <w:rFonts w:eastAsia="Calibri"/>
          <w:sz w:val="22"/>
          <w:szCs w:val="22"/>
          <w:lang w:eastAsia="en-US"/>
        </w:rPr>
        <w:t xml:space="preserve"> country exchange, are OTC Derivatives which count against the EMIR CCT</w:t>
      </w:r>
      <w:r w:rsidR="00724B98" w:rsidRPr="0077233F">
        <w:rPr>
          <w:rFonts w:eastAsia="Calibri"/>
          <w:sz w:val="22"/>
          <w:szCs w:val="22"/>
          <w:lang w:val="en-US" w:eastAsia="en-US"/>
        </w:rPr>
        <w:t>.</w:t>
      </w:r>
      <w:r w:rsidR="00CE0151">
        <w:rPr>
          <w:sz w:val="22"/>
          <w:szCs w:val="20"/>
          <w:lang w:val="en-US"/>
        </w:rPr>
        <w:t xml:space="preserve"> </w:t>
      </w:r>
      <w:r w:rsidR="000E6508" w:rsidRPr="00CE0151">
        <w:rPr>
          <w:sz w:val="22"/>
          <w:szCs w:val="20"/>
        </w:rPr>
        <w:t>Also OTC Derivatives centrally cleared on a voluntary basis on such a CCP remain OTC derivatives for the purpose of the EMIR CCT calculations (ESMA</w:t>
      </w:r>
      <w:r w:rsidR="0014051D" w:rsidRPr="00CE0151">
        <w:rPr>
          <w:sz w:val="22"/>
          <w:szCs w:val="20"/>
        </w:rPr>
        <w:t xml:space="preserve"> EMIR QA, OTC Question 3 (d) (2) )</w:t>
      </w:r>
      <w:r w:rsidR="000E6508" w:rsidRPr="00CE0151">
        <w:rPr>
          <w:sz w:val="22"/>
          <w:szCs w:val="20"/>
        </w:rPr>
        <w:t>.</w:t>
      </w:r>
    </w:p>
    <w:p w14:paraId="641DF3A1" w14:textId="3409DF7A" w:rsidR="002507B5" w:rsidRPr="00F12BB3" w:rsidRDefault="0013217B" w:rsidP="00F12BB3">
      <w:pPr>
        <w:numPr>
          <w:ilvl w:val="0"/>
          <w:numId w:val="47"/>
        </w:numPr>
        <w:spacing w:before="120" w:after="120"/>
        <w:jc w:val="both"/>
        <w:rPr>
          <w:rFonts w:eastAsia="Calibri"/>
          <w:sz w:val="22"/>
          <w:szCs w:val="22"/>
          <w:lang w:eastAsia="en-US"/>
        </w:rPr>
      </w:pPr>
      <w:r w:rsidRPr="00A46EF7">
        <w:rPr>
          <w:rFonts w:eastAsia="Calibri"/>
          <w:sz w:val="22"/>
          <w:szCs w:val="22"/>
          <w:lang w:eastAsia="en-US"/>
        </w:rPr>
        <w:t>The EMIR CCT calculation under the Level 1 text of EMIR (Article 10 (3) )</w:t>
      </w:r>
      <w:r w:rsidR="0063528E" w:rsidRPr="00A46EF7">
        <w:rPr>
          <w:rFonts w:eastAsia="Calibri"/>
          <w:sz w:val="22"/>
          <w:szCs w:val="22"/>
          <w:lang w:eastAsia="en-US"/>
        </w:rPr>
        <w:t xml:space="preserve"> includes intragroup transactions</w:t>
      </w:r>
      <w:r w:rsidR="000E6508" w:rsidRPr="00A46EF7">
        <w:rPr>
          <w:rFonts w:eastAsia="Calibri"/>
          <w:sz w:val="22"/>
          <w:szCs w:val="22"/>
          <w:lang w:eastAsia="en-US"/>
        </w:rPr>
        <w:t xml:space="preserve"> </w:t>
      </w:r>
      <w:r w:rsidR="00DE2486" w:rsidRPr="00A46EF7">
        <w:rPr>
          <w:rFonts w:eastAsia="Calibri"/>
          <w:sz w:val="22"/>
          <w:szCs w:val="22"/>
          <w:lang w:eastAsia="en-US"/>
        </w:rPr>
        <w:t>and this inflates the gross notional values of OTC derivatives counting against the EMIR CCT.</w:t>
      </w:r>
      <w:r w:rsidR="002D7FF7">
        <w:rPr>
          <w:rFonts w:eastAsia="Calibri"/>
          <w:sz w:val="22"/>
          <w:szCs w:val="22"/>
          <w:lang w:eastAsia="en-US"/>
        </w:rPr>
        <w:t xml:space="preserve"> </w:t>
      </w:r>
      <w:r w:rsidR="00F12BB3">
        <w:rPr>
          <w:rFonts w:eastAsia="Calibri"/>
          <w:sz w:val="22"/>
          <w:szCs w:val="22"/>
          <w:lang w:eastAsia="en-US"/>
        </w:rPr>
        <w:t>I</w:t>
      </w:r>
      <w:r w:rsidR="000E6508" w:rsidRPr="00F12BB3">
        <w:rPr>
          <w:sz w:val="22"/>
          <w:szCs w:val="20"/>
        </w:rPr>
        <w:t>f two NFCs belonging to the same group enter into an intragroup transaction with each other, which does not fall within the hedging definition, both sides of the transaction should be counted</w:t>
      </w:r>
      <w:r w:rsidR="002507B5" w:rsidRPr="00F12BB3">
        <w:rPr>
          <w:sz w:val="22"/>
          <w:szCs w:val="20"/>
        </w:rPr>
        <w:t xml:space="preserve"> </w:t>
      </w:r>
      <w:r w:rsidR="002507B5" w:rsidRPr="00F12BB3">
        <w:rPr>
          <w:rFonts w:eastAsia="Calibri"/>
          <w:sz w:val="22"/>
          <w:szCs w:val="22"/>
          <w:lang w:eastAsia="en-US"/>
        </w:rPr>
        <w:t>(ESMA EMIR QA, OTC Question 3 (d) (1))</w:t>
      </w:r>
      <w:r w:rsidR="000E6508" w:rsidRPr="00F12BB3">
        <w:rPr>
          <w:sz w:val="22"/>
          <w:szCs w:val="20"/>
        </w:rPr>
        <w:t xml:space="preserve">. The total contribution to the group-level threshold calculation would therefore be twice the notional </w:t>
      </w:r>
      <w:r w:rsidR="00AD7FC2" w:rsidRPr="00F12BB3">
        <w:rPr>
          <w:sz w:val="22"/>
          <w:szCs w:val="20"/>
        </w:rPr>
        <w:t xml:space="preserve">amount </w:t>
      </w:r>
      <w:r w:rsidR="000E6508" w:rsidRPr="00F12BB3">
        <w:rPr>
          <w:sz w:val="22"/>
          <w:szCs w:val="20"/>
        </w:rPr>
        <w:t>of the contract.</w:t>
      </w:r>
    </w:p>
    <w:p w14:paraId="2C9FA8B5" w14:textId="1D2C2204" w:rsidR="002507B5" w:rsidRPr="00A46EF7" w:rsidRDefault="002507B5" w:rsidP="005070CC">
      <w:pPr>
        <w:spacing w:before="120" w:after="120"/>
        <w:ind w:left="357"/>
        <w:jc w:val="both"/>
        <w:rPr>
          <w:sz w:val="22"/>
        </w:rPr>
      </w:pPr>
      <w:r w:rsidRPr="00A46EF7">
        <w:rPr>
          <w:rFonts w:eastAsia="Calibri"/>
          <w:sz w:val="22"/>
          <w:szCs w:val="22"/>
          <w:lang w:val="en-US" w:eastAsia="en-US"/>
        </w:rPr>
        <w:t>This effect i</w:t>
      </w:r>
      <w:r w:rsidR="00AD7FC2" w:rsidRPr="00A46EF7">
        <w:rPr>
          <w:rFonts w:eastAsia="Calibri"/>
          <w:sz w:val="22"/>
          <w:szCs w:val="22"/>
          <w:lang w:val="en-US" w:eastAsia="en-US"/>
        </w:rPr>
        <w:t>s</w:t>
      </w:r>
      <w:r w:rsidRPr="00A46EF7">
        <w:rPr>
          <w:rFonts w:eastAsia="Calibri"/>
          <w:sz w:val="22"/>
          <w:szCs w:val="22"/>
          <w:lang w:val="en-US" w:eastAsia="en-US"/>
        </w:rPr>
        <w:t xml:space="preserve"> compounded</w:t>
      </w:r>
      <w:r w:rsidRPr="00A46EF7">
        <w:rPr>
          <w:sz w:val="22"/>
          <w:szCs w:val="20"/>
        </w:rPr>
        <w:t xml:space="preserve"> for non-financial groups, which typically </w:t>
      </w:r>
      <w:r w:rsidR="00AD7FC2" w:rsidRPr="00A46EF7">
        <w:rPr>
          <w:sz w:val="22"/>
          <w:szCs w:val="20"/>
        </w:rPr>
        <w:t>use</w:t>
      </w:r>
      <w:r w:rsidRPr="00A46EF7">
        <w:rPr>
          <w:sz w:val="22"/>
          <w:szCs w:val="20"/>
        </w:rPr>
        <w:t xml:space="preserve"> one</w:t>
      </w:r>
      <w:r w:rsidR="00BB2728" w:rsidRPr="00A46EF7">
        <w:rPr>
          <w:sz w:val="22"/>
          <w:szCs w:val="20"/>
        </w:rPr>
        <w:t xml:space="preserve"> trading</w:t>
      </w:r>
      <w:r w:rsidRPr="00A46EF7">
        <w:rPr>
          <w:sz w:val="22"/>
          <w:szCs w:val="20"/>
        </w:rPr>
        <w:t xml:space="preserve"> entity as access to the markets that is specialised in dealing in commodity derivatives </w:t>
      </w:r>
      <w:r w:rsidR="00487A8D" w:rsidRPr="00A46EF7">
        <w:rPr>
          <w:sz w:val="22"/>
          <w:szCs w:val="20"/>
        </w:rPr>
        <w:t xml:space="preserve">(the “trading entity”) </w:t>
      </w:r>
      <w:r w:rsidRPr="00A46EF7">
        <w:rPr>
          <w:sz w:val="22"/>
          <w:szCs w:val="20"/>
        </w:rPr>
        <w:t xml:space="preserve">with entities outside the group. </w:t>
      </w:r>
      <w:r w:rsidR="00C020FA" w:rsidRPr="00A46EF7">
        <w:rPr>
          <w:sz w:val="22"/>
          <w:szCs w:val="20"/>
        </w:rPr>
        <w:t>If this</w:t>
      </w:r>
      <w:r w:rsidRPr="00A46EF7">
        <w:rPr>
          <w:sz w:val="22"/>
          <w:szCs w:val="20"/>
        </w:rPr>
        <w:t xml:space="preserve"> trading entity enters into external derivative contracts which mirror</w:t>
      </w:r>
      <w:r w:rsidR="00C020FA" w:rsidRPr="00A46EF7">
        <w:rPr>
          <w:sz w:val="22"/>
          <w:szCs w:val="20"/>
        </w:rPr>
        <w:t>s</w:t>
      </w:r>
      <w:r w:rsidRPr="00A46EF7">
        <w:rPr>
          <w:sz w:val="22"/>
          <w:szCs w:val="20"/>
        </w:rPr>
        <w:t xml:space="preserve"> </w:t>
      </w:r>
      <w:r w:rsidR="00C020FA" w:rsidRPr="00A46EF7">
        <w:rPr>
          <w:sz w:val="22"/>
          <w:szCs w:val="20"/>
        </w:rPr>
        <w:t>one or more</w:t>
      </w:r>
      <w:r w:rsidRPr="00A46EF7">
        <w:rPr>
          <w:sz w:val="22"/>
          <w:szCs w:val="20"/>
        </w:rPr>
        <w:t xml:space="preserve"> </w:t>
      </w:r>
      <w:r w:rsidR="00C020FA" w:rsidRPr="00A46EF7">
        <w:rPr>
          <w:sz w:val="22"/>
          <w:szCs w:val="20"/>
        </w:rPr>
        <w:t>non-hedging intragroup</w:t>
      </w:r>
      <w:r w:rsidRPr="00A46EF7">
        <w:rPr>
          <w:sz w:val="22"/>
          <w:szCs w:val="20"/>
        </w:rPr>
        <w:t xml:space="preserve"> derivative contract</w:t>
      </w:r>
      <w:r w:rsidR="00C020FA" w:rsidRPr="00A46EF7">
        <w:rPr>
          <w:sz w:val="22"/>
          <w:szCs w:val="20"/>
        </w:rPr>
        <w:t xml:space="preserve">s, then the EMIR CCT calculation would therefore </w:t>
      </w:r>
      <w:r w:rsidR="00AD7FC2" w:rsidRPr="00A46EF7">
        <w:rPr>
          <w:sz w:val="22"/>
          <w:szCs w:val="20"/>
        </w:rPr>
        <w:t xml:space="preserve">amount to </w:t>
      </w:r>
      <w:r w:rsidR="00C020FA" w:rsidRPr="00A46EF7">
        <w:rPr>
          <w:sz w:val="22"/>
          <w:szCs w:val="20"/>
        </w:rPr>
        <w:t xml:space="preserve">3 times the </w:t>
      </w:r>
      <w:r w:rsidR="00BB57A1" w:rsidRPr="00A46EF7">
        <w:rPr>
          <w:sz w:val="22"/>
          <w:szCs w:val="20"/>
        </w:rPr>
        <w:t xml:space="preserve">notional </w:t>
      </w:r>
      <w:r w:rsidR="00AD7FC2" w:rsidRPr="00A46EF7">
        <w:rPr>
          <w:sz w:val="22"/>
          <w:szCs w:val="20"/>
        </w:rPr>
        <w:t>amounts</w:t>
      </w:r>
      <w:r w:rsidR="00C020FA" w:rsidRPr="00A46EF7">
        <w:rPr>
          <w:sz w:val="22"/>
          <w:szCs w:val="20"/>
        </w:rPr>
        <w:t xml:space="preserve"> of these contracts </w:t>
      </w:r>
      <w:r w:rsidR="00C020FA" w:rsidRPr="00A46EF7">
        <w:rPr>
          <w:rFonts w:eastAsia="Calibri"/>
          <w:sz w:val="22"/>
          <w:szCs w:val="22"/>
          <w:lang w:eastAsia="en-US"/>
        </w:rPr>
        <w:t>(ESMA EMIR QA, OTC Question 3 (e)).</w:t>
      </w:r>
      <w:r w:rsidRPr="00A46EF7">
        <w:rPr>
          <w:sz w:val="22"/>
          <w:szCs w:val="20"/>
        </w:rPr>
        <w:t xml:space="preserve"> </w:t>
      </w:r>
    </w:p>
    <w:p w14:paraId="09C8D0AB" w14:textId="308EEEAF" w:rsidR="00122F9C" w:rsidRPr="00653192" w:rsidRDefault="00A619C6" w:rsidP="00653192">
      <w:pPr>
        <w:numPr>
          <w:ilvl w:val="0"/>
          <w:numId w:val="47"/>
        </w:numPr>
        <w:spacing w:before="120" w:after="120"/>
        <w:jc w:val="both"/>
        <w:rPr>
          <w:rFonts w:eastAsia="Calibri"/>
          <w:sz w:val="22"/>
          <w:szCs w:val="22"/>
          <w:lang w:eastAsia="en-US"/>
        </w:rPr>
      </w:pPr>
      <w:r w:rsidRPr="00653192">
        <w:rPr>
          <w:rFonts w:eastAsia="Calibri"/>
          <w:sz w:val="22"/>
          <w:szCs w:val="22"/>
          <w:lang w:eastAsia="en-US"/>
        </w:rPr>
        <w:t>The calculation of the EMIR CCT under Article 10 (3) of EMIR is based on a</w:t>
      </w:r>
      <w:r w:rsidR="00012E94" w:rsidRPr="00653192">
        <w:rPr>
          <w:rFonts w:eastAsia="Calibri"/>
          <w:sz w:val="22"/>
          <w:szCs w:val="22"/>
          <w:lang w:eastAsia="en-US"/>
        </w:rPr>
        <w:t>n</w:t>
      </w:r>
      <w:r w:rsidRPr="00653192">
        <w:rPr>
          <w:rFonts w:eastAsia="Calibri"/>
          <w:sz w:val="22"/>
          <w:szCs w:val="22"/>
          <w:lang w:eastAsia="en-US"/>
        </w:rPr>
        <w:t xml:space="preserve"> outstanding notional exposure, i.e., shall be calculated by averaging the aggregated month-end outstanding notional values for the previous 12 months resulting from all relevant OTC derivatives contracts (ESMA EMIR QA, OTC Question </w:t>
      </w:r>
      <w:r w:rsidR="00B21F09" w:rsidRPr="00653192">
        <w:rPr>
          <w:rFonts w:eastAsia="Calibri"/>
          <w:sz w:val="22"/>
          <w:szCs w:val="22"/>
          <w:lang w:eastAsia="en-US"/>
        </w:rPr>
        <w:t>3 (a))</w:t>
      </w:r>
      <w:r w:rsidRPr="00653192">
        <w:rPr>
          <w:rFonts w:eastAsia="Calibri"/>
          <w:sz w:val="22"/>
          <w:szCs w:val="22"/>
          <w:lang w:eastAsia="en-US"/>
        </w:rPr>
        <w:t>.</w:t>
      </w:r>
      <w:r w:rsidR="00B21F09" w:rsidRPr="00653192">
        <w:rPr>
          <w:rFonts w:eastAsia="Calibri"/>
          <w:sz w:val="22"/>
          <w:szCs w:val="22"/>
          <w:lang w:eastAsia="en-US"/>
        </w:rPr>
        <w:t xml:space="preserve"> For example, the remaining outstanding notional exposure of a 10 year OTC swap counts during its entire duration against the EMIR CCT calculation. </w:t>
      </w:r>
    </w:p>
    <w:p w14:paraId="349031E3" w14:textId="11FC0096" w:rsidR="000F6233" w:rsidRPr="005A7CAE" w:rsidRDefault="00B21F09" w:rsidP="005070CC">
      <w:pPr>
        <w:spacing w:before="120" w:after="120"/>
        <w:ind w:left="357"/>
        <w:jc w:val="both"/>
        <w:rPr>
          <w:rFonts w:eastAsia="Calibri"/>
          <w:sz w:val="22"/>
          <w:szCs w:val="22"/>
          <w:lang w:eastAsia="en-US"/>
        </w:rPr>
      </w:pPr>
      <w:r w:rsidRPr="005A7CAE">
        <w:rPr>
          <w:sz w:val="22"/>
        </w:rPr>
        <w:t>U</w:t>
      </w:r>
      <w:r w:rsidR="00122F9C" w:rsidRPr="005A7CAE">
        <w:rPr>
          <w:sz w:val="22"/>
        </w:rPr>
        <w:t xml:space="preserve">nlike under EMIR, </w:t>
      </w:r>
      <w:r w:rsidRPr="005A7CAE">
        <w:rPr>
          <w:sz w:val="22"/>
        </w:rPr>
        <w:t xml:space="preserve">under the U.S. DFA </w:t>
      </w:r>
      <w:r w:rsidR="00122F9C" w:rsidRPr="005A7CAE">
        <w:rPr>
          <w:sz w:val="22"/>
        </w:rPr>
        <w:t>only swaps that have been entered into in the previous 12 months count against the threshold. Therefore, swaps entered into for a period of more than a year will drop out on a rolling basis. Any double or multiple counting of existing swaps and the respective open positions – as under EMIR – is avoided</w:t>
      </w:r>
      <w:r w:rsidRPr="005A7CAE">
        <w:rPr>
          <w:sz w:val="22"/>
        </w:rPr>
        <w:t xml:space="preserve"> (see page </w:t>
      </w:r>
      <w:r w:rsidR="003E4D12" w:rsidRPr="005A7CAE">
        <w:rPr>
          <w:sz w:val="22"/>
        </w:rPr>
        <w:t>36</w:t>
      </w:r>
      <w:r w:rsidRPr="005A7CAE">
        <w:rPr>
          <w:sz w:val="22"/>
        </w:rPr>
        <w:t xml:space="preserve"> of</w:t>
      </w:r>
      <w:r w:rsidR="00012E94" w:rsidRPr="005A7CAE">
        <w:rPr>
          <w:sz w:val="22"/>
        </w:rPr>
        <w:t xml:space="preserve"> attached</w:t>
      </w:r>
      <w:r w:rsidRPr="005A7CAE">
        <w:rPr>
          <w:sz w:val="22"/>
        </w:rPr>
        <w:t xml:space="preserve"> </w:t>
      </w:r>
      <w:r w:rsidRPr="005A7CAE">
        <w:rPr>
          <w:sz w:val="22"/>
          <w:u w:val="single"/>
        </w:rPr>
        <w:t>Benchmark Study</w:t>
      </w:r>
      <w:r w:rsidRPr="005A7CAE">
        <w:rPr>
          <w:sz w:val="22"/>
        </w:rPr>
        <w:t>)</w:t>
      </w:r>
      <w:r w:rsidR="00122F9C" w:rsidRPr="005A7CAE">
        <w:rPr>
          <w:sz w:val="22"/>
        </w:rPr>
        <w:t xml:space="preserve">. In fact, the </w:t>
      </w:r>
      <w:r w:rsidR="003E6D0C" w:rsidRPr="005A7CAE">
        <w:rPr>
          <w:sz w:val="22"/>
        </w:rPr>
        <w:t xml:space="preserve">USD 8 Billion </w:t>
      </w:r>
      <w:r w:rsidR="00122F9C" w:rsidRPr="005A7CAE">
        <w:rPr>
          <w:sz w:val="22"/>
        </w:rPr>
        <w:t>threshold under the Dodd-Frank</w:t>
      </w:r>
      <w:r w:rsidR="00AD7FC2" w:rsidRPr="005A7CAE">
        <w:rPr>
          <w:sz w:val="22"/>
        </w:rPr>
        <w:t xml:space="preserve"> Act</w:t>
      </w:r>
      <w:r w:rsidR="00122F9C" w:rsidRPr="005A7CAE">
        <w:rPr>
          <w:sz w:val="22"/>
        </w:rPr>
        <w:t xml:space="preserve"> measures the dealing activity of a person rather than the size of actual open positions</w:t>
      </w:r>
    </w:p>
    <w:bookmarkEnd w:id="9"/>
    <w:bookmarkEnd w:id="10"/>
    <w:permEnd w:id="548757607"/>
    <w:p w14:paraId="7F05ED60" w14:textId="77777777" w:rsidR="0062022D" w:rsidRDefault="0062022D" w:rsidP="0062022D"/>
    <w:p w14:paraId="2D4015E7" w14:textId="689CC30F" w:rsidR="0062022D" w:rsidRPr="004648DA" w:rsidRDefault="0062022D" w:rsidP="0062022D">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00A263DF" w:rsidRPr="004648DA">
        <w:rPr>
          <w:lang w:val="es-ES"/>
        </w:rPr>
        <w:t>6</w:t>
      </w:r>
      <w:r w:rsidRPr="004648DA">
        <w:rPr>
          <w:lang w:val="es-ES"/>
        </w:rPr>
        <w:t>&gt;</w:t>
      </w:r>
    </w:p>
    <w:p w14:paraId="0E950AC0" w14:textId="77777777" w:rsidR="0062022D" w:rsidRPr="004648DA" w:rsidRDefault="0062022D" w:rsidP="009003B8">
      <w:pPr>
        <w:jc w:val="both"/>
        <w:rPr>
          <w:i/>
          <w:lang w:val="es-ES"/>
        </w:rPr>
      </w:pPr>
    </w:p>
    <w:p w14:paraId="06CA1456" w14:textId="4945A76D" w:rsidR="002E1760" w:rsidRPr="00431DA4" w:rsidRDefault="004648DA" w:rsidP="00293D78">
      <w:pPr>
        <w:pStyle w:val="CPQuestions"/>
      </w:pPr>
      <w:r w:rsidRPr="00ED3D8A">
        <w:t>Considering the current coverage provided by the clearing thresholds in relation to credit derivatives and the different type of counterparties (FCs and NFCs); is there any aspect or issue you consider ESMA should look into or pay attention to?  Please, in your answer, provide as granular details and any relevant data to illustrate your response</w:t>
      </w:r>
      <w:r w:rsidR="00A263DF">
        <w:t>.</w:t>
      </w:r>
    </w:p>
    <w:p w14:paraId="117ADDA5" w14:textId="1327D851" w:rsidR="00A263DF" w:rsidRPr="006C2D5A" w:rsidRDefault="00A263DF" w:rsidP="00A263DF">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7&gt;</w:t>
      </w:r>
    </w:p>
    <w:p w14:paraId="61A1D6E5" w14:textId="1873E6D9" w:rsidR="00A263DF" w:rsidRDefault="00A263DF" w:rsidP="00A263DF">
      <w:permStart w:id="1600484054" w:edGrp="everyone"/>
      <w:r>
        <w:t>TYPE YOUR TEXT HERE</w:t>
      </w:r>
      <w:permEnd w:id="1600484054"/>
    </w:p>
    <w:p w14:paraId="56C64114" w14:textId="0402E969" w:rsidR="00A263DF" w:rsidRPr="004648DA" w:rsidRDefault="00A263DF" w:rsidP="00A263DF">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7&gt;</w:t>
      </w:r>
    </w:p>
    <w:p w14:paraId="0EBB791B" w14:textId="77777777" w:rsidR="00C228C1" w:rsidRPr="004648DA" w:rsidRDefault="00C228C1" w:rsidP="00A263DF">
      <w:pPr>
        <w:rPr>
          <w:lang w:val="es-ES"/>
        </w:rPr>
      </w:pPr>
    </w:p>
    <w:p w14:paraId="4921B64F" w14:textId="35020D71" w:rsidR="002E1760" w:rsidRPr="00431DA4" w:rsidRDefault="004648DA" w:rsidP="00293D78">
      <w:pPr>
        <w:pStyle w:val="CPQuestions"/>
      </w:pPr>
      <w:r w:rsidRPr="00425096">
        <w:t xml:space="preserve">Considering the current coverage provided by the clearing thresholds in relation to interest rate derivatives and the different type of counterparties (FCs and NFCs); is there any aspect or issue you consider ESMA should look into or pay attention to?  </w:t>
      </w:r>
      <w:r w:rsidRPr="00425096">
        <w:lastRenderedPageBreak/>
        <w:t>Please, in your answer, provide as granular details and any relevant data to illustrate your response</w:t>
      </w:r>
      <w:r w:rsidR="008418E3">
        <w:t>.</w:t>
      </w:r>
    </w:p>
    <w:p w14:paraId="2D5BC2B3" w14:textId="45F7500C" w:rsidR="00A263DF" w:rsidRPr="006C2D5A" w:rsidRDefault="00A263DF" w:rsidP="00A263DF">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00C228C1" w:rsidRPr="006C2D5A">
        <w:rPr>
          <w:lang w:val="es-ES"/>
        </w:rPr>
        <w:t>8</w:t>
      </w:r>
      <w:r w:rsidRPr="006C2D5A">
        <w:rPr>
          <w:lang w:val="es-ES"/>
        </w:rPr>
        <w:t>&gt;</w:t>
      </w:r>
    </w:p>
    <w:p w14:paraId="08B2B9C1" w14:textId="2C5169BD" w:rsidR="00A229BD" w:rsidRDefault="00A263DF" w:rsidP="00A229BD">
      <w:permStart w:id="1768257119" w:edGrp="everyone"/>
      <w:r>
        <w:t>TYPE YOUR TEXT HERE</w:t>
      </w:r>
    </w:p>
    <w:permEnd w:id="1768257119"/>
    <w:p w14:paraId="2F990B64" w14:textId="77777777" w:rsidR="00A263DF" w:rsidRDefault="00A263DF" w:rsidP="00A263DF"/>
    <w:p w14:paraId="75E63E7F" w14:textId="08643D0D" w:rsidR="00A263DF" w:rsidRPr="004648DA" w:rsidRDefault="00A263DF" w:rsidP="00A263DF">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00C228C1" w:rsidRPr="004648DA">
        <w:rPr>
          <w:lang w:val="es-ES"/>
        </w:rPr>
        <w:t>8</w:t>
      </w:r>
      <w:r w:rsidRPr="004648DA">
        <w:rPr>
          <w:lang w:val="es-ES"/>
        </w:rPr>
        <w:t>&gt;</w:t>
      </w:r>
    </w:p>
    <w:p w14:paraId="1CF89443" w14:textId="77777777" w:rsidR="00C228C1" w:rsidRPr="004648DA" w:rsidRDefault="00C228C1" w:rsidP="00A263DF">
      <w:pPr>
        <w:rPr>
          <w:lang w:val="es-ES"/>
        </w:rPr>
      </w:pPr>
    </w:p>
    <w:p w14:paraId="075C8737" w14:textId="35EE7028" w:rsidR="002E1760" w:rsidRPr="00431DA4" w:rsidRDefault="004648DA" w:rsidP="00293D78">
      <w:pPr>
        <w:pStyle w:val="CPQuestions"/>
      </w:pPr>
      <w:r w:rsidRPr="00ED3D8A">
        <w:t>Considering the current coverage provided by the clearing thresholds in relation to commodity derivatives and the different type of counterparties (FCs and NFCs); is there any aspect or issue you consider ESMA should look into or pay attention to?  Please, in your answer, provide as granular details and any relevant data to illustrate your response</w:t>
      </w:r>
      <w:r w:rsidR="008418E3">
        <w:t>.</w:t>
      </w:r>
    </w:p>
    <w:p w14:paraId="03BBF74A" w14:textId="483E9893" w:rsidR="002E1760" w:rsidRPr="006C2D5A" w:rsidRDefault="002E1760" w:rsidP="002E1760">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9&gt;</w:t>
      </w:r>
    </w:p>
    <w:p w14:paraId="1382C3CD" w14:textId="7B9AB08A" w:rsidR="0026750E" w:rsidRPr="00ED451B" w:rsidRDefault="007D6715" w:rsidP="00ED451B">
      <w:pPr>
        <w:spacing w:before="120" w:after="120"/>
        <w:jc w:val="both"/>
        <w:rPr>
          <w:rFonts w:eastAsia="Calibri"/>
          <w:sz w:val="22"/>
          <w:szCs w:val="22"/>
          <w:lang w:eastAsia="en-US"/>
        </w:rPr>
      </w:pPr>
      <w:permStart w:id="1767771289" w:edGrp="everyone"/>
      <w:r w:rsidRPr="00AA71E8">
        <w:rPr>
          <w:rFonts w:eastAsia="Calibri"/>
          <w:sz w:val="22"/>
          <w:szCs w:val="22"/>
          <w:lang w:eastAsia="en-US"/>
        </w:rPr>
        <w:t xml:space="preserve">We </w:t>
      </w:r>
      <w:r w:rsidR="003B4FD6" w:rsidRPr="00AA71E8">
        <w:rPr>
          <w:rFonts w:eastAsia="Calibri"/>
          <w:sz w:val="22"/>
          <w:szCs w:val="22"/>
          <w:lang w:eastAsia="en-US"/>
        </w:rPr>
        <w:t>believe that ESMA should not focus on the EU perspective when performing the data analysis, but instead take a global approach</w:t>
      </w:r>
      <w:r w:rsidR="00AA71E8">
        <w:rPr>
          <w:rFonts w:eastAsia="Calibri"/>
          <w:sz w:val="22"/>
          <w:szCs w:val="22"/>
          <w:lang w:eastAsia="en-US"/>
        </w:rPr>
        <w:t>.</w:t>
      </w:r>
    </w:p>
    <w:permEnd w:id="1767771289"/>
    <w:p w14:paraId="4FDA3207" w14:textId="77777777" w:rsidR="002E1760" w:rsidRDefault="002E1760" w:rsidP="002E1760"/>
    <w:p w14:paraId="79209B47" w14:textId="62ED12DD" w:rsidR="002E1760" w:rsidRPr="004648DA" w:rsidRDefault="002E1760" w:rsidP="002E1760">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9&gt;</w:t>
      </w:r>
    </w:p>
    <w:p w14:paraId="72F1F3E4" w14:textId="77777777" w:rsidR="00C228C1" w:rsidRPr="004648DA" w:rsidRDefault="00C228C1" w:rsidP="002E1760">
      <w:pPr>
        <w:rPr>
          <w:lang w:val="es-ES"/>
        </w:rPr>
      </w:pPr>
    </w:p>
    <w:p w14:paraId="472670D5" w14:textId="1A4AE006" w:rsidR="002E1760" w:rsidRPr="00431DA4" w:rsidRDefault="004648DA" w:rsidP="00293D78">
      <w:pPr>
        <w:pStyle w:val="CPQuestions"/>
      </w:pPr>
      <w:r w:rsidRPr="00ED3D8A">
        <w:t>Considering the current coverage provided by the clearing thresholds in relation to equity derivatives and the different type of counterparties (FCs and NFCs); is there any aspect or issue you consider ESMA should look into or pay attention to?  Please, in your answer, provide as granular details and any relevant data to illustrate your response</w:t>
      </w:r>
      <w:r w:rsidR="00FC7836">
        <w:t>.</w:t>
      </w:r>
    </w:p>
    <w:p w14:paraId="28C370B9" w14:textId="364C2F3B" w:rsidR="008418E3" w:rsidRPr="006C2D5A" w:rsidRDefault="008418E3" w:rsidP="008418E3">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10&gt;</w:t>
      </w:r>
    </w:p>
    <w:p w14:paraId="6CC83EC6" w14:textId="77777777" w:rsidR="008418E3" w:rsidRDefault="008418E3" w:rsidP="008418E3">
      <w:permStart w:id="349206319" w:edGrp="everyone"/>
      <w:r>
        <w:t>TYPE YOUR TEXT HERE</w:t>
      </w:r>
      <w:permEnd w:id="349206319"/>
    </w:p>
    <w:p w14:paraId="591D1C67" w14:textId="73F3409A" w:rsidR="008418E3" w:rsidRPr="004648DA" w:rsidRDefault="008418E3" w:rsidP="008418E3">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10&gt;</w:t>
      </w:r>
    </w:p>
    <w:p w14:paraId="4CD7799A" w14:textId="77777777" w:rsidR="00C228C1" w:rsidRPr="004648DA" w:rsidRDefault="00C228C1" w:rsidP="008418E3">
      <w:pPr>
        <w:rPr>
          <w:lang w:val="es-ES"/>
        </w:rPr>
      </w:pPr>
    </w:p>
    <w:p w14:paraId="0160EF27" w14:textId="615AF5D7" w:rsidR="009003B8" w:rsidRDefault="004648DA" w:rsidP="00293D78">
      <w:pPr>
        <w:pStyle w:val="CPQuestions"/>
      </w:pPr>
      <w:r>
        <w:t>Considering the current coverage provided by the clearing thresholds in relation to currency derivatives and the different type of counterparties (FCs and NFCs); is there any aspect or issue you consider ESMA should look into or pay attention to? Please, in your answer, provide as granular details and any relevant data to illustrate your response</w:t>
      </w:r>
      <w:r w:rsidR="00292E82">
        <w:t>.</w:t>
      </w:r>
    </w:p>
    <w:p w14:paraId="7EC35559" w14:textId="0522E787" w:rsidR="00F469F8" w:rsidRPr="006C2D5A" w:rsidRDefault="00F469F8" w:rsidP="00F469F8">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11&gt;</w:t>
      </w:r>
    </w:p>
    <w:p w14:paraId="26AE41A7" w14:textId="77777777" w:rsidR="00F469F8" w:rsidRDefault="00F469F8" w:rsidP="00F469F8">
      <w:permStart w:id="408818572" w:edGrp="everyone"/>
      <w:r>
        <w:t>TYPE YOUR TEXT HERE</w:t>
      </w:r>
      <w:permEnd w:id="408818572"/>
    </w:p>
    <w:p w14:paraId="06196E86" w14:textId="24B8C19B" w:rsidR="00F469F8" w:rsidRPr="004648DA" w:rsidRDefault="00F469F8" w:rsidP="00F469F8">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11&gt;</w:t>
      </w:r>
    </w:p>
    <w:p w14:paraId="18B1CFC4" w14:textId="77777777" w:rsidR="00C228C1" w:rsidRPr="004648DA" w:rsidRDefault="00C228C1" w:rsidP="00F469F8">
      <w:pPr>
        <w:rPr>
          <w:lang w:val="es-ES"/>
        </w:rPr>
      </w:pPr>
    </w:p>
    <w:p w14:paraId="787C57CF" w14:textId="5C29364A" w:rsidR="00F469F8" w:rsidRDefault="004648DA" w:rsidP="00F469F8">
      <w:pPr>
        <w:pStyle w:val="CPQuestions"/>
      </w:pPr>
      <w:r>
        <w:t xml:space="preserve">Beyond the different treatments between FCs and NFCs in the calculation, are there differences between the different types of counterparties that might justify a different calibration of the actual clearing thresholds? In addition, please consider if a different calibration of the current clearing thresholds by type of counterparty </w:t>
      </w:r>
      <w:r>
        <w:lastRenderedPageBreak/>
        <w:t>should apply in the same manner to all asset classes. Please provide any supporting data that might help illustrate your response</w:t>
      </w:r>
      <w:r w:rsidR="00F469F8">
        <w:t>.</w:t>
      </w:r>
    </w:p>
    <w:p w14:paraId="55419696" w14:textId="68198CCC" w:rsidR="00F469F8" w:rsidRPr="006C2D5A" w:rsidRDefault="00F469F8" w:rsidP="00F469F8">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1</w:t>
      </w:r>
      <w:r w:rsidR="002868FC" w:rsidRPr="006C2D5A">
        <w:rPr>
          <w:lang w:val="es-ES"/>
        </w:rPr>
        <w:t>2</w:t>
      </w:r>
      <w:r w:rsidRPr="006C2D5A">
        <w:rPr>
          <w:lang w:val="es-ES"/>
        </w:rPr>
        <w:t>&gt;</w:t>
      </w:r>
    </w:p>
    <w:p w14:paraId="029E0311" w14:textId="58A67227" w:rsidR="00050545" w:rsidRPr="005417ED" w:rsidRDefault="007D6715" w:rsidP="003B4FD6">
      <w:pPr>
        <w:spacing w:before="120" w:after="120"/>
        <w:jc w:val="both"/>
        <w:rPr>
          <w:rFonts w:eastAsia="Calibri"/>
          <w:sz w:val="22"/>
          <w:szCs w:val="22"/>
          <w:lang w:eastAsia="en-US"/>
        </w:rPr>
      </w:pPr>
      <w:permStart w:id="276172944" w:edGrp="everyone"/>
      <w:r w:rsidRPr="005417ED">
        <w:rPr>
          <w:rFonts w:eastAsia="Calibri"/>
          <w:sz w:val="22"/>
          <w:szCs w:val="22"/>
          <w:lang w:eastAsia="en-US"/>
        </w:rPr>
        <w:t xml:space="preserve">We </w:t>
      </w:r>
      <w:r w:rsidR="003B4FD6" w:rsidRPr="005417ED">
        <w:rPr>
          <w:rFonts w:eastAsia="Calibri"/>
          <w:sz w:val="22"/>
          <w:szCs w:val="22"/>
          <w:lang w:eastAsia="en-US"/>
        </w:rPr>
        <w:t>believe – in line with advice by the CEBS, academic literature and current market data – that the current (</w:t>
      </w:r>
      <w:r w:rsidR="00C10DFE" w:rsidRPr="005417ED">
        <w:rPr>
          <w:rFonts w:eastAsia="Calibri"/>
          <w:sz w:val="22"/>
          <w:szCs w:val="22"/>
          <w:lang w:eastAsia="en-US"/>
        </w:rPr>
        <w:t>by global standards, quite</w:t>
      </w:r>
      <w:r w:rsidR="003B4FD6" w:rsidRPr="005417ED">
        <w:rPr>
          <w:rFonts w:eastAsia="Calibri"/>
          <w:sz w:val="22"/>
          <w:szCs w:val="22"/>
          <w:lang w:eastAsia="en-US"/>
        </w:rPr>
        <w:t xml:space="preserve"> low) EMIR commodity clearing threshold of €3 billion can be increased to a substantially higher level without jeopardising the stability of the wider financial markets</w:t>
      </w:r>
      <w:r w:rsidR="006D3D7A" w:rsidRPr="005417ED">
        <w:rPr>
          <w:rFonts w:eastAsia="Calibri"/>
          <w:sz w:val="22"/>
          <w:szCs w:val="22"/>
          <w:lang w:eastAsia="en-US"/>
        </w:rPr>
        <w:t xml:space="preserve"> </w:t>
      </w:r>
      <w:r w:rsidR="00F710E0">
        <w:rPr>
          <w:rFonts w:eastAsia="Calibri"/>
          <w:sz w:val="22"/>
          <w:szCs w:val="22"/>
          <w:lang w:eastAsia="en-US"/>
        </w:rPr>
        <w:t xml:space="preserve">share the arguments </w:t>
      </w:r>
      <w:r w:rsidR="006D3D7A" w:rsidRPr="005417ED">
        <w:rPr>
          <w:rFonts w:eastAsia="Calibri"/>
          <w:sz w:val="22"/>
          <w:szCs w:val="22"/>
          <w:lang w:eastAsia="en-US"/>
        </w:rPr>
        <w:t>provided by EFET</w:t>
      </w:r>
      <w:r w:rsidR="00F710E0">
        <w:rPr>
          <w:rFonts w:eastAsia="Calibri"/>
          <w:sz w:val="22"/>
          <w:szCs w:val="22"/>
          <w:lang w:eastAsia="en-US"/>
        </w:rPr>
        <w:t xml:space="preserve">: </w:t>
      </w:r>
    </w:p>
    <w:p w14:paraId="1D73D58C" w14:textId="77777777" w:rsidR="003B4FD6" w:rsidRPr="00A46EF7" w:rsidRDefault="003B4FD6" w:rsidP="003B4FD6">
      <w:pPr>
        <w:pStyle w:val="ListParagraph"/>
        <w:numPr>
          <w:ilvl w:val="0"/>
          <w:numId w:val="59"/>
        </w:numPr>
        <w:spacing w:before="120" w:after="120"/>
        <w:contextualSpacing w:val="0"/>
        <w:jc w:val="both"/>
        <w:rPr>
          <w:sz w:val="22"/>
          <w:szCs w:val="22"/>
        </w:rPr>
      </w:pPr>
      <w:r w:rsidRPr="00A46EF7">
        <w:rPr>
          <w:sz w:val="22"/>
          <w:szCs w:val="22"/>
        </w:rPr>
        <w:t>The size of the commodity derivatives markets is very small compared to other derivatives markets – Commodity derivatives account for only 1% of the outstanding notional value in 2020 (see ESMA Annual Statistics, Figure ASRD.4), while almost 80% come from interest rate derivatives. The stability of the financial sector (a key objective of EMIR) is therefore mainly dependent on asset classes other than commodities.</w:t>
      </w:r>
    </w:p>
    <w:p w14:paraId="7FD40B6F" w14:textId="77777777" w:rsidR="003B4FD6" w:rsidRPr="00A46EF7" w:rsidRDefault="003B4FD6" w:rsidP="003B4FD6">
      <w:pPr>
        <w:pStyle w:val="ListParagraph"/>
        <w:numPr>
          <w:ilvl w:val="0"/>
          <w:numId w:val="59"/>
        </w:numPr>
        <w:spacing w:before="120" w:after="120"/>
        <w:contextualSpacing w:val="0"/>
        <w:jc w:val="both"/>
        <w:rPr>
          <w:sz w:val="22"/>
          <w:szCs w:val="22"/>
        </w:rPr>
      </w:pPr>
      <w:r w:rsidRPr="00A46EF7">
        <w:rPr>
          <w:sz w:val="22"/>
          <w:szCs w:val="22"/>
        </w:rPr>
        <w:t>NFCs account for the largest shares of counterparties in commodity derivatives – NFC accounted for 39% of the total notional amount in commodity derivatives in 2020 (see ESMA Annual Statistics, Figure ASRD.19). The level of the commodity clearing threshold therefore mainly affects the non-financial sector.</w:t>
      </w:r>
    </w:p>
    <w:p w14:paraId="04C7AEA5" w14:textId="4ED3994A" w:rsidR="003B4FD6" w:rsidRPr="00A46EF7" w:rsidRDefault="003B4FD6" w:rsidP="003B4FD6">
      <w:pPr>
        <w:pStyle w:val="ListParagraph"/>
        <w:numPr>
          <w:ilvl w:val="0"/>
          <w:numId w:val="59"/>
        </w:numPr>
        <w:spacing w:before="120" w:after="120"/>
        <w:contextualSpacing w:val="0"/>
        <w:jc w:val="both"/>
        <w:rPr>
          <w:sz w:val="22"/>
          <w:szCs w:val="22"/>
        </w:rPr>
      </w:pPr>
      <w:r w:rsidRPr="00A46EF7">
        <w:rPr>
          <w:sz w:val="22"/>
          <w:szCs w:val="22"/>
        </w:rPr>
        <w:t>NFCs active on the energy and commodity markets are not of systemic importance for the wider traditional financial markets. A failure of a non-financial commodity trading firm would not trigger a “broader contagion” of the financial sector, for example, triggering the failure of a systemically important financial institution. This view is supported by numerous independent analyses. For example, the Advice CEBS</w:t>
      </w:r>
      <w:r w:rsidR="007C3C7B">
        <w:rPr>
          <w:sz w:val="22"/>
          <w:szCs w:val="22"/>
        </w:rPr>
        <w:t xml:space="preserve"> </w:t>
      </w:r>
      <w:r w:rsidRPr="00A46EF7">
        <w:rPr>
          <w:sz w:val="22"/>
          <w:szCs w:val="22"/>
        </w:rPr>
        <w:t xml:space="preserve">of 10th October 2007 to the EU Commission (“CEBS-Advice”; page 2, ref. 12) clearly stated that </w:t>
      </w:r>
      <w:r w:rsidRPr="00A46EF7">
        <w:rPr>
          <w:i/>
          <w:iCs/>
          <w:sz w:val="22"/>
          <w:szCs w:val="22"/>
        </w:rPr>
        <w:t>“… systemic risk concerns … appear significantly smaller relative to the systemic risks posed by banks and ISD financial investment firms. In the commodities case studies examined in this report, systemic concerns were limited and contained</w:t>
      </w:r>
      <w:r w:rsidRPr="00A46EF7">
        <w:rPr>
          <w:sz w:val="22"/>
          <w:szCs w:val="22"/>
        </w:rPr>
        <w:t xml:space="preserve">.” This analysis is still valid today </w:t>
      </w:r>
      <w:r w:rsidR="006A3C6B" w:rsidRPr="00A46EF7">
        <w:rPr>
          <w:sz w:val="22"/>
          <w:szCs w:val="22"/>
        </w:rPr>
        <w:t>because</w:t>
      </w:r>
      <w:r w:rsidRPr="00A46EF7">
        <w:rPr>
          <w:sz w:val="22"/>
          <w:szCs w:val="22"/>
        </w:rPr>
        <w:t xml:space="preserve"> the characteristics and nature of commercial activities generally undertaken by commodity trading firms have not changed fundamentally.</w:t>
      </w:r>
      <w:r w:rsidR="00705B5D">
        <w:rPr>
          <w:sz w:val="22"/>
          <w:szCs w:val="22"/>
        </w:rPr>
        <w:t xml:space="preserve"> </w:t>
      </w:r>
      <w:r w:rsidRPr="00A46EF7">
        <w:rPr>
          <w:sz w:val="22"/>
          <w:szCs w:val="22"/>
        </w:rPr>
        <w:t xml:space="preserve">ESMA seems to share this view in its consultation paper (see para. 157: </w:t>
      </w:r>
      <w:r w:rsidRPr="00A46EF7">
        <w:rPr>
          <w:i/>
          <w:iCs/>
          <w:sz w:val="22"/>
          <w:szCs w:val="22"/>
        </w:rPr>
        <w:t>“[…]</w:t>
      </w:r>
      <w:r w:rsidR="006A3C6B" w:rsidRPr="00A46EF7">
        <w:rPr>
          <w:i/>
          <w:iCs/>
          <w:sz w:val="22"/>
          <w:szCs w:val="22"/>
        </w:rPr>
        <w:t xml:space="preserve"> </w:t>
      </w:r>
      <w:r w:rsidRPr="00A46EF7">
        <w:rPr>
          <w:i/>
          <w:iCs/>
          <w:sz w:val="22"/>
          <w:szCs w:val="22"/>
        </w:rPr>
        <w:t>the absolute number of NFCs trading with commodity derivatives […] is lower than for other asset classes, which suggest NFCs are less significant from a systemic risk perspective</w:t>
      </w:r>
      <w:r w:rsidR="005357F8" w:rsidRPr="00A46EF7">
        <w:rPr>
          <w:i/>
          <w:iCs/>
          <w:sz w:val="22"/>
          <w:szCs w:val="22"/>
        </w:rPr>
        <w:t>.</w:t>
      </w:r>
      <w:r w:rsidR="005357F8" w:rsidRPr="00A46EF7">
        <w:rPr>
          <w:sz w:val="22"/>
          <w:szCs w:val="22"/>
        </w:rPr>
        <w:t>”</w:t>
      </w:r>
      <w:r w:rsidRPr="00A46EF7">
        <w:rPr>
          <w:sz w:val="22"/>
          <w:szCs w:val="22"/>
        </w:rPr>
        <w:t>).</w:t>
      </w:r>
    </w:p>
    <w:p w14:paraId="28DA4D5F" w14:textId="09FFD6EE" w:rsidR="003B4FD6" w:rsidRPr="00D81E5A" w:rsidRDefault="003B4FD6" w:rsidP="00F469F8">
      <w:pPr>
        <w:pStyle w:val="ListParagraph"/>
        <w:numPr>
          <w:ilvl w:val="0"/>
          <w:numId w:val="59"/>
        </w:numPr>
        <w:spacing w:before="120" w:after="120"/>
        <w:contextualSpacing w:val="0"/>
        <w:jc w:val="both"/>
        <w:rPr>
          <w:sz w:val="22"/>
          <w:szCs w:val="22"/>
        </w:rPr>
      </w:pPr>
      <w:r w:rsidRPr="00A46EF7">
        <w:rPr>
          <w:sz w:val="22"/>
          <w:szCs w:val="22"/>
        </w:rPr>
        <w:t xml:space="preserve">These arguments are supported by empirical evidence provided by </w:t>
      </w:r>
      <w:proofErr w:type="spellStart"/>
      <w:r w:rsidRPr="00A46EF7">
        <w:rPr>
          <w:sz w:val="22"/>
          <w:szCs w:val="22"/>
        </w:rPr>
        <w:t>Kerste</w:t>
      </w:r>
      <w:proofErr w:type="spellEnd"/>
      <w:r w:rsidRPr="00A46EF7">
        <w:rPr>
          <w:sz w:val="22"/>
          <w:szCs w:val="22"/>
        </w:rPr>
        <w:t xml:space="preserve"> et al. (</w:t>
      </w:r>
      <w:hyperlink r:id="rId20" w:history="1">
        <w:r w:rsidRPr="00A46EF7">
          <w:rPr>
            <w:rStyle w:val="Hyperlink"/>
            <w:color w:val="auto"/>
            <w:sz w:val="22"/>
            <w:szCs w:val="22"/>
          </w:rPr>
          <w:t>link</w:t>
        </w:r>
      </w:hyperlink>
      <w:r w:rsidRPr="00A46EF7">
        <w:rPr>
          <w:sz w:val="22"/>
          <w:szCs w:val="22"/>
        </w:rPr>
        <w:t>), which shows that the high use of commodity derivatives in the energy sector does not imply high contagion risk from the energy sector towards the banking sector. Indeed, the correlation between defaults in the energy sector and defaults in the banking sector is comparable to that between the banking sector and the food and construction sector</w:t>
      </w:r>
      <w:r w:rsidR="005357F8" w:rsidRPr="00A46EF7">
        <w:rPr>
          <w:sz w:val="22"/>
          <w:szCs w:val="22"/>
        </w:rPr>
        <w:t>s</w:t>
      </w:r>
      <w:r w:rsidRPr="00A46EF7">
        <w:rPr>
          <w:sz w:val="22"/>
          <w:szCs w:val="22"/>
        </w:rPr>
        <w:t>.</w:t>
      </w:r>
    </w:p>
    <w:permEnd w:id="276172944"/>
    <w:p w14:paraId="7F81634F" w14:textId="77777777" w:rsidR="00F469F8" w:rsidRDefault="00F469F8" w:rsidP="00F469F8"/>
    <w:p w14:paraId="7B985911" w14:textId="796659E2" w:rsidR="00F469F8" w:rsidRPr="004648DA" w:rsidRDefault="00F469F8" w:rsidP="00F469F8">
      <w:pPr>
        <w:rPr>
          <w:lang w:val="es-ES"/>
        </w:rPr>
      </w:pPr>
      <w:r w:rsidRPr="004648DA">
        <w:rPr>
          <w:lang w:val="es-ES"/>
        </w:rPr>
        <w:t>&lt;ESMA_QUESTION_</w:t>
      </w:r>
      <w:r w:rsidR="004648DA" w:rsidRPr="004648DA">
        <w:rPr>
          <w:lang w:val="es-ES"/>
        </w:rPr>
        <w:t>DP_EMIR_CTs</w:t>
      </w:r>
      <w:r w:rsidR="00F107EF" w:rsidRPr="004648DA">
        <w:rPr>
          <w:lang w:val="es-ES"/>
        </w:rPr>
        <w:t>_</w:t>
      </w:r>
      <w:r w:rsidRPr="004648DA">
        <w:rPr>
          <w:lang w:val="es-ES"/>
        </w:rPr>
        <w:t>1</w:t>
      </w:r>
      <w:r w:rsidR="002868FC" w:rsidRPr="004648DA">
        <w:rPr>
          <w:lang w:val="es-ES"/>
        </w:rPr>
        <w:t>2</w:t>
      </w:r>
      <w:r w:rsidRPr="004648DA">
        <w:rPr>
          <w:lang w:val="es-ES"/>
        </w:rPr>
        <w:t>&gt;</w:t>
      </w:r>
    </w:p>
    <w:p w14:paraId="1E9DCB0D" w14:textId="77777777" w:rsidR="009003B8" w:rsidRPr="004648DA" w:rsidRDefault="009003B8" w:rsidP="002E1760">
      <w:pPr>
        <w:rPr>
          <w:lang w:val="es-ES"/>
        </w:rPr>
      </w:pPr>
    </w:p>
    <w:p w14:paraId="26837E87" w14:textId="7834EC9D" w:rsidR="00646C30" w:rsidRDefault="004648DA" w:rsidP="00646C30">
      <w:pPr>
        <w:pStyle w:val="CPQuestions"/>
      </w:pPr>
      <w:r w:rsidRPr="00ED3D8A">
        <w:rPr>
          <w:rFonts w:cs="Arial"/>
          <w:lang w:val="en-US"/>
        </w:rPr>
        <w:t>Looking at the simulations presented in the paper and at the impact they would have, do you have any views on the sensitivities of the thresholds</w:t>
      </w:r>
      <w:r w:rsidR="00C228C1">
        <w:t>?</w:t>
      </w:r>
    </w:p>
    <w:p w14:paraId="1D99BB7D" w14:textId="38F01FFA" w:rsidR="00646C30" w:rsidRPr="006C2D5A" w:rsidRDefault="00646C30" w:rsidP="00646C30">
      <w:pPr>
        <w:rPr>
          <w:lang w:val="es-ES"/>
        </w:rPr>
      </w:pPr>
      <w:r w:rsidRPr="006C2D5A">
        <w:rPr>
          <w:lang w:val="es-ES"/>
        </w:rPr>
        <w:t>&lt;ESMA_QUESTION_</w:t>
      </w:r>
      <w:r w:rsidR="004648DA">
        <w:rPr>
          <w:lang w:val="es-ES"/>
        </w:rPr>
        <w:t>DP_EMIR_CTs</w:t>
      </w:r>
      <w:r w:rsidR="00F107EF" w:rsidRPr="006C2D5A">
        <w:rPr>
          <w:lang w:val="es-ES"/>
        </w:rPr>
        <w:t>_</w:t>
      </w:r>
      <w:r w:rsidRPr="006C2D5A">
        <w:rPr>
          <w:lang w:val="es-ES"/>
        </w:rPr>
        <w:t>1</w:t>
      </w:r>
      <w:r w:rsidR="00101BF1" w:rsidRPr="006C2D5A">
        <w:rPr>
          <w:lang w:val="es-ES"/>
        </w:rPr>
        <w:t>3</w:t>
      </w:r>
      <w:r w:rsidRPr="006C2D5A">
        <w:rPr>
          <w:lang w:val="es-ES"/>
        </w:rPr>
        <w:t>&gt;</w:t>
      </w:r>
    </w:p>
    <w:p w14:paraId="2DBA77F6" w14:textId="74B791CD" w:rsidR="00646C30" w:rsidRDefault="00646C30" w:rsidP="00646C30">
      <w:permStart w:id="507131457" w:edGrp="everyone"/>
      <w:r>
        <w:t>TYPE YOUR TEXT HERE</w:t>
      </w:r>
    </w:p>
    <w:p w14:paraId="4F3C8DB9" w14:textId="515E6904" w:rsidR="00976AF9" w:rsidRPr="00A46EF7" w:rsidRDefault="00216847" w:rsidP="00216847">
      <w:r>
        <w:t xml:space="preserve">We refer to the answer provided by EFET. </w:t>
      </w:r>
    </w:p>
    <w:permEnd w:id="507131457"/>
    <w:p w14:paraId="7DD8F656" w14:textId="77777777" w:rsidR="00646C30" w:rsidRDefault="00646C30" w:rsidP="00646C30"/>
    <w:p w14:paraId="6598F221" w14:textId="0F233E4E" w:rsidR="00646C30" w:rsidRPr="004648DA" w:rsidRDefault="00646C30" w:rsidP="00646C30">
      <w:pPr>
        <w:rPr>
          <w:lang w:val="es-ES"/>
        </w:rPr>
      </w:pPr>
      <w:r w:rsidRPr="004648DA">
        <w:rPr>
          <w:lang w:val="es-ES"/>
        </w:rPr>
        <w:t>&lt;ESMA_QUESTION_</w:t>
      </w:r>
      <w:r w:rsidR="004648DA" w:rsidRPr="004648DA">
        <w:rPr>
          <w:lang w:val="es-ES"/>
        </w:rPr>
        <w:t>DP_EMIR_CTs</w:t>
      </w:r>
      <w:r w:rsidR="00F107EF" w:rsidRPr="004648DA">
        <w:rPr>
          <w:lang w:val="es-ES"/>
        </w:rPr>
        <w:t>_</w:t>
      </w:r>
      <w:r w:rsidRPr="004648DA">
        <w:rPr>
          <w:lang w:val="es-ES"/>
        </w:rPr>
        <w:t>1</w:t>
      </w:r>
      <w:r w:rsidR="002F1683" w:rsidRPr="004648DA">
        <w:rPr>
          <w:lang w:val="es-ES"/>
        </w:rPr>
        <w:t>3</w:t>
      </w:r>
      <w:r w:rsidRPr="004648DA">
        <w:rPr>
          <w:lang w:val="es-ES"/>
        </w:rPr>
        <w:t>&gt;</w:t>
      </w:r>
    </w:p>
    <w:p w14:paraId="378DCD0E" w14:textId="77777777" w:rsidR="002868FC" w:rsidRPr="004648DA" w:rsidRDefault="002868FC" w:rsidP="002E1760">
      <w:pPr>
        <w:rPr>
          <w:lang w:val="es-ES"/>
        </w:rPr>
      </w:pPr>
    </w:p>
    <w:p w14:paraId="3FC13B15" w14:textId="77777777" w:rsidR="00646C30" w:rsidRPr="004648DA" w:rsidRDefault="00646C30" w:rsidP="002E1760">
      <w:pPr>
        <w:rPr>
          <w:lang w:val="es-ES"/>
        </w:rPr>
      </w:pPr>
    </w:p>
    <w:sectPr w:rsidR="00646C30" w:rsidRPr="004648DA"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A8BFF" w14:textId="77777777" w:rsidR="00E7289E" w:rsidRDefault="00E7289E">
      <w:r>
        <w:separator/>
      </w:r>
    </w:p>
    <w:p w14:paraId="758988F4" w14:textId="77777777" w:rsidR="00E7289E" w:rsidRDefault="00E7289E"/>
  </w:endnote>
  <w:endnote w:type="continuationSeparator" w:id="0">
    <w:p w14:paraId="21DB4941" w14:textId="77777777" w:rsidR="00E7289E" w:rsidRDefault="00E7289E">
      <w:r>
        <w:continuationSeparator/>
      </w:r>
    </w:p>
    <w:p w14:paraId="7495F736" w14:textId="77777777" w:rsidR="00E7289E" w:rsidRDefault="00E7289E"/>
  </w:endnote>
  <w:endnote w:type="continuationNotice" w:id="1">
    <w:p w14:paraId="1A8AF45F" w14:textId="77777777" w:rsidR="00E7289E" w:rsidRDefault="00E72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00"/>
    <w:family w:val="swiss"/>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C452B" w:rsidRPr="00616B9B" w14:paraId="2156CD92" w14:textId="77777777" w:rsidTr="00315E96">
      <w:trPr>
        <w:trHeight w:val="284"/>
      </w:trPr>
      <w:tc>
        <w:tcPr>
          <w:tcW w:w="8460" w:type="dxa"/>
        </w:tcPr>
        <w:p w14:paraId="7EF54571" w14:textId="77777777" w:rsidR="006C452B" w:rsidRPr="00315E96" w:rsidRDefault="006C452B" w:rsidP="00315E96">
          <w:pPr>
            <w:pStyle w:val="00Footer"/>
            <w:rPr>
              <w:lang w:val="fr-FR"/>
            </w:rPr>
          </w:pPr>
        </w:p>
      </w:tc>
      <w:tc>
        <w:tcPr>
          <w:tcW w:w="952" w:type="dxa"/>
        </w:tcPr>
        <w:p w14:paraId="2275EECC" w14:textId="77777777" w:rsidR="006C452B" w:rsidRPr="00616B9B" w:rsidRDefault="006C452B"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1A191C21" w14:textId="77777777" w:rsidR="006C452B" w:rsidRDefault="006C4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C807E" w14:textId="77777777" w:rsidR="006C452B" w:rsidRDefault="006C452B" w:rsidP="00B61CD3">
    <w:pPr>
      <w:pStyle w:val="Footer"/>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2C49E" w14:textId="77777777" w:rsidR="006C452B" w:rsidRDefault="006C4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56EE5" w14:textId="77777777" w:rsidR="00E7289E" w:rsidRDefault="00E7289E">
      <w:r>
        <w:separator/>
      </w:r>
    </w:p>
    <w:p w14:paraId="11AC3ABC" w14:textId="77777777" w:rsidR="00E7289E" w:rsidRDefault="00E7289E"/>
  </w:footnote>
  <w:footnote w:type="continuationSeparator" w:id="0">
    <w:p w14:paraId="57B30465" w14:textId="77777777" w:rsidR="00E7289E" w:rsidRDefault="00E7289E">
      <w:r>
        <w:continuationSeparator/>
      </w:r>
    </w:p>
    <w:p w14:paraId="09BC6A17" w14:textId="77777777" w:rsidR="00E7289E" w:rsidRDefault="00E7289E"/>
  </w:footnote>
  <w:footnote w:type="continuationNotice" w:id="1">
    <w:p w14:paraId="2BADBD0F" w14:textId="77777777" w:rsidR="00E7289E" w:rsidRDefault="00E728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CBAFB" w14:textId="77777777" w:rsidR="006C452B" w:rsidRDefault="006C452B">
    <w:pPr>
      <w:pStyle w:val="Header"/>
    </w:pPr>
    <w:r>
      <w:rPr>
        <w:noProof/>
        <w:lang w:eastAsia="en-GB"/>
      </w:rPr>
      <w:drawing>
        <wp:anchor distT="0" distB="0" distL="114300" distR="114300" simplePos="0" relativeHeight="251658240" behindDoc="0" locked="0" layoutInCell="1" allowOverlap="1" wp14:anchorId="4A0C2F0A" wp14:editId="507575C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45339F98" wp14:editId="687E575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61AA2D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94631" w14:textId="77777777" w:rsidR="006C452B" w:rsidRDefault="006C452B" w:rsidP="00013CCE">
    <w:pPr>
      <w:pStyle w:val="Header"/>
      <w:jc w:val="right"/>
    </w:pPr>
    <w:r>
      <w:rPr>
        <w:noProof/>
        <w:lang w:eastAsia="en-GB"/>
      </w:rPr>
      <w:drawing>
        <wp:anchor distT="0" distB="0" distL="114300" distR="114300" simplePos="0" relativeHeight="251657216" behindDoc="0" locked="0" layoutInCell="1" allowOverlap="1" wp14:anchorId="51E8BB1B" wp14:editId="685EDE3C">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1A80A56D" wp14:editId="54570337">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96225" w14:textId="77777777" w:rsidR="006C452B" w:rsidRDefault="006C452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C452B" w:rsidRPr="002F4496" w14:paraId="124FAE55" w14:textId="77777777" w:rsidTr="000C06C9">
      <w:trPr>
        <w:trHeight w:val="284"/>
      </w:trPr>
      <w:tc>
        <w:tcPr>
          <w:tcW w:w="8460" w:type="dxa"/>
        </w:tcPr>
        <w:p w14:paraId="3F7B8663" w14:textId="77777777" w:rsidR="006C452B" w:rsidRPr="000C3B6D" w:rsidRDefault="006C452B" w:rsidP="000C06C9">
          <w:pPr>
            <w:pStyle w:val="00Footer"/>
            <w:rPr>
              <w:lang w:val="fr-FR"/>
            </w:rPr>
          </w:pPr>
        </w:p>
      </w:tc>
      <w:tc>
        <w:tcPr>
          <w:tcW w:w="952" w:type="dxa"/>
        </w:tcPr>
        <w:p w14:paraId="00DF51BF" w14:textId="77777777" w:rsidR="006C452B" w:rsidRPr="00146B34" w:rsidRDefault="006C452B" w:rsidP="000C06C9">
          <w:pPr>
            <w:pStyle w:val="00aPagenumber"/>
            <w:rPr>
              <w:lang w:val="fr-FR"/>
            </w:rPr>
          </w:pPr>
        </w:p>
      </w:tc>
    </w:tr>
  </w:tbl>
  <w:p w14:paraId="15DFB139" w14:textId="77777777" w:rsidR="006C452B" w:rsidRPr="00DB46C3" w:rsidRDefault="006C452B">
    <w:pPr>
      <w:rPr>
        <w:lang w:val="fr-FR"/>
      </w:rPr>
    </w:pPr>
  </w:p>
  <w:p w14:paraId="419E9B7B" w14:textId="77777777" w:rsidR="006C452B" w:rsidRPr="002F4496" w:rsidRDefault="006C452B">
    <w:pPr>
      <w:pStyle w:val="Header"/>
      <w:rPr>
        <w:lang w:val="fr-FR"/>
      </w:rPr>
    </w:pPr>
  </w:p>
  <w:p w14:paraId="7CBF8F9D" w14:textId="77777777" w:rsidR="006C452B" w:rsidRPr="002F4496" w:rsidRDefault="006C452B" w:rsidP="000C06C9">
    <w:pPr>
      <w:pStyle w:val="Header"/>
      <w:tabs>
        <w:tab w:val="clear" w:pos="4536"/>
        <w:tab w:val="clear" w:pos="9072"/>
        <w:tab w:val="left" w:pos="8227"/>
      </w:tabs>
      <w:rPr>
        <w:lang w:val="fr-FR"/>
      </w:rPr>
    </w:pPr>
  </w:p>
  <w:p w14:paraId="5BF57EF5" w14:textId="77777777" w:rsidR="006C452B" w:rsidRPr="002F4496" w:rsidRDefault="006C452B" w:rsidP="00583885">
    <w:pPr>
      <w:pStyle w:val="Header"/>
      <w:jc w:val="right"/>
      <w:rPr>
        <w:lang w:val="fr-FR"/>
      </w:rPr>
    </w:pPr>
  </w:p>
  <w:p w14:paraId="74145FD5" w14:textId="77777777" w:rsidR="006C452B" w:rsidRPr="002F4496" w:rsidRDefault="006C452B">
    <w:pPr>
      <w:pStyle w:val="Header"/>
      <w:rPr>
        <w:lang w:val="fr-FR"/>
      </w:rPr>
    </w:pPr>
  </w:p>
  <w:p w14:paraId="4CAD5E9F" w14:textId="77777777" w:rsidR="006C452B" w:rsidRPr="002F4496" w:rsidRDefault="006C452B">
    <w:pPr>
      <w:pStyle w:val="Header"/>
      <w:rPr>
        <w:lang w:val="fr-FR"/>
      </w:rPr>
    </w:pPr>
  </w:p>
  <w:p w14:paraId="3213D780" w14:textId="77777777" w:rsidR="006C452B" w:rsidRPr="002F4496" w:rsidRDefault="006C452B">
    <w:pPr>
      <w:pStyle w:val="Header"/>
      <w:rPr>
        <w:lang w:val="fr-FR"/>
      </w:rPr>
    </w:pPr>
  </w:p>
  <w:p w14:paraId="3E3F05E5" w14:textId="77777777" w:rsidR="006C452B" w:rsidRPr="002F4496" w:rsidRDefault="006C452B">
    <w:pPr>
      <w:pStyle w:val="Header"/>
      <w:rPr>
        <w:highlight w:val="yellow"/>
        <w:lang w:val="fr-FR"/>
      </w:rPr>
    </w:pPr>
  </w:p>
  <w:p w14:paraId="12D1E51B" w14:textId="77777777" w:rsidR="006C452B" w:rsidRDefault="006C452B">
    <w:pPr>
      <w:pStyle w:val="Header"/>
    </w:pPr>
    <w:r>
      <w:rPr>
        <w:noProof/>
        <w:lang w:eastAsia="en-GB"/>
      </w:rPr>
      <mc:AlternateContent>
        <mc:Choice Requires="wps">
          <w:drawing>
            <wp:anchor distT="0" distB="0" distL="114299" distR="114299" simplePos="0" relativeHeight="251660288" behindDoc="0" locked="0" layoutInCell="1" allowOverlap="1" wp14:anchorId="29232CCC" wp14:editId="457A637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7B63A74D"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03462EB6" wp14:editId="367AC03A">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D55A0C"/>
    <w:multiLevelType w:val="hybridMultilevel"/>
    <w:tmpl w:val="B574D3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A97BE0"/>
    <w:multiLevelType w:val="hybridMultilevel"/>
    <w:tmpl w:val="3CA29E8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08C109AF"/>
    <w:multiLevelType w:val="hybridMultilevel"/>
    <w:tmpl w:val="524201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A435C6D"/>
    <w:multiLevelType w:val="hybridMultilevel"/>
    <w:tmpl w:val="961AFD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440E5D"/>
    <w:multiLevelType w:val="hybridMultilevel"/>
    <w:tmpl w:val="D9D456A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C91698"/>
    <w:multiLevelType w:val="hybridMultilevel"/>
    <w:tmpl w:val="F70AE9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B512028"/>
    <w:multiLevelType w:val="hybridMultilevel"/>
    <w:tmpl w:val="8714A82E"/>
    <w:lvl w:ilvl="0" w:tplc="747C4F06">
      <w:start w:val="1"/>
      <w:numFmt w:val="lowerLetter"/>
      <w:lvlText w:val="%1)"/>
      <w:lvlJc w:val="left"/>
      <w:pPr>
        <w:ind w:left="360" w:hanging="360"/>
      </w:pPr>
      <w:rPr>
        <w:rFonts w:asciiTheme="minorHAnsi" w:eastAsia="Calibri" w:hAnsiTheme="minorHAnsi" w:cstheme="minorHAnsi"/>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11"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1CF354A"/>
    <w:multiLevelType w:val="hybridMultilevel"/>
    <w:tmpl w:val="73529E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5B37A9"/>
    <w:multiLevelType w:val="hybridMultilevel"/>
    <w:tmpl w:val="21F2CB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6763318"/>
    <w:multiLevelType w:val="hybridMultilevel"/>
    <w:tmpl w:val="C2C812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15:restartNumberingAfterBreak="0">
    <w:nsid w:val="2EDB3634"/>
    <w:multiLevelType w:val="hybridMultilevel"/>
    <w:tmpl w:val="4FA852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2A17CC7"/>
    <w:multiLevelType w:val="hybridMultilevel"/>
    <w:tmpl w:val="656A30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57C1E48"/>
    <w:multiLevelType w:val="hybridMultilevel"/>
    <w:tmpl w:val="ED521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0462EC"/>
    <w:multiLevelType w:val="hybridMultilevel"/>
    <w:tmpl w:val="6F4A06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2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30" w15:restartNumberingAfterBreak="0">
    <w:nsid w:val="3D1920CB"/>
    <w:multiLevelType w:val="hybridMultilevel"/>
    <w:tmpl w:val="6FCC40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3F1F3E90"/>
    <w:multiLevelType w:val="hybridMultilevel"/>
    <w:tmpl w:val="CA4AEBF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FF97D57"/>
    <w:multiLevelType w:val="hybridMultilevel"/>
    <w:tmpl w:val="4AB68E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41521A77"/>
    <w:multiLevelType w:val="hybridMultilevel"/>
    <w:tmpl w:val="7C50995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35"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6"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8"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4E085AC3"/>
    <w:multiLevelType w:val="hybridMultilevel"/>
    <w:tmpl w:val="88466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2" w15:restartNumberingAfterBreak="0">
    <w:nsid w:val="550F795E"/>
    <w:multiLevelType w:val="hybridMultilevel"/>
    <w:tmpl w:val="AEB62B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45" w15:restartNumberingAfterBreak="0">
    <w:nsid w:val="585E4CCD"/>
    <w:multiLevelType w:val="hybridMultilevel"/>
    <w:tmpl w:val="45AC43E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51" w15:restartNumberingAfterBreak="0">
    <w:nsid w:val="64321098"/>
    <w:multiLevelType w:val="hybridMultilevel"/>
    <w:tmpl w:val="849CBEB0"/>
    <w:lvl w:ilvl="0" w:tplc="48569EC8">
      <w:start w:val="1"/>
      <w:numFmt w:val="decimal"/>
      <w:pStyle w:val="PAIAContinuousNumbering"/>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83214C3"/>
    <w:multiLevelType w:val="hybridMultilevel"/>
    <w:tmpl w:val="778E19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5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8" w15:restartNumberingAfterBreak="0">
    <w:nsid w:val="73E02D76"/>
    <w:multiLevelType w:val="hybridMultilevel"/>
    <w:tmpl w:val="C432331C"/>
    <w:lvl w:ilvl="0" w:tplc="DD6AB8A4">
      <w:start w:val="1"/>
      <w:numFmt w:val="bullet"/>
      <w:pStyle w:val="BulletedList"/>
      <w:lvlText w:val=""/>
      <w:lvlJc w:val="left"/>
      <w:pPr>
        <w:ind w:left="1437" w:hanging="720"/>
      </w:pPr>
      <w:rPr>
        <w:rFonts w:ascii="Symbol" w:hAnsi="Symbol" w:hint="default"/>
      </w:rPr>
    </w:lvl>
    <w:lvl w:ilvl="1" w:tplc="211C884C">
      <w:start w:val="1"/>
      <w:numFmt w:val="bullet"/>
      <w:lvlText w:val="o"/>
      <w:lvlJc w:val="left"/>
      <w:pPr>
        <w:ind w:left="2157" w:hanging="360"/>
      </w:pPr>
      <w:rPr>
        <w:rFonts w:ascii="Courier New" w:hAnsi="Courier New" w:cs="Courier New" w:hint="default"/>
        <w:color w:val="auto"/>
      </w:rPr>
    </w:lvl>
    <w:lvl w:ilvl="2" w:tplc="04090005">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5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6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61" w15:restartNumberingAfterBreak="0">
    <w:nsid w:val="7E9E59D0"/>
    <w:multiLevelType w:val="hybridMultilevel"/>
    <w:tmpl w:val="67F6B4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8"/>
  </w:num>
  <w:num w:numId="2">
    <w:abstractNumId w:val="34"/>
  </w:num>
  <w:num w:numId="3">
    <w:abstractNumId w:val="23"/>
  </w:num>
  <w:num w:numId="4">
    <w:abstractNumId w:val="40"/>
  </w:num>
  <w:num w:numId="5">
    <w:abstractNumId w:val="43"/>
  </w:num>
  <w:num w:numId="6">
    <w:abstractNumId w:val="0"/>
  </w:num>
  <w:num w:numId="7">
    <w:abstractNumId w:val="1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0"/>
  </w:num>
  <w:num w:numId="1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num>
  <w:num w:numId="13">
    <w:abstractNumId w:val="49"/>
  </w:num>
  <w:num w:numId="14">
    <w:abstractNumId w:val="38"/>
  </w:num>
  <w:num w:numId="15">
    <w:abstractNumId w:val="19"/>
  </w:num>
  <w:num w:numId="16">
    <w:abstractNumId w:val="1"/>
  </w:num>
  <w:num w:numId="17">
    <w:abstractNumId w:val="26"/>
  </w:num>
  <w:num w:numId="18">
    <w:abstractNumId w:val="27"/>
  </w:num>
  <w:num w:numId="19">
    <w:abstractNumId w:val="29"/>
  </w:num>
  <w:num w:numId="20">
    <w:abstractNumId w:val="44"/>
  </w:num>
  <w:num w:numId="21">
    <w:abstractNumId w:val="57"/>
  </w:num>
  <w:num w:numId="22">
    <w:abstractNumId w:val="41"/>
  </w:num>
  <w:num w:numId="23">
    <w:abstractNumId w:val="18"/>
  </w:num>
  <w:num w:numId="24">
    <w:abstractNumId w:val="48"/>
  </w:num>
  <w:num w:numId="25">
    <w:abstractNumId w:val="47"/>
  </w:num>
  <w:num w:numId="26">
    <w:abstractNumId w:val="35"/>
  </w:num>
  <w:num w:numId="27">
    <w:abstractNumId w:val="53"/>
  </w:num>
  <w:num w:numId="28">
    <w:abstractNumId w:val="60"/>
  </w:num>
  <w:num w:numId="29">
    <w:abstractNumId w:val="15"/>
  </w:num>
  <w:num w:numId="30">
    <w:abstractNumId w:val="7"/>
  </w:num>
  <w:num w:numId="31">
    <w:abstractNumId w:val="37"/>
  </w:num>
  <w:num w:numId="32">
    <w:abstractNumId w:val="36"/>
  </w:num>
  <w:num w:numId="33">
    <w:abstractNumId w:val="55"/>
  </w:num>
  <w:num w:numId="34">
    <w:abstractNumId w:val="54"/>
  </w:num>
  <w:num w:numId="35">
    <w:abstractNumId w:val="11"/>
  </w:num>
  <w:num w:numId="36">
    <w:abstractNumId w:val="56"/>
  </w:num>
  <w:num w:numId="37">
    <w:abstractNumId w:val="21"/>
  </w:num>
  <w:num w:numId="38">
    <w:abstractNumId w:val="5"/>
  </w:num>
  <w:num w:numId="39">
    <w:abstractNumId w:val="52"/>
  </w:num>
  <w:num w:numId="40">
    <w:abstractNumId w:val="20"/>
  </w:num>
  <w:num w:numId="41">
    <w:abstractNumId w:val="13"/>
  </w:num>
  <w:num w:numId="42">
    <w:abstractNumId w:val="61"/>
  </w:num>
  <w:num w:numId="43">
    <w:abstractNumId w:val="9"/>
  </w:num>
  <w:num w:numId="44">
    <w:abstractNumId w:val="30"/>
  </w:num>
  <w:num w:numId="45">
    <w:abstractNumId w:val="31"/>
  </w:num>
  <w:num w:numId="46">
    <w:abstractNumId w:val="3"/>
  </w:num>
  <w:num w:numId="47">
    <w:abstractNumId w:val="45"/>
  </w:num>
  <w:num w:numId="48">
    <w:abstractNumId w:val="6"/>
  </w:num>
  <w:num w:numId="49">
    <w:abstractNumId w:val="33"/>
  </w:num>
  <w:num w:numId="50">
    <w:abstractNumId w:val="4"/>
  </w:num>
  <w:num w:numId="51">
    <w:abstractNumId w:val="8"/>
  </w:num>
  <w:num w:numId="52">
    <w:abstractNumId w:val="58"/>
  </w:num>
  <w:num w:numId="53">
    <w:abstractNumId w:val="51"/>
  </w:num>
  <w:num w:numId="54">
    <w:abstractNumId w:val="17"/>
  </w:num>
  <w:num w:numId="55">
    <w:abstractNumId w:val="42"/>
  </w:num>
  <w:num w:numId="56">
    <w:abstractNumId w:val="32"/>
  </w:num>
  <w:num w:numId="57">
    <w:abstractNumId w:val="24"/>
  </w:num>
  <w:num w:numId="58">
    <w:abstractNumId w:val="39"/>
  </w:num>
  <w:num w:numId="59">
    <w:abstractNumId w:val="2"/>
  </w:num>
  <w:num w:numId="60">
    <w:abstractNumId w:val="14"/>
  </w:num>
  <w:num w:numId="61">
    <w:abstractNumId w:val="22"/>
  </w:num>
  <w:num w:numId="62">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paA8q7oc5iK+hjxM5j4YuFtAgUHmYZp93wJym7jn0Dr5tP6YbraqZC+l3OygXVZ9T9wSuOEa7XLn1gz3wmX42w==" w:salt="WZRSxJUKWYNPhHhTEZiS4A=="/>
  <w:defaultTabStop w:val="709"/>
  <w:autoHyphenation/>
  <w:hyphenationZone w:val="567"/>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1584"/>
    <w:rsid w:val="00002232"/>
    <w:rsid w:val="00002491"/>
    <w:rsid w:val="0000378E"/>
    <w:rsid w:val="00003AEB"/>
    <w:rsid w:val="000049D8"/>
    <w:rsid w:val="00005BBA"/>
    <w:rsid w:val="00005D8C"/>
    <w:rsid w:val="00006C2B"/>
    <w:rsid w:val="00007014"/>
    <w:rsid w:val="00007968"/>
    <w:rsid w:val="0001067A"/>
    <w:rsid w:val="0001295C"/>
    <w:rsid w:val="00012BE1"/>
    <w:rsid w:val="00012E94"/>
    <w:rsid w:val="00013CCE"/>
    <w:rsid w:val="000140D5"/>
    <w:rsid w:val="0001410B"/>
    <w:rsid w:val="000141D6"/>
    <w:rsid w:val="00014A68"/>
    <w:rsid w:val="00014A95"/>
    <w:rsid w:val="00015B5E"/>
    <w:rsid w:val="00015F1D"/>
    <w:rsid w:val="0001659F"/>
    <w:rsid w:val="00016750"/>
    <w:rsid w:val="0001774B"/>
    <w:rsid w:val="00020230"/>
    <w:rsid w:val="00020D0F"/>
    <w:rsid w:val="000215EB"/>
    <w:rsid w:val="00021E83"/>
    <w:rsid w:val="00023713"/>
    <w:rsid w:val="00023C4D"/>
    <w:rsid w:val="0002460C"/>
    <w:rsid w:val="00025E71"/>
    <w:rsid w:val="00026226"/>
    <w:rsid w:val="00026269"/>
    <w:rsid w:val="000262C5"/>
    <w:rsid w:val="0002664E"/>
    <w:rsid w:val="00027154"/>
    <w:rsid w:val="00027A85"/>
    <w:rsid w:val="00027BA9"/>
    <w:rsid w:val="00027ECF"/>
    <w:rsid w:val="000303BE"/>
    <w:rsid w:val="00030ABB"/>
    <w:rsid w:val="000344D6"/>
    <w:rsid w:val="00034960"/>
    <w:rsid w:val="00036FAE"/>
    <w:rsid w:val="00037406"/>
    <w:rsid w:val="0003760F"/>
    <w:rsid w:val="00041858"/>
    <w:rsid w:val="0004389E"/>
    <w:rsid w:val="00045CA6"/>
    <w:rsid w:val="000463A6"/>
    <w:rsid w:val="00046CC9"/>
    <w:rsid w:val="00046E91"/>
    <w:rsid w:val="000502FE"/>
    <w:rsid w:val="00050545"/>
    <w:rsid w:val="0005126D"/>
    <w:rsid w:val="00051992"/>
    <w:rsid w:val="00051E9A"/>
    <w:rsid w:val="000521A7"/>
    <w:rsid w:val="00052F47"/>
    <w:rsid w:val="000537BB"/>
    <w:rsid w:val="0005399B"/>
    <w:rsid w:val="00054DE6"/>
    <w:rsid w:val="000569D7"/>
    <w:rsid w:val="000576D7"/>
    <w:rsid w:val="00060F72"/>
    <w:rsid w:val="000619E9"/>
    <w:rsid w:val="000621DE"/>
    <w:rsid w:val="00062293"/>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84B"/>
    <w:rsid w:val="00074979"/>
    <w:rsid w:val="000749F0"/>
    <w:rsid w:val="0007579D"/>
    <w:rsid w:val="0007609D"/>
    <w:rsid w:val="00077C67"/>
    <w:rsid w:val="00077DF2"/>
    <w:rsid w:val="00080976"/>
    <w:rsid w:val="00080EAB"/>
    <w:rsid w:val="00081CEB"/>
    <w:rsid w:val="00081E60"/>
    <w:rsid w:val="00082842"/>
    <w:rsid w:val="00082D8E"/>
    <w:rsid w:val="00082E31"/>
    <w:rsid w:val="00082FDA"/>
    <w:rsid w:val="00083AA3"/>
    <w:rsid w:val="00085947"/>
    <w:rsid w:val="000868FE"/>
    <w:rsid w:val="0008760B"/>
    <w:rsid w:val="000878D1"/>
    <w:rsid w:val="00087FC6"/>
    <w:rsid w:val="00091A3E"/>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0E55"/>
    <w:rsid w:val="000A13DF"/>
    <w:rsid w:val="000A1BD2"/>
    <w:rsid w:val="000A2127"/>
    <w:rsid w:val="000A24CC"/>
    <w:rsid w:val="000A358F"/>
    <w:rsid w:val="000A3BAB"/>
    <w:rsid w:val="000A3D45"/>
    <w:rsid w:val="000A43CC"/>
    <w:rsid w:val="000A7314"/>
    <w:rsid w:val="000A7B53"/>
    <w:rsid w:val="000A7B64"/>
    <w:rsid w:val="000B005F"/>
    <w:rsid w:val="000B2674"/>
    <w:rsid w:val="000B275C"/>
    <w:rsid w:val="000B2C3D"/>
    <w:rsid w:val="000B55C0"/>
    <w:rsid w:val="000B5DF2"/>
    <w:rsid w:val="000C06C9"/>
    <w:rsid w:val="000C1DCC"/>
    <w:rsid w:val="000C1FBC"/>
    <w:rsid w:val="000C263C"/>
    <w:rsid w:val="000C2B6A"/>
    <w:rsid w:val="000C2F88"/>
    <w:rsid w:val="000C55C8"/>
    <w:rsid w:val="000C57C4"/>
    <w:rsid w:val="000C5DBD"/>
    <w:rsid w:val="000C5FD3"/>
    <w:rsid w:val="000C701D"/>
    <w:rsid w:val="000C7C4A"/>
    <w:rsid w:val="000D17AA"/>
    <w:rsid w:val="000D28E3"/>
    <w:rsid w:val="000D2D0B"/>
    <w:rsid w:val="000D4660"/>
    <w:rsid w:val="000D6614"/>
    <w:rsid w:val="000D705D"/>
    <w:rsid w:val="000D71F1"/>
    <w:rsid w:val="000D7EB9"/>
    <w:rsid w:val="000E0223"/>
    <w:rsid w:val="000E0CF3"/>
    <w:rsid w:val="000E18A8"/>
    <w:rsid w:val="000E1AEC"/>
    <w:rsid w:val="000E3937"/>
    <w:rsid w:val="000E4926"/>
    <w:rsid w:val="000E49B7"/>
    <w:rsid w:val="000E5F7F"/>
    <w:rsid w:val="000E6177"/>
    <w:rsid w:val="000E6508"/>
    <w:rsid w:val="000E7086"/>
    <w:rsid w:val="000E7C65"/>
    <w:rsid w:val="000F04D2"/>
    <w:rsid w:val="000F32E6"/>
    <w:rsid w:val="000F55B7"/>
    <w:rsid w:val="000F604F"/>
    <w:rsid w:val="000F6233"/>
    <w:rsid w:val="000F7399"/>
    <w:rsid w:val="00101BF1"/>
    <w:rsid w:val="001027F1"/>
    <w:rsid w:val="00102808"/>
    <w:rsid w:val="00104F2E"/>
    <w:rsid w:val="001072DD"/>
    <w:rsid w:val="00110D7A"/>
    <w:rsid w:val="00111464"/>
    <w:rsid w:val="0011167D"/>
    <w:rsid w:val="00111E36"/>
    <w:rsid w:val="00112892"/>
    <w:rsid w:val="00112E48"/>
    <w:rsid w:val="001130EA"/>
    <w:rsid w:val="0011324D"/>
    <w:rsid w:val="001138E8"/>
    <w:rsid w:val="00114259"/>
    <w:rsid w:val="00114ACC"/>
    <w:rsid w:val="001163D7"/>
    <w:rsid w:val="001164F7"/>
    <w:rsid w:val="001168B2"/>
    <w:rsid w:val="00117C20"/>
    <w:rsid w:val="00120F0E"/>
    <w:rsid w:val="00121A5D"/>
    <w:rsid w:val="00121BED"/>
    <w:rsid w:val="00122F9C"/>
    <w:rsid w:val="00123199"/>
    <w:rsid w:val="00123D39"/>
    <w:rsid w:val="001244CD"/>
    <w:rsid w:val="00124BDB"/>
    <w:rsid w:val="0012566F"/>
    <w:rsid w:val="001262B1"/>
    <w:rsid w:val="00126B2A"/>
    <w:rsid w:val="00130F41"/>
    <w:rsid w:val="00130FAF"/>
    <w:rsid w:val="00131487"/>
    <w:rsid w:val="00131985"/>
    <w:rsid w:val="0013217B"/>
    <w:rsid w:val="00135F2B"/>
    <w:rsid w:val="00136A35"/>
    <w:rsid w:val="001372DD"/>
    <w:rsid w:val="0014051D"/>
    <w:rsid w:val="001405BA"/>
    <w:rsid w:val="00141497"/>
    <w:rsid w:val="0014253A"/>
    <w:rsid w:val="001425C8"/>
    <w:rsid w:val="001431AE"/>
    <w:rsid w:val="00143B60"/>
    <w:rsid w:val="00143B87"/>
    <w:rsid w:val="001459E3"/>
    <w:rsid w:val="00146962"/>
    <w:rsid w:val="00146A0B"/>
    <w:rsid w:val="00146F38"/>
    <w:rsid w:val="0014761E"/>
    <w:rsid w:val="00151907"/>
    <w:rsid w:val="00151AB6"/>
    <w:rsid w:val="00152D0A"/>
    <w:rsid w:val="0015444F"/>
    <w:rsid w:val="001544C8"/>
    <w:rsid w:val="00155FAB"/>
    <w:rsid w:val="0015663C"/>
    <w:rsid w:val="001567A1"/>
    <w:rsid w:val="00156857"/>
    <w:rsid w:val="00157E79"/>
    <w:rsid w:val="00157EED"/>
    <w:rsid w:val="0016087A"/>
    <w:rsid w:val="0016098D"/>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90D"/>
    <w:rsid w:val="00173AC7"/>
    <w:rsid w:val="001745D7"/>
    <w:rsid w:val="00175754"/>
    <w:rsid w:val="00175EA8"/>
    <w:rsid w:val="00176982"/>
    <w:rsid w:val="0017701C"/>
    <w:rsid w:val="001779DA"/>
    <w:rsid w:val="00181264"/>
    <w:rsid w:val="00181BD1"/>
    <w:rsid w:val="0018204A"/>
    <w:rsid w:val="00182F7C"/>
    <w:rsid w:val="001831C0"/>
    <w:rsid w:val="00183253"/>
    <w:rsid w:val="001843B5"/>
    <w:rsid w:val="0018664D"/>
    <w:rsid w:val="00186829"/>
    <w:rsid w:val="001868CA"/>
    <w:rsid w:val="00187304"/>
    <w:rsid w:val="001875BE"/>
    <w:rsid w:val="0019017A"/>
    <w:rsid w:val="00190B8C"/>
    <w:rsid w:val="00190FF8"/>
    <w:rsid w:val="001917B8"/>
    <w:rsid w:val="0019311A"/>
    <w:rsid w:val="0019508A"/>
    <w:rsid w:val="001960D8"/>
    <w:rsid w:val="0019686D"/>
    <w:rsid w:val="001A1642"/>
    <w:rsid w:val="001A2985"/>
    <w:rsid w:val="001A371B"/>
    <w:rsid w:val="001A4766"/>
    <w:rsid w:val="001A67D4"/>
    <w:rsid w:val="001A6A0D"/>
    <w:rsid w:val="001A6C51"/>
    <w:rsid w:val="001A6FAA"/>
    <w:rsid w:val="001A7D73"/>
    <w:rsid w:val="001A7F8A"/>
    <w:rsid w:val="001B0363"/>
    <w:rsid w:val="001B03DB"/>
    <w:rsid w:val="001B0A82"/>
    <w:rsid w:val="001B1355"/>
    <w:rsid w:val="001B2FC9"/>
    <w:rsid w:val="001B3138"/>
    <w:rsid w:val="001B31B8"/>
    <w:rsid w:val="001B4E4B"/>
    <w:rsid w:val="001B50AC"/>
    <w:rsid w:val="001B5E05"/>
    <w:rsid w:val="001B6D68"/>
    <w:rsid w:val="001B6F2E"/>
    <w:rsid w:val="001B7FA0"/>
    <w:rsid w:val="001C0344"/>
    <w:rsid w:val="001C0F2A"/>
    <w:rsid w:val="001C1A59"/>
    <w:rsid w:val="001C270F"/>
    <w:rsid w:val="001C2D7E"/>
    <w:rsid w:val="001C314F"/>
    <w:rsid w:val="001C3EDA"/>
    <w:rsid w:val="001C4679"/>
    <w:rsid w:val="001C4886"/>
    <w:rsid w:val="001C5770"/>
    <w:rsid w:val="001C6195"/>
    <w:rsid w:val="001D000A"/>
    <w:rsid w:val="001D0883"/>
    <w:rsid w:val="001D2205"/>
    <w:rsid w:val="001D2695"/>
    <w:rsid w:val="001D363B"/>
    <w:rsid w:val="001D3A1F"/>
    <w:rsid w:val="001D3FB6"/>
    <w:rsid w:val="001D4230"/>
    <w:rsid w:val="001D4550"/>
    <w:rsid w:val="001D5498"/>
    <w:rsid w:val="001D5BAF"/>
    <w:rsid w:val="001D6401"/>
    <w:rsid w:val="001D66C9"/>
    <w:rsid w:val="001D722A"/>
    <w:rsid w:val="001D7D45"/>
    <w:rsid w:val="001E04FC"/>
    <w:rsid w:val="001E0C4C"/>
    <w:rsid w:val="001E407D"/>
    <w:rsid w:val="001E40FB"/>
    <w:rsid w:val="001E66EC"/>
    <w:rsid w:val="001E68C5"/>
    <w:rsid w:val="001F0F63"/>
    <w:rsid w:val="001F21A2"/>
    <w:rsid w:val="001F3996"/>
    <w:rsid w:val="001F44A4"/>
    <w:rsid w:val="001F579D"/>
    <w:rsid w:val="001F65EF"/>
    <w:rsid w:val="001F697B"/>
    <w:rsid w:val="002005A6"/>
    <w:rsid w:val="00200C87"/>
    <w:rsid w:val="00201BE6"/>
    <w:rsid w:val="0020252B"/>
    <w:rsid w:val="00204CBC"/>
    <w:rsid w:val="002051F1"/>
    <w:rsid w:val="0020639D"/>
    <w:rsid w:val="002067BA"/>
    <w:rsid w:val="0021058D"/>
    <w:rsid w:val="00211E2F"/>
    <w:rsid w:val="00211E9E"/>
    <w:rsid w:val="00214FB4"/>
    <w:rsid w:val="00215940"/>
    <w:rsid w:val="00215CDC"/>
    <w:rsid w:val="00216847"/>
    <w:rsid w:val="00216FDD"/>
    <w:rsid w:val="002175C8"/>
    <w:rsid w:val="00217C23"/>
    <w:rsid w:val="00220561"/>
    <w:rsid w:val="00220CE4"/>
    <w:rsid w:val="00221F46"/>
    <w:rsid w:val="00222D9B"/>
    <w:rsid w:val="00223788"/>
    <w:rsid w:val="00223D11"/>
    <w:rsid w:val="002242D3"/>
    <w:rsid w:val="00224616"/>
    <w:rsid w:val="00227C1A"/>
    <w:rsid w:val="002301E6"/>
    <w:rsid w:val="00230814"/>
    <w:rsid w:val="00232C5B"/>
    <w:rsid w:val="00232F90"/>
    <w:rsid w:val="00233B08"/>
    <w:rsid w:val="00233C3B"/>
    <w:rsid w:val="0023499C"/>
    <w:rsid w:val="002354EC"/>
    <w:rsid w:val="00235CE3"/>
    <w:rsid w:val="0023636A"/>
    <w:rsid w:val="00236F34"/>
    <w:rsid w:val="002372F7"/>
    <w:rsid w:val="00240651"/>
    <w:rsid w:val="00240803"/>
    <w:rsid w:val="0024118D"/>
    <w:rsid w:val="0024226B"/>
    <w:rsid w:val="002430B6"/>
    <w:rsid w:val="0024426D"/>
    <w:rsid w:val="00244F1D"/>
    <w:rsid w:val="00245004"/>
    <w:rsid w:val="00245FB4"/>
    <w:rsid w:val="002507B5"/>
    <w:rsid w:val="00250898"/>
    <w:rsid w:val="0025147B"/>
    <w:rsid w:val="00251EA9"/>
    <w:rsid w:val="0025276A"/>
    <w:rsid w:val="00252843"/>
    <w:rsid w:val="002543F8"/>
    <w:rsid w:val="002551A4"/>
    <w:rsid w:val="002559F3"/>
    <w:rsid w:val="00256DFE"/>
    <w:rsid w:val="00261D56"/>
    <w:rsid w:val="00261FD3"/>
    <w:rsid w:val="00263505"/>
    <w:rsid w:val="00264077"/>
    <w:rsid w:val="002645C6"/>
    <w:rsid w:val="00266B9A"/>
    <w:rsid w:val="0026750E"/>
    <w:rsid w:val="00270E54"/>
    <w:rsid w:val="002724EA"/>
    <w:rsid w:val="00273633"/>
    <w:rsid w:val="00273681"/>
    <w:rsid w:val="002754B5"/>
    <w:rsid w:val="002764C5"/>
    <w:rsid w:val="00276A5A"/>
    <w:rsid w:val="002772AE"/>
    <w:rsid w:val="00277EFB"/>
    <w:rsid w:val="00280613"/>
    <w:rsid w:val="002810DF"/>
    <w:rsid w:val="002819C4"/>
    <w:rsid w:val="002826A6"/>
    <w:rsid w:val="0028274D"/>
    <w:rsid w:val="00282B96"/>
    <w:rsid w:val="002833D6"/>
    <w:rsid w:val="00283CAF"/>
    <w:rsid w:val="00283F51"/>
    <w:rsid w:val="00286064"/>
    <w:rsid w:val="002867B1"/>
    <w:rsid w:val="002868FC"/>
    <w:rsid w:val="00287BBB"/>
    <w:rsid w:val="00287E3B"/>
    <w:rsid w:val="00290638"/>
    <w:rsid w:val="00291763"/>
    <w:rsid w:val="00291D80"/>
    <w:rsid w:val="00292E82"/>
    <w:rsid w:val="00293156"/>
    <w:rsid w:val="00293BE7"/>
    <w:rsid w:val="00293D78"/>
    <w:rsid w:val="002946B9"/>
    <w:rsid w:val="002946DC"/>
    <w:rsid w:val="002A0C82"/>
    <w:rsid w:val="002A0CD8"/>
    <w:rsid w:val="002A13EB"/>
    <w:rsid w:val="002A278C"/>
    <w:rsid w:val="002A35EF"/>
    <w:rsid w:val="002A3DE0"/>
    <w:rsid w:val="002A40EA"/>
    <w:rsid w:val="002A46E8"/>
    <w:rsid w:val="002A491C"/>
    <w:rsid w:val="002A4C8E"/>
    <w:rsid w:val="002A69FF"/>
    <w:rsid w:val="002A7396"/>
    <w:rsid w:val="002B1FEF"/>
    <w:rsid w:val="002B2DF8"/>
    <w:rsid w:val="002B2E53"/>
    <w:rsid w:val="002B354F"/>
    <w:rsid w:val="002B3614"/>
    <w:rsid w:val="002B421C"/>
    <w:rsid w:val="002B45D1"/>
    <w:rsid w:val="002B4ED8"/>
    <w:rsid w:val="002B4FAA"/>
    <w:rsid w:val="002B52C2"/>
    <w:rsid w:val="002B68A1"/>
    <w:rsid w:val="002B7656"/>
    <w:rsid w:val="002C0642"/>
    <w:rsid w:val="002C1492"/>
    <w:rsid w:val="002C1A8D"/>
    <w:rsid w:val="002C1E8B"/>
    <w:rsid w:val="002C2EFE"/>
    <w:rsid w:val="002C53AA"/>
    <w:rsid w:val="002C5B2D"/>
    <w:rsid w:val="002C6AF9"/>
    <w:rsid w:val="002C7DFC"/>
    <w:rsid w:val="002D08B8"/>
    <w:rsid w:val="002D14F3"/>
    <w:rsid w:val="002D16E4"/>
    <w:rsid w:val="002D2FEF"/>
    <w:rsid w:val="002D36C2"/>
    <w:rsid w:val="002D3BAC"/>
    <w:rsid w:val="002D3FCB"/>
    <w:rsid w:val="002D4FEF"/>
    <w:rsid w:val="002D502D"/>
    <w:rsid w:val="002D63F5"/>
    <w:rsid w:val="002D6D7E"/>
    <w:rsid w:val="002D6E1A"/>
    <w:rsid w:val="002D7FF7"/>
    <w:rsid w:val="002E036D"/>
    <w:rsid w:val="002E1517"/>
    <w:rsid w:val="002E1760"/>
    <w:rsid w:val="002E1B22"/>
    <w:rsid w:val="002E1DFA"/>
    <w:rsid w:val="002E387F"/>
    <w:rsid w:val="002E4B78"/>
    <w:rsid w:val="002E5549"/>
    <w:rsid w:val="002E76FC"/>
    <w:rsid w:val="002E7CFF"/>
    <w:rsid w:val="002E7F4B"/>
    <w:rsid w:val="002F0C91"/>
    <w:rsid w:val="002F0E3E"/>
    <w:rsid w:val="002F1683"/>
    <w:rsid w:val="002F1B19"/>
    <w:rsid w:val="002F1FBF"/>
    <w:rsid w:val="002F23CF"/>
    <w:rsid w:val="002F4139"/>
    <w:rsid w:val="002F5120"/>
    <w:rsid w:val="002F6D28"/>
    <w:rsid w:val="00300624"/>
    <w:rsid w:val="00300C1C"/>
    <w:rsid w:val="00300F56"/>
    <w:rsid w:val="00301006"/>
    <w:rsid w:val="00301144"/>
    <w:rsid w:val="00301C2B"/>
    <w:rsid w:val="0030247F"/>
    <w:rsid w:val="00304A71"/>
    <w:rsid w:val="00304EBA"/>
    <w:rsid w:val="003066C8"/>
    <w:rsid w:val="0030739D"/>
    <w:rsid w:val="003079A6"/>
    <w:rsid w:val="00307AFB"/>
    <w:rsid w:val="00311184"/>
    <w:rsid w:val="00311E05"/>
    <w:rsid w:val="00312675"/>
    <w:rsid w:val="00314013"/>
    <w:rsid w:val="0031454E"/>
    <w:rsid w:val="00314945"/>
    <w:rsid w:val="00315389"/>
    <w:rsid w:val="00315746"/>
    <w:rsid w:val="00315E96"/>
    <w:rsid w:val="00317CD3"/>
    <w:rsid w:val="00317FC8"/>
    <w:rsid w:val="003220B3"/>
    <w:rsid w:val="003223D7"/>
    <w:rsid w:val="00323D9F"/>
    <w:rsid w:val="00324FDB"/>
    <w:rsid w:val="00325F48"/>
    <w:rsid w:val="0032795C"/>
    <w:rsid w:val="0033194F"/>
    <w:rsid w:val="00332304"/>
    <w:rsid w:val="00332406"/>
    <w:rsid w:val="00332D8D"/>
    <w:rsid w:val="00332DBE"/>
    <w:rsid w:val="00335DDA"/>
    <w:rsid w:val="00336B56"/>
    <w:rsid w:val="00341B25"/>
    <w:rsid w:val="00341EC0"/>
    <w:rsid w:val="0034240C"/>
    <w:rsid w:val="00344496"/>
    <w:rsid w:val="00345968"/>
    <w:rsid w:val="00346BD2"/>
    <w:rsid w:val="00347667"/>
    <w:rsid w:val="003507E2"/>
    <w:rsid w:val="00350D9A"/>
    <w:rsid w:val="003522B2"/>
    <w:rsid w:val="00352331"/>
    <w:rsid w:val="003523FA"/>
    <w:rsid w:val="0035455E"/>
    <w:rsid w:val="00354A6F"/>
    <w:rsid w:val="00354B48"/>
    <w:rsid w:val="00355789"/>
    <w:rsid w:val="00355DAE"/>
    <w:rsid w:val="00356FD4"/>
    <w:rsid w:val="003609B6"/>
    <w:rsid w:val="00361119"/>
    <w:rsid w:val="003646E4"/>
    <w:rsid w:val="0036538D"/>
    <w:rsid w:val="00365D12"/>
    <w:rsid w:val="00366E20"/>
    <w:rsid w:val="00367ECC"/>
    <w:rsid w:val="0037018D"/>
    <w:rsid w:val="00372299"/>
    <w:rsid w:val="00372F02"/>
    <w:rsid w:val="00373729"/>
    <w:rsid w:val="00373B76"/>
    <w:rsid w:val="00373C91"/>
    <w:rsid w:val="003748F0"/>
    <w:rsid w:val="003755C6"/>
    <w:rsid w:val="00375AEF"/>
    <w:rsid w:val="00376367"/>
    <w:rsid w:val="00376B02"/>
    <w:rsid w:val="0037733A"/>
    <w:rsid w:val="003776DC"/>
    <w:rsid w:val="003779C1"/>
    <w:rsid w:val="00380FEC"/>
    <w:rsid w:val="00381226"/>
    <w:rsid w:val="00381B1B"/>
    <w:rsid w:val="00381FF6"/>
    <w:rsid w:val="003833B1"/>
    <w:rsid w:val="00383D7D"/>
    <w:rsid w:val="00384CCE"/>
    <w:rsid w:val="00385823"/>
    <w:rsid w:val="003865E5"/>
    <w:rsid w:val="00387EFD"/>
    <w:rsid w:val="003926C1"/>
    <w:rsid w:val="00392900"/>
    <w:rsid w:val="00393357"/>
    <w:rsid w:val="00394FB4"/>
    <w:rsid w:val="00395668"/>
    <w:rsid w:val="00395E7B"/>
    <w:rsid w:val="00395F4C"/>
    <w:rsid w:val="00396011"/>
    <w:rsid w:val="003A51C5"/>
    <w:rsid w:val="003A5DAC"/>
    <w:rsid w:val="003A6591"/>
    <w:rsid w:val="003A6E9A"/>
    <w:rsid w:val="003B08C8"/>
    <w:rsid w:val="003B10A6"/>
    <w:rsid w:val="003B2567"/>
    <w:rsid w:val="003B3007"/>
    <w:rsid w:val="003B3048"/>
    <w:rsid w:val="003B381A"/>
    <w:rsid w:val="003B4976"/>
    <w:rsid w:val="003B4B3F"/>
    <w:rsid w:val="003B4FD6"/>
    <w:rsid w:val="003B6258"/>
    <w:rsid w:val="003B64D0"/>
    <w:rsid w:val="003B7A99"/>
    <w:rsid w:val="003C0343"/>
    <w:rsid w:val="003C17F6"/>
    <w:rsid w:val="003C1810"/>
    <w:rsid w:val="003C1C32"/>
    <w:rsid w:val="003C2A58"/>
    <w:rsid w:val="003C3C8D"/>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55C"/>
    <w:rsid w:val="003E3ACA"/>
    <w:rsid w:val="003E4D12"/>
    <w:rsid w:val="003E50EA"/>
    <w:rsid w:val="003E5164"/>
    <w:rsid w:val="003E68C7"/>
    <w:rsid w:val="003E6D0C"/>
    <w:rsid w:val="003E79B0"/>
    <w:rsid w:val="003F0403"/>
    <w:rsid w:val="003F1094"/>
    <w:rsid w:val="003F1B60"/>
    <w:rsid w:val="003F2E45"/>
    <w:rsid w:val="003F3EFE"/>
    <w:rsid w:val="003F40B8"/>
    <w:rsid w:val="003F4994"/>
    <w:rsid w:val="003F5C06"/>
    <w:rsid w:val="003F6CC2"/>
    <w:rsid w:val="00400195"/>
    <w:rsid w:val="0040254B"/>
    <w:rsid w:val="00403086"/>
    <w:rsid w:val="00403460"/>
    <w:rsid w:val="004040FF"/>
    <w:rsid w:val="00404284"/>
    <w:rsid w:val="004042C4"/>
    <w:rsid w:val="004044C3"/>
    <w:rsid w:val="00406E90"/>
    <w:rsid w:val="00406FF3"/>
    <w:rsid w:val="0040758D"/>
    <w:rsid w:val="00407BF2"/>
    <w:rsid w:val="00410240"/>
    <w:rsid w:val="00410770"/>
    <w:rsid w:val="0041137B"/>
    <w:rsid w:val="00412253"/>
    <w:rsid w:val="0041314C"/>
    <w:rsid w:val="004137CC"/>
    <w:rsid w:val="004142ED"/>
    <w:rsid w:val="0041634D"/>
    <w:rsid w:val="004166F3"/>
    <w:rsid w:val="00416ABC"/>
    <w:rsid w:val="00416CF6"/>
    <w:rsid w:val="00416E7F"/>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E81"/>
    <w:rsid w:val="00437929"/>
    <w:rsid w:val="00437A4A"/>
    <w:rsid w:val="00440541"/>
    <w:rsid w:val="0044162D"/>
    <w:rsid w:val="0044277A"/>
    <w:rsid w:val="004434EF"/>
    <w:rsid w:val="004456DC"/>
    <w:rsid w:val="00447CB8"/>
    <w:rsid w:val="00447FBE"/>
    <w:rsid w:val="0045035E"/>
    <w:rsid w:val="0045175A"/>
    <w:rsid w:val="00451ED9"/>
    <w:rsid w:val="00452180"/>
    <w:rsid w:val="00453072"/>
    <w:rsid w:val="004539F8"/>
    <w:rsid w:val="00453F26"/>
    <w:rsid w:val="0045503F"/>
    <w:rsid w:val="00455273"/>
    <w:rsid w:val="00455DCB"/>
    <w:rsid w:val="0045778F"/>
    <w:rsid w:val="00460905"/>
    <w:rsid w:val="00461E35"/>
    <w:rsid w:val="004621DB"/>
    <w:rsid w:val="004634A7"/>
    <w:rsid w:val="00463787"/>
    <w:rsid w:val="00464696"/>
    <w:rsid w:val="004648DA"/>
    <w:rsid w:val="00466926"/>
    <w:rsid w:val="00466FDA"/>
    <w:rsid w:val="004671D0"/>
    <w:rsid w:val="004674D1"/>
    <w:rsid w:val="00470773"/>
    <w:rsid w:val="0047160D"/>
    <w:rsid w:val="00471FF9"/>
    <w:rsid w:val="0047217E"/>
    <w:rsid w:val="00472894"/>
    <w:rsid w:val="00472CC7"/>
    <w:rsid w:val="00473E74"/>
    <w:rsid w:val="00473FEF"/>
    <w:rsid w:val="0047441D"/>
    <w:rsid w:val="00474B86"/>
    <w:rsid w:val="00475826"/>
    <w:rsid w:val="00475B8E"/>
    <w:rsid w:val="0047671F"/>
    <w:rsid w:val="0048104E"/>
    <w:rsid w:val="004814BB"/>
    <w:rsid w:val="004815DA"/>
    <w:rsid w:val="00482458"/>
    <w:rsid w:val="00482ACF"/>
    <w:rsid w:val="00482E20"/>
    <w:rsid w:val="004837ED"/>
    <w:rsid w:val="00483942"/>
    <w:rsid w:val="004843CE"/>
    <w:rsid w:val="00485142"/>
    <w:rsid w:val="004852A7"/>
    <w:rsid w:val="00486C17"/>
    <w:rsid w:val="00486DE2"/>
    <w:rsid w:val="00487117"/>
    <w:rsid w:val="00487A32"/>
    <w:rsid w:val="00487A8D"/>
    <w:rsid w:val="00487A91"/>
    <w:rsid w:val="00487FAC"/>
    <w:rsid w:val="004901E5"/>
    <w:rsid w:val="0049027D"/>
    <w:rsid w:val="004903D4"/>
    <w:rsid w:val="0049052B"/>
    <w:rsid w:val="00492457"/>
    <w:rsid w:val="004924A8"/>
    <w:rsid w:val="00492E10"/>
    <w:rsid w:val="004934E9"/>
    <w:rsid w:val="0049385B"/>
    <w:rsid w:val="00494737"/>
    <w:rsid w:val="00494D5C"/>
    <w:rsid w:val="00495A6A"/>
    <w:rsid w:val="004964F6"/>
    <w:rsid w:val="00496821"/>
    <w:rsid w:val="00497750"/>
    <w:rsid w:val="00497B44"/>
    <w:rsid w:val="004A00E5"/>
    <w:rsid w:val="004A01A7"/>
    <w:rsid w:val="004A0D09"/>
    <w:rsid w:val="004A116E"/>
    <w:rsid w:val="004A1951"/>
    <w:rsid w:val="004A2654"/>
    <w:rsid w:val="004A357F"/>
    <w:rsid w:val="004A3DAD"/>
    <w:rsid w:val="004A5BE3"/>
    <w:rsid w:val="004A6FAF"/>
    <w:rsid w:val="004B0335"/>
    <w:rsid w:val="004B0F1C"/>
    <w:rsid w:val="004B1E61"/>
    <w:rsid w:val="004B21AB"/>
    <w:rsid w:val="004B59E0"/>
    <w:rsid w:val="004B667B"/>
    <w:rsid w:val="004B71C7"/>
    <w:rsid w:val="004B7EC4"/>
    <w:rsid w:val="004C03AA"/>
    <w:rsid w:val="004C0B9A"/>
    <w:rsid w:val="004C14E7"/>
    <w:rsid w:val="004C1686"/>
    <w:rsid w:val="004C185D"/>
    <w:rsid w:val="004C1D89"/>
    <w:rsid w:val="004C2A94"/>
    <w:rsid w:val="004C2CD0"/>
    <w:rsid w:val="004C3DAB"/>
    <w:rsid w:val="004C5766"/>
    <w:rsid w:val="004C5B7E"/>
    <w:rsid w:val="004C5F54"/>
    <w:rsid w:val="004C6E76"/>
    <w:rsid w:val="004C77DD"/>
    <w:rsid w:val="004C7800"/>
    <w:rsid w:val="004C7826"/>
    <w:rsid w:val="004C7B33"/>
    <w:rsid w:val="004D1410"/>
    <w:rsid w:val="004D1478"/>
    <w:rsid w:val="004D188F"/>
    <w:rsid w:val="004D19EE"/>
    <w:rsid w:val="004D1CF2"/>
    <w:rsid w:val="004D2D3A"/>
    <w:rsid w:val="004D374D"/>
    <w:rsid w:val="004D3DEC"/>
    <w:rsid w:val="004D42C8"/>
    <w:rsid w:val="004D4F57"/>
    <w:rsid w:val="004D5054"/>
    <w:rsid w:val="004D50F6"/>
    <w:rsid w:val="004D5A0D"/>
    <w:rsid w:val="004D6C6F"/>
    <w:rsid w:val="004D7910"/>
    <w:rsid w:val="004D7DEA"/>
    <w:rsid w:val="004E0A28"/>
    <w:rsid w:val="004E0CA0"/>
    <w:rsid w:val="004E1237"/>
    <w:rsid w:val="004E1A0F"/>
    <w:rsid w:val="004E1F1B"/>
    <w:rsid w:val="004E2E89"/>
    <w:rsid w:val="004E33C2"/>
    <w:rsid w:val="004E3B9A"/>
    <w:rsid w:val="004E49B0"/>
    <w:rsid w:val="004E5A4A"/>
    <w:rsid w:val="004E62DE"/>
    <w:rsid w:val="004E6B05"/>
    <w:rsid w:val="004E76A1"/>
    <w:rsid w:val="004F05DE"/>
    <w:rsid w:val="004F0C45"/>
    <w:rsid w:val="004F1A0C"/>
    <w:rsid w:val="004F2471"/>
    <w:rsid w:val="004F6376"/>
    <w:rsid w:val="004F6A93"/>
    <w:rsid w:val="004F6F14"/>
    <w:rsid w:val="004F728D"/>
    <w:rsid w:val="004F76D9"/>
    <w:rsid w:val="004F79A6"/>
    <w:rsid w:val="00501BF5"/>
    <w:rsid w:val="00501D8B"/>
    <w:rsid w:val="00503A3E"/>
    <w:rsid w:val="00503F59"/>
    <w:rsid w:val="005045EA"/>
    <w:rsid w:val="005049A7"/>
    <w:rsid w:val="005053B2"/>
    <w:rsid w:val="00506331"/>
    <w:rsid w:val="005070CC"/>
    <w:rsid w:val="00507D11"/>
    <w:rsid w:val="00510662"/>
    <w:rsid w:val="005109B7"/>
    <w:rsid w:val="00510A19"/>
    <w:rsid w:val="00511AAB"/>
    <w:rsid w:val="005127C9"/>
    <w:rsid w:val="00514D10"/>
    <w:rsid w:val="00516783"/>
    <w:rsid w:val="005171FB"/>
    <w:rsid w:val="0051725D"/>
    <w:rsid w:val="00517EF8"/>
    <w:rsid w:val="00520083"/>
    <w:rsid w:val="0052029E"/>
    <w:rsid w:val="0052076A"/>
    <w:rsid w:val="00520A2C"/>
    <w:rsid w:val="00520E25"/>
    <w:rsid w:val="0052183D"/>
    <w:rsid w:val="00522B01"/>
    <w:rsid w:val="00522F44"/>
    <w:rsid w:val="0052360A"/>
    <w:rsid w:val="005242BA"/>
    <w:rsid w:val="005243B8"/>
    <w:rsid w:val="005252DD"/>
    <w:rsid w:val="00526961"/>
    <w:rsid w:val="00527602"/>
    <w:rsid w:val="0053028E"/>
    <w:rsid w:val="0053047F"/>
    <w:rsid w:val="00530A8D"/>
    <w:rsid w:val="00530C18"/>
    <w:rsid w:val="00531C6D"/>
    <w:rsid w:val="00532EF4"/>
    <w:rsid w:val="005347CE"/>
    <w:rsid w:val="00535477"/>
    <w:rsid w:val="005357F8"/>
    <w:rsid w:val="00535DEA"/>
    <w:rsid w:val="0053723A"/>
    <w:rsid w:val="00537636"/>
    <w:rsid w:val="00537B1D"/>
    <w:rsid w:val="00540191"/>
    <w:rsid w:val="00540A2A"/>
    <w:rsid w:val="005417ED"/>
    <w:rsid w:val="00541F27"/>
    <w:rsid w:val="00542297"/>
    <w:rsid w:val="005424BC"/>
    <w:rsid w:val="00542A28"/>
    <w:rsid w:val="005441D4"/>
    <w:rsid w:val="0054562F"/>
    <w:rsid w:val="0054672D"/>
    <w:rsid w:val="00550F4E"/>
    <w:rsid w:val="00551E98"/>
    <w:rsid w:val="005532B5"/>
    <w:rsid w:val="0055343C"/>
    <w:rsid w:val="00554A05"/>
    <w:rsid w:val="00555849"/>
    <w:rsid w:val="005559A8"/>
    <w:rsid w:val="00557048"/>
    <w:rsid w:val="00557A8C"/>
    <w:rsid w:val="00557BC8"/>
    <w:rsid w:val="00557FB5"/>
    <w:rsid w:val="0056072E"/>
    <w:rsid w:val="00561AA2"/>
    <w:rsid w:val="00561AED"/>
    <w:rsid w:val="00563D84"/>
    <w:rsid w:val="005648A8"/>
    <w:rsid w:val="00564DE3"/>
    <w:rsid w:val="00564E44"/>
    <w:rsid w:val="00566136"/>
    <w:rsid w:val="0056641D"/>
    <w:rsid w:val="00566549"/>
    <w:rsid w:val="00566C6A"/>
    <w:rsid w:val="00566CE5"/>
    <w:rsid w:val="00566D36"/>
    <w:rsid w:val="00572AF0"/>
    <w:rsid w:val="00572E09"/>
    <w:rsid w:val="00573569"/>
    <w:rsid w:val="00573807"/>
    <w:rsid w:val="00573871"/>
    <w:rsid w:val="0057389E"/>
    <w:rsid w:val="00574586"/>
    <w:rsid w:val="005765C0"/>
    <w:rsid w:val="005773E8"/>
    <w:rsid w:val="005778DE"/>
    <w:rsid w:val="005803F9"/>
    <w:rsid w:val="00580B3F"/>
    <w:rsid w:val="00581067"/>
    <w:rsid w:val="005825F2"/>
    <w:rsid w:val="005830A8"/>
    <w:rsid w:val="0058318A"/>
    <w:rsid w:val="00583629"/>
    <w:rsid w:val="00583885"/>
    <w:rsid w:val="00584691"/>
    <w:rsid w:val="005849EE"/>
    <w:rsid w:val="00585AB2"/>
    <w:rsid w:val="00586022"/>
    <w:rsid w:val="005860AF"/>
    <w:rsid w:val="00587F1D"/>
    <w:rsid w:val="00590348"/>
    <w:rsid w:val="00590947"/>
    <w:rsid w:val="00591161"/>
    <w:rsid w:val="00592318"/>
    <w:rsid w:val="00593133"/>
    <w:rsid w:val="00594089"/>
    <w:rsid w:val="00595283"/>
    <w:rsid w:val="0059575D"/>
    <w:rsid w:val="00596825"/>
    <w:rsid w:val="005972DC"/>
    <w:rsid w:val="005A06A0"/>
    <w:rsid w:val="005A150A"/>
    <w:rsid w:val="005A2B3E"/>
    <w:rsid w:val="005A3644"/>
    <w:rsid w:val="005A4087"/>
    <w:rsid w:val="005A4B18"/>
    <w:rsid w:val="005A537E"/>
    <w:rsid w:val="005A59BF"/>
    <w:rsid w:val="005A6AA2"/>
    <w:rsid w:val="005A6F43"/>
    <w:rsid w:val="005A767D"/>
    <w:rsid w:val="005A7CAE"/>
    <w:rsid w:val="005B00F1"/>
    <w:rsid w:val="005B0CE7"/>
    <w:rsid w:val="005B0F4A"/>
    <w:rsid w:val="005B10E2"/>
    <w:rsid w:val="005B1803"/>
    <w:rsid w:val="005B2EB7"/>
    <w:rsid w:val="005B3970"/>
    <w:rsid w:val="005B4079"/>
    <w:rsid w:val="005B428E"/>
    <w:rsid w:val="005B5B3C"/>
    <w:rsid w:val="005B64B8"/>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AF2"/>
    <w:rsid w:val="005C50F4"/>
    <w:rsid w:val="005C663C"/>
    <w:rsid w:val="005C670B"/>
    <w:rsid w:val="005C7A18"/>
    <w:rsid w:val="005D0750"/>
    <w:rsid w:val="005D1023"/>
    <w:rsid w:val="005D1114"/>
    <w:rsid w:val="005D148F"/>
    <w:rsid w:val="005D2AD2"/>
    <w:rsid w:val="005D4A86"/>
    <w:rsid w:val="005D5D07"/>
    <w:rsid w:val="005D5EB1"/>
    <w:rsid w:val="005D6A29"/>
    <w:rsid w:val="005E0151"/>
    <w:rsid w:val="005E0481"/>
    <w:rsid w:val="005E10BF"/>
    <w:rsid w:val="005E1834"/>
    <w:rsid w:val="005E49E5"/>
    <w:rsid w:val="005E5481"/>
    <w:rsid w:val="005E55E4"/>
    <w:rsid w:val="005E5D38"/>
    <w:rsid w:val="005E5F51"/>
    <w:rsid w:val="005E6C5F"/>
    <w:rsid w:val="005E7636"/>
    <w:rsid w:val="005F028E"/>
    <w:rsid w:val="005F04B4"/>
    <w:rsid w:val="005F07D3"/>
    <w:rsid w:val="005F11A4"/>
    <w:rsid w:val="005F19F8"/>
    <w:rsid w:val="005F3FB1"/>
    <w:rsid w:val="005F4C33"/>
    <w:rsid w:val="005F5412"/>
    <w:rsid w:val="005F5ACF"/>
    <w:rsid w:val="005F60DC"/>
    <w:rsid w:val="006000DD"/>
    <w:rsid w:val="00600E84"/>
    <w:rsid w:val="00600F63"/>
    <w:rsid w:val="006012E1"/>
    <w:rsid w:val="00602253"/>
    <w:rsid w:val="006023E1"/>
    <w:rsid w:val="00602ABB"/>
    <w:rsid w:val="00605531"/>
    <w:rsid w:val="00605748"/>
    <w:rsid w:val="00606240"/>
    <w:rsid w:val="00606383"/>
    <w:rsid w:val="006063FF"/>
    <w:rsid w:val="0060674A"/>
    <w:rsid w:val="00606F77"/>
    <w:rsid w:val="00607832"/>
    <w:rsid w:val="0060784B"/>
    <w:rsid w:val="00610254"/>
    <w:rsid w:val="006105FB"/>
    <w:rsid w:val="00610F94"/>
    <w:rsid w:val="00611293"/>
    <w:rsid w:val="0061135E"/>
    <w:rsid w:val="00611F21"/>
    <w:rsid w:val="0061263A"/>
    <w:rsid w:val="00612C41"/>
    <w:rsid w:val="00613239"/>
    <w:rsid w:val="00613818"/>
    <w:rsid w:val="0061388F"/>
    <w:rsid w:val="006145DE"/>
    <w:rsid w:val="0061478E"/>
    <w:rsid w:val="00614F25"/>
    <w:rsid w:val="0061551F"/>
    <w:rsid w:val="00616A11"/>
    <w:rsid w:val="00616B9B"/>
    <w:rsid w:val="00617520"/>
    <w:rsid w:val="006177C2"/>
    <w:rsid w:val="0062022D"/>
    <w:rsid w:val="00620D7C"/>
    <w:rsid w:val="00621089"/>
    <w:rsid w:val="00621C9D"/>
    <w:rsid w:val="00621E1F"/>
    <w:rsid w:val="00621FF2"/>
    <w:rsid w:val="00622873"/>
    <w:rsid w:val="006228B2"/>
    <w:rsid w:val="006228E1"/>
    <w:rsid w:val="00622E32"/>
    <w:rsid w:val="00623688"/>
    <w:rsid w:val="0062457A"/>
    <w:rsid w:val="006247E0"/>
    <w:rsid w:val="00625F82"/>
    <w:rsid w:val="00627999"/>
    <w:rsid w:val="00627E90"/>
    <w:rsid w:val="00630FF7"/>
    <w:rsid w:val="0063198F"/>
    <w:rsid w:val="00632F21"/>
    <w:rsid w:val="00633433"/>
    <w:rsid w:val="00633B08"/>
    <w:rsid w:val="006341B5"/>
    <w:rsid w:val="006346C9"/>
    <w:rsid w:val="00634727"/>
    <w:rsid w:val="00634B64"/>
    <w:rsid w:val="0063528E"/>
    <w:rsid w:val="0063578C"/>
    <w:rsid w:val="0063642C"/>
    <w:rsid w:val="0063681E"/>
    <w:rsid w:val="00636FF9"/>
    <w:rsid w:val="00640663"/>
    <w:rsid w:val="00640DCD"/>
    <w:rsid w:val="006410A9"/>
    <w:rsid w:val="00641DC3"/>
    <w:rsid w:val="00642972"/>
    <w:rsid w:val="00644F4D"/>
    <w:rsid w:val="00646692"/>
    <w:rsid w:val="006469B1"/>
    <w:rsid w:val="00646C0D"/>
    <w:rsid w:val="00646C30"/>
    <w:rsid w:val="00647190"/>
    <w:rsid w:val="006476F7"/>
    <w:rsid w:val="0064779E"/>
    <w:rsid w:val="006501FA"/>
    <w:rsid w:val="006509B0"/>
    <w:rsid w:val="006521F3"/>
    <w:rsid w:val="006524D5"/>
    <w:rsid w:val="00652BBD"/>
    <w:rsid w:val="00653192"/>
    <w:rsid w:val="00653633"/>
    <w:rsid w:val="00653F69"/>
    <w:rsid w:val="00654936"/>
    <w:rsid w:val="00655485"/>
    <w:rsid w:val="006558B3"/>
    <w:rsid w:val="00660BF0"/>
    <w:rsid w:val="0066188F"/>
    <w:rsid w:val="0066189C"/>
    <w:rsid w:val="006630CF"/>
    <w:rsid w:val="00663EFF"/>
    <w:rsid w:val="00664FFB"/>
    <w:rsid w:val="00666F74"/>
    <w:rsid w:val="00667D66"/>
    <w:rsid w:val="00667FEA"/>
    <w:rsid w:val="006710D2"/>
    <w:rsid w:val="00671A8B"/>
    <w:rsid w:val="00671C3E"/>
    <w:rsid w:val="00671F53"/>
    <w:rsid w:val="006725A0"/>
    <w:rsid w:val="006731CB"/>
    <w:rsid w:val="00673DE9"/>
    <w:rsid w:val="00674628"/>
    <w:rsid w:val="00674798"/>
    <w:rsid w:val="00674E5D"/>
    <w:rsid w:val="0067555E"/>
    <w:rsid w:val="00677FAD"/>
    <w:rsid w:val="006802DE"/>
    <w:rsid w:val="0068032D"/>
    <w:rsid w:val="0068068C"/>
    <w:rsid w:val="00680EE8"/>
    <w:rsid w:val="00681115"/>
    <w:rsid w:val="006817E8"/>
    <w:rsid w:val="00683920"/>
    <w:rsid w:val="00685147"/>
    <w:rsid w:val="00685653"/>
    <w:rsid w:val="0068590D"/>
    <w:rsid w:val="00685A89"/>
    <w:rsid w:val="00685D73"/>
    <w:rsid w:val="00685F3A"/>
    <w:rsid w:val="006861B3"/>
    <w:rsid w:val="00686FA2"/>
    <w:rsid w:val="006870C5"/>
    <w:rsid w:val="00690F0E"/>
    <w:rsid w:val="006911C0"/>
    <w:rsid w:val="00691B7C"/>
    <w:rsid w:val="00691F03"/>
    <w:rsid w:val="006921D5"/>
    <w:rsid w:val="00692C72"/>
    <w:rsid w:val="00693A29"/>
    <w:rsid w:val="00694094"/>
    <w:rsid w:val="00694B73"/>
    <w:rsid w:val="00694C62"/>
    <w:rsid w:val="00694DF2"/>
    <w:rsid w:val="00695F80"/>
    <w:rsid w:val="006966CD"/>
    <w:rsid w:val="00696735"/>
    <w:rsid w:val="00696E27"/>
    <w:rsid w:val="0069780E"/>
    <w:rsid w:val="006A0AE6"/>
    <w:rsid w:val="006A18AC"/>
    <w:rsid w:val="006A2CA2"/>
    <w:rsid w:val="006A3C6B"/>
    <w:rsid w:val="006A5853"/>
    <w:rsid w:val="006A5C81"/>
    <w:rsid w:val="006A6909"/>
    <w:rsid w:val="006A6B20"/>
    <w:rsid w:val="006B1AE8"/>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2D5A"/>
    <w:rsid w:val="006C4334"/>
    <w:rsid w:val="006C44C6"/>
    <w:rsid w:val="006C452B"/>
    <w:rsid w:val="006C4B0F"/>
    <w:rsid w:val="006C5E96"/>
    <w:rsid w:val="006D1B73"/>
    <w:rsid w:val="006D22F0"/>
    <w:rsid w:val="006D399F"/>
    <w:rsid w:val="006D3A16"/>
    <w:rsid w:val="006D3D7A"/>
    <w:rsid w:val="006D4F0C"/>
    <w:rsid w:val="006D5645"/>
    <w:rsid w:val="006E0737"/>
    <w:rsid w:val="006E0C8A"/>
    <w:rsid w:val="006E1C40"/>
    <w:rsid w:val="006E2A23"/>
    <w:rsid w:val="006E35E5"/>
    <w:rsid w:val="006E3C72"/>
    <w:rsid w:val="006E4F20"/>
    <w:rsid w:val="006E5E2E"/>
    <w:rsid w:val="006E649A"/>
    <w:rsid w:val="006F08DC"/>
    <w:rsid w:val="006F2628"/>
    <w:rsid w:val="006F2FB6"/>
    <w:rsid w:val="006F3948"/>
    <w:rsid w:val="006F4403"/>
    <w:rsid w:val="006F45EC"/>
    <w:rsid w:val="006F47B8"/>
    <w:rsid w:val="006F47D2"/>
    <w:rsid w:val="006F4B04"/>
    <w:rsid w:val="006F5456"/>
    <w:rsid w:val="006F57F2"/>
    <w:rsid w:val="006F58E1"/>
    <w:rsid w:val="006F6468"/>
    <w:rsid w:val="006F71FA"/>
    <w:rsid w:val="00700242"/>
    <w:rsid w:val="00700247"/>
    <w:rsid w:val="00701051"/>
    <w:rsid w:val="00701E69"/>
    <w:rsid w:val="007021C2"/>
    <w:rsid w:val="00702502"/>
    <w:rsid w:val="00702CD6"/>
    <w:rsid w:val="007033A8"/>
    <w:rsid w:val="0070421B"/>
    <w:rsid w:val="007043F0"/>
    <w:rsid w:val="0070482E"/>
    <w:rsid w:val="00704D25"/>
    <w:rsid w:val="00705B5D"/>
    <w:rsid w:val="00710519"/>
    <w:rsid w:val="00710F6E"/>
    <w:rsid w:val="00711640"/>
    <w:rsid w:val="00711663"/>
    <w:rsid w:val="007116B4"/>
    <w:rsid w:val="00712580"/>
    <w:rsid w:val="007133E4"/>
    <w:rsid w:val="00713788"/>
    <w:rsid w:val="00713940"/>
    <w:rsid w:val="007148AF"/>
    <w:rsid w:val="007151A2"/>
    <w:rsid w:val="00715AEB"/>
    <w:rsid w:val="00716774"/>
    <w:rsid w:val="0071740A"/>
    <w:rsid w:val="007209DD"/>
    <w:rsid w:val="00722E49"/>
    <w:rsid w:val="00723A08"/>
    <w:rsid w:val="00723B5C"/>
    <w:rsid w:val="00723CEE"/>
    <w:rsid w:val="00724391"/>
    <w:rsid w:val="00724B98"/>
    <w:rsid w:val="00724C18"/>
    <w:rsid w:val="00725FB1"/>
    <w:rsid w:val="00726529"/>
    <w:rsid w:val="00726630"/>
    <w:rsid w:val="007274AF"/>
    <w:rsid w:val="00727F73"/>
    <w:rsid w:val="00730705"/>
    <w:rsid w:val="00730944"/>
    <w:rsid w:val="00730A2E"/>
    <w:rsid w:val="0073161B"/>
    <w:rsid w:val="0073248E"/>
    <w:rsid w:val="00732ABA"/>
    <w:rsid w:val="00733EE9"/>
    <w:rsid w:val="00735B8E"/>
    <w:rsid w:val="00736651"/>
    <w:rsid w:val="0073673C"/>
    <w:rsid w:val="00736935"/>
    <w:rsid w:val="007408ED"/>
    <w:rsid w:val="00741BA1"/>
    <w:rsid w:val="00742147"/>
    <w:rsid w:val="007434B1"/>
    <w:rsid w:val="00743DE7"/>
    <w:rsid w:val="00744D8A"/>
    <w:rsid w:val="0074509E"/>
    <w:rsid w:val="00745347"/>
    <w:rsid w:val="00745B9F"/>
    <w:rsid w:val="0074726F"/>
    <w:rsid w:val="00752D4F"/>
    <w:rsid w:val="0075409F"/>
    <w:rsid w:val="0075525A"/>
    <w:rsid w:val="00755609"/>
    <w:rsid w:val="00755986"/>
    <w:rsid w:val="00755C86"/>
    <w:rsid w:val="00755E19"/>
    <w:rsid w:val="00756758"/>
    <w:rsid w:val="00756BFF"/>
    <w:rsid w:val="00756D77"/>
    <w:rsid w:val="00757EA5"/>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33F"/>
    <w:rsid w:val="007726F9"/>
    <w:rsid w:val="00773B94"/>
    <w:rsid w:val="00773C65"/>
    <w:rsid w:val="007750B7"/>
    <w:rsid w:val="00775759"/>
    <w:rsid w:val="00775937"/>
    <w:rsid w:val="00777046"/>
    <w:rsid w:val="007770DA"/>
    <w:rsid w:val="007805B9"/>
    <w:rsid w:val="00780C3A"/>
    <w:rsid w:val="00781BC0"/>
    <w:rsid w:val="007834A1"/>
    <w:rsid w:val="007904BC"/>
    <w:rsid w:val="007916B7"/>
    <w:rsid w:val="00791EB4"/>
    <w:rsid w:val="00792327"/>
    <w:rsid w:val="007928F1"/>
    <w:rsid w:val="00793417"/>
    <w:rsid w:val="0079357D"/>
    <w:rsid w:val="007937CC"/>
    <w:rsid w:val="00793A31"/>
    <w:rsid w:val="0079485D"/>
    <w:rsid w:val="00794979"/>
    <w:rsid w:val="007956B7"/>
    <w:rsid w:val="00795F1A"/>
    <w:rsid w:val="00796EDE"/>
    <w:rsid w:val="00797297"/>
    <w:rsid w:val="007974B3"/>
    <w:rsid w:val="00797875"/>
    <w:rsid w:val="007A076C"/>
    <w:rsid w:val="007A1143"/>
    <w:rsid w:val="007A2140"/>
    <w:rsid w:val="007A215E"/>
    <w:rsid w:val="007A23E2"/>
    <w:rsid w:val="007A31A5"/>
    <w:rsid w:val="007A337B"/>
    <w:rsid w:val="007A3AA2"/>
    <w:rsid w:val="007A411B"/>
    <w:rsid w:val="007A45E6"/>
    <w:rsid w:val="007A4B28"/>
    <w:rsid w:val="007A5163"/>
    <w:rsid w:val="007A5C2C"/>
    <w:rsid w:val="007A7678"/>
    <w:rsid w:val="007B0CD8"/>
    <w:rsid w:val="007B0DE0"/>
    <w:rsid w:val="007B21DE"/>
    <w:rsid w:val="007B2BB9"/>
    <w:rsid w:val="007B43E8"/>
    <w:rsid w:val="007B4740"/>
    <w:rsid w:val="007B502C"/>
    <w:rsid w:val="007B5BD6"/>
    <w:rsid w:val="007B5F3B"/>
    <w:rsid w:val="007C02B0"/>
    <w:rsid w:val="007C063E"/>
    <w:rsid w:val="007C1901"/>
    <w:rsid w:val="007C3C7B"/>
    <w:rsid w:val="007C49C0"/>
    <w:rsid w:val="007C55C1"/>
    <w:rsid w:val="007C5738"/>
    <w:rsid w:val="007C5772"/>
    <w:rsid w:val="007C5AC3"/>
    <w:rsid w:val="007C6FC4"/>
    <w:rsid w:val="007C7233"/>
    <w:rsid w:val="007D0774"/>
    <w:rsid w:val="007D10E8"/>
    <w:rsid w:val="007D10EE"/>
    <w:rsid w:val="007D1193"/>
    <w:rsid w:val="007D141C"/>
    <w:rsid w:val="007D20E6"/>
    <w:rsid w:val="007D21D5"/>
    <w:rsid w:val="007D3E8D"/>
    <w:rsid w:val="007D4A9A"/>
    <w:rsid w:val="007D5915"/>
    <w:rsid w:val="007D5B4F"/>
    <w:rsid w:val="007D5C30"/>
    <w:rsid w:val="007D6715"/>
    <w:rsid w:val="007D77AB"/>
    <w:rsid w:val="007E0072"/>
    <w:rsid w:val="007E0660"/>
    <w:rsid w:val="007E0F9E"/>
    <w:rsid w:val="007E1411"/>
    <w:rsid w:val="007E179B"/>
    <w:rsid w:val="007E1882"/>
    <w:rsid w:val="007E1BB4"/>
    <w:rsid w:val="007E2077"/>
    <w:rsid w:val="007E3514"/>
    <w:rsid w:val="007E4AAA"/>
    <w:rsid w:val="007E4BD2"/>
    <w:rsid w:val="007E4C29"/>
    <w:rsid w:val="007E571E"/>
    <w:rsid w:val="007E5E44"/>
    <w:rsid w:val="007E6863"/>
    <w:rsid w:val="007E6F89"/>
    <w:rsid w:val="007F0DDA"/>
    <w:rsid w:val="007F1939"/>
    <w:rsid w:val="007F2636"/>
    <w:rsid w:val="007F365C"/>
    <w:rsid w:val="007F41E3"/>
    <w:rsid w:val="007F5066"/>
    <w:rsid w:val="007F621C"/>
    <w:rsid w:val="007F7155"/>
    <w:rsid w:val="00800C28"/>
    <w:rsid w:val="00801D1E"/>
    <w:rsid w:val="0080245E"/>
    <w:rsid w:val="00802E10"/>
    <w:rsid w:val="00803480"/>
    <w:rsid w:val="0080359C"/>
    <w:rsid w:val="008037AE"/>
    <w:rsid w:val="00803802"/>
    <w:rsid w:val="008043F4"/>
    <w:rsid w:val="00804BB4"/>
    <w:rsid w:val="00805D9F"/>
    <w:rsid w:val="00807A4D"/>
    <w:rsid w:val="00807F30"/>
    <w:rsid w:val="008103DC"/>
    <w:rsid w:val="0081119F"/>
    <w:rsid w:val="0081134D"/>
    <w:rsid w:val="00811EDA"/>
    <w:rsid w:val="00812403"/>
    <w:rsid w:val="0081248D"/>
    <w:rsid w:val="00812657"/>
    <w:rsid w:val="00812FD7"/>
    <w:rsid w:val="0081386C"/>
    <w:rsid w:val="008147D3"/>
    <w:rsid w:val="00816767"/>
    <w:rsid w:val="00820623"/>
    <w:rsid w:val="0082108F"/>
    <w:rsid w:val="008216E5"/>
    <w:rsid w:val="00821747"/>
    <w:rsid w:val="008229A3"/>
    <w:rsid w:val="00822DFB"/>
    <w:rsid w:val="00822F64"/>
    <w:rsid w:val="00824AA7"/>
    <w:rsid w:val="008253A6"/>
    <w:rsid w:val="00825A6B"/>
    <w:rsid w:val="00825C50"/>
    <w:rsid w:val="00826577"/>
    <w:rsid w:val="00827439"/>
    <w:rsid w:val="00827C79"/>
    <w:rsid w:val="0083003F"/>
    <w:rsid w:val="00831077"/>
    <w:rsid w:val="00831A4A"/>
    <w:rsid w:val="00831BA6"/>
    <w:rsid w:val="00832134"/>
    <w:rsid w:val="0083219E"/>
    <w:rsid w:val="008324B3"/>
    <w:rsid w:val="0083497C"/>
    <w:rsid w:val="008352A6"/>
    <w:rsid w:val="00835B5B"/>
    <w:rsid w:val="008367AE"/>
    <w:rsid w:val="00836BE2"/>
    <w:rsid w:val="00836E50"/>
    <w:rsid w:val="008373A4"/>
    <w:rsid w:val="00840477"/>
    <w:rsid w:val="0084121D"/>
    <w:rsid w:val="008418E3"/>
    <w:rsid w:val="008419C1"/>
    <w:rsid w:val="00844515"/>
    <w:rsid w:val="0084465A"/>
    <w:rsid w:val="00844DFF"/>
    <w:rsid w:val="00844E1B"/>
    <w:rsid w:val="00845D87"/>
    <w:rsid w:val="00846C3A"/>
    <w:rsid w:val="00847779"/>
    <w:rsid w:val="008477BF"/>
    <w:rsid w:val="008503DA"/>
    <w:rsid w:val="00850B68"/>
    <w:rsid w:val="00850E82"/>
    <w:rsid w:val="0085122D"/>
    <w:rsid w:val="008519E8"/>
    <w:rsid w:val="008525FF"/>
    <w:rsid w:val="00852C03"/>
    <w:rsid w:val="00853FA8"/>
    <w:rsid w:val="00855480"/>
    <w:rsid w:val="0085590C"/>
    <w:rsid w:val="008575EB"/>
    <w:rsid w:val="00860648"/>
    <w:rsid w:val="00862DDD"/>
    <w:rsid w:val="0086326D"/>
    <w:rsid w:val="00863CC1"/>
    <w:rsid w:val="00864724"/>
    <w:rsid w:val="00865B01"/>
    <w:rsid w:val="00866D7A"/>
    <w:rsid w:val="00866EE3"/>
    <w:rsid w:val="00871F04"/>
    <w:rsid w:val="008741F7"/>
    <w:rsid w:val="008746C1"/>
    <w:rsid w:val="008749D8"/>
    <w:rsid w:val="00876F57"/>
    <w:rsid w:val="00880224"/>
    <w:rsid w:val="0088244C"/>
    <w:rsid w:val="00882586"/>
    <w:rsid w:val="00883367"/>
    <w:rsid w:val="00884C47"/>
    <w:rsid w:val="008857AB"/>
    <w:rsid w:val="00885E6F"/>
    <w:rsid w:val="008861AC"/>
    <w:rsid w:val="008868E4"/>
    <w:rsid w:val="00886A60"/>
    <w:rsid w:val="0088759B"/>
    <w:rsid w:val="008909B4"/>
    <w:rsid w:val="008922E8"/>
    <w:rsid w:val="00893916"/>
    <w:rsid w:val="00893E57"/>
    <w:rsid w:val="0089442C"/>
    <w:rsid w:val="008945B3"/>
    <w:rsid w:val="00895818"/>
    <w:rsid w:val="008A21C2"/>
    <w:rsid w:val="008A2585"/>
    <w:rsid w:val="008A2718"/>
    <w:rsid w:val="008A2DA0"/>
    <w:rsid w:val="008A3DC2"/>
    <w:rsid w:val="008A4CF5"/>
    <w:rsid w:val="008A4CF6"/>
    <w:rsid w:val="008A4E42"/>
    <w:rsid w:val="008A51AA"/>
    <w:rsid w:val="008A6A12"/>
    <w:rsid w:val="008A7BE3"/>
    <w:rsid w:val="008B0DC6"/>
    <w:rsid w:val="008B2B9E"/>
    <w:rsid w:val="008B31F5"/>
    <w:rsid w:val="008B4C79"/>
    <w:rsid w:val="008B5D2D"/>
    <w:rsid w:val="008B6361"/>
    <w:rsid w:val="008B659D"/>
    <w:rsid w:val="008C0320"/>
    <w:rsid w:val="008C1077"/>
    <w:rsid w:val="008C2753"/>
    <w:rsid w:val="008C2A81"/>
    <w:rsid w:val="008C34B8"/>
    <w:rsid w:val="008C375B"/>
    <w:rsid w:val="008C3863"/>
    <w:rsid w:val="008C3B6B"/>
    <w:rsid w:val="008C4BDC"/>
    <w:rsid w:val="008C50FF"/>
    <w:rsid w:val="008C5435"/>
    <w:rsid w:val="008C6BD1"/>
    <w:rsid w:val="008D2DB5"/>
    <w:rsid w:val="008D3F10"/>
    <w:rsid w:val="008D42F4"/>
    <w:rsid w:val="008D611D"/>
    <w:rsid w:val="008D6CF9"/>
    <w:rsid w:val="008E1B6A"/>
    <w:rsid w:val="008E3054"/>
    <w:rsid w:val="008E32FF"/>
    <w:rsid w:val="008E557A"/>
    <w:rsid w:val="008E5625"/>
    <w:rsid w:val="008E5C5B"/>
    <w:rsid w:val="008E6A37"/>
    <w:rsid w:val="008F0354"/>
    <w:rsid w:val="008F085A"/>
    <w:rsid w:val="008F1462"/>
    <w:rsid w:val="008F2413"/>
    <w:rsid w:val="008F248D"/>
    <w:rsid w:val="008F3136"/>
    <w:rsid w:val="008F4B2C"/>
    <w:rsid w:val="008F4C08"/>
    <w:rsid w:val="008F5D92"/>
    <w:rsid w:val="008F6730"/>
    <w:rsid w:val="008F6851"/>
    <w:rsid w:val="008F7BC4"/>
    <w:rsid w:val="009003B8"/>
    <w:rsid w:val="00900D64"/>
    <w:rsid w:val="00900E7A"/>
    <w:rsid w:val="0090105B"/>
    <w:rsid w:val="00903E11"/>
    <w:rsid w:val="00903EBE"/>
    <w:rsid w:val="009041DE"/>
    <w:rsid w:val="00904C75"/>
    <w:rsid w:val="009054CF"/>
    <w:rsid w:val="00905D59"/>
    <w:rsid w:val="009062CA"/>
    <w:rsid w:val="00906782"/>
    <w:rsid w:val="00907631"/>
    <w:rsid w:val="00907776"/>
    <w:rsid w:val="00907865"/>
    <w:rsid w:val="00907D8F"/>
    <w:rsid w:val="00910509"/>
    <w:rsid w:val="00911D09"/>
    <w:rsid w:val="00913401"/>
    <w:rsid w:val="009134B0"/>
    <w:rsid w:val="00913567"/>
    <w:rsid w:val="0091357B"/>
    <w:rsid w:val="009137B6"/>
    <w:rsid w:val="00913A52"/>
    <w:rsid w:val="009143F6"/>
    <w:rsid w:val="0091453F"/>
    <w:rsid w:val="009149BF"/>
    <w:rsid w:val="00915EBA"/>
    <w:rsid w:val="00916AAB"/>
    <w:rsid w:val="00917093"/>
    <w:rsid w:val="0092030E"/>
    <w:rsid w:val="0092134F"/>
    <w:rsid w:val="009217B1"/>
    <w:rsid w:val="00921A42"/>
    <w:rsid w:val="009223BB"/>
    <w:rsid w:val="00922491"/>
    <w:rsid w:val="00923BCF"/>
    <w:rsid w:val="009248CA"/>
    <w:rsid w:val="009251B8"/>
    <w:rsid w:val="00925AEC"/>
    <w:rsid w:val="00925E27"/>
    <w:rsid w:val="009260C9"/>
    <w:rsid w:val="00926559"/>
    <w:rsid w:val="0092751A"/>
    <w:rsid w:val="00927805"/>
    <w:rsid w:val="009305C4"/>
    <w:rsid w:val="00931A67"/>
    <w:rsid w:val="00931FAF"/>
    <w:rsid w:val="00932478"/>
    <w:rsid w:val="0093253D"/>
    <w:rsid w:val="00933D49"/>
    <w:rsid w:val="00935D62"/>
    <w:rsid w:val="009360F6"/>
    <w:rsid w:val="009371DC"/>
    <w:rsid w:val="0093759D"/>
    <w:rsid w:val="00940239"/>
    <w:rsid w:val="00941307"/>
    <w:rsid w:val="00942BD6"/>
    <w:rsid w:val="00942DED"/>
    <w:rsid w:val="009436AE"/>
    <w:rsid w:val="00944404"/>
    <w:rsid w:val="00944AEA"/>
    <w:rsid w:val="009452D7"/>
    <w:rsid w:val="00945FD1"/>
    <w:rsid w:val="00946CCC"/>
    <w:rsid w:val="00947AE7"/>
    <w:rsid w:val="009503E5"/>
    <w:rsid w:val="009504EF"/>
    <w:rsid w:val="00950C3A"/>
    <w:rsid w:val="00950F71"/>
    <w:rsid w:val="009515FF"/>
    <w:rsid w:val="00952F2C"/>
    <w:rsid w:val="009532E3"/>
    <w:rsid w:val="00953615"/>
    <w:rsid w:val="00954BAF"/>
    <w:rsid w:val="00954F58"/>
    <w:rsid w:val="00955F48"/>
    <w:rsid w:val="009560B3"/>
    <w:rsid w:val="0095745E"/>
    <w:rsid w:val="00957CE0"/>
    <w:rsid w:val="0096002E"/>
    <w:rsid w:val="0096039E"/>
    <w:rsid w:val="00962712"/>
    <w:rsid w:val="00962CEF"/>
    <w:rsid w:val="00963766"/>
    <w:rsid w:val="00963FDF"/>
    <w:rsid w:val="00964C32"/>
    <w:rsid w:val="0096528F"/>
    <w:rsid w:val="009653F2"/>
    <w:rsid w:val="009661DF"/>
    <w:rsid w:val="009667BD"/>
    <w:rsid w:val="009675EC"/>
    <w:rsid w:val="00967CE2"/>
    <w:rsid w:val="00971DA3"/>
    <w:rsid w:val="00972161"/>
    <w:rsid w:val="0097261B"/>
    <w:rsid w:val="00973C21"/>
    <w:rsid w:val="00974881"/>
    <w:rsid w:val="00975B77"/>
    <w:rsid w:val="0097606C"/>
    <w:rsid w:val="00976739"/>
    <w:rsid w:val="00976AF9"/>
    <w:rsid w:val="009771D1"/>
    <w:rsid w:val="0098012D"/>
    <w:rsid w:val="00980845"/>
    <w:rsid w:val="00980DE9"/>
    <w:rsid w:val="00981BD9"/>
    <w:rsid w:val="0098225F"/>
    <w:rsid w:val="00982AA2"/>
    <w:rsid w:val="00983A3C"/>
    <w:rsid w:val="00983EFA"/>
    <w:rsid w:val="00984C15"/>
    <w:rsid w:val="00987829"/>
    <w:rsid w:val="00987F7A"/>
    <w:rsid w:val="00991276"/>
    <w:rsid w:val="009923E7"/>
    <w:rsid w:val="00992697"/>
    <w:rsid w:val="00992D4E"/>
    <w:rsid w:val="009934BB"/>
    <w:rsid w:val="00994621"/>
    <w:rsid w:val="009947FF"/>
    <w:rsid w:val="00994FB2"/>
    <w:rsid w:val="00995029"/>
    <w:rsid w:val="0099544B"/>
    <w:rsid w:val="00996780"/>
    <w:rsid w:val="009A07A6"/>
    <w:rsid w:val="009A0D56"/>
    <w:rsid w:val="009A17B7"/>
    <w:rsid w:val="009A3005"/>
    <w:rsid w:val="009A31B9"/>
    <w:rsid w:val="009A4D4F"/>
    <w:rsid w:val="009A53D8"/>
    <w:rsid w:val="009A578F"/>
    <w:rsid w:val="009A597F"/>
    <w:rsid w:val="009A6700"/>
    <w:rsid w:val="009A7B72"/>
    <w:rsid w:val="009A7F49"/>
    <w:rsid w:val="009B03C4"/>
    <w:rsid w:val="009B0AA2"/>
    <w:rsid w:val="009B1D02"/>
    <w:rsid w:val="009B7133"/>
    <w:rsid w:val="009B7658"/>
    <w:rsid w:val="009B7CD1"/>
    <w:rsid w:val="009B7E22"/>
    <w:rsid w:val="009B7E78"/>
    <w:rsid w:val="009B7F1B"/>
    <w:rsid w:val="009C01BA"/>
    <w:rsid w:val="009C10FE"/>
    <w:rsid w:val="009C13BC"/>
    <w:rsid w:val="009C1CA4"/>
    <w:rsid w:val="009C2532"/>
    <w:rsid w:val="009C2BA4"/>
    <w:rsid w:val="009C6091"/>
    <w:rsid w:val="009C634F"/>
    <w:rsid w:val="009D0219"/>
    <w:rsid w:val="009D0D55"/>
    <w:rsid w:val="009D2295"/>
    <w:rsid w:val="009D2511"/>
    <w:rsid w:val="009D3E7C"/>
    <w:rsid w:val="009D54DF"/>
    <w:rsid w:val="009D55CA"/>
    <w:rsid w:val="009D5B35"/>
    <w:rsid w:val="009D5EF0"/>
    <w:rsid w:val="009D6401"/>
    <w:rsid w:val="009E0711"/>
    <w:rsid w:val="009E1917"/>
    <w:rsid w:val="009E3594"/>
    <w:rsid w:val="009E4713"/>
    <w:rsid w:val="009E5E0A"/>
    <w:rsid w:val="009E6B77"/>
    <w:rsid w:val="009E6D9B"/>
    <w:rsid w:val="009E7724"/>
    <w:rsid w:val="009E7D1F"/>
    <w:rsid w:val="009F0A21"/>
    <w:rsid w:val="009F1D82"/>
    <w:rsid w:val="009F37AA"/>
    <w:rsid w:val="009F544C"/>
    <w:rsid w:val="009F55E4"/>
    <w:rsid w:val="009F5731"/>
    <w:rsid w:val="009F6321"/>
    <w:rsid w:val="009F6378"/>
    <w:rsid w:val="009F6950"/>
    <w:rsid w:val="009F6A96"/>
    <w:rsid w:val="009F7669"/>
    <w:rsid w:val="009F7F00"/>
    <w:rsid w:val="009F7F45"/>
    <w:rsid w:val="009F7FD5"/>
    <w:rsid w:val="00A005D4"/>
    <w:rsid w:val="00A0083C"/>
    <w:rsid w:val="00A01650"/>
    <w:rsid w:val="00A01A90"/>
    <w:rsid w:val="00A02370"/>
    <w:rsid w:val="00A02E07"/>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16E4"/>
    <w:rsid w:val="00A229BD"/>
    <w:rsid w:val="00A24269"/>
    <w:rsid w:val="00A243E4"/>
    <w:rsid w:val="00A25392"/>
    <w:rsid w:val="00A25ED4"/>
    <w:rsid w:val="00A2615A"/>
    <w:rsid w:val="00A263DF"/>
    <w:rsid w:val="00A26C5C"/>
    <w:rsid w:val="00A3026E"/>
    <w:rsid w:val="00A30BDE"/>
    <w:rsid w:val="00A3131C"/>
    <w:rsid w:val="00A31F14"/>
    <w:rsid w:val="00A324DC"/>
    <w:rsid w:val="00A32B5A"/>
    <w:rsid w:val="00A33CCC"/>
    <w:rsid w:val="00A33ECB"/>
    <w:rsid w:val="00A34DE0"/>
    <w:rsid w:val="00A35728"/>
    <w:rsid w:val="00A36327"/>
    <w:rsid w:val="00A36EE3"/>
    <w:rsid w:val="00A37435"/>
    <w:rsid w:val="00A4173D"/>
    <w:rsid w:val="00A41A95"/>
    <w:rsid w:val="00A4248B"/>
    <w:rsid w:val="00A4376E"/>
    <w:rsid w:val="00A4572B"/>
    <w:rsid w:val="00A45E17"/>
    <w:rsid w:val="00A46246"/>
    <w:rsid w:val="00A46349"/>
    <w:rsid w:val="00A46D5E"/>
    <w:rsid w:val="00A46EF7"/>
    <w:rsid w:val="00A50847"/>
    <w:rsid w:val="00A512C7"/>
    <w:rsid w:val="00A5131C"/>
    <w:rsid w:val="00A522B7"/>
    <w:rsid w:val="00A52887"/>
    <w:rsid w:val="00A52EBB"/>
    <w:rsid w:val="00A52F2A"/>
    <w:rsid w:val="00A54BFF"/>
    <w:rsid w:val="00A54C63"/>
    <w:rsid w:val="00A54FBB"/>
    <w:rsid w:val="00A555A0"/>
    <w:rsid w:val="00A55BB1"/>
    <w:rsid w:val="00A55D71"/>
    <w:rsid w:val="00A55FD6"/>
    <w:rsid w:val="00A5619C"/>
    <w:rsid w:val="00A564CD"/>
    <w:rsid w:val="00A564CE"/>
    <w:rsid w:val="00A5675F"/>
    <w:rsid w:val="00A604A1"/>
    <w:rsid w:val="00A609CC"/>
    <w:rsid w:val="00A60D6F"/>
    <w:rsid w:val="00A61009"/>
    <w:rsid w:val="00A61762"/>
    <w:rsid w:val="00A61938"/>
    <w:rsid w:val="00A61985"/>
    <w:rsid w:val="00A619C6"/>
    <w:rsid w:val="00A61CFD"/>
    <w:rsid w:val="00A62B73"/>
    <w:rsid w:val="00A62B86"/>
    <w:rsid w:val="00A63C96"/>
    <w:rsid w:val="00A64E98"/>
    <w:rsid w:val="00A65805"/>
    <w:rsid w:val="00A66BEE"/>
    <w:rsid w:val="00A671C9"/>
    <w:rsid w:val="00A67DFD"/>
    <w:rsid w:val="00A71070"/>
    <w:rsid w:val="00A73256"/>
    <w:rsid w:val="00A74F9F"/>
    <w:rsid w:val="00A750B3"/>
    <w:rsid w:val="00A75559"/>
    <w:rsid w:val="00A75715"/>
    <w:rsid w:val="00A7623D"/>
    <w:rsid w:val="00A769EF"/>
    <w:rsid w:val="00A81459"/>
    <w:rsid w:val="00A8217C"/>
    <w:rsid w:val="00A822B3"/>
    <w:rsid w:val="00A824A7"/>
    <w:rsid w:val="00A83644"/>
    <w:rsid w:val="00A83C07"/>
    <w:rsid w:val="00A83F40"/>
    <w:rsid w:val="00A84945"/>
    <w:rsid w:val="00A85543"/>
    <w:rsid w:val="00A8728B"/>
    <w:rsid w:val="00A91682"/>
    <w:rsid w:val="00A91AAB"/>
    <w:rsid w:val="00A92125"/>
    <w:rsid w:val="00A92E4A"/>
    <w:rsid w:val="00A958CA"/>
    <w:rsid w:val="00A95F20"/>
    <w:rsid w:val="00A966B6"/>
    <w:rsid w:val="00A96B46"/>
    <w:rsid w:val="00A96D0B"/>
    <w:rsid w:val="00AA003B"/>
    <w:rsid w:val="00AA016B"/>
    <w:rsid w:val="00AA15DD"/>
    <w:rsid w:val="00AA1C09"/>
    <w:rsid w:val="00AA2F67"/>
    <w:rsid w:val="00AA3569"/>
    <w:rsid w:val="00AA5F4C"/>
    <w:rsid w:val="00AA615C"/>
    <w:rsid w:val="00AA6711"/>
    <w:rsid w:val="00AA71E8"/>
    <w:rsid w:val="00AA7A6E"/>
    <w:rsid w:val="00AA7C97"/>
    <w:rsid w:val="00AB19FA"/>
    <w:rsid w:val="00AB2397"/>
    <w:rsid w:val="00AB2AEC"/>
    <w:rsid w:val="00AB2DC1"/>
    <w:rsid w:val="00AB3102"/>
    <w:rsid w:val="00AB3D9A"/>
    <w:rsid w:val="00AB4824"/>
    <w:rsid w:val="00AB4B1D"/>
    <w:rsid w:val="00AB62AA"/>
    <w:rsid w:val="00AB6B5E"/>
    <w:rsid w:val="00AC047F"/>
    <w:rsid w:val="00AC2245"/>
    <w:rsid w:val="00AC3447"/>
    <w:rsid w:val="00AC3934"/>
    <w:rsid w:val="00AC50C8"/>
    <w:rsid w:val="00AC5581"/>
    <w:rsid w:val="00AC56AD"/>
    <w:rsid w:val="00AC6153"/>
    <w:rsid w:val="00AC61BE"/>
    <w:rsid w:val="00AD0C8A"/>
    <w:rsid w:val="00AD0CB4"/>
    <w:rsid w:val="00AD1497"/>
    <w:rsid w:val="00AD1CE0"/>
    <w:rsid w:val="00AD1FF2"/>
    <w:rsid w:val="00AD271C"/>
    <w:rsid w:val="00AD2A21"/>
    <w:rsid w:val="00AD3B43"/>
    <w:rsid w:val="00AD4FF2"/>
    <w:rsid w:val="00AD506C"/>
    <w:rsid w:val="00AD6BE5"/>
    <w:rsid w:val="00AD7328"/>
    <w:rsid w:val="00AD783E"/>
    <w:rsid w:val="00AD7FC2"/>
    <w:rsid w:val="00AE11B8"/>
    <w:rsid w:val="00AE1393"/>
    <w:rsid w:val="00AE34D5"/>
    <w:rsid w:val="00AE3BC6"/>
    <w:rsid w:val="00AE41BD"/>
    <w:rsid w:val="00AE4D4F"/>
    <w:rsid w:val="00AE627C"/>
    <w:rsid w:val="00AE62B0"/>
    <w:rsid w:val="00AE68A2"/>
    <w:rsid w:val="00AE70E5"/>
    <w:rsid w:val="00AE7E45"/>
    <w:rsid w:val="00AE7F28"/>
    <w:rsid w:val="00AF0029"/>
    <w:rsid w:val="00AF0354"/>
    <w:rsid w:val="00AF0521"/>
    <w:rsid w:val="00AF1236"/>
    <w:rsid w:val="00AF2838"/>
    <w:rsid w:val="00AF3C29"/>
    <w:rsid w:val="00AF3FAD"/>
    <w:rsid w:val="00AF4401"/>
    <w:rsid w:val="00AF4463"/>
    <w:rsid w:val="00AF53CB"/>
    <w:rsid w:val="00AF5984"/>
    <w:rsid w:val="00AF65C5"/>
    <w:rsid w:val="00AF7EDC"/>
    <w:rsid w:val="00B0083B"/>
    <w:rsid w:val="00B008F4"/>
    <w:rsid w:val="00B02253"/>
    <w:rsid w:val="00B02317"/>
    <w:rsid w:val="00B02593"/>
    <w:rsid w:val="00B026D9"/>
    <w:rsid w:val="00B03CE2"/>
    <w:rsid w:val="00B04989"/>
    <w:rsid w:val="00B06544"/>
    <w:rsid w:val="00B105F2"/>
    <w:rsid w:val="00B10991"/>
    <w:rsid w:val="00B12128"/>
    <w:rsid w:val="00B12945"/>
    <w:rsid w:val="00B12C1E"/>
    <w:rsid w:val="00B1467D"/>
    <w:rsid w:val="00B155DF"/>
    <w:rsid w:val="00B156CF"/>
    <w:rsid w:val="00B1570E"/>
    <w:rsid w:val="00B1648C"/>
    <w:rsid w:val="00B176B9"/>
    <w:rsid w:val="00B17AD5"/>
    <w:rsid w:val="00B17DC8"/>
    <w:rsid w:val="00B17E1E"/>
    <w:rsid w:val="00B207F1"/>
    <w:rsid w:val="00B20A42"/>
    <w:rsid w:val="00B20BDE"/>
    <w:rsid w:val="00B20C41"/>
    <w:rsid w:val="00B20DB3"/>
    <w:rsid w:val="00B2138D"/>
    <w:rsid w:val="00B21768"/>
    <w:rsid w:val="00B21F09"/>
    <w:rsid w:val="00B23F86"/>
    <w:rsid w:val="00B248A0"/>
    <w:rsid w:val="00B24B42"/>
    <w:rsid w:val="00B24DC6"/>
    <w:rsid w:val="00B24E30"/>
    <w:rsid w:val="00B258F3"/>
    <w:rsid w:val="00B26234"/>
    <w:rsid w:val="00B2659C"/>
    <w:rsid w:val="00B26B13"/>
    <w:rsid w:val="00B26BD2"/>
    <w:rsid w:val="00B26FD7"/>
    <w:rsid w:val="00B270AB"/>
    <w:rsid w:val="00B2725B"/>
    <w:rsid w:val="00B3000E"/>
    <w:rsid w:val="00B306FC"/>
    <w:rsid w:val="00B309D2"/>
    <w:rsid w:val="00B30A5D"/>
    <w:rsid w:val="00B30E4F"/>
    <w:rsid w:val="00B3124F"/>
    <w:rsid w:val="00B32415"/>
    <w:rsid w:val="00B33294"/>
    <w:rsid w:val="00B33657"/>
    <w:rsid w:val="00B345EF"/>
    <w:rsid w:val="00B34885"/>
    <w:rsid w:val="00B34D68"/>
    <w:rsid w:val="00B35603"/>
    <w:rsid w:val="00B360D3"/>
    <w:rsid w:val="00B36117"/>
    <w:rsid w:val="00B362E3"/>
    <w:rsid w:val="00B37C73"/>
    <w:rsid w:val="00B4009B"/>
    <w:rsid w:val="00B400A1"/>
    <w:rsid w:val="00B40657"/>
    <w:rsid w:val="00B40A2B"/>
    <w:rsid w:val="00B420CB"/>
    <w:rsid w:val="00B43D1A"/>
    <w:rsid w:val="00B4401C"/>
    <w:rsid w:val="00B44802"/>
    <w:rsid w:val="00B44A96"/>
    <w:rsid w:val="00B455D1"/>
    <w:rsid w:val="00B45CF6"/>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5718B"/>
    <w:rsid w:val="00B600AD"/>
    <w:rsid w:val="00B60D27"/>
    <w:rsid w:val="00B619E4"/>
    <w:rsid w:val="00B61CD3"/>
    <w:rsid w:val="00B61D0B"/>
    <w:rsid w:val="00B6351C"/>
    <w:rsid w:val="00B6439A"/>
    <w:rsid w:val="00B6443B"/>
    <w:rsid w:val="00B6517B"/>
    <w:rsid w:val="00B6559F"/>
    <w:rsid w:val="00B65E71"/>
    <w:rsid w:val="00B66C26"/>
    <w:rsid w:val="00B67829"/>
    <w:rsid w:val="00B71FB3"/>
    <w:rsid w:val="00B72157"/>
    <w:rsid w:val="00B73492"/>
    <w:rsid w:val="00B73A4B"/>
    <w:rsid w:val="00B7512A"/>
    <w:rsid w:val="00B759FD"/>
    <w:rsid w:val="00B76548"/>
    <w:rsid w:val="00B76BED"/>
    <w:rsid w:val="00B806E6"/>
    <w:rsid w:val="00B82110"/>
    <w:rsid w:val="00B8282F"/>
    <w:rsid w:val="00B82DC1"/>
    <w:rsid w:val="00B835D5"/>
    <w:rsid w:val="00B84028"/>
    <w:rsid w:val="00B84307"/>
    <w:rsid w:val="00B8430D"/>
    <w:rsid w:val="00B84AE4"/>
    <w:rsid w:val="00B85661"/>
    <w:rsid w:val="00B858BF"/>
    <w:rsid w:val="00B85C8A"/>
    <w:rsid w:val="00B86FBD"/>
    <w:rsid w:val="00B87E90"/>
    <w:rsid w:val="00B91B86"/>
    <w:rsid w:val="00B927CA"/>
    <w:rsid w:val="00B928AE"/>
    <w:rsid w:val="00B936C9"/>
    <w:rsid w:val="00B93CDA"/>
    <w:rsid w:val="00B942E9"/>
    <w:rsid w:val="00B9433A"/>
    <w:rsid w:val="00B948EE"/>
    <w:rsid w:val="00B94BF3"/>
    <w:rsid w:val="00B94F90"/>
    <w:rsid w:val="00B95990"/>
    <w:rsid w:val="00B95DC5"/>
    <w:rsid w:val="00B96E28"/>
    <w:rsid w:val="00B97E34"/>
    <w:rsid w:val="00B97FEF"/>
    <w:rsid w:val="00BA12E8"/>
    <w:rsid w:val="00BA1354"/>
    <w:rsid w:val="00BA24F8"/>
    <w:rsid w:val="00BA2B5A"/>
    <w:rsid w:val="00BA2E74"/>
    <w:rsid w:val="00BA31AA"/>
    <w:rsid w:val="00BA45D8"/>
    <w:rsid w:val="00BA5828"/>
    <w:rsid w:val="00BA64B3"/>
    <w:rsid w:val="00BA754A"/>
    <w:rsid w:val="00BA7820"/>
    <w:rsid w:val="00BA794C"/>
    <w:rsid w:val="00BB09FB"/>
    <w:rsid w:val="00BB0D81"/>
    <w:rsid w:val="00BB238D"/>
    <w:rsid w:val="00BB2728"/>
    <w:rsid w:val="00BB37CC"/>
    <w:rsid w:val="00BB48C4"/>
    <w:rsid w:val="00BB524F"/>
    <w:rsid w:val="00BB57A1"/>
    <w:rsid w:val="00BB593B"/>
    <w:rsid w:val="00BB6907"/>
    <w:rsid w:val="00BB7A20"/>
    <w:rsid w:val="00BC15B1"/>
    <w:rsid w:val="00BC3C06"/>
    <w:rsid w:val="00BC459F"/>
    <w:rsid w:val="00BC4E8B"/>
    <w:rsid w:val="00BC5622"/>
    <w:rsid w:val="00BC6060"/>
    <w:rsid w:val="00BC6A9F"/>
    <w:rsid w:val="00BC7897"/>
    <w:rsid w:val="00BD00D8"/>
    <w:rsid w:val="00BD06D7"/>
    <w:rsid w:val="00BD0F35"/>
    <w:rsid w:val="00BD2703"/>
    <w:rsid w:val="00BD3B4F"/>
    <w:rsid w:val="00BD3DD4"/>
    <w:rsid w:val="00BD45A4"/>
    <w:rsid w:val="00BD4A5F"/>
    <w:rsid w:val="00BD582D"/>
    <w:rsid w:val="00BD59AA"/>
    <w:rsid w:val="00BD65E6"/>
    <w:rsid w:val="00BD6AF7"/>
    <w:rsid w:val="00BE19EF"/>
    <w:rsid w:val="00BE425B"/>
    <w:rsid w:val="00BE51BB"/>
    <w:rsid w:val="00BE5EDF"/>
    <w:rsid w:val="00BE7595"/>
    <w:rsid w:val="00BE77D3"/>
    <w:rsid w:val="00BE7822"/>
    <w:rsid w:val="00BF0138"/>
    <w:rsid w:val="00BF0551"/>
    <w:rsid w:val="00BF114B"/>
    <w:rsid w:val="00BF1620"/>
    <w:rsid w:val="00BF1AC3"/>
    <w:rsid w:val="00BF1C78"/>
    <w:rsid w:val="00BF373A"/>
    <w:rsid w:val="00BF409D"/>
    <w:rsid w:val="00BF5148"/>
    <w:rsid w:val="00BF62D2"/>
    <w:rsid w:val="00BF6D9E"/>
    <w:rsid w:val="00BF71BB"/>
    <w:rsid w:val="00BF76F7"/>
    <w:rsid w:val="00BF7AA9"/>
    <w:rsid w:val="00BF7C9F"/>
    <w:rsid w:val="00C00012"/>
    <w:rsid w:val="00C000A5"/>
    <w:rsid w:val="00C006B4"/>
    <w:rsid w:val="00C00938"/>
    <w:rsid w:val="00C00E2A"/>
    <w:rsid w:val="00C020FA"/>
    <w:rsid w:val="00C025B9"/>
    <w:rsid w:val="00C044B4"/>
    <w:rsid w:val="00C0505C"/>
    <w:rsid w:val="00C05105"/>
    <w:rsid w:val="00C05A5D"/>
    <w:rsid w:val="00C0654A"/>
    <w:rsid w:val="00C06DE3"/>
    <w:rsid w:val="00C06F97"/>
    <w:rsid w:val="00C073EA"/>
    <w:rsid w:val="00C10703"/>
    <w:rsid w:val="00C10BE6"/>
    <w:rsid w:val="00C10DFE"/>
    <w:rsid w:val="00C11296"/>
    <w:rsid w:val="00C11905"/>
    <w:rsid w:val="00C1234A"/>
    <w:rsid w:val="00C123D9"/>
    <w:rsid w:val="00C12661"/>
    <w:rsid w:val="00C126E3"/>
    <w:rsid w:val="00C1330F"/>
    <w:rsid w:val="00C13DE2"/>
    <w:rsid w:val="00C13ED7"/>
    <w:rsid w:val="00C14615"/>
    <w:rsid w:val="00C14F48"/>
    <w:rsid w:val="00C15296"/>
    <w:rsid w:val="00C17750"/>
    <w:rsid w:val="00C2094B"/>
    <w:rsid w:val="00C20DC5"/>
    <w:rsid w:val="00C2140B"/>
    <w:rsid w:val="00C228C1"/>
    <w:rsid w:val="00C2294E"/>
    <w:rsid w:val="00C22A5B"/>
    <w:rsid w:val="00C23412"/>
    <w:rsid w:val="00C24C41"/>
    <w:rsid w:val="00C25F79"/>
    <w:rsid w:val="00C264C7"/>
    <w:rsid w:val="00C2682A"/>
    <w:rsid w:val="00C271C4"/>
    <w:rsid w:val="00C274F3"/>
    <w:rsid w:val="00C27700"/>
    <w:rsid w:val="00C30A54"/>
    <w:rsid w:val="00C316F7"/>
    <w:rsid w:val="00C31B7F"/>
    <w:rsid w:val="00C31DF0"/>
    <w:rsid w:val="00C3350A"/>
    <w:rsid w:val="00C33916"/>
    <w:rsid w:val="00C33BCF"/>
    <w:rsid w:val="00C352C8"/>
    <w:rsid w:val="00C353A0"/>
    <w:rsid w:val="00C368D7"/>
    <w:rsid w:val="00C36FD1"/>
    <w:rsid w:val="00C371A5"/>
    <w:rsid w:val="00C400B0"/>
    <w:rsid w:val="00C413FC"/>
    <w:rsid w:val="00C41C06"/>
    <w:rsid w:val="00C42424"/>
    <w:rsid w:val="00C43AC9"/>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64A3"/>
    <w:rsid w:val="00C570B3"/>
    <w:rsid w:val="00C6009F"/>
    <w:rsid w:val="00C60417"/>
    <w:rsid w:val="00C6046F"/>
    <w:rsid w:val="00C638C2"/>
    <w:rsid w:val="00C63FB8"/>
    <w:rsid w:val="00C651D4"/>
    <w:rsid w:val="00C6669E"/>
    <w:rsid w:val="00C672B0"/>
    <w:rsid w:val="00C7021B"/>
    <w:rsid w:val="00C729C7"/>
    <w:rsid w:val="00C735C6"/>
    <w:rsid w:val="00C77421"/>
    <w:rsid w:val="00C777AD"/>
    <w:rsid w:val="00C80C53"/>
    <w:rsid w:val="00C81195"/>
    <w:rsid w:val="00C81798"/>
    <w:rsid w:val="00C81CF9"/>
    <w:rsid w:val="00C82671"/>
    <w:rsid w:val="00C85387"/>
    <w:rsid w:val="00C85E52"/>
    <w:rsid w:val="00C86471"/>
    <w:rsid w:val="00C8677B"/>
    <w:rsid w:val="00C86F96"/>
    <w:rsid w:val="00C87743"/>
    <w:rsid w:val="00C909C6"/>
    <w:rsid w:val="00C915C7"/>
    <w:rsid w:val="00C922B2"/>
    <w:rsid w:val="00C923B7"/>
    <w:rsid w:val="00C94D4C"/>
    <w:rsid w:val="00C958B5"/>
    <w:rsid w:val="00C96C1E"/>
    <w:rsid w:val="00C96CA4"/>
    <w:rsid w:val="00C97408"/>
    <w:rsid w:val="00C97754"/>
    <w:rsid w:val="00CA012C"/>
    <w:rsid w:val="00CA0AA6"/>
    <w:rsid w:val="00CA2897"/>
    <w:rsid w:val="00CA30ED"/>
    <w:rsid w:val="00CA3D08"/>
    <w:rsid w:val="00CA44F3"/>
    <w:rsid w:val="00CA484C"/>
    <w:rsid w:val="00CA49C0"/>
    <w:rsid w:val="00CA582C"/>
    <w:rsid w:val="00CA6077"/>
    <w:rsid w:val="00CA690F"/>
    <w:rsid w:val="00CA715B"/>
    <w:rsid w:val="00CA7988"/>
    <w:rsid w:val="00CA7BA2"/>
    <w:rsid w:val="00CB0B78"/>
    <w:rsid w:val="00CB12A5"/>
    <w:rsid w:val="00CB17FA"/>
    <w:rsid w:val="00CB23D8"/>
    <w:rsid w:val="00CB2ED9"/>
    <w:rsid w:val="00CB36A5"/>
    <w:rsid w:val="00CB4C13"/>
    <w:rsid w:val="00CB56B4"/>
    <w:rsid w:val="00CB7286"/>
    <w:rsid w:val="00CB7947"/>
    <w:rsid w:val="00CB7FFB"/>
    <w:rsid w:val="00CC1783"/>
    <w:rsid w:val="00CC3B46"/>
    <w:rsid w:val="00CC3D8B"/>
    <w:rsid w:val="00CC4ACB"/>
    <w:rsid w:val="00CC4E27"/>
    <w:rsid w:val="00CC570C"/>
    <w:rsid w:val="00CC62B6"/>
    <w:rsid w:val="00CC76AA"/>
    <w:rsid w:val="00CC7CD2"/>
    <w:rsid w:val="00CD05BB"/>
    <w:rsid w:val="00CD05CF"/>
    <w:rsid w:val="00CD07C7"/>
    <w:rsid w:val="00CD140E"/>
    <w:rsid w:val="00CD1EF3"/>
    <w:rsid w:val="00CD1FAE"/>
    <w:rsid w:val="00CD232F"/>
    <w:rsid w:val="00CD279E"/>
    <w:rsid w:val="00CD2F92"/>
    <w:rsid w:val="00CD3BFB"/>
    <w:rsid w:val="00CD4EB0"/>
    <w:rsid w:val="00CD512D"/>
    <w:rsid w:val="00CD5831"/>
    <w:rsid w:val="00CD6F6E"/>
    <w:rsid w:val="00CE00D7"/>
    <w:rsid w:val="00CE0151"/>
    <w:rsid w:val="00CE157F"/>
    <w:rsid w:val="00CE1966"/>
    <w:rsid w:val="00CE1ED4"/>
    <w:rsid w:val="00CE2216"/>
    <w:rsid w:val="00CE2C90"/>
    <w:rsid w:val="00CE3014"/>
    <w:rsid w:val="00CE30E5"/>
    <w:rsid w:val="00CE6FC6"/>
    <w:rsid w:val="00CF063C"/>
    <w:rsid w:val="00CF2056"/>
    <w:rsid w:val="00CF4471"/>
    <w:rsid w:val="00CF51C0"/>
    <w:rsid w:val="00CF5584"/>
    <w:rsid w:val="00CF5B2A"/>
    <w:rsid w:val="00CF5F57"/>
    <w:rsid w:val="00CF64A7"/>
    <w:rsid w:val="00CF6730"/>
    <w:rsid w:val="00CF706A"/>
    <w:rsid w:val="00CF70E5"/>
    <w:rsid w:val="00CF7CEC"/>
    <w:rsid w:val="00D00B0F"/>
    <w:rsid w:val="00D00EFA"/>
    <w:rsid w:val="00D01BF4"/>
    <w:rsid w:val="00D0272C"/>
    <w:rsid w:val="00D0396B"/>
    <w:rsid w:val="00D045CE"/>
    <w:rsid w:val="00D05082"/>
    <w:rsid w:val="00D057C9"/>
    <w:rsid w:val="00D06163"/>
    <w:rsid w:val="00D06937"/>
    <w:rsid w:val="00D07AFD"/>
    <w:rsid w:val="00D1081D"/>
    <w:rsid w:val="00D11749"/>
    <w:rsid w:val="00D12A7D"/>
    <w:rsid w:val="00D137FD"/>
    <w:rsid w:val="00D13AB0"/>
    <w:rsid w:val="00D1519E"/>
    <w:rsid w:val="00D152B7"/>
    <w:rsid w:val="00D15981"/>
    <w:rsid w:val="00D15F96"/>
    <w:rsid w:val="00D16CFC"/>
    <w:rsid w:val="00D16EDC"/>
    <w:rsid w:val="00D17FDE"/>
    <w:rsid w:val="00D201CB"/>
    <w:rsid w:val="00D22285"/>
    <w:rsid w:val="00D22786"/>
    <w:rsid w:val="00D228B4"/>
    <w:rsid w:val="00D22BE1"/>
    <w:rsid w:val="00D25AC4"/>
    <w:rsid w:val="00D305F6"/>
    <w:rsid w:val="00D30B25"/>
    <w:rsid w:val="00D31254"/>
    <w:rsid w:val="00D3175A"/>
    <w:rsid w:val="00D31A00"/>
    <w:rsid w:val="00D323E4"/>
    <w:rsid w:val="00D32871"/>
    <w:rsid w:val="00D329F6"/>
    <w:rsid w:val="00D33881"/>
    <w:rsid w:val="00D34282"/>
    <w:rsid w:val="00D366B1"/>
    <w:rsid w:val="00D37AE0"/>
    <w:rsid w:val="00D403BD"/>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4941"/>
    <w:rsid w:val="00D55058"/>
    <w:rsid w:val="00D556D9"/>
    <w:rsid w:val="00D56AC0"/>
    <w:rsid w:val="00D57C37"/>
    <w:rsid w:val="00D6081B"/>
    <w:rsid w:val="00D60960"/>
    <w:rsid w:val="00D6240A"/>
    <w:rsid w:val="00D63093"/>
    <w:rsid w:val="00D63599"/>
    <w:rsid w:val="00D63EBD"/>
    <w:rsid w:val="00D66F10"/>
    <w:rsid w:val="00D67101"/>
    <w:rsid w:val="00D7000A"/>
    <w:rsid w:val="00D71B45"/>
    <w:rsid w:val="00D71F8A"/>
    <w:rsid w:val="00D75603"/>
    <w:rsid w:val="00D75FEE"/>
    <w:rsid w:val="00D76652"/>
    <w:rsid w:val="00D76933"/>
    <w:rsid w:val="00D76D88"/>
    <w:rsid w:val="00D77074"/>
    <w:rsid w:val="00D77CC9"/>
    <w:rsid w:val="00D81E5A"/>
    <w:rsid w:val="00D81F18"/>
    <w:rsid w:val="00D82BCD"/>
    <w:rsid w:val="00D83D4B"/>
    <w:rsid w:val="00D86C62"/>
    <w:rsid w:val="00D86D7B"/>
    <w:rsid w:val="00D871C6"/>
    <w:rsid w:val="00D87AB5"/>
    <w:rsid w:val="00D87FC6"/>
    <w:rsid w:val="00D91010"/>
    <w:rsid w:val="00D9143D"/>
    <w:rsid w:val="00D920D1"/>
    <w:rsid w:val="00D9474A"/>
    <w:rsid w:val="00D94998"/>
    <w:rsid w:val="00D973E2"/>
    <w:rsid w:val="00D97FF6"/>
    <w:rsid w:val="00DA0FA7"/>
    <w:rsid w:val="00DA12B0"/>
    <w:rsid w:val="00DA1D24"/>
    <w:rsid w:val="00DA20D5"/>
    <w:rsid w:val="00DA23C6"/>
    <w:rsid w:val="00DA2900"/>
    <w:rsid w:val="00DA29DF"/>
    <w:rsid w:val="00DA2BA0"/>
    <w:rsid w:val="00DA39AD"/>
    <w:rsid w:val="00DA5B13"/>
    <w:rsid w:val="00DA6616"/>
    <w:rsid w:val="00DA6917"/>
    <w:rsid w:val="00DA6926"/>
    <w:rsid w:val="00DA7183"/>
    <w:rsid w:val="00DA7B0D"/>
    <w:rsid w:val="00DB060C"/>
    <w:rsid w:val="00DB0965"/>
    <w:rsid w:val="00DB0E47"/>
    <w:rsid w:val="00DB2BDD"/>
    <w:rsid w:val="00DB2C6A"/>
    <w:rsid w:val="00DB2F94"/>
    <w:rsid w:val="00DB35FF"/>
    <w:rsid w:val="00DB4121"/>
    <w:rsid w:val="00DB46C3"/>
    <w:rsid w:val="00DB5742"/>
    <w:rsid w:val="00DB5EDF"/>
    <w:rsid w:val="00DB6C46"/>
    <w:rsid w:val="00DB72B8"/>
    <w:rsid w:val="00DC16AF"/>
    <w:rsid w:val="00DC1BAF"/>
    <w:rsid w:val="00DC1CC9"/>
    <w:rsid w:val="00DC2A9A"/>
    <w:rsid w:val="00DC2E2E"/>
    <w:rsid w:val="00DC4D68"/>
    <w:rsid w:val="00DC6463"/>
    <w:rsid w:val="00DC7822"/>
    <w:rsid w:val="00DC7AF1"/>
    <w:rsid w:val="00DD15DA"/>
    <w:rsid w:val="00DD2CDA"/>
    <w:rsid w:val="00DD2D92"/>
    <w:rsid w:val="00DD3026"/>
    <w:rsid w:val="00DD33DC"/>
    <w:rsid w:val="00DD3BB0"/>
    <w:rsid w:val="00DD4358"/>
    <w:rsid w:val="00DD549B"/>
    <w:rsid w:val="00DD61F5"/>
    <w:rsid w:val="00DD6325"/>
    <w:rsid w:val="00DD6481"/>
    <w:rsid w:val="00DD7418"/>
    <w:rsid w:val="00DE0A2B"/>
    <w:rsid w:val="00DE2486"/>
    <w:rsid w:val="00DE60B3"/>
    <w:rsid w:val="00DE64A6"/>
    <w:rsid w:val="00DE66EB"/>
    <w:rsid w:val="00DE7035"/>
    <w:rsid w:val="00DF029C"/>
    <w:rsid w:val="00DF0DC0"/>
    <w:rsid w:val="00DF12E3"/>
    <w:rsid w:val="00DF1A2A"/>
    <w:rsid w:val="00DF2A20"/>
    <w:rsid w:val="00DF3F0E"/>
    <w:rsid w:val="00DF3F1D"/>
    <w:rsid w:val="00DF595C"/>
    <w:rsid w:val="00DF76C9"/>
    <w:rsid w:val="00DF7EA7"/>
    <w:rsid w:val="00E004B6"/>
    <w:rsid w:val="00E02058"/>
    <w:rsid w:val="00E04548"/>
    <w:rsid w:val="00E04712"/>
    <w:rsid w:val="00E0484E"/>
    <w:rsid w:val="00E063F8"/>
    <w:rsid w:val="00E114D6"/>
    <w:rsid w:val="00E1166E"/>
    <w:rsid w:val="00E11DBD"/>
    <w:rsid w:val="00E13211"/>
    <w:rsid w:val="00E15760"/>
    <w:rsid w:val="00E15D92"/>
    <w:rsid w:val="00E16FB5"/>
    <w:rsid w:val="00E179D6"/>
    <w:rsid w:val="00E21407"/>
    <w:rsid w:val="00E21A2F"/>
    <w:rsid w:val="00E22668"/>
    <w:rsid w:val="00E227D3"/>
    <w:rsid w:val="00E22BFF"/>
    <w:rsid w:val="00E22CB0"/>
    <w:rsid w:val="00E23798"/>
    <w:rsid w:val="00E25503"/>
    <w:rsid w:val="00E2585D"/>
    <w:rsid w:val="00E25DBD"/>
    <w:rsid w:val="00E25FA2"/>
    <w:rsid w:val="00E2656A"/>
    <w:rsid w:val="00E2723D"/>
    <w:rsid w:val="00E278C9"/>
    <w:rsid w:val="00E27C77"/>
    <w:rsid w:val="00E3179E"/>
    <w:rsid w:val="00E32AC9"/>
    <w:rsid w:val="00E32FF6"/>
    <w:rsid w:val="00E354DA"/>
    <w:rsid w:val="00E354F5"/>
    <w:rsid w:val="00E357E2"/>
    <w:rsid w:val="00E3687E"/>
    <w:rsid w:val="00E40974"/>
    <w:rsid w:val="00E40AAB"/>
    <w:rsid w:val="00E41205"/>
    <w:rsid w:val="00E41F32"/>
    <w:rsid w:val="00E42608"/>
    <w:rsid w:val="00E43536"/>
    <w:rsid w:val="00E43DA3"/>
    <w:rsid w:val="00E44B80"/>
    <w:rsid w:val="00E45938"/>
    <w:rsid w:val="00E47430"/>
    <w:rsid w:val="00E47F8F"/>
    <w:rsid w:val="00E50FB7"/>
    <w:rsid w:val="00E5199F"/>
    <w:rsid w:val="00E51F45"/>
    <w:rsid w:val="00E5220E"/>
    <w:rsid w:val="00E526DF"/>
    <w:rsid w:val="00E52957"/>
    <w:rsid w:val="00E52F41"/>
    <w:rsid w:val="00E532FD"/>
    <w:rsid w:val="00E53C15"/>
    <w:rsid w:val="00E53D3E"/>
    <w:rsid w:val="00E5406A"/>
    <w:rsid w:val="00E54EE6"/>
    <w:rsid w:val="00E56715"/>
    <w:rsid w:val="00E56C2C"/>
    <w:rsid w:val="00E57F8E"/>
    <w:rsid w:val="00E611C8"/>
    <w:rsid w:val="00E611E4"/>
    <w:rsid w:val="00E6344A"/>
    <w:rsid w:val="00E63995"/>
    <w:rsid w:val="00E64E69"/>
    <w:rsid w:val="00E64FB7"/>
    <w:rsid w:val="00E65D2E"/>
    <w:rsid w:val="00E669A1"/>
    <w:rsid w:val="00E66B57"/>
    <w:rsid w:val="00E679BA"/>
    <w:rsid w:val="00E67DCE"/>
    <w:rsid w:val="00E70243"/>
    <w:rsid w:val="00E718A0"/>
    <w:rsid w:val="00E7289E"/>
    <w:rsid w:val="00E72CC6"/>
    <w:rsid w:val="00E73D44"/>
    <w:rsid w:val="00E74659"/>
    <w:rsid w:val="00E7494A"/>
    <w:rsid w:val="00E74BE2"/>
    <w:rsid w:val="00E74C66"/>
    <w:rsid w:val="00E75933"/>
    <w:rsid w:val="00E77A1B"/>
    <w:rsid w:val="00E808BE"/>
    <w:rsid w:val="00E81E36"/>
    <w:rsid w:val="00E81E40"/>
    <w:rsid w:val="00E82ECE"/>
    <w:rsid w:val="00E83138"/>
    <w:rsid w:val="00E84D36"/>
    <w:rsid w:val="00E859CD"/>
    <w:rsid w:val="00E85A6A"/>
    <w:rsid w:val="00E85FAA"/>
    <w:rsid w:val="00E86998"/>
    <w:rsid w:val="00E8713B"/>
    <w:rsid w:val="00E90774"/>
    <w:rsid w:val="00E90C61"/>
    <w:rsid w:val="00E92A82"/>
    <w:rsid w:val="00E92AA8"/>
    <w:rsid w:val="00E9344E"/>
    <w:rsid w:val="00E93E39"/>
    <w:rsid w:val="00E94391"/>
    <w:rsid w:val="00E97291"/>
    <w:rsid w:val="00E97E2B"/>
    <w:rsid w:val="00EA08CA"/>
    <w:rsid w:val="00EA0C0C"/>
    <w:rsid w:val="00EA2AEA"/>
    <w:rsid w:val="00EA332B"/>
    <w:rsid w:val="00EA3D36"/>
    <w:rsid w:val="00EA402D"/>
    <w:rsid w:val="00EA40AA"/>
    <w:rsid w:val="00EA4CF3"/>
    <w:rsid w:val="00EA57E2"/>
    <w:rsid w:val="00EA7186"/>
    <w:rsid w:val="00EB018B"/>
    <w:rsid w:val="00EB1003"/>
    <w:rsid w:val="00EB167E"/>
    <w:rsid w:val="00EB24ED"/>
    <w:rsid w:val="00EB2A00"/>
    <w:rsid w:val="00EB309B"/>
    <w:rsid w:val="00EB3AA2"/>
    <w:rsid w:val="00EB424F"/>
    <w:rsid w:val="00EB4763"/>
    <w:rsid w:val="00EB492A"/>
    <w:rsid w:val="00EB6CB7"/>
    <w:rsid w:val="00EB7BD0"/>
    <w:rsid w:val="00EC078B"/>
    <w:rsid w:val="00EC07A0"/>
    <w:rsid w:val="00EC08E4"/>
    <w:rsid w:val="00EC0A61"/>
    <w:rsid w:val="00EC0AF0"/>
    <w:rsid w:val="00EC2F22"/>
    <w:rsid w:val="00EC34A6"/>
    <w:rsid w:val="00EC3CB4"/>
    <w:rsid w:val="00EC443E"/>
    <w:rsid w:val="00EC4C61"/>
    <w:rsid w:val="00EC4D83"/>
    <w:rsid w:val="00EC4EEE"/>
    <w:rsid w:val="00EC634F"/>
    <w:rsid w:val="00EC6848"/>
    <w:rsid w:val="00EC6C6E"/>
    <w:rsid w:val="00EC7B97"/>
    <w:rsid w:val="00ED049C"/>
    <w:rsid w:val="00ED07B7"/>
    <w:rsid w:val="00ED19D7"/>
    <w:rsid w:val="00ED2167"/>
    <w:rsid w:val="00ED351E"/>
    <w:rsid w:val="00ED451B"/>
    <w:rsid w:val="00ED4B27"/>
    <w:rsid w:val="00ED5250"/>
    <w:rsid w:val="00ED543C"/>
    <w:rsid w:val="00ED55E5"/>
    <w:rsid w:val="00ED616A"/>
    <w:rsid w:val="00ED6BA4"/>
    <w:rsid w:val="00ED7A58"/>
    <w:rsid w:val="00ED7DA7"/>
    <w:rsid w:val="00EE0598"/>
    <w:rsid w:val="00EE26F6"/>
    <w:rsid w:val="00EE311C"/>
    <w:rsid w:val="00EE56FF"/>
    <w:rsid w:val="00EE5886"/>
    <w:rsid w:val="00EE5FBF"/>
    <w:rsid w:val="00EE6472"/>
    <w:rsid w:val="00EE6573"/>
    <w:rsid w:val="00EE76F2"/>
    <w:rsid w:val="00EF0769"/>
    <w:rsid w:val="00EF0D7C"/>
    <w:rsid w:val="00EF314C"/>
    <w:rsid w:val="00EF383B"/>
    <w:rsid w:val="00EF40E2"/>
    <w:rsid w:val="00EF4723"/>
    <w:rsid w:val="00EF61C1"/>
    <w:rsid w:val="00EF621E"/>
    <w:rsid w:val="00EF6E68"/>
    <w:rsid w:val="00EF76DB"/>
    <w:rsid w:val="00F005FD"/>
    <w:rsid w:val="00F016BE"/>
    <w:rsid w:val="00F02C04"/>
    <w:rsid w:val="00F02DC5"/>
    <w:rsid w:val="00F03AD8"/>
    <w:rsid w:val="00F03AF1"/>
    <w:rsid w:val="00F04BCD"/>
    <w:rsid w:val="00F05A8C"/>
    <w:rsid w:val="00F061FB"/>
    <w:rsid w:val="00F06211"/>
    <w:rsid w:val="00F067ED"/>
    <w:rsid w:val="00F10124"/>
    <w:rsid w:val="00F107EF"/>
    <w:rsid w:val="00F10A54"/>
    <w:rsid w:val="00F119E0"/>
    <w:rsid w:val="00F123D0"/>
    <w:rsid w:val="00F12BB3"/>
    <w:rsid w:val="00F13200"/>
    <w:rsid w:val="00F13411"/>
    <w:rsid w:val="00F143BA"/>
    <w:rsid w:val="00F14D98"/>
    <w:rsid w:val="00F17350"/>
    <w:rsid w:val="00F17B57"/>
    <w:rsid w:val="00F2081B"/>
    <w:rsid w:val="00F20A43"/>
    <w:rsid w:val="00F20C51"/>
    <w:rsid w:val="00F21049"/>
    <w:rsid w:val="00F218AE"/>
    <w:rsid w:val="00F22232"/>
    <w:rsid w:val="00F2228E"/>
    <w:rsid w:val="00F22D3C"/>
    <w:rsid w:val="00F23D66"/>
    <w:rsid w:val="00F2473C"/>
    <w:rsid w:val="00F24E6F"/>
    <w:rsid w:val="00F2561B"/>
    <w:rsid w:val="00F26069"/>
    <w:rsid w:val="00F261A3"/>
    <w:rsid w:val="00F26834"/>
    <w:rsid w:val="00F26B7E"/>
    <w:rsid w:val="00F27D7D"/>
    <w:rsid w:val="00F27F26"/>
    <w:rsid w:val="00F3002B"/>
    <w:rsid w:val="00F30BC9"/>
    <w:rsid w:val="00F32462"/>
    <w:rsid w:val="00F32FF7"/>
    <w:rsid w:val="00F33E60"/>
    <w:rsid w:val="00F33EDE"/>
    <w:rsid w:val="00F3568B"/>
    <w:rsid w:val="00F377CD"/>
    <w:rsid w:val="00F40C3B"/>
    <w:rsid w:val="00F40CE0"/>
    <w:rsid w:val="00F42DBC"/>
    <w:rsid w:val="00F4308D"/>
    <w:rsid w:val="00F44012"/>
    <w:rsid w:val="00F44947"/>
    <w:rsid w:val="00F458EF"/>
    <w:rsid w:val="00F469F8"/>
    <w:rsid w:val="00F47121"/>
    <w:rsid w:val="00F4775D"/>
    <w:rsid w:val="00F477B7"/>
    <w:rsid w:val="00F504DD"/>
    <w:rsid w:val="00F50874"/>
    <w:rsid w:val="00F516C6"/>
    <w:rsid w:val="00F52221"/>
    <w:rsid w:val="00F52B28"/>
    <w:rsid w:val="00F536BB"/>
    <w:rsid w:val="00F53755"/>
    <w:rsid w:val="00F538D8"/>
    <w:rsid w:val="00F53E59"/>
    <w:rsid w:val="00F53EB3"/>
    <w:rsid w:val="00F5475B"/>
    <w:rsid w:val="00F54D06"/>
    <w:rsid w:val="00F55397"/>
    <w:rsid w:val="00F55600"/>
    <w:rsid w:val="00F574D0"/>
    <w:rsid w:val="00F6031F"/>
    <w:rsid w:val="00F61664"/>
    <w:rsid w:val="00F61B99"/>
    <w:rsid w:val="00F62043"/>
    <w:rsid w:val="00F64C45"/>
    <w:rsid w:val="00F6502B"/>
    <w:rsid w:val="00F6612A"/>
    <w:rsid w:val="00F66724"/>
    <w:rsid w:val="00F668D7"/>
    <w:rsid w:val="00F673A4"/>
    <w:rsid w:val="00F67F04"/>
    <w:rsid w:val="00F70082"/>
    <w:rsid w:val="00F70207"/>
    <w:rsid w:val="00F702CB"/>
    <w:rsid w:val="00F7063D"/>
    <w:rsid w:val="00F710E0"/>
    <w:rsid w:val="00F71AC2"/>
    <w:rsid w:val="00F739D4"/>
    <w:rsid w:val="00F769FF"/>
    <w:rsid w:val="00F77D43"/>
    <w:rsid w:val="00F803B0"/>
    <w:rsid w:val="00F80953"/>
    <w:rsid w:val="00F80A0A"/>
    <w:rsid w:val="00F80B5C"/>
    <w:rsid w:val="00F81312"/>
    <w:rsid w:val="00F81B90"/>
    <w:rsid w:val="00F81E6F"/>
    <w:rsid w:val="00F82FF3"/>
    <w:rsid w:val="00F83D44"/>
    <w:rsid w:val="00F8453C"/>
    <w:rsid w:val="00F84D4C"/>
    <w:rsid w:val="00F85A4E"/>
    <w:rsid w:val="00F8657D"/>
    <w:rsid w:val="00F8730F"/>
    <w:rsid w:val="00F87897"/>
    <w:rsid w:val="00F87DA3"/>
    <w:rsid w:val="00F90004"/>
    <w:rsid w:val="00F90EF4"/>
    <w:rsid w:val="00F917BF"/>
    <w:rsid w:val="00F919C4"/>
    <w:rsid w:val="00F920B4"/>
    <w:rsid w:val="00F9260D"/>
    <w:rsid w:val="00F92727"/>
    <w:rsid w:val="00F930B6"/>
    <w:rsid w:val="00F93CCF"/>
    <w:rsid w:val="00F94307"/>
    <w:rsid w:val="00F9580B"/>
    <w:rsid w:val="00F95F15"/>
    <w:rsid w:val="00F96834"/>
    <w:rsid w:val="00F975CA"/>
    <w:rsid w:val="00FA0B60"/>
    <w:rsid w:val="00FA1C3D"/>
    <w:rsid w:val="00FA2528"/>
    <w:rsid w:val="00FA40BE"/>
    <w:rsid w:val="00FA5372"/>
    <w:rsid w:val="00FA5524"/>
    <w:rsid w:val="00FA5535"/>
    <w:rsid w:val="00FA5B0E"/>
    <w:rsid w:val="00FA6C1B"/>
    <w:rsid w:val="00FA7206"/>
    <w:rsid w:val="00FA7EFB"/>
    <w:rsid w:val="00FB01F8"/>
    <w:rsid w:val="00FB0816"/>
    <w:rsid w:val="00FB08C2"/>
    <w:rsid w:val="00FB3DD1"/>
    <w:rsid w:val="00FB3E1B"/>
    <w:rsid w:val="00FB3F5E"/>
    <w:rsid w:val="00FB4B9C"/>
    <w:rsid w:val="00FB51FD"/>
    <w:rsid w:val="00FB5667"/>
    <w:rsid w:val="00FB7A97"/>
    <w:rsid w:val="00FC027E"/>
    <w:rsid w:val="00FC1226"/>
    <w:rsid w:val="00FC1601"/>
    <w:rsid w:val="00FC1B9B"/>
    <w:rsid w:val="00FC318D"/>
    <w:rsid w:val="00FC36CF"/>
    <w:rsid w:val="00FC40BC"/>
    <w:rsid w:val="00FC41FC"/>
    <w:rsid w:val="00FC4F6E"/>
    <w:rsid w:val="00FC506C"/>
    <w:rsid w:val="00FC578C"/>
    <w:rsid w:val="00FC5A37"/>
    <w:rsid w:val="00FC6BFF"/>
    <w:rsid w:val="00FC72A6"/>
    <w:rsid w:val="00FC7651"/>
    <w:rsid w:val="00FC7836"/>
    <w:rsid w:val="00FC7D74"/>
    <w:rsid w:val="00FD13EA"/>
    <w:rsid w:val="00FD2893"/>
    <w:rsid w:val="00FD34E5"/>
    <w:rsid w:val="00FD5EC4"/>
    <w:rsid w:val="00FD6383"/>
    <w:rsid w:val="00FD7858"/>
    <w:rsid w:val="00FD7A8D"/>
    <w:rsid w:val="00FE1330"/>
    <w:rsid w:val="00FE1CE5"/>
    <w:rsid w:val="00FE2832"/>
    <w:rsid w:val="00FE2D38"/>
    <w:rsid w:val="00FE3929"/>
    <w:rsid w:val="00FE3E32"/>
    <w:rsid w:val="00FE43F6"/>
    <w:rsid w:val="00FE6C7B"/>
    <w:rsid w:val="00FF0178"/>
    <w:rsid w:val="00FF097B"/>
    <w:rsid w:val="00FF0B6E"/>
    <w:rsid w:val="00FF1C1B"/>
    <w:rsid w:val="00FF2067"/>
    <w:rsid w:val="00FF39EA"/>
    <w:rsid w:val="00FF3BC4"/>
    <w:rsid w:val="00FF4B66"/>
    <w:rsid w:val="00FF5459"/>
    <w:rsid w:val="00FF5939"/>
    <w:rsid w:val="00FF688E"/>
    <w:rsid w:val="00FF6DB4"/>
    <w:rsid w:val="00FF7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438DF3"/>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46F38"/>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5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LutherBodyText">
    <w:name w:val="Luther Body Text"/>
    <w:basedOn w:val="Normal"/>
    <w:link w:val="LutherBodyTextChar"/>
    <w:qFormat/>
    <w:rsid w:val="00FF5459"/>
    <w:pPr>
      <w:spacing w:before="120" w:after="240" w:line="320" w:lineRule="atLeast"/>
      <w:jc w:val="both"/>
    </w:pPr>
    <w:rPr>
      <w:rFonts w:eastAsiaTheme="minorHAnsi" w:cstheme="minorBidi"/>
      <w:sz w:val="22"/>
      <w:szCs w:val="22"/>
      <w:lang w:val="de-DE" w:eastAsia="en-US"/>
    </w:rPr>
  </w:style>
  <w:style w:type="character" w:customStyle="1" w:styleId="LutherBodyTextChar">
    <w:name w:val="Luther Body Text Char"/>
    <w:basedOn w:val="DefaultParagraphFont"/>
    <w:link w:val="LutherBodyText"/>
    <w:rsid w:val="00FF5459"/>
    <w:rPr>
      <w:rFonts w:ascii="Arial" w:eastAsiaTheme="minorHAnsi" w:hAnsi="Arial" w:cstheme="minorBidi"/>
      <w:sz w:val="22"/>
      <w:szCs w:val="22"/>
      <w:lang w:val="de-DE" w:eastAsia="en-US"/>
    </w:rPr>
  </w:style>
  <w:style w:type="paragraph" w:customStyle="1" w:styleId="BulletedList">
    <w:name w:val="Bulleted List"/>
    <w:basedOn w:val="Normal"/>
    <w:uiPriority w:val="99"/>
    <w:qFormat/>
    <w:rsid w:val="00916AAB"/>
    <w:pPr>
      <w:numPr>
        <w:numId w:val="52"/>
      </w:numPr>
      <w:spacing w:after="240"/>
    </w:pPr>
    <w:rPr>
      <w:rFonts w:ascii="Calibri" w:eastAsiaTheme="minorHAnsi" w:hAnsi="Calibri" w:cs="Calibri"/>
      <w:sz w:val="22"/>
      <w:szCs w:val="22"/>
      <w:lang w:eastAsia="en-US"/>
    </w:rPr>
  </w:style>
  <w:style w:type="paragraph" w:customStyle="1" w:styleId="PAIAContinuousNumbering">
    <w:name w:val="PA / IA Continuous Numbering"/>
    <w:rsid w:val="00916AAB"/>
    <w:pPr>
      <w:numPr>
        <w:numId w:val="53"/>
      </w:numPr>
      <w:spacing w:after="240" w:line="360" w:lineRule="auto"/>
    </w:pPr>
    <w:rPr>
      <w:sz w:val="24"/>
      <w:szCs w:val="24"/>
      <w:lang w:eastAsia="en-US"/>
    </w:rPr>
  </w:style>
  <w:style w:type="character" w:styleId="UnresolvedMention">
    <w:name w:val="Unresolved Mention"/>
    <w:basedOn w:val="DefaultParagraphFont"/>
    <w:uiPriority w:val="99"/>
    <w:semiHidden/>
    <w:unhideWhenUsed/>
    <w:rsid w:val="00024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21466081">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82355060">
      <w:bodyDiv w:val="1"/>
      <w:marLeft w:val="0"/>
      <w:marRight w:val="0"/>
      <w:marTop w:val="0"/>
      <w:marBottom w:val="0"/>
      <w:divBdr>
        <w:top w:val="none" w:sz="0" w:space="0" w:color="auto"/>
        <w:left w:val="none" w:sz="0" w:space="0" w:color="auto"/>
        <w:bottom w:val="none" w:sz="0" w:space="0" w:color="auto"/>
        <w:right w:val="none" w:sz="0" w:space="0" w:color="auto"/>
      </w:divBdr>
      <w:divsChild>
        <w:div w:id="1926644833">
          <w:marLeft w:val="0"/>
          <w:marRight w:val="0"/>
          <w:marTop w:val="0"/>
          <w:marBottom w:val="0"/>
          <w:divBdr>
            <w:top w:val="none" w:sz="0" w:space="0" w:color="auto"/>
            <w:left w:val="none" w:sz="0" w:space="0" w:color="auto"/>
            <w:bottom w:val="none" w:sz="0" w:space="0" w:color="auto"/>
            <w:right w:val="none" w:sz="0" w:space="0" w:color="auto"/>
          </w:divBdr>
          <w:divsChild>
            <w:div w:id="1327780499">
              <w:marLeft w:val="0"/>
              <w:marRight w:val="0"/>
              <w:marTop w:val="0"/>
              <w:marBottom w:val="0"/>
              <w:divBdr>
                <w:top w:val="none" w:sz="0" w:space="0" w:color="auto"/>
                <w:left w:val="none" w:sz="0" w:space="0" w:color="auto"/>
                <w:bottom w:val="none" w:sz="0" w:space="0" w:color="auto"/>
                <w:right w:val="none" w:sz="0" w:space="0" w:color="auto"/>
              </w:divBdr>
              <w:divsChild>
                <w:div w:id="66421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000699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64929164">
      <w:bodyDiv w:val="1"/>
      <w:marLeft w:val="0"/>
      <w:marRight w:val="0"/>
      <w:marTop w:val="0"/>
      <w:marBottom w:val="0"/>
      <w:divBdr>
        <w:top w:val="none" w:sz="0" w:space="0" w:color="auto"/>
        <w:left w:val="none" w:sz="0" w:space="0" w:color="auto"/>
        <w:bottom w:val="none" w:sz="0" w:space="0" w:color="auto"/>
        <w:right w:val="none" w:sz="0" w:space="0" w:color="auto"/>
      </w:divBdr>
      <w:divsChild>
        <w:div w:id="1733651382">
          <w:marLeft w:val="0"/>
          <w:marRight w:val="0"/>
          <w:marTop w:val="0"/>
          <w:marBottom w:val="0"/>
          <w:divBdr>
            <w:top w:val="none" w:sz="0" w:space="0" w:color="auto"/>
            <w:left w:val="none" w:sz="0" w:space="0" w:color="auto"/>
            <w:bottom w:val="none" w:sz="0" w:space="0" w:color="auto"/>
            <w:right w:val="none" w:sz="0" w:space="0" w:color="auto"/>
          </w:divBdr>
          <w:divsChild>
            <w:div w:id="2042054066">
              <w:marLeft w:val="0"/>
              <w:marRight w:val="0"/>
              <w:marTop w:val="0"/>
              <w:marBottom w:val="0"/>
              <w:divBdr>
                <w:top w:val="none" w:sz="0" w:space="0" w:color="auto"/>
                <w:left w:val="none" w:sz="0" w:space="0" w:color="auto"/>
                <w:bottom w:val="none" w:sz="0" w:space="0" w:color="auto"/>
                <w:right w:val="none" w:sz="0" w:space="0" w:color="auto"/>
              </w:divBdr>
              <w:divsChild>
                <w:div w:id="162715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428705">
      <w:bodyDiv w:val="1"/>
      <w:marLeft w:val="0"/>
      <w:marRight w:val="0"/>
      <w:marTop w:val="0"/>
      <w:marBottom w:val="0"/>
      <w:divBdr>
        <w:top w:val="none" w:sz="0" w:space="0" w:color="auto"/>
        <w:left w:val="none" w:sz="0" w:space="0" w:color="auto"/>
        <w:bottom w:val="none" w:sz="0" w:space="0" w:color="auto"/>
        <w:right w:val="none" w:sz="0" w:space="0" w:color="auto"/>
      </w:divBdr>
      <w:divsChild>
        <w:div w:id="1860970494">
          <w:marLeft w:val="0"/>
          <w:marRight w:val="0"/>
          <w:marTop w:val="0"/>
          <w:marBottom w:val="0"/>
          <w:divBdr>
            <w:top w:val="none" w:sz="0" w:space="0" w:color="auto"/>
            <w:left w:val="none" w:sz="0" w:space="0" w:color="auto"/>
            <w:bottom w:val="none" w:sz="0" w:space="0" w:color="auto"/>
            <w:right w:val="none" w:sz="0" w:space="0" w:color="auto"/>
          </w:divBdr>
          <w:divsChild>
            <w:div w:id="1346439061">
              <w:marLeft w:val="0"/>
              <w:marRight w:val="0"/>
              <w:marTop w:val="0"/>
              <w:marBottom w:val="0"/>
              <w:divBdr>
                <w:top w:val="none" w:sz="0" w:space="0" w:color="auto"/>
                <w:left w:val="none" w:sz="0" w:space="0" w:color="auto"/>
                <w:bottom w:val="none" w:sz="0" w:space="0" w:color="auto"/>
                <w:right w:val="none" w:sz="0" w:space="0" w:color="auto"/>
              </w:divBdr>
              <w:divsChild>
                <w:div w:id="206185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572083625">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50279049">
      <w:bodyDiv w:val="1"/>
      <w:marLeft w:val="0"/>
      <w:marRight w:val="0"/>
      <w:marTop w:val="0"/>
      <w:marBottom w:val="0"/>
      <w:divBdr>
        <w:top w:val="none" w:sz="0" w:space="0" w:color="auto"/>
        <w:left w:val="none" w:sz="0" w:space="0" w:color="auto"/>
        <w:bottom w:val="none" w:sz="0" w:space="0" w:color="auto"/>
        <w:right w:val="none" w:sz="0" w:space="0" w:color="auto"/>
      </w:divBdr>
      <w:divsChild>
        <w:div w:id="529031047">
          <w:marLeft w:val="0"/>
          <w:marRight w:val="0"/>
          <w:marTop w:val="0"/>
          <w:marBottom w:val="0"/>
          <w:divBdr>
            <w:top w:val="none" w:sz="0" w:space="0" w:color="auto"/>
            <w:left w:val="none" w:sz="0" w:space="0" w:color="auto"/>
            <w:bottom w:val="none" w:sz="0" w:space="0" w:color="auto"/>
            <w:right w:val="none" w:sz="0" w:space="0" w:color="auto"/>
          </w:divBdr>
          <w:divsChild>
            <w:div w:id="545486624">
              <w:marLeft w:val="0"/>
              <w:marRight w:val="0"/>
              <w:marTop w:val="0"/>
              <w:marBottom w:val="0"/>
              <w:divBdr>
                <w:top w:val="none" w:sz="0" w:space="0" w:color="auto"/>
                <w:left w:val="none" w:sz="0" w:space="0" w:color="auto"/>
                <w:bottom w:val="none" w:sz="0" w:space="0" w:color="auto"/>
                <w:right w:val="none" w:sz="0" w:space="0" w:color="auto"/>
              </w:divBdr>
              <w:divsChild>
                <w:div w:id="18177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50170500">
      <w:bodyDiv w:val="1"/>
      <w:marLeft w:val="0"/>
      <w:marRight w:val="0"/>
      <w:marTop w:val="0"/>
      <w:marBottom w:val="0"/>
      <w:divBdr>
        <w:top w:val="none" w:sz="0" w:space="0" w:color="auto"/>
        <w:left w:val="none" w:sz="0" w:space="0" w:color="auto"/>
        <w:bottom w:val="none" w:sz="0" w:space="0" w:color="auto"/>
        <w:right w:val="none" w:sz="0" w:space="0" w:color="auto"/>
      </w:divBdr>
      <w:divsChild>
        <w:div w:id="570426101">
          <w:marLeft w:val="0"/>
          <w:marRight w:val="0"/>
          <w:marTop w:val="0"/>
          <w:marBottom w:val="0"/>
          <w:divBdr>
            <w:top w:val="none" w:sz="0" w:space="0" w:color="auto"/>
            <w:left w:val="none" w:sz="0" w:space="0" w:color="auto"/>
            <w:bottom w:val="none" w:sz="0" w:space="0" w:color="auto"/>
            <w:right w:val="none" w:sz="0" w:space="0" w:color="auto"/>
          </w:divBdr>
          <w:divsChild>
            <w:div w:id="190846581">
              <w:marLeft w:val="0"/>
              <w:marRight w:val="0"/>
              <w:marTop w:val="0"/>
              <w:marBottom w:val="0"/>
              <w:divBdr>
                <w:top w:val="none" w:sz="0" w:space="0" w:color="auto"/>
                <w:left w:val="none" w:sz="0" w:space="0" w:color="auto"/>
                <w:bottom w:val="none" w:sz="0" w:space="0" w:color="auto"/>
                <w:right w:val="none" w:sz="0" w:space="0" w:color="auto"/>
              </w:divBdr>
              <w:divsChild>
                <w:div w:id="73586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sciencedirect.com/science/article/abs/pii/S030142151400683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esma.europa.eu/sites/default/files/library/esma70-1861941480-52_qa_on_emir_implementation.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S Document" ma:contentTypeID="0x010100A739FDC3D93E1540966F38007A7CF4A200AC94369C60A20D44BB87A93A1BC90BAB" ma:contentTypeVersion="10" ma:contentTypeDescription="Create a new document." ma:contentTypeScope="" ma:versionID="c02e06bb63ec91cd1193045542c13a9b">
  <xsd:schema xmlns:xsd="http://www.w3.org/2001/XMLSchema" xmlns:xs="http://www.w3.org/2001/XMLSchema" xmlns:p="http://schemas.microsoft.com/office/2006/metadata/properties" xmlns:ns2="aef1676c-fdb4-46b5-80dc-e256d996cc0b" xmlns:ns3="ea7645cc-4617-48b9-96ed-bf7a6463aaaa" targetNamespace="http://schemas.microsoft.com/office/2006/metadata/properties" ma:root="true" ma:fieldsID="77287d79e2a1497471c6f22175fc45ae" ns2:_="" ns3:_="">
    <xsd:import namespace="aef1676c-fdb4-46b5-80dc-e256d996cc0b"/>
    <xsd:import namespace="ea7645cc-4617-48b9-96ed-bf7a6463aaaa"/>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676c-fdb4-46b5-80dc-e256d996cc0b" elementFormDefault="qualified">
    <xsd:import namespace="http://schemas.microsoft.com/office/2006/documentManagement/types"/>
    <xsd:import namespace="http://schemas.microsoft.com/office/infopath/2007/PartnerControls"/>
    <xsd:element name="ClientCode" ma:index="2" nillable="true" ma:displayName="ClientCode" ma:default="0106" ma:internalName="ClientCode" ma:readOnly="false">
      <xsd:simpleType>
        <xsd:restriction base="dms:Text"/>
      </xsd:simpleType>
    </xsd:element>
    <xsd:element name="ClientName" ma:index="3" nillable="true" ma:displayName="ClientName" ma:default="Uniper Global Commodities SE" ma:internalName="ClientName" ma:readOnly="false">
      <xsd:simpleType>
        <xsd:restriction base="dms:Text"/>
      </xsd:simpleType>
    </xsd:element>
    <xsd:element name="MatterCode" ma:index="4" nillable="true" ma:displayName="MatterCode" ma:default="2021-01132" ma:internalName="MatterCode" ma:readOnly="false">
      <xsd:simpleType>
        <xsd:restriction base="dms:Text"/>
      </xsd:simpleType>
    </xsd:element>
    <xsd:element name="MatterName" ma:index="5" nillable="true" ma:displayName="MatterName" ma:default="TC - EMIR Clearing Threshold review" ma:internalName="MatterName" ma:readOnly="false">
      <xsd:simpleType>
        <xsd:restriction base="dms:Text"/>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7645cc-4617-48b9-96ed-bf7a6463aaaa"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ClientCode xmlns="aef1676c-fdb4-46b5-80dc-e256d996cc0b">0106</ClientCode>
    <ClientName xmlns="aef1676c-fdb4-46b5-80dc-e256d996cc0b">Uniper Global Commodities SE</ClientName>
    <MatterCode xmlns="aef1676c-fdb4-46b5-80dc-e256d996cc0b">2021-01132</MatterCode>
    <MatterName xmlns="aef1676c-fdb4-46b5-80dc-e256d996cc0b">TC - EMIR Clearing Threshold review</MatterName>
    <_dlc_DocId xmlns="aef1676c-fdb4-46b5-80dc-e256d996cc0b">DMS-2021-01132-13666983-34</_dlc_DocId>
    <_dlc_DocIdUrl xmlns="aef1676c-fdb4-46b5-80dc-e256d996cc0b">
      <Url>https://uniper.sharepoint.com/sites/DMS-2021-01132/_layouts/15/DocIdRedir.aspx?ID=DMS-2021-01132-13666983-34</Url>
      <Description>DMS-2021-01132-13666983-34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AC68C9DA-EF0E-4D15-B1AD-DDB0272D1898}">
  <ds:schemaRefs>
    <ds:schemaRef ds:uri="http://schemas.microsoft.com/sharepoint/events"/>
  </ds:schemaRefs>
</ds:datastoreItem>
</file>

<file path=customXml/itemProps3.xml><?xml version="1.0" encoding="utf-8"?>
<ds:datastoreItem xmlns:ds="http://schemas.openxmlformats.org/officeDocument/2006/customXml" ds:itemID="{82990985-99A4-4693-A219-129F5B337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1676c-fdb4-46b5-80dc-e256d996cc0b"/>
    <ds:schemaRef ds:uri="ea7645cc-4617-48b9-96ed-bf7a6463a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5.xml><?xml version="1.0" encoding="utf-8"?>
<ds:datastoreItem xmlns:ds="http://schemas.openxmlformats.org/officeDocument/2006/customXml" ds:itemID="{2644D641-9316-4F5D-8D9D-707B59672BF7}">
  <ds:schemaRefs>
    <ds:schemaRef ds:uri="http://schemas.microsoft.com/office/2006/metadata/properties"/>
    <ds:schemaRef ds:uri="http://schemas.microsoft.com/office/infopath/2007/PartnerControls"/>
    <ds:schemaRef ds:uri="aef1676c-fdb4-46b5-80dc-e256d996cc0b"/>
  </ds:schemaRefs>
</ds:datastoreItem>
</file>

<file path=customXml/itemProps6.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3361</Words>
  <Characters>19006</Characters>
  <Application>Microsoft Office Word</Application>
  <DocSecurity>8</DocSecurity>
  <Lines>158</Lines>
  <Paragraphs>44</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22323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Delhommeau, Marine</cp:lastModifiedBy>
  <cp:revision>5</cp:revision>
  <cp:lastPrinted>2021-11-30T08:19:00Z</cp:lastPrinted>
  <dcterms:created xsi:type="dcterms:W3CDTF">2022-01-19T16:38:00Z</dcterms:created>
  <dcterms:modified xsi:type="dcterms:W3CDTF">2022-01-19T16:43:00Z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0x010100A739FDC3D93E1540966F38007A7CF4A200AC94369C60A20D44BB87A93A1BC90BAB</vt:lpwstr>
  </property>
  <property fmtid="{D5CDD505-2E9C-101B-9397-08002B2CF9AE}" pid="3" name="_dlc_DocIdItemGuid">
    <vt:lpwstr>734c800c-ca87-42e8-9367-5fa546b34a6a</vt:lpwstr>
  </property>
  <property fmtid="{D5CDD505-2E9C-101B-9397-08002B2CF9AE}" pid="4" name="EsmaAudience">
    <vt:lpwstr/>
  </property>
  <property fmtid="{D5CDD505-2E9C-101B-9397-08002B2CF9AE}" pid="5" name="TeamName">
    <vt:lpwstr>1;#Communications|7759f44a-d057-4de2-8be6-5ed35b270d6d</vt:lpwstr>
  </property>
  <property fmtid="{D5CDD505-2E9C-101B-9397-08002B2CF9AE}" pid="6" name="Topic">
    <vt:lpwstr>76;#Publications|e7965682-b06b-4956-a8ca-d94498dfae3d</vt:lpwstr>
  </property>
  <property fmtid="{D5CDD505-2E9C-101B-9397-08002B2CF9AE}" pid="7" name="ConfidentialityLevel">
    <vt:lpwstr>2;#Regular|07f1e362-856b-423d-bea6-a14079762141</vt:lpwstr>
  </property>
  <property fmtid="{D5CDD505-2E9C-101B-9397-08002B2CF9AE}" pid="8" name="DocumentType">
    <vt:lpwstr>85;#Form / Request|efe27f23-61a2-47e7-916e-544dd02c80f4</vt:lpwstr>
  </property>
  <property fmtid="{D5CDD505-2E9C-101B-9397-08002B2CF9AE}" pid="9" name="ContentType">
    <vt:lpwstr>DMS Document</vt:lpwstr>
  </property>
  <property fmtid="{D5CDD505-2E9C-101B-9397-08002B2CF9AE}" pid="10" name="Title">
    <vt:lpwstr>Reply form for the MiFID II/MiFIR Consultation Paper</vt:lpwstr>
  </property>
  <property fmtid="{D5CDD505-2E9C-101B-9397-08002B2CF9AE}" pid="11" name="ClientCode">
    <vt:lpwstr>0106</vt:lpwstr>
  </property>
  <property fmtid="{D5CDD505-2E9C-101B-9397-08002B2CF9AE}" pid="12" name="ClientName">
    <vt:lpwstr>Uniper Global Commodities SE</vt:lpwstr>
  </property>
  <property fmtid="{D5CDD505-2E9C-101B-9397-08002B2CF9AE}" pid="13" name="MatterCode">
    <vt:lpwstr>2021-01132</vt:lpwstr>
  </property>
  <property fmtid="{D5CDD505-2E9C-101B-9397-08002B2CF9AE}" pid="14" name="MatterName">
    <vt:lpwstr>TC - EMIR Clearing Threshold review</vt:lpwstr>
  </property>
  <property fmtid="{D5CDD505-2E9C-101B-9397-08002B2CF9AE}" pid="15" name="Created">
    <vt:lpwstr>2022-01-16T17:44:00+00:00</vt:lpwstr>
  </property>
  <property fmtid="{D5CDD505-2E9C-101B-9397-08002B2CF9AE}" pid="16" name="Modified">
    <vt:lpwstr>2022-01-17T07:21:00+00:00</vt:lpwstr>
  </property>
</Properties>
</file>