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7BA33815" w14:textId="77777777" w:rsidTr="00315E96">
        <w:trPr>
          <w:trHeight w:val="284"/>
        </w:trPr>
        <w:tc>
          <w:tcPr>
            <w:tcW w:w="9412" w:type="dxa"/>
          </w:tcPr>
          <w:p w14:paraId="6CC278DA" w14:textId="1408D520" w:rsidR="00C2094B" w:rsidRPr="00583885" w:rsidRDefault="00A52EBB" w:rsidP="0071740A">
            <w:pPr>
              <w:pStyle w:val="Footer"/>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6C2D5A">
              <w:rPr>
                <w:rFonts w:cs="Arial"/>
                <w:color w:val="FFFFFF" w:themeColor="background1"/>
                <w:sz w:val="22"/>
                <w:szCs w:val="22"/>
              </w:rPr>
              <w:t>17</w:t>
            </w:r>
            <w:r w:rsidR="00B61CD3">
              <w:rPr>
                <w:rFonts w:cs="Arial"/>
                <w:color w:val="FFFFFF" w:themeColor="background1"/>
                <w:sz w:val="22"/>
                <w:szCs w:val="22"/>
              </w:rPr>
              <w:t xml:space="preserve"> </w:t>
            </w:r>
            <w:r w:rsidR="006C2D5A">
              <w:rPr>
                <w:rFonts w:cs="Arial"/>
                <w:color w:val="FFFFFF" w:themeColor="background1"/>
                <w:sz w:val="22"/>
                <w:szCs w:val="22"/>
              </w:rPr>
              <w:t>November</w:t>
            </w:r>
            <w:r w:rsidR="00B61CD3">
              <w:rPr>
                <w:rFonts w:cs="Arial"/>
                <w:color w:val="FFFFFF" w:themeColor="background1"/>
                <w:sz w:val="22"/>
                <w:szCs w:val="22"/>
              </w:rPr>
              <w:t xml:space="preserve"> 202</w:t>
            </w:r>
            <w:r w:rsidR="006C2D5A">
              <w:rPr>
                <w:rFonts w:cs="Arial"/>
                <w:color w:val="FFFFFF" w:themeColor="background1"/>
                <w:sz w:val="22"/>
                <w:szCs w:val="22"/>
              </w:rPr>
              <w:t>1</w:t>
            </w:r>
          </w:p>
        </w:tc>
      </w:tr>
    </w:tbl>
    <w:p w14:paraId="3FAB6541" w14:textId="77777777" w:rsidR="00FD7A8D" w:rsidRPr="00616B9B" w:rsidRDefault="00FD7A8D" w:rsidP="00FD7A8D">
      <w:pPr>
        <w:rPr>
          <w:rFonts w:cs="Arial"/>
          <w:vanish/>
        </w:rPr>
      </w:pPr>
    </w:p>
    <w:tbl>
      <w:tblPr>
        <w:tblpPr w:leftFromText="8505" w:vertAnchor="page" w:horzAnchor="page" w:tblpX="1532" w:tblpY="4401"/>
        <w:tblW w:w="9113" w:type="dxa"/>
        <w:tblLayout w:type="fixed"/>
        <w:tblCellMar>
          <w:left w:w="0" w:type="dxa"/>
          <w:right w:w="0" w:type="dxa"/>
        </w:tblCellMar>
        <w:tblLook w:val="01E0" w:firstRow="1" w:lastRow="1" w:firstColumn="1" w:lastColumn="1" w:noHBand="0" w:noVBand="0"/>
      </w:tblPr>
      <w:tblGrid>
        <w:gridCol w:w="9113"/>
      </w:tblGrid>
      <w:tr w:rsidR="00060F72" w:rsidRPr="00616B9B" w14:paraId="75E3C024" w14:textId="77777777" w:rsidTr="006C2D5A">
        <w:trPr>
          <w:trHeight w:hRule="exact" w:val="1985"/>
        </w:trPr>
        <w:tc>
          <w:tcPr>
            <w:tcW w:w="9113" w:type="dxa"/>
            <w:vAlign w:val="bottom"/>
          </w:tcPr>
          <w:p w14:paraId="2D58508C" w14:textId="51699443" w:rsidR="00791EB4" w:rsidRDefault="00AE627C" w:rsidP="006C2D5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6C2D5A">
              <w:rPr>
                <w:rFonts w:cs="Arial"/>
              </w:rPr>
              <w:t xml:space="preserve">Discussion Paper </w:t>
            </w:r>
            <w:r w:rsidR="00F107EF" w:rsidRPr="00F107EF">
              <w:rPr>
                <w:rFonts w:cs="Arial"/>
              </w:rPr>
              <w:t xml:space="preserve">on the </w:t>
            </w:r>
            <w:r w:rsidR="006C2D5A">
              <w:rPr>
                <w:rFonts w:cs="Arial"/>
              </w:rPr>
              <w:t>review of the clearing thresholds under EMIR</w:t>
            </w:r>
          </w:p>
          <w:p w14:paraId="3016CDD9" w14:textId="77777777" w:rsidR="00B61CD3" w:rsidRPr="00616B9B" w:rsidRDefault="00B61CD3" w:rsidP="006C2D5A">
            <w:pPr>
              <w:pStyle w:val="01aDBTitle"/>
              <w:jc w:val="left"/>
              <w:rPr>
                <w:rFonts w:cs="Arial"/>
              </w:rPr>
            </w:pPr>
          </w:p>
        </w:tc>
      </w:tr>
      <w:tr w:rsidR="00060F72" w:rsidRPr="00616B9B" w14:paraId="1EE8FD41" w14:textId="77777777" w:rsidTr="006C2D5A">
        <w:trPr>
          <w:trHeight w:hRule="exact" w:val="605"/>
        </w:trPr>
        <w:tc>
          <w:tcPr>
            <w:tcW w:w="9113" w:type="dxa"/>
            <w:tcMar>
              <w:top w:w="142" w:type="dxa"/>
            </w:tcMar>
          </w:tcPr>
          <w:p w14:paraId="3D4F1BC4" w14:textId="77777777" w:rsidR="00D91010" w:rsidRPr="00616B9B" w:rsidRDefault="00013CCE" w:rsidP="006C2D5A">
            <w:pPr>
              <w:pStyle w:val="01bDBSubtitle"/>
              <w:rPr>
                <w:rFonts w:ascii="Arial" w:hAnsi="Arial" w:cs="Arial"/>
              </w:rPr>
            </w:pPr>
            <w:r w:rsidRPr="00616B9B">
              <w:rPr>
                <w:rFonts w:ascii="Arial" w:hAnsi="Arial" w:cs="Arial"/>
              </w:rPr>
              <w:t xml:space="preserve"> </w:t>
            </w:r>
          </w:p>
        </w:tc>
      </w:tr>
    </w:tbl>
    <w:p w14:paraId="6B48724A"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926DEB1" w14:textId="77777777" w:rsidTr="00315E96">
        <w:trPr>
          <w:trHeight w:hRule="exact" w:val="964"/>
        </w:trPr>
        <w:tc>
          <w:tcPr>
            <w:tcW w:w="2325" w:type="dxa"/>
          </w:tcPr>
          <w:p w14:paraId="55556C41" w14:textId="157648DD" w:rsidR="00620D7C" w:rsidRPr="00A52EBB" w:rsidRDefault="00620D7C" w:rsidP="00B1467D">
            <w:pPr>
              <w:pStyle w:val="02Date"/>
              <w:rPr>
                <w:rFonts w:cs="Arial"/>
              </w:rPr>
            </w:pPr>
            <w:r w:rsidRPr="00A52EBB">
              <w:rPr>
                <w:rFonts w:cs="Arial"/>
              </w:rPr>
              <w:lastRenderedPageBreak/>
              <w:t>Date:</w:t>
            </w:r>
            <w:r w:rsidR="00FD2893">
              <w:rPr>
                <w:rFonts w:cs="Arial"/>
              </w:rPr>
              <w:t xml:space="preserve"> </w:t>
            </w:r>
            <w:r w:rsidR="00FD2893" w:rsidRPr="00FD2893">
              <w:rPr>
                <w:rFonts w:cs="Arial"/>
              </w:rPr>
              <w:t>17 November 2021</w:t>
            </w:r>
          </w:p>
        </w:tc>
      </w:tr>
    </w:tbl>
    <w:p w14:paraId="733A0769"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143B428E" w14:textId="0C1916D2"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FD2893">
        <w:rPr>
          <w:rFonts w:cs="Arial"/>
        </w:rPr>
        <w:t>Discussio</w:t>
      </w:r>
      <w:r w:rsidR="000E49B7">
        <w:rPr>
          <w:rFonts w:cs="Arial"/>
        </w:rPr>
        <w:t xml:space="preserve">n Paper on the </w:t>
      </w:r>
      <w:r w:rsidR="00FD2893">
        <w:rPr>
          <w:rFonts w:cs="Arial"/>
        </w:rPr>
        <w:t>review of the clearing thresholds</w:t>
      </w:r>
      <w:r w:rsidR="00F107EF" w:rsidRPr="00F107EF">
        <w:rPr>
          <w:rFonts w:cs="Arial"/>
        </w:rPr>
        <w:t xml:space="preserve"> </w:t>
      </w:r>
      <w:r w:rsidR="00015B5E" w:rsidRPr="00EF0769">
        <w:rPr>
          <w:rFonts w:cs="Arial"/>
        </w:rPr>
        <w:t>published on the ESMA website</w:t>
      </w:r>
      <w:r w:rsidR="004E49B0" w:rsidRPr="00EF0769">
        <w:rPr>
          <w:rFonts w:cs="Arial"/>
        </w:rPr>
        <w:t>.</w:t>
      </w:r>
    </w:p>
    <w:p w14:paraId="4074FB5B" w14:textId="77777777" w:rsidR="001D000A" w:rsidRDefault="001D000A" w:rsidP="00F574D0">
      <w:pPr>
        <w:autoSpaceDE w:val="0"/>
        <w:autoSpaceDN w:val="0"/>
        <w:adjustRightInd w:val="0"/>
        <w:spacing w:before="120" w:after="120" w:line="276" w:lineRule="auto"/>
        <w:jc w:val="both"/>
        <w:rPr>
          <w:rStyle w:val="Strong4"/>
          <w:rFonts w:cs="Arial"/>
          <w:i/>
        </w:rPr>
      </w:pPr>
    </w:p>
    <w:p w14:paraId="62DBAD9F"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20A08541"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4924D5F2"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25307BC2" w14:textId="50250CD1"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FD2893">
        <w:rPr>
          <w:rFonts w:cs="Arial"/>
        </w:rPr>
        <w:t>D</w:t>
      </w:r>
      <w:r w:rsidR="00227C1A">
        <w:rPr>
          <w:rFonts w:cs="Arial"/>
        </w:rPr>
        <w:t>P_</w:t>
      </w:r>
      <w:r w:rsidR="00FD2893">
        <w:rPr>
          <w:rFonts w:cs="Arial"/>
        </w:rPr>
        <w:t>EMIR</w:t>
      </w:r>
      <w:r w:rsidR="00F107EF">
        <w:rPr>
          <w:rFonts w:cs="Arial"/>
        </w:rPr>
        <w:t>_</w:t>
      </w:r>
      <w:r w:rsidR="00FD2893">
        <w:rPr>
          <w:rFonts w:cs="Arial"/>
        </w:rPr>
        <w:t>CTs</w:t>
      </w:r>
      <w:r w:rsidR="00F574D0" w:rsidRPr="00293D78">
        <w:rPr>
          <w:rFonts w:cs="Arial"/>
        </w:rPr>
        <w:t>&gt; - i.e. the response to one question has to be framed by the 2 tags corresponding to the question; and</w:t>
      </w:r>
    </w:p>
    <w:p w14:paraId="500888F5"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727B03C8"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744CF542"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4769CA81"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408A957F"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1F9612CA"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B5B8734" w14:textId="77777777" w:rsidR="001D000A" w:rsidRDefault="001D000A" w:rsidP="000D17AA">
      <w:pPr>
        <w:pStyle w:val="04BodyText"/>
        <w:spacing w:before="120" w:after="120"/>
        <w:jc w:val="left"/>
        <w:rPr>
          <w:rFonts w:cs="Arial"/>
          <w:b/>
        </w:rPr>
      </w:pPr>
    </w:p>
    <w:p w14:paraId="615EBC17" w14:textId="77777777" w:rsidR="000D17AA" w:rsidRPr="00EF0769" w:rsidRDefault="00606240" w:rsidP="000D17AA">
      <w:pPr>
        <w:pStyle w:val="04BodyText"/>
        <w:spacing w:before="120" w:after="120"/>
        <w:jc w:val="left"/>
        <w:rPr>
          <w:rFonts w:cs="Arial"/>
          <w:b/>
        </w:rPr>
      </w:pPr>
      <w:r>
        <w:rPr>
          <w:rFonts w:cs="Arial"/>
          <w:b/>
        </w:rPr>
        <w:t>Naming protocol</w:t>
      </w:r>
    </w:p>
    <w:p w14:paraId="0A62B545"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07D0D5A9" w14:textId="165F019C" w:rsidR="000D17AA" w:rsidRPr="00EF0769" w:rsidRDefault="00021E83" w:rsidP="000D17AA">
      <w:pPr>
        <w:pStyle w:val="04BodyText"/>
        <w:spacing w:before="120" w:after="120"/>
        <w:jc w:val="left"/>
        <w:rPr>
          <w:rFonts w:cs="Arial"/>
        </w:rPr>
      </w:pPr>
      <w:r w:rsidRPr="00EF0769">
        <w:rPr>
          <w:rFonts w:cs="Arial"/>
        </w:rPr>
        <w:t>ESMA_</w:t>
      </w:r>
      <w:r w:rsidR="00FD2893">
        <w:rPr>
          <w:rFonts w:cs="Arial"/>
        </w:rPr>
        <w:t>D</w:t>
      </w:r>
      <w:r w:rsidR="00227C1A">
        <w:rPr>
          <w:rFonts w:cs="Arial"/>
        </w:rPr>
        <w:t>P_</w:t>
      </w:r>
      <w:r w:rsidR="00FD2893">
        <w:rPr>
          <w:rFonts w:cs="Arial"/>
        </w:rPr>
        <w:t>EMIR_CTs</w:t>
      </w:r>
      <w:r w:rsidR="00227C1A">
        <w:rPr>
          <w:rFonts w:cs="Arial"/>
        </w:rPr>
        <w:t>_</w:t>
      </w:r>
      <w:r w:rsidRPr="00EF0769">
        <w:rPr>
          <w:rFonts w:cs="Arial"/>
        </w:rPr>
        <w:t>NAMEOFCOMPANY_NAMEOFDOCUMENT</w:t>
      </w:r>
      <w:r w:rsidR="000D17AA" w:rsidRPr="00EF0769">
        <w:rPr>
          <w:rFonts w:cs="Arial"/>
        </w:rPr>
        <w:t>.</w:t>
      </w:r>
    </w:p>
    <w:p w14:paraId="71A173B5"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211518B1" w14:textId="4855BCC1" w:rsidR="000D17AA" w:rsidRPr="00EF0769" w:rsidRDefault="00021E83" w:rsidP="00FD2893">
      <w:pPr>
        <w:pStyle w:val="04BodyText"/>
        <w:spacing w:before="120" w:after="120"/>
        <w:jc w:val="left"/>
        <w:rPr>
          <w:rFonts w:cs="Arial"/>
        </w:rPr>
      </w:pPr>
      <w:r w:rsidRPr="00EF0769">
        <w:rPr>
          <w:rFonts w:cs="Arial"/>
        </w:rPr>
        <w:t>ESMA_</w:t>
      </w:r>
      <w:r w:rsidR="00FD2893" w:rsidRPr="00FD2893">
        <w:rPr>
          <w:rFonts w:cs="Arial"/>
        </w:rPr>
        <w:t xml:space="preserve"> </w:t>
      </w:r>
      <w:r w:rsidR="00FD2893">
        <w:rPr>
          <w:rFonts w:cs="Arial"/>
        </w:rPr>
        <w:t>DP_EMIR_CTs_</w:t>
      </w:r>
      <w:r w:rsidRPr="00EF0769">
        <w:rPr>
          <w:rFonts w:cs="Arial"/>
        </w:rPr>
        <w:t xml:space="preserve">ESMA_REPLYFORM </w:t>
      </w:r>
    </w:p>
    <w:p w14:paraId="4160FAFE"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4089C10F"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7FC02DAB" w14:textId="3BA9E356" w:rsidR="00F574D0" w:rsidRPr="00EF0769" w:rsidRDefault="00F574D0" w:rsidP="00F574D0">
      <w:pPr>
        <w:pStyle w:val="04BodyText"/>
        <w:spacing w:before="120" w:after="120"/>
        <w:rPr>
          <w:rFonts w:cs="Arial"/>
        </w:rPr>
      </w:pPr>
      <w:r w:rsidRPr="00EF0769">
        <w:rPr>
          <w:rFonts w:cs="Arial"/>
        </w:rPr>
        <w:t xml:space="preserve">Responses must reach us by </w:t>
      </w:r>
      <w:r w:rsidR="00F107EF">
        <w:rPr>
          <w:rFonts w:cs="Arial"/>
          <w:b/>
        </w:rPr>
        <w:t>1</w:t>
      </w:r>
      <w:r w:rsidR="00FD2893">
        <w:rPr>
          <w:rFonts w:cs="Arial"/>
          <w:b/>
        </w:rPr>
        <w:t>9</w:t>
      </w:r>
      <w:r w:rsidR="00227C1A">
        <w:rPr>
          <w:rFonts w:cs="Arial"/>
          <w:b/>
        </w:rPr>
        <w:t xml:space="preserve"> </w:t>
      </w:r>
      <w:r w:rsidR="00FD2893">
        <w:rPr>
          <w:rFonts w:cs="Arial"/>
          <w:b/>
        </w:rPr>
        <w:t>January</w:t>
      </w:r>
      <w:r w:rsidR="00F107EF">
        <w:rPr>
          <w:rFonts w:cs="Arial"/>
          <w:b/>
        </w:rPr>
        <w:t xml:space="preserve"> 202</w:t>
      </w:r>
      <w:r w:rsidR="00FD2893">
        <w:rPr>
          <w:rFonts w:cs="Arial"/>
          <w:b/>
        </w:rPr>
        <w:t>1</w:t>
      </w:r>
      <w:r w:rsidR="00021E83" w:rsidRPr="00EF0769">
        <w:rPr>
          <w:rFonts w:cs="Arial"/>
          <w:b/>
        </w:rPr>
        <w:t>.</w:t>
      </w:r>
    </w:p>
    <w:p w14:paraId="0AA4F56E"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9" w:history="1">
        <w:r w:rsidRPr="005B6B12">
          <w:rPr>
            <w:rStyle w:val="Hyperlink"/>
          </w:rPr>
          <w:t>www.esma.europa.eu</w:t>
        </w:r>
      </w:hyperlink>
      <w:r w:rsidRPr="005B6B12">
        <w:t xml:space="preserve"> under the heading ‘Your input - Consultations’.</w:t>
      </w:r>
    </w:p>
    <w:p w14:paraId="75683D9F"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3B10F399"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145E11B9" w14:textId="77777777" w:rsidR="00F574D0" w:rsidRPr="00EF0769" w:rsidRDefault="00F574D0" w:rsidP="00F574D0">
      <w:pPr>
        <w:pStyle w:val="04BodyText"/>
        <w:spacing w:before="120" w:after="120"/>
        <w:rPr>
          <w:rFonts w:cs="Arial"/>
        </w:rPr>
      </w:pPr>
      <w:r w:rsidRPr="00EF0769">
        <w:rPr>
          <w:rFonts w:cs="Arial"/>
        </w:rPr>
        <w:lastRenderedPageBreak/>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77DA9136"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1701CED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3B69ACB5"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20"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60136CF9"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644888C3" w14:textId="77777777" w:rsidR="00332304" w:rsidRDefault="00332304">
      <w:pPr>
        <w:rPr>
          <w:rFonts w:cs="Arial"/>
          <w:b/>
          <w:bCs/>
          <w:kern w:val="32"/>
          <w:sz w:val="24"/>
          <w:szCs w:val="32"/>
        </w:rPr>
      </w:pPr>
      <w:r>
        <w:br w:type="page"/>
      </w:r>
    </w:p>
    <w:p w14:paraId="4DB387CA"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191B647C" w14:textId="77777777" w:rsidTr="00FA5524">
        <w:tc>
          <w:tcPr>
            <w:tcW w:w="3929" w:type="dxa"/>
            <w:shd w:val="clear" w:color="auto" w:fill="auto"/>
          </w:tcPr>
          <w:p w14:paraId="7B6D403F" w14:textId="77777777" w:rsidR="00C2682A" w:rsidRPr="00E40A5C" w:rsidRDefault="00C2682A" w:rsidP="00FA5524">
            <w:pPr>
              <w:rPr>
                <w:rFonts w:cs="Arial"/>
                <w:sz w:val="22"/>
              </w:rPr>
            </w:pPr>
            <w:permStart w:id="908806099"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2946B85C" w14:textId="1A2AB6B8" w:rsidR="00C2682A" w:rsidRPr="00AB6D88" w:rsidRDefault="00A6719A" w:rsidP="00FA5524">
                <w:pPr>
                  <w:rPr>
                    <w:rStyle w:val="PlaceholderText"/>
                    <w:rFonts w:cs="Arial"/>
                  </w:rPr>
                </w:pPr>
                <w:r>
                  <w:rPr>
                    <w:rStyle w:val="PlaceholderText"/>
                    <w:rFonts w:cs="Arial"/>
                  </w:rPr>
                  <w:t xml:space="preserve">ENGIE </w:t>
                </w:r>
                <w:r w:rsidR="00B85675">
                  <w:rPr>
                    <w:rStyle w:val="PlaceholderText"/>
                    <w:rFonts w:cs="Arial"/>
                  </w:rPr>
                  <w:t>SA</w:t>
                </w:r>
              </w:p>
            </w:tc>
          </w:sdtContent>
        </w:sdt>
      </w:tr>
      <w:tr w:rsidR="00C2682A" w:rsidRPr="00AB6D88" w14:paraId="1D9CBE45" w14:textId="77777777" w:rsidTr="00FA5524">
        <w:tc>
          <w:tcPr>
            <w:tcW w:w="3929" w:type="dxa"/>
            <w:shd w:val="clear" w:color="auto" w:fill="auto"/>
          </w:tcPr>
          <w:p w14:paraId="4AEAB254" w14:textId="77777777" w:rsidR="00C2682A" w:rsidRPr="00E40A5C" w:rsidRDefault="00C2682A" w:rsidP="00FA5524">
            <w:pPr>
              <w:rPr>
                <w:rFonts w:cs="Arial"/>
                <w:sz w:val="22"/>
              </w:rPr>
            </w:pPr>
            <w:permStart w:id="543449311" w:edGrp="everyone" w:colFirst="1" w:colLast="1"/>
            <w:permEnd w:id="908806099"/>
            <w:r w:rsidRPr="00E40A5C">
              <w:rPr>
                <w:rFonts w:cs="Arial"/>
                <w:sz w:val="22"/>
              </w:rPr>
              <w:t>Activity</w:t>
            </w:r>
          </w:p>
        </w:tc>
        <w:tc>
          <w:tcPr>
            <w:tcW w:w="5595" w:type="dxa"/>
            <w:shd w:val="clear" w:color="auto" w:fill="auto"/>
          </w:tcPr>
          <w:p w14:paraId="28C80CB8" w14:textId="541B0B4A" w:rsidR="00C2682A" w:rsidRPr="00AB6D88" w:rsidRDefault="00100497"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191E1D">
                  <w:rPr>
                    <w:rFonts w:cs="Arial"/>
                  </w:rPr>
                  <w:t>Non-financial counterparty</w:t>
                </w:r>
              </w:sdtContent>
            </w:sdt>
          </w:p>
        </w:tc>
      </w:tr>
      <w:tr w:rsidR="00C2682A" w:rsidRPr="00AB6D88" w14:paraId="38D352D6" w14:textId="77777777" w:rsidTr="00FA5524">
        <w:tc>
          <w:tcPr>
            <w:tcW w:w="3929" w:type="dxa"/>
            <w:shd w:val="clear" w:color="auto" w:fill="auto"/>
          </w:tcPr>
          <w:p w14:paraId="213C2539" w14:textId="77777777" w:rsidR="00C2682A" w:rsidRPr="00E40A5C" w:rsidRDefault="00C2682A" w:rsidP="00FA5524">
            <w:pPr>
              <w:rPr>
                <w:rFonts w:cs="Arial"/>
                <w:sz w:val="22"/>
              </w:rPr>
            </w:pPr>
            <w:permStart w:id="1344359580" w:edGrp="everyone" w:colFirst="1" w:colLast="1"/>
            <w:permEnd w:id="543449311"/>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1B6CD27A" w14:textId="2F294812" w:rsidR="00C2682A" w:rsidRPr="00AB6D88" w:rsidRDefault="00191E1D" w:rsidP="00FA5524">
                <w:pPr>
                  <w:rPr>
                    <w:rFonts w:cs="Arial"/>
                  </w:rPr>
                </w:pPr>
                <w:r>
                  <w:rPr>
                    <w:rFonts w:ascii="MS Gothic" w:eastAsia="MS Gothic" w:hAnsi="MS Gothic" w:cs="Arial" w:hint="eastAsia"/>
                  </w:rPr>
                  <w:t>☐</w:t>
                </w:r>
              </w:p>
            </w:tc>
          </w:sdtContent>
        </w:sdt>
      </w:tr>
      <w:tr w:rsidR="00C2682A" w:rsidRPr="00AB6D88" w14:paraId="55D77BDD" w14:textId="77777777" w:rsidTr="00FA5524">
        <w:tc>
          <w:tcPr>
            <w:tcW w:w="3929" w:type="dxa"/>
            <w:shd w:val="clear" w:color="auto" w:fill="auto"/>
          </w:tcPr>
          <w:p w14:paraId="1E1D9E48" w14:textId="77777777" w:rsidR="00C2682A" w:rsidRPr="00E40A5C" w:rsidRDefault="00C2682A" w:rsidP="00FA5524">
            <w:pPr>
              <w:rPr>
                <w:rFonts w:cs="Arial"/>
                <w:sz w:val="22"/>
              </w:rPr>
            </w:pPr>
            <w:permStart w:id="2044803932" w:edGrp="everyone" w:colFirst="1" w:colLast="1"/>
            <w:permEnd w:id="1344359580"/>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714DEF05" w14:textId="63BB6C6E" w:rsidR="00C2682A" w:rsidRPr="00AB6D88" w:rsidRDefault="00191E1D" w:rsidP="00FA5524">
                <w:pPr>
                  <w:rPr>
                    <w:rFonts w:cs="Arial"/>
                  </w:rPr>
                </w:pPr>
                <w:r>
                  <w:rPr>
                    <w:rFonts w:cs="Arial"/>
                  </w:rPr>
                  <w:t>France</w:t>
                </w:r>
              </w:p>
            </w:tc>
          </w:sdtContent>
        </w:sdt>
      </w:tr>
      <w:permEnd w:id="2044803932"/>
    </w:tbl>
    <w:p w14:paraId="46B7C09A" w14:textId="77777777" w:rsidR="00C2682A" w:rsidRDefault="00C2682A" w:rsidP="00F87897">
      <w:pPr>
        <w:spacing w:after="120" w:line="264" w:lineRule="auto"/>
      </w:pPr>
    </w:p>
    <w:p w14:paraId="12649C54" w14:textId="77777777" w:rsidR="00F87897" w:rsidRDefault="00F87897" w:rsidP="00F87897">
      <w:pPr>
        <w:spacing w:after="120" w:line="264" w:lineRule="auto"/>
      </w:pPr>
    </w:p>
    <w:p w14:paraId="38CE07D3" w14:textId="77777777" w:rsidR="00F87897" w:rsidRDefault="00F87897" w:rsidP="00F87897">
      <w:pPr>
        <w:pStyle w:val="Heading1"/>
        <w:numPr>
          <w:ilvl w:val="0"/>
          <w:numId w:val="0"/>
        </w:numPr>
        <w:ind w:left="431" w:hanging="431"/>
      </w:pPr>
      <w:r>
        <w:t>Introduction</w:t>
      </w:r>
    </w:p>
    <w:p w14:paraId="530F042A" w14:textId="77777777" w:rsidR="00F87897" w:rsidRPr="001D47A5" w:rsidRDefault="00F87897" w:rsidP="00F87897">
      <w:pPr>
        <w:rPr>
          <w:rStyle w:val="IntenseEmphasis"/>
        </w:rPr>
      </w:pPr>
      <w:r w:rsidRPr="001D47A5">
        <w:rPr>
          <w:rStyle w:val="IntenseEmphasis"/>
        </w:rPr>
        <w:t>Please make your introductory comments below, if any:</w:t>
      </w:r>
    </w:p>
    <w:p w14:paraId="021FA949" w14:textId="77777777" w:rsidR="00F87897" w:rsidRPr="00BF28DA" w:rsidRDefault="00F87897" w:rsidP="00F87897"/>
    <w:p w14:paraId="13AE09D3" w14:textId="4ED10415" w:rsidR="00F87897" w:rsidRPr="006F4535" w:rsidRDefault="00F87897" w:rsidP="00F87897">
      <w:r w:rsidRPr="006F4535">
        <w:t>&lt;ESMA_COMMENT_</w:t>
      </w:r>
      <w:r w:rsidR="00D76652">
        <w:rPr>
          <w:rFonts w:cs="Arial"/>
        </w:rPr>
        <w:t>DP_EMIR_CT</w:t>
      </w:r>
      <w:r w:rsidR="00581067">
        <w:rPr>
          <w:rFonts w:cs="Arial"/>
        </w:rPr>
        <w:t>s</w:t>
      </w:r>
      <w:r w:rsidRPr="006F4535">
        <w:t>&gt;</w:t>
      </w:r>
    </w:p>
    <w:p w14:paraId="35B72125" w14:textId="02468688" w:rsidR="00215CDC" w:rsidRPr="008C2753" w:rsidRDefault="00F87897" w:rsidP="008C2753">
      <w:permStart w:id="1269197972" w:edGrp="everyone"/>
      <w:r>
        <w:t>TYPE YOUR TEXT HERE</w:t>
      </w:r>
    </w:p>
    <w:p w14:paraId="700CA35F" w14:textId="3A21B0FD" w:rsidR="00215CDC" w:rsidRPr="00FC72A6" w:rsidRDefault="00A6719A" w:rsidP="008C2753">
      <w:pPr>
        <w:spacing w:before="120" w:after="120"/>
        <w:jc w:val="both"/>
        <w:rPr>
          <w:rFonts w:eastAsia="Calibri"/>
          <w:sz w:val="22"/>
          <w:szCs w:val="22"/>
          <w:lang w:eastAsia="en-US"/>
        </w:rPr>
      </w:pPr>
      <w:bookmarkStart w:id="3" w:name="_Hlk91055961"/>
      <w:r w:rsidRPr="00A6719A">
        <w:rPr>
          <w:rFonts w:eastAsia="Calibri"/>
          <w:sz w:val="22"/>
          <w:szCs w:val="22"/>
          <w:lang w:eastAsia="en-US"/>
        </w:rPr>
        <w:t xml:space="preserve">ENGIE </w:t>
      </w:r>
      <w:r w:rsidR="00215CDC" w:rsidRPr="00A6719A">
        <w:rPr>
          <w:rFonts w:eastAsia="Calibri"/>
          <w:sz w:val="22"/>
          <w:szCs w:val="22"/>
          <w:lang w:eastAsia="en-US"/>
        </w:rPr>
        <w:t xml:space="preserve"> </w:t>
      </w:r>
      <w:r w:rsidR="00215CDC" w:rsidRPr="00FC72A6">
        <w:rPr>
          <w:rFonts w:eastAsia="Calibri"/>
          <w:sz w:val="22"/>
          <w:szCs w:val="22"/>
          <w:lang w:eastAsia="en-US"/>
        </w:rPr>
        <w:t>is of the opinion that ESMA</w:t>
      </w:r>
      <w:r w:rsidR="002B68A1" w:rsidRPr="00FC72A6">
        <w:rPr>
          <w:rFonts w:eastAsia="Calibri"/>
          <w:sz w:val="22"/>
          <w:szCs w:val="22"/>
          <w:lang w:eastAsia="en-US"/>
        </w:rPr>
        <w:t>’</w:t>
      </w:r>
      <w:r w:rsidR="005F07D3" w:rsidRPr="00FC72A6">
        <w:rPr>
          <w:rFonts w:eastAsia="Calibri"/>
          <w:sz w:val="22"/>
          <w:szCs w:val="22"/>
          <w:lang w:eastAsia="en-US"/>
        </w:rPr>
        <w:t>s</w:t>
      </w:r>
      <w:r w:rsidR="002B68A1" w:rsidRPr="00FC72A6">
        <w:rPr>
          <w:rFonts w:eastAsia="Calibri"/>
          <w:sz w:val="22"/>
          <w:szCs w:val="22"/>
          <w:lang w:eastAsia="en-US"/>
        </w:rPr>
        <w:t xml:space="preserve"> review of the EMIR clearing thresholds</w:t>
      </w:r>
      <w:r w:rsidR="00215CDC" w:rsidRPr="00FC72A6">
        <w:rPr>
          <w:rFonts w:eastAsia="Calibri"/>
          <w:sz w:val="22"/>
          <w:szCs w:val="22"/>
          <w:lang w:eastAsia="en-US"/>
        </w:rPr>
        <w:t xml:space="preserve"> offers a</w:t>
      </w:r>
      <w:r w:rsidR="002826A6" w:rsidRPr="00FC72A6">
        <w:rPr>
          <w:rFonts w:eastAsia="Calibri"/>
          <w:sz w:val="22"/>
          <w:szCs w:val="22"/>
          <w:lang w:eastAsia="en-US"/>
        </w:rPr>
        <w:t>n</w:t>
      </w:r>
      <w:r w:rsidR="00215CDC" w:rsidRPr="00FC72A6">
        <w:rPr>
          <w:rFonts w:eastAsia="Calibri"/>
          <w:sz w:val="22"/>
          <w:szCs w:val="22"/>
          <w:lang w:eastAsia="en-US"/>
        </w:rPr>
        <w:t xml:space="preserve"> opportunity </w:t>
      </w:r>
      <w:bookmarkStart w:id="4" w:name="_Hlk90212297"/>
      <w:r w:rsidR="00215CDC" w:rsidRPr="00FC72A6">
        <w:rPr>
          <w:rFonts w:eastAsia="Calibri"/>
          <w:sz w:val="22"/>
          <w:szCs w:val="22"/>
          <w:lang w:eastAsia="en-US"/>
        </w:rPr>
        <w:t xml:space="preserve">to facilitate the energy transition, </w:t>
      </w:r>
      <w:r w:rsidR="00215CDC" w:rsidRPr="00FC72A6">
        <w:rPr>
          <w:sz w:val="22"/>
          <w:lang w:val="en-US"/>
        </w:rPr>
        <w:t xml:space="preserve">enhance European competitiveness and improve market functioning, whilst safeguarding transparent and safe </w:t>
      </w:r>
      <w:r w:rsidR="00527602" w:rsidRPr="00FC72A6">
        <w:rPr>
          <w:sz w:val="22"/>
          <w:lang w:val="en-US"/>
        </w:rPr>
        <w:t xml:space="preserve">financial </w:t>
      </w:r>
      <w:r w:rsidR="00215CDC" w:rsidRPr="00FC72A6">
        <w:rPr>
          <w:sz w:val="22"/>
          <w:lang w:val="en-US"/>
        </w:rPr>
        <w:t>markets</w:t>
      </w:r>
      <w:bookmarkEnd w:id="4"/>
      <w:r w:rsidR="00DA7B0D" w:rsidRPr="00FC72A6">
        <w:rPr>
          <w:rFonts w:eastAsia="Calibri"/>
          <w:sz w:val="22"/>
          <w:szCs w:val="22"/>
          <w:lang w:eastAsia="en-US"/>
        </w:rPr>
        <w:t>.</w:t>
      </w:r>
      <w:bookmarkEnd w:id="3"/>
    </w:p>
    <w:p w14:paraId="77ABC1CD" w14:textId="1D5AF87F" w:rsidR="00215CDC" w:rsidRPr="0041314C" w:rsidRDefault="00215CDC" w:rsidP="008C2753">
      <w:pPr>
        <w:spacing w:before="120" w:after="120"/>
        <w:jc w:val="both"/>
        <w:rPr>
          <w:rFonts w:eastAsia="Calibri"/>
          <w:sz w:val="22"/>
          <w:szCs w:val="22"/>
          <w:lang w:val="en-US" w:eastAsia="en-US"/>
        </w:rPr>
      </w:pPr>
      <w:r w:rsidRPr="00E15D92">
        <w:rPr>
          <w:rFonts w:eastAsia="Calibri"/>
          <w:b/>
          <w:bCs/>
          <w:sz w:val="22"/>
          <w:szCs w:val="22"/>
          <w:lang w:eastAsia="en-US"/>
        </w:rPr>
        <w:t>We therefore urge ESMA to review and increase the EMIR clearing threshold for commodities</w:t>
      </w:r>
      <w:r w:rsidR="00DA7B0D" w:rsidRPr="00E15D92">
        <w:rPr>
          <w:rFonts w:eastAsia="Calibri"/>
          <w:b/>
          <w:bCs/>
          <w:sz w:val="22"/>
          <w:szCs w:val="22"/>
          <w:lang w:eastAsia="en-US"/>
        </w:rPr>
        <w:t xml:space="preserve"> (“EMIR CCT”)</w:t>
      </w:r>
      <w:r w:rsidRPr="00E15D92">
        <w:rPr>
          <w:rFonts w:eastAsia="Calibri"/>
          <w:b/>
          <w:bCs/>
          <w:sz w:val="22"/>
          <w:szCs w:val="22"/>
          <w:lang w:eastAsia="en-US"/>
        </w:rPr>
        <w:t xml:space="preserve"> to a systemic relevant level, considering the higher level of clearing thresholds in 3</w:t>
      </w:r>
      <w:r w:rsidRPr="00E15D92">
        <w:rPr>
          <w:rFonts w:eastAsia="Calibri"/>
          <w:b/>
          <w:bCs/>
          <w:sz w:val="22"/>
          <w:szCs w:val="22"/>
          <w:vertAlign w:val="superscript"/>
          <w:lang w:eastAsia="en-US"/>
        </w:rPr>
        <w:t>rd</w:t>
      </w:r>
      <w:r w:rsidRPr="00E15D92">
        <w:rPr>
          <w:rFonts w:eastAsia="Calibri"/>
          <w:b/>
          <w:bCs/>
          <w:sz w:val="22"/>
          <w:szCs w:val="22"/>
          <w:lang w:eastAsia="en-US"/>
        </w:rPr>
        <w:t xml:space="preserve"> country jurisdictions</w:t>
      </w:r>
      <w:r w:rsidR="00F17350" w:rsidRPr="00E15D92">
        <w:rPr>
          <w:rFonts w:eastAsia="Calibri"/>
          <w:b/>
          <w:bCs/>
          <w:sz w:val="22"/>
          <w:szCs w:val="22"/>
          <w:lang w:eastAsia="en-US"/>
        </w:rPr>
        <w:t xml:space="preserve"> </w:t>
      </w:r>
      <w:r w:rsidR="00A555A0" w:rsidRPr="00E15D92">
        <w:rPr>
          <w:rFonts w:eastAsia="Calibri"/>
          <w:b/>
          <w:bCs/>
          <w:sz w:val="22"/>
          <w:szCs w:val="22"/>
          <w:lang w:eastAsia="en-US"/>
        </w:rPr>
        <w:t>(e.g.,</w:t>
      </w:r>
      <w:r w:rsidR="00F17350" w:rsidRPr="00E15D92">
        <w:rPr>
          <w:rFonts w:eastAsia="Calibri"/>
          <w:b/>
          <w:bCs/>
          <w:sz w:val="22"/>
          <w:szCs w:val="22"/>
          <w:lang w:eastAsia="en-US"/>
        </w:rPr>
        <w:t xml:space="preserve"> the</w:t>
      </w:r>
      <w:r w:rsidR="00685F3A" w:rsidRPr="00E15D92">
        <w:rPr>
          <w:rFonts w:eastAsia="Calibri"/>
          <w:b/>
          <w:bCs/>
          <w:sz w:val="22"/>
          <w:szCs w:val="22"/>
          <w:lang w:eastAsia="en-US"/>
        </w:rPr>
        <w:t xml:space="preserve"> USD 8 Billion threshold under the U.S. Dodd-Frank-Act</w:t>
      </w:r>
      <w:r w:rsidR="00A555A0" w:rsidRPr="00E15D92">
        <w:rPr>
          <w:rFonts w:eastAsia="Calibri"/>
          <w:b/>
          <w:bCs/>
          <w:sz w:val="22"/>
          <w:szCs w:val="22"/>
          <w:lang w:eastAsia="en-US"/>
        </w:rPr>
        <w:t>)</w:t>
      </w:r>
      <w:r w:rsidRPr="00E15D92">
        <w:rPr>
          <w:rFonts w:eastAsia="Calibri"/>
          <w:b/>
          <w:bCs/>
          <w:sz w:val="22"/>
          <w:szCs w:val="22"/>
          <w:lang w:eastAsia="en-US"/>
        </w:rPr>
        <w:t xml:space="preserve"> and lower breadth of application across these jurisdictions</w:t>
      </w:r>
      <w:r w:rsidR="008C1077" w:rsidRPr="00E15D92">
        <w:rPr>
          <w:rFonts w:eastAsia="Calibri"/>
          <w:b/>
          <w:bCs/>
          <w:sz w:val="22"/>
          <w:szCs w:val="22"/>
          <w:lang w:eastAsia="en-US"/>
        </w:rPr>
        <w:t xml:space="preserve"> (cf. our response to Question 6)</w:t>
      </w:r>
      <w:r w:rsidRPr="00E15D92">
        <w:rPr>
          <w:rFonts w:eastAsia="Calibri"/>
          <w:b/>
          <w:bCs/>
          <w:sz w:val="22"/>
          <w:szCs w:val="22"/>
          <w:lang w:eastAsia="en-US"/>
        </w:rPr>
        <w:t>.</w:t>
      </w:r>
      <w:r w:rsidRPr="0041314C">
        <w:rPr>
          <w:rFonts w:eastAsia="Calibri"/>
          <w:sz w:val="22"/>
          <w:szCs w:val="22"/>
          <w:lang w:eastAsia="en-US"/>
        </w:rPr>
        <w:t xml:space="preserve"> This proposal means that only relatively simple amendments to the Level 2 text of EMIR</w:t>
      </w:r>
      <w:r w:rsidR="00694C62" w:rsidRPr="0041314C">
        <w:rPr>
          <w:rFonts w:eastAsia="Calibri"/>
          <w:sz w:val="22"/>
          <w:szCs w:val="22"/>
          <w:lang w:eastAsia="en-US"/>
        </w:rPr>
        <w:t xml:space="preserve"> (Article 11 of Regulation (EU) No 149/2013)</w:t>
      </w:r>
      <w:r w:rsidRPr="0041314C">
        <w:rPr>
          <w:rFonts w:eastAsia="Calibri"/>
          <w:sz w:val="22"/>
          <w:szCs w:val="22"/>
          <w:lang w:eastAsia="en-US"/>
        </w:rPr>
        <w:t xml:space="preserve"> would be required.</w:t>
      </w:r>
    </w:p>
    <w:p w14:paraId="1D1ED6FA" w14:textId="17AC7AE7" w:rsidR="00215CDC" w:rsidRPr="00FC72A6" w:rsidRDefault="00DA7B0D" w:rsidP="008C2753">
      <w:pPr>
        <w:spacing w:before="120" w:after="120"/>
        <w:jc w:val="both"/>
        <w:rPr>
          <w:rFonts w:eastAsia="Calibri"/>
          <w:sz w:val="22"/>
          <w:szCs w:val="22"/>
          <w:lang w:eastAsia="en-US"/>
        </w:rPr>
      </w:pPr>
      <w:r w:rsidRPr="00FC72A6">
        <w:rPr>
          <w:rFonts w:eastAsia="Calibri"/>
          <w:sz w:val="22"/>
          <w:szCs w:val="22"/>
          <w:lang w:val="en-US" w:eastAsia="en-US"/>
        </w:rPr>
        <w:t xml:space="preserve">This EMIR CCT increase </w:t>
      </w:r>
      <w:r w:rsidR="00215CDC" w:rsidRPr="00FC72A6">
        <w:rPr>
          <w:rFonts w:eastAsia="Calibri"/>
          <w:sz w:val="22"/>
          <w:szCs w:val="22"/>
          <w:lang w:eastAsia="en-US"/>
        </w:rPr>
        <w:t>would facilitate the energy transition</w:t>
      </w:r>
      <w:r w:rsidR="002B68A1" w:rsidRPr="00FC72A6">
        <w:rPr>
          <w:rFonts w:eastAsia="Calibri"/>
          <w:sz w:val="22"/>
          <w:szCs w:val="22"/>
          <w:lang w:eastAsia="en-US"/>
        </w:rPr>
        <w:t xml:space="preserve"> and enhance European competitiveness</w:t>
      </w:r>
      <w:r w:rsidR="00215CDC" w:rsidRPr="00FC72A6">
        <w:rPr>
          <w:rFonts w:eastAsia="Calibri"/>
          <w:sz w:val="22"/>
          <w:szCs w:val="22"/>
          <w:lang w:eastAsia="en-US"/>
        </w:rPr>
        <w:t xml:space="preserve"> by:</w:t>
      </w:r>
    </w:p>
    <w:p w14:paraId="432A0106" w14:textId="77777777" w:rsidR="00215CDC" w:rsidRPr="00FC72A6" w:rsidRDefault="00215CDC" w:rsidP="006F2628">
      <w:pPr>
        <w:numPr>
          <w:ilvl w:val="0"/>
          <w:numId w:val="45"/>
        </w:numPr>
        <w:spacing w:before="120" w:after="120"/>
        <w:jc w:val="both"/>
        <w:rPr>
          <w:rFonts w:eastAsia="Calibri"/>
          <w:sz w:val="22"/>
          <w:szCs w:val="22"/>
          <w:lang w:val="en-US" w:eastAsia="en-US"/>
        </w:rPr>
      </w:pPr>
      <w:r w:rsidRPr="00FC72A6">
        <w:rPr>
          <w:rFonts w:eastAsia="Calibri"/>
          <w:i/>
          <w:iCs/>
          <w:sz w:val="22"/>
          <w:szCs w:val="22"/>
          <w:lang w:eastAsia="en-US"/>
        </w:rPr>
        <w:t xml:space="preserve">Enabling more effective hedging - </w:t>
      </w:r>
      <w:r w:rsidRPr="00FC72A6">
        <w:rPr>
          <w:rFonts w:eastAsia="Calibri"/>
          <w:sz w:val="22"/>
          <w:szCs w:val="22"/>
          <w:lang w:eastAsia="en-US"/>
        </w:rPr>
        <w:t>By further enabling the</w:t>
      </w:r>
      <w:r w:rsidRPr="00FC72A6">
        <w:rPr>
          <w:rFonts w:eastAsia="Calibri"/>
          <w:sz w:val="22"/>
          <w:szCs w:val="22"/>
          <w:lang w:val="en-US" w:eastAsia="en-US"/>
        </w:rPr>
        <w:t xml:space="preserve"> development of open and competitive energy and commodity derivatives markets in the EU, it would enable energy firms to support the energy transition by providing liquidity to OTC markets and offering hedging opportunities to renewable energy producers and industrial consumers to reduce their commercial risks.</w:t>
      </w:r>
    </w:p>
    <w:p w14:paraId="3D76129B" w14:textId="14367C4E" w:rsidR="00215CDC" w:rsidRPr="00FC72A6" w:rsidRDefault="00215CDC" w:rsidP="006F2628">
      <w:pPr>
        <w:numPr>
          <w:ilvl w:val="0"/>
          <w:numId w:val="45"/>
        </w:numPr>
        <w:spacing w:before="120" w:after="120"/>
        <w:jc w:val="both"/>
        <w:rPr>
          <w:rFonts w:eastAsia="Calibri"/>
          <w:sz w:val="22"/>
          <w:szCs w:val="22"/>
          <w:lang w:eastAsia="en-US"/>
        </w:rPr>
      </w:pPr>
      <w:r w:rsidRPr="00FC72A6">
        <w:rPr>
          <w:rFonts w:eastAsia="Calibri"/>
          <w:i/>
          <w:iCs/>
          <w:sz w:val="22"/>
          <w:szCs w:val="22"/>
          <w:lang w:eastAsia="en-US"/>
        </w:rPr>
        <w:t xml:space="preserve">Enhancing European competitiveness - </w:t>
      </w:r>
      <w:r w:rsidRPr="00FC72A6">
        <w:rPr>
          <w:rFonts w:eastAsia="Calibri"/>
          <w:sz w:val="22"/>
          <w:szCs w:val="22"/>
          <w:lang w:eastAsia="en-US"/>
        </w:rPr>
        <w:t>By aligning the EU regime with those in other jurisdictions</w:t>
      </w:r>
      <w:r w:rsidR="00527602" w:rsidRPr="00FC72A6">
        <w:rPr>
          <w:rFonts w:eastAsia="Calibri"/>
          <w:sz w:val="22"/>
          <w:szCs w:val="22"/>
          <w:lang w:eastAsia="en-US"/>
        </w:rPr>
        <w:t xml:space="preserve"> subject to the same G20 commitments to regulate derivatives markets</w:t>
      </w:r>
      <w:r w:rsidRPr="00FC72A6">
        <w:rPr>
          <w:rFonts w:eastAsia="Calibri"/>
          <w:sz w:val="22"/>
          <w:szCs w:val="22"/>
          <w:lang w:eastAsia="en-US"/>
        </w:rPr>
        <w:t xml:space="preserve">, it would enhance the competitiveness of European firms and enhance the development of euro-denominated energy and commodity markets. It is notable that </w:t>
      </w:r>
      <w:r w:rsidR="00C3350A" w:rsidRPr="00FC72A6">
        <w:rPr>
          <w:rFonts w:eastAsia="Calibri"/>
          <w:sz w:val="22"/>
          <w:szCs w:val="22"/>
          <w:lang w:eastAsia="en-US"/>
        </w:rPr>
        <w:t>the attached</w:t>
      </w:r>
      <w:r w:rsidR="00DF029C" w:rsidRPr="00FC72A6">
        <w:rPr>
          <w:rFonts w:eastAsia="Calibri"/>
          <w:sz w:val="22"/>
          <w:szCs w:val="22"/>
          <w:lang w:eastAsia="en-US"/>
        </w:rPr>
        <w:t xml:space="preserve"> </w:t>
      </w:r>
      <w:r w:rsidRPr="00FC72A6">
        <w:rPr>
          <w:rFonts w:eastAsia="Calibri"/>
          <w:sz w:val="22"/>
          <w:szCs w:val="22"/>
          <w:lang w:eastAsia="en-US"/>
        </w:rPr>
        <w:t>independent</w:t>
      </w:r>
      <w:r w:rsidR="008C2753" w:rsidRPr="00FC72A6">
        <w:rPr>
          <w:rFonts w:eastAsia="Calibri"/>
          <w:sz w:val="22"/>
          <w:szCs w:val="22"/>
          <w:lang w:eastAsia="en-US"/>
        </w:rPr>
        <w:t xml:space="preserve"> </w:t>
      </w:r>
      <w:r w:rsidR="00DF029C" w:rsidRPr="00FC72A6">
        <w:rPr>
          <w:rFonts w:eastAsia="Calibri"/>
          <w:sz w:val="22"/>
          <w:szCs w:val="22"/>
          <w:lang w:eastAsia="en-US"/>
        </w:rPr>
        <w:t>B</w:t>
      </w:r>
      <w:r w:rsidR="008C2753" w:rsidRPr="00FC72A6">
        <w:rPr>
          <w:rFonts w:eastAsia="Calibri"/>
          <w:sz w:val="22"/>
          <w:szCs w:val="22"/>
          <w:lang w:eastAsia="en-US"/>
        </w:rPr>
        <w:t>enchmark</w:t>
      </w:r>
      <w:r w:rsidRPr="00FC72A6">
        <w:rPr>
          <w:rFonts w:eastAsia="Calibri"/>
          <w:sz w:val="22"/>
          <w:szCs w:val="22"/>
          <w:lang w:eastAsia="en-US"/>
        </w:rPr>
        <w:t xml:space="preserve"> </w:t>
      </w:r>
      <w:r w:rsidR="00C3350A" w:rsidRPr="00FC72A6">
        <w:rPr>
          <w:rFonts w:eastAsia="Calibri"/>
          <w:sz w:val="22"/>
          <w:szCs w:val="22"/>
          <w:lang w:eastAsia="en-US"/>
        </w:rPr>
        <w:t>S</w:t>
      </w:r>
      <w:r w:rsidRPr="00FC72A6">
        <w:rPr>
          <w:rFonts w:eastAsia="Calibri"/>
          <w:sz w:val="22"/>
          <w:szCs w:val="22"/>
          <w:lang w:eastAsia="en-US"/>
        </w:rPr>
        <w:t>tudy on international best practice concluded that the EU EMIR regime applies the lowest clearing threshold applicable to the largest set of entities, products and activities.</w:t>
      </w:r>
    </w:p>
    <w:p w14:paraId="75B48C76" w14:textId="34B0243C" w:rsidR="00215CDC" w:rsidRPr="00FC72A6" w:rsidRDefault="00215CDC" w:rsidP="006F2628">
      <w:pPr>
        <w:numPr>
          <w:ilvl w:val="0"/>
          <w:numId w:val="45"/>
        </w:numPr>
        <w:spacing w:before="120" w:after="120"/>
        <w:jc w:val="both"/>
        <w:rPr>
          <w:rFonts w:eastAsia="Calibri"/>
          <w:sz w:val="22"/>
          <w:szCs w:val="22"/>
          <w:lang w:eastAsia="en-US"/>
        </w:rPr>
      </w:pPr>
      <w:r w:rsidRPr="00FC72A6">
        <w:rPr>
          <w:rFonts w:eastAsia="Calibri"/>
          <w:i/>
          <w:iCs/>
          <w:sz w:val="22"/>
          <w:szCs w:val="22"/>
          <w:lang w:eastAsia="en-US"/>
        </w:rPr>
        <w:t>Ensuring high standards are maintained -</w:t>
      </w:r>
      <w:r w:rsidRPr="00FC72A6">
        <w:rPr>
          <w:rFonts w:eastAsia="Calibri"/>
          <w:sz w:val="22"/>
          <w:szCs w:val="22"/>
          <w:lang w:eastAsia="en-US"/>
        </w:rPr>
        <w:t xml:space="preserve"> By</w:t>
      </w:r>
      <w:r w:rsidRPr="00FC72A6">
        <w:rPr>
          <w:rFonts w:eastAsia="Calibri"/>
          <w:sz w:val="22"/>
          <w:szCs w:val="22"/>
          <w:lang w:val="en-US" w:eastAsia="en-US"/>
        </w:rPr>
        <w:t xml:space="preserve"> safeguarding the EMIR goals of transparent and safe markets</w:t>
      </w:r>
      <w:r w:rsidR="00824AA7" w:rsidRPr="00FC72A6">
        <w:rPr>
          <w:rFonts w:eastAsia="Calibri"/>
          <w:sz w:val="22"/>
          <w:szCs w:val="22"/>
          <w:lang w:val="en-US" w:eastAsia="en-US"/>
        </w:rPr>
        <w:t>, our</w:t>
      </w:r>
      <w:r w:rsidRPr="00FC72A6">
        <w:rPr>
          <w:rFonts w:eastAsia="Calibri"/>
          <w:sz w:val="22"/>
          <w:szCs w:val="22"/>
          <w:lang w:val="en-US" w:eastAsia="en-US"/>
        </w:rPr>
        <w:t xml:space="preserve"> proposed review adheres to the aims of EMIR to make derivatives markets more transparent, to mitigate credit risk and to reduce operational risks.</w:t>
      </w:r>
    </w:p>
    <w:p w14:paraId="55313807" w14:textId="2DA58FCB" w:rsidR="00C3350A" w:rsidRPr="00CA30ED" w:rsidRDefault="009D54DF" w:rsidP="00C3350A">
      <w:pPr>
        <w:spacing w:before="120" w:after="120"/>
        <w:jc w:val="both"/>
        <w:rPr>
          <w:sz w:val="22"/>
        </w:rPr>
      </w:pPr>
      <w:r w:rsidRPr="00CA30ED">
        <w:rPr>
          <w:rFonts w:eastAsia="Calibri"/>
          <w:sz w:val="22"/>
          <w:szCs w:val="22"/>
          <w:lang w:eastAsia="en-US"/>
        </w:rPr>
        <w:t xml:space="preserve">The above is </w:t>
      </w:r>
      <w:r w:rsidR="00DF029C" w:rsidRPr="00CA30ED">
        <w:rPr>
          <w:rFonts w:eastAsia="Calibri"/>
          <w:sz w:val="22"/>
          <w:szCs w:val="22"/>
          <w:lang w:eastAsia="en-US"/>
        </w:rPr>
        <w:t>substantiate</w:t>
      </w:r>
      <w:r w:rsidRPr="00CA30ED">
        <w:rPr>
          <w:rFonts w:eastAsia="Calibri"/>
          <w:sz w:val="22"/>
          <w:szCs w:val="22"/>
          <w:lang w:eastAsia="en-US"/>
        </w:rPr>
        <w:t>d</w:t>
      </w:r>
      <w:r w:rsidR="00DF029C" w:rsidRPr="00CA30ED">
        <w:rPr>
          <w:rFonts w:eastAsia="Calibri"/>
          <w:sz w:val="22"/>
          <w:szCs w:val="22"/>
          <w:lang w:eastAsia="en-US"/>
        </w:rPr>
        <w:t xml:space="preserve"> through </w:t>
      </w:r>
      <w:r w:rsidR="00C3350A" w:rsidRPr="00CA30ED">
        <w:rPr>
          <w:rFonts w:eastAsia="Calibri"/>
          <w:sz w:val="22"/>
          <w:szCs w:val="22"/>
          <w:lang w:eastAsia="en-US"/>
        </w:rPr>
        <w:t xml:space="preserve">the </w:t>
      </w:r>
      <w:r w:rsidR="00C3350A" w:rsidRPr="00CA30ED">
        <w:rPr>
          <w:rFonts w:eastAsia="Calibri"/>
          <w:sz w:val="22"/>
          <w:szCs w:val="22"/>
          <w:u w:val="single"/>
          <w:lang w:eastAsia="en-US"/>
        </w:rPr>
        <w:t>attached</w:t>
      </w:r>
      <w:r w:rsidR="00C3350A" w:rsidRPr="00CA30ED">
        <w:rPr>
          <w:rFonts w:eastAsia="Calibri"/>
          <w:sz w:val="22"/>
          <w:szCs w:val="22"/>
          <w:lang w:eastAsia="en-US"/>
        </w:rPr>
        <w:t xml:space="preserve"> independent Benchmark Study of 4 October 2021 </w:t>
      </w:r>
      <w:r w:rsidR="00C3350A" w:rsidRPr="00CA30ED">
        <w:rPr>
          <w:sz w:val="22"/>
        </w:rPr>
        <w:t>(</w:t>
      </w:r>
      <w:r w:rsidR="00BB593B" w:rsidRPr="00CA30ED">
        <w:rPr>
          <w:sz w:val="22"/>
        </w:rPr>
        <w:t>“</w:t>
      </w:r>
      <w:r w:rsidR="00C3350A" w:rsidRPr="00CA30ED">
        <w:rPr>
          <w:sz w:val="22"/>
        </w:rPr>
        <w:t xml:space="preserve">Commodity derivative clearing under EMIR - A cross jurisdictional analysis </w:t>
      </w:r>
      <w:r w:rsidR="00BB593B" w:rsidRPr="00CA30ED">
        <w:rPr>
          <w:sz w:val="22"/>
        </w:rPr>
        <w:t>–“</w:t>
      </w:r>
      <w:r w:rsidR="00C3350A" w:rsidRPr="00CA30ED">
        <w:rPr>
          <w:sz w:val="22"/>
        </w:rPr>
        <w:t>)</w:t>
      </w:r>
      <w:r w:rsidR="00BB593B" w:rsidRPr="00CA30ED">
        <w:rPr>
          <w:sz w:val="22"/>
        </w:rPr>
        <w:t xml:space="preserve"> conducted by an international </w:t>
      </w:r>
      <w:r w:rsidR="00882586" w:rsidRPr="00CA30ED">
        <w:rPr>
          <w:sz w:val="22"/>
        </w:rPr>
        <w:t>l</w:t>
      </w:r>
      <w:r w:rsidR="00BB593B" w:rsidRPr="00CA30ED">
        <w:rPr>
          <w:sz w:val="22"/>
        </w:rPr>
        <w:t xml:space="preserve">aw </w:t>
      </w:r>
      <w:r w:rsidR="00882586" w:rsidRPr="00CA30ED">
        <w:rPr>
          <w:sz w:val="22"/>
        </w:rPr>
        <w:t>f</w:t>
      </w:r>
      <w:r w:rsidR="00BB593B" w:rsidRPr="00CA30ED">
        <w:rPr>
          <w:sz w:val="22"/>
        </w:rPr>
        <w:t>irm</w:t>
      </w:r>
      <w:r w:rsidRPr="00CA30ED">
        <w:rPr>
          <w:sz w:val="22"/>
        </w:rPr>
        <w:t>.</w:t>
      </w:r>
    </w:p>
    <w:p w14:paraId="46077C4D" w14:textId="77777777" w:rsidR="009D54DF" w:rsidRPr="009D54DF" w:rsidRDefault="009D54DF" w:rsidP="00C3350A">
      <w:pPr>
        <w:spacing w:before="120" w:after="120"/>
        <w:jc w:val="both"/>
        <w:rPr>
          <w:sz w:val="22"/>
        </w:rPr>
      </w:pPr>
    </w:p>
    <w:permEnd w:id="1269197972"/>
    <w:p w14:paraId="39C455F8" w14:textId="77777777" w:rsidR="00F87897" w:rsidRDefault="00F87897" w:rsidP="00F87897"/>
    <w:p w14:paraId="346583E4" w14:textId="43967CFC" w:rsidR="00F87897" w:rsidRPr="00BF28DA" w:rsidRDefault="00F87897" w:rsidP="00F87897">
      <w:r w:rsidRPr="00BF28DA">
        <w:t>&lt;ESMA_COMMENT_</w:t>
      </w:r>
      <w:r w:rsidR="00D76652">
        <w:rPr>
          <w:rFonts w:cs="Arial"/>
        </w:rPr>
        <w:t>DP_EMIR_CTs</w:t>
      </w:r>
      <w:r w:rsidRPr="00BF28DA">
        <w:t>&gt;</w:t>
      </w:r>
    </w:p>
    <w:p w14:paraId="35818B1C" w14:textId="77777777" w:rsidR="00F87897" w:rsidRDefault="00F87897">
      <w:pPr>
        <w:rPr>
          <w:rFonts w:eastAsiaTheme="minorEastAsia" w:cstheme="minorBidi"/>
          <w:b/>
          <w:sz w:val="22"/>
          <w:szCs w:val="20"/>
          <w:lang w:eastAsia="en-US"/>
        </w:rPr>
      </w:pPr>
      <w:r>
        <w:br w:type="page"/>
      </w:r>
    </w:p>
    <w:p w14:paraId="45C27D60" w14:textId="3D0CD57E" w:rsidR="00A8728B" w:rsidRPr="00070630" w:rsidRDefault="004648DA" w:rsidP="00431B0A">
      <w:pPr>
        <w:pStyle w:val="CPQuestions"/>
      </w:pPr>
      <w:r w:rsidRPr="00ED3D8A">
        <w:lastRenderedPageBreak/>
        <w:t>Please explain if you see a need for further clarification on how to identify OTC contracts for the purpose of the calculation of the positions to be compared to the clearing thresholds</w:t>
      </w:r>
      <w:r w:rsidR="00276A5A">
        <w:t>.</w:t>
      </w:r>
    </w:p>
    <w:p w14:paraId="51509B4C" w14:textId="044F3473" w:rsidR="00A8728B" w:rsidRPr="006C2D5A" w:rsidRDefault="00A8728B" w:rsidP="00A8728B">
      <w:pPr>
        <w:rPr>
          <w:lang w:val="es-ES"/>
        </w:rPr>
      </w:pPr>
      <w:r w:rsidRPr="006C2D5A">
        <w:rPr>
          <w:lang w:val="es-ES"/>
        </w:rPr>
        <w:t>&lt;ESMA_QUESTION</w:t>
      </w:r>
      <w:r w:rsidR="00D920D1" w:rsidRPr="006C2D5A">
        <w:rPr>
          <w:lang w:val="es-ES"/>
        </w:rPr>
        <w:t>_</w:t>
      </w:r>
      <w:r w:rsidR="00D76652" w:rsidRPr="00D76652">
        <w:rPr>
          <w:rFonts w:cs="Arial"/>
          <w:lang w:val="es-ES"/>
        </w:rPr>
        <w:t xml:space="preserve"> DP_EMIR_CTs</w:t>
      </w:r>
      <w:r w:rsidR="004648DA">
        <w:rPr>
          <w:rFonts w:cs="Arial"/>
          <w:lang w:val="es-ES"/>
        </w:rPr>
        <w:t>_</w:t>
      </w:r>
      <w:r w:rsidR="00D76652">
        <w:rPr>
          <w:lang w:val="es-ES"/>
        </w:rPr>
        <w:t>1</w:t>
      </w:r>
      <w:r w:rsidRPr="006C2D5A">
        <w:rPr>
          <w:lang w:val="es-ES"/>
        </w:rPr>
        <w:t>&gt;</w:t>
      </w:r>
    </w:p>
    <w:p w14:paraId="569749B9" w14:textId="2D58F214" w:rsidR="00694C62" w:rsidRDefault="00A8728B" w:rsidP="006A18AC">
      <w:permStart w:id="2093768910" w:edGrp="everyone"/>
      <w:r>
        <w:t>TYPE YOUR TEXT HERE</w:t>
      </w:r>
    </w:p>
    <w:p w14:paraId="484BA967" w14:textId="77777777" w:rsidR="006A18AC" w:rsidRPr="006A18AC" w:rsidRDefault="006A18AC" w:rsidP="006A18AC"/>
    <w:p w14:paraId="3772AD33" w14:textId="50AA5B00" w:rsidR="00F930B6" w:rsidRPr="009260C9" w:rsidRDefault="007D6715" w:rsidP="00694C62">
      <w:pPr>
        <w:spacing w:before="120" w:after="120"/>
        <w:jc w:val="both"/>
        <w:rPr>
          <w:sz w:val="22"/>
          <w:szCs w:val="22"/>
        </w:rPr>
      </w:pPr>
      <w:r w:rsidRPr="007D6715">
        <w:rPr>
          <w:sz w:val="22"/>
          <w:szCs w:val="22"/>
        </w:rPr>
        <w:t>We are</w:t>
      </w:r>
      <w:r w:rsidR="00F83D44" w:rsidRPr="007D6715">
        <w:rPr>
          <w:sz w:val="22"/>
          <w:szCs w:val="22"/>
        </w:rPr>
        <w:t xml:space="preserve"> </w:t>
      </w:r>
      <w:r w:rsidR="00F83D44" w:rsidRPr="009260C9">
        <w:rPr>
          <w:sz w:val="22"/>
          <w:szCs w:val="22"/>
        </w:rPr>
        <w:t xml:space="preserve">of the opinion </w:t>
      </w:r>
      <w:r w:rsidR="00824AA7" w:rsidRPr="009260C9">
        <w:rPr>
          <w:sz w:val="22"/>
          <w:szCs w:val="22"/>
        </w:rPr>
        <w:t xml:space="preserve">that </w:t>
      </w:r>
      <w:r w:rsidR="00882586" w:rsidRPr="009260C9">
        <w:rPr>
          <w:sz w:val="22"/>
          <w:szCs w:val="22"/>
        </w:rPr>
        <w:t>a</w:t>
      </w:r>
      <w:r w:rsidR="00F83D44" w:rsidRPr="009260C9">
        <w:rPr>
          <w:sz w:val="22"/>
          <w:szCs w:val="22"/>
        </w:rPr>
        <w:t xml:space="preserve"> substantial increase of the EMIR clearing threshold for commodities</w:t>
      </w:r>
      <w:r w:rsidR="00136A35" w:rsidRPr="009260C9">
        <w:rPr>
          <w:sz w:val="22"/>
        </w:rPr>
        <w:t xml:space="preserve"> to an internationally comparable and more systemic relevant level</w:t>
      </w:r>
      <w:r w:rsidR="00A555A0" w:rsidRPr="009260C9">
        <w:rPr>
          <w:rFonts w:eastAsia="Calibri"/>
          <w:sz w:val="22"/>
          <w:szCs w:val="22"/>
          <w:lang w:eastAsia="en-US"/>
        </w:rPr>
        <w:t xml:space="preserve"> (e.g.,</w:t>
      </w:r>
      <w:r w:rsidR="00136A35" w:rsidRPr="009260C9">
        <w:rPr>
          <w:rFonts w:eastAsia="Calibri"/>
          <w:sz w:val="22"/>
          <w:szCs w:val="22"/>
          <w:lang w:eastAsia="en-US"/>
        </w:rPr>
        <w:t xml:space="preserve"> the USD 8 Billion threshold under the U.S. Dodd-Frank-Act</w:t>
      </w:r>
      <w:r w:rsidR="00A555A0" w:rsidRPr="009260C9">
        <w:rPr>
          <w:rFonts w:eastAsia="Calibri"/>
          <w:sz w:val="22"/>
          <w:szCs w:val="22"/>
          <w:lang w:eastAsia="en-US"/>
        </w:rPr>
        <w:t>)</w:t>
      </w:r>
      <w:r w:rsidR="00136A35" w:rsidRPr="009260C9">
        <w:rPr>
          <w:rFonts w:eastAsia="Calibri"/>
          <w:sz w:val="22"/>
          <w:szCs w:val="22"/>
          <w:lang w:eastAsia="en-US"/>
        </w:rPr>
        <w:t>,</w:t>
      </w:r>
      <w:r w:rsidR="00882586" w:rsidRPr="009260C9">
        <w:rPr>
          <w:sz w:val="22"/>
          <w:szCs w:val="22"/>
        </w:rPr>
        <w:t xml:space="preserve"> is necessary</w:t>
      </w:r>
      <w:r w:rsidR="00F83D44" w:rsidRPr="009260C9">
        <w:rPr>
          <w:sz w:val="22"/>
          <w:szCs w:val="22"/>
        </w:rPr>
        <w:t xml:space="preserve"> to facilitate the energy transition, enhance European competitiveness and improve market functioning, whilst safeguarding transparent and safe markets</w:t>
      </w:r>
      <w:r w:rsidR="0017390D" w:rsidRPr="009260C9">
        <w:rPr>
          <w:sz w:val="22"/>
          <w:szCs w:val="22"/>
        </w:rPr>
        <w:t xml:space="preserve"> (cf. our response to Questions 6)</w:t>
      </w:r>
      <w:r w:rsidR="00F83D44" w:rsidRPr="009260C9">
        <w:rPr>
          <w:sz w:val="22"/>
          <w:szCs w:val="22"/>
        </w:rPr>
        <w:t xml:space="preserve">. For this purpose a change of </w:t>
      </w:r>
      <w:r w:rsidR="00F83D44" w:rsidRPr="009260C9">
        <w:rPr>
          <w:rFonts w:eastAsia="Calibri"/>
          <w:sz w:val="22"/>
          <w:szCs w:val="22"/>
          <w:lang w:eastAsia="en-US"/>
        </w:rPr>
        <w:t>the Level 2 text of EMIR would be required (Article 11 of Regulation (EU) No 149/2013)</w:t>
      </w:r>
      <w:r w:rsidR="00882586" w:rsidRPr="009260C9">
        <w:rPr>
          <w:rFonts w:eastAsia="Calibri"/>
          <w:sz w:val="22"/>
          <w:szCs w:val="22"/>
          <w:lang w:eastAsia="en-US"/>
        </w:rPr>
        <w:t xml:space="preserve"> as any changes to ESMA’s QA</w:t>
      </w:r>
      <w:r w:rsidR="00824AA7" w:rsidRPr="009260C9">
        <w:rPr>
          <w:rFonts w:eastAsia="Calibri"/>
          <w:sz w:val="22"/>
          <w:szCs w:val="22"/>
          <w:lang w:eastAsia="en-US"/>
        </w:rPr>
        <w:t>s on EMIR implementation</w:t>
      </w:r>
      <w:r w:rsidR="00882586" w:rsidRPr="009260C9">
        <w:rPr>
          <w:rFonts w:eastAsia="Calibri"/>
          <w:sz w:val="22"/>
          <w:szCs w:val="22"/>
          <w:lang w:eastAsia="en-US"/>
        </w:rPr>
        <w:t xml:space="preserve"> would not be sufficient to achieve these objectives</w:t>
      </w:r>
      <w:r w:rsidR="00F83D44" w:rsidRPr="009260C9">
        <w:rPr>
          <w:rFonts w:eastAsia="Calibri"/>
          <w:sz w:val="22"/>
          <w:szCs w:val="22"/>
          <w:lang w:eastAsia="en-US"/>
        </w:rPr>
        <w:t>.</w:t>
      </w:r>
    </w:p>
    <w:permEnd w:id="2093768910"/>
    <w:p w14:paraId="038955B3" w14:textId="77777777" w:rsidR="00A8728B" w:rsidRDefault="00A8728B" w:rsidP="00A8728B"/>
    <w:p w14:paraId="0ECC45C2" w14:textId="0E7FD0BA" w:rsidR="00A8728B" w:rsidRPr="00D76652" w:rsidRDefault="00A8728B" w:rsidP="00A8728B">
      <w:pPr>
        <w:rPr>
          <w:lang w:val="es-ES"/>
        </w:rPr>
      </w:pPr>
      <w:r w:rsidRPr="00D76652">
        <w:rPr>
          <w:lang w:val="es-ES"/>
        </w:rPr>
        <w:t>&lt;ESMA_QUESTION</w:t>
      </w:r>
      <w:r w:rsidR="00D920D1" w:rsidRPr="00D76652">
        <w:rPr>
          <w:lang w:val="es-ES"/>
        </w:rPr>
        <w:t>_</w:t>
      </w:r>
      <w:r w:rsidR="00D76652" w:rsidRPr="00D76652">
        <w:rPr>
          <w:rFonts w:cs="Arial"/>
          <w:lang w:val="es-ES"/>
        </w:rPr>
        <w:t xml:space="preserve"> DP_EMIR_CTs</w:t>
      </w:r>
      <w:r w:rsidR="004648DA">
        <w:rPr>
          <w:rFonts w:cs="Arial"/>
          <w:lang w:val="es-ES"/>
        </w:rPr>
        <w:t>_1</w:t>
      </w:r>
      <w:r w:rsidRPr="00D76652">
        <w:rPr>
          <w:lang w:val="es-ES"/>
        </w:rPr>
        <w:t>&gt;</w:t>
      </w:r>
    </w:p>
    <w:p w14:paraId="4D9CE3FD" w14:textId="77777777" w:rsidR="00C228C1" w:rsidRPr="00D76652" w:rsidRDefault="00C228C1" w:rsidP="00A8728B">
      <w:pPr>
        <w:rPr>
          <w:lang w:val="es-ES"/>
        </w:rPr>
      </w:pPr>
    </w:p>
    <w:p w14:paraId="16E349D0" w14:textId="565B1675" w:rsidR="00431DA4" w:rsidRPr="00431DA4" w:rsidRDefault="004648DA" w:rsidP="00EF383B">
      <w:pPr>
        <w:pStyle w:val="CPQuestions"/>
      </w:pPr>
      <w:r w:rsidRPr="00ED3D8A">
        <w:t>Please explain if you see a need for further clarification to identify OTC contracts that can be considered as reducing risks directly relating to commercial activity or treasury financing activity. And please mention any additional aspects to be further considered with regards to the hedging exemption</w:t>
      </w:r>
      <w:r w:rsidR="00276A5A">
        <w:t>.</w:t>
      </w:r>
    </w:p>
    <w:p w14:paraId="28936F6E" w14:textId="7A758485" w:rsidR="00A8728B" w:rsidRPr="006C2D5A" w:rsidRDefault="00A8728B" w:rsidP="00A8728B">
      <w:pPr>
        <w:rPr>
          <w:lang w:val="es-ES"/>
        </w:rPr>
      </w:pPr>
      <w:r w:rsidRPr="006C2D5A">
        <w:rPr>
          <w:lang w:val="es-ES"/>
        </w:rPr>
        <w:t>&lt;ESMA_QUESTION</w:t>
      </w:r>
      <w:r w:rsidR="00D920D1" w:rsidRPr="006C2D5A">
        <w:rPr>
          <w:lang w:val="es-ES"/>
        </w:rPr>
        <w:t>_</w:t>
      </w:r>
      <w:r w:rsidR="00D76652" w:rsidRPr="00D76652">
        <w:rPr>
          <w:rFonts w:cs="Arial"/>
          <w:lang w:val="es-ES"/>
        </w:rPr>
        <w:t xml:space="preserve"> DP_EMIR_CTs</w:t>
      </w:r>
      <w:r w:rsidR="004648DA">
        <w:rPr>
          <w:rFonts w:cs="Arial"/>
          <w:lang w:val="es-ES"/>
        </w:rPr>
        <w:t>_2</w:t>
      </w:r>
      <w:r w:rsidRPr="006C2D5A">
        <w:rPr>
          <w:lang w:val="es-ES"/>
        </w:rPr>
        <w:t>&gt;</w:t>
      </w:r>
    </w:p>
    <w:p w14:paraId="3B2691A6" w14:textId="5B46386D" w:rsidR="00A8728B" w:rsidRDefault="00A8728B" w:rsidP="00A8728B">
      <w:permStart w:id="2039636534" w:edGrp="everyone"/>
      <w:r>
        <w:t>TYPE YOUR TEXT HERE</w:t>
      </w:r>
    </w:p>
    <w:p w14:paraId="08B27BFE" w14:textId="4063836A" w:rsidR="00B20DB3" w:rsidRPr="009260C9" w:rsidRDefault="00B20DB3" w:rsidP="006E1C40">
      <w:pPr>
        <w:spacing w:before="120" w:after="120"/>
        <w:jc w:val="both"/>
        <w:rPr>
          <w:sz w:val="22"/>
        </w:rPr>
      </w:pPr>
      <w:r w:rsidRPr="009260C9">
        <w:rPr>
          <w:sz w:val="22"/>
        </w:rPr>
        <w:t>Hedging transactions are excluded from the EMIR threshold calculations for commodities (“EMIR CCT”). What constitutes a trade that is “objectively measurable as reducing risks directly relating to the commercial activity or treasury financing activity of the NFC or of that group” is further defined in the Level 2 text of Article 10(1) of Commission Delegated Regulation (EU) No 149/2013 (“CDR 149/2013”). We not</w:t>
      </w:r>
      <w:r w:rsidR="00A45E17" w:rsidRPr="009260C9">
        <w:rPr>
          <w:sz w:val="22"/>
        </w:rPr>
        <w:t>e</w:t>
      </w:r>
      <w:r w:rsidRPr="009260C9">
        <w:rPr>
          <w:sz w:val="22"/>
        </w:rPr>
        <w:t xml:space="preserve"> that the existing EMIR definition of hedging is very similar to </w:t>
      </w:r>
      <w:r w:rsidR="005F07D3" w:rsidRPr="009260C9">
        <w:rPr>
          <w:sz w:val="22"/>
        </w:rPr>
        <w:t xml:space="preserve">the </w:t>
      </w:r>
      <w:r w:rsidRPr="009260C9">
        <w:rPr>
          <w:sz w:val="22"/>
        </w:rPr>
        <w:t>definition in 3</w:t>
      </w:r>
      <w:r w:rsidRPr="009260C9">
        <w:rPr>
          <w:sz w:val="22"/>
          <w:vertAlign w:val="superscript"/>
        </w:rPr>
        <w:t>rd</w:t>
      </w:r>
      <w:r w:rsidRPr="009260C9">
        <w:rPr>
          <w:sz w:val="22"/>
        </w:rPr>
        <w:t xml:space="preserve"> country jurisdiction</w:t>
      </w:r>
      <w:r w:rsidR="005F07D3" w:rsidRPr="009260C9">
        <w:rPr>
          <w:sz w:val="22"/>
        </w:rPr>
        <w:t>s</w:t>
      </w:r>
      <w:r w:rsidRPr="009260C9">
        <w:rPr>
          <w:sz w:val="22"/>
        </w:rPr>
        <w:t xml:space="preserve"> such as the U.S. and </w:t>
      </w:r>
      <w:r w:rsidR="00A96D0B" w:rsidRPr="009260C9">
        <w:rPr>
          <w:sz w:val="22"/>
        </w:rPr>
        <w:t>acknowledge</w:t>
      </w:r>
      <w:r w:rsidRPr="009260C9">
        <w:rPr>
          <w:sz w:val="22"/>
        </w:rPr>
        <w:t xml:space="preserve"> that </w:t>
      </w:r>
      <w:r w:rsidR="00A96D0B" w:rsidRPr="009260C9">
        <w:rPr>
          <w:sz w:val="22"/>
        </w:rPr>
        <w:t>it</w:t>
      </w:r>
      <w:r w:rsidRPr="009260C9">
        <w:rPr>
          <w:sz w:val="22"/>
        </w:rPr>
        <w:t xml:space="preserve"> rightly includes</w:t>
      </w:r>
      <w:r w:rsidR="00221F46" w:rsidRPr="009260C9">
        <w:rPr>
          <w:sz w:val="22"/>
        </w:rPr>
        <w:t xml:space="preserve"> </w:t>
      </w:r>
      <w:r w:rsidR="00A96D0B" w:rsidRPr="009260C9">
        <w:rPr>
          <w:sz w:val="22"/>
        </w:rPr>
        <w:t>p</w:t>
      </w:r>
      <w:r w:rsidR="00221F46" w:rsidRPr="009260C9">
        <w:rPr>
          <w:sz w:val="22"/>
        </w:rPr>
        <w:t>ortfolio-</w:t>
      </w:r>
      <w:r w:rsidR="00A96D0B" w:rsidRPr="009260C9">
        <w:rPr>
          <w:sz w:val="22"/>
        </w:rPr>
        <w:t xml:space="preserve"> and macro h</w:t>
      </w:r>
      <w:r w:rsidR="00221F46" w:rsidRPr="009260C9">
        <w:rPr>
          <w:sz w:val="22"/>
        </w:rPr>
        <w:t>edging</w:t>
      </w:r>
      <w:r w:rsidR="009F6950" w:rsidRPr="009260C9">
        <w:rPr>
          <w:sz w:val="22"/>
        </w:rPr>
        <w:t xml:space="preserve"> and</w:t>
      </w:r>
      <w:r w:rsidRPr="009260C9">
        <w:rPr>
          <w:sz w:val="22"/>
        </w:rPr>
        <w:t xml:space="preserve"> hence</w:t>
      </w:r>
      <w:r w:rsidR="009F6950" w:rsidRPr="009260C9">
        <w:rPr>
          <w:sz w:val="22"/>
        </w:rPr>
        <w:t xml:space="preserve"> its definition </w:t>
      </w:r>
      <w:r w:rsidR="00A96D0B" w:rsidRPr="009260C9">
        <w:rPr>
          <w:sz w:val="22"/>
        </w:rPr>
        <w:t xml:space="preserve">is </w:t>
      </w:r>
      <w:r w:rsidR="009F6950" w:rsidRPr="009260C9">
        <w:rPr>
          <w:sz w:val="22"/>
        </w:rPr>
        <w:t>not narrower than in comparable 3</w:t>
      </w:r>
      <w:r w:rsidR="009F6950" w:rsidRPr="009260C9">
        <w:rPr>
          <w:sz w:val="22"/>
          <w:vertAlign w:val="superscript"/>
        </w:rPr>
        <w:t>rd</w:t>
      </w:r>
      <w:r w:rsidR="009F6950" w:rsidRPr="009260C9">
        <w:rPr>
          <w:sz w:val="22"/>
        </w:rPr>
        <w:t xml:space="preserve"> country regimes.</w:t>
      </w:r>
      <w:r w:rsidR="00527602" w:rsidRPr="009260C9">
        <w:rPr>
          <w:sz w:val="22"/>
        </w:rPr>
        <w:t xml:space="preserve"> </w:t>
      </w:r>
      <w:r w:rsidR="000619E9" w:rsidRPr="009260C9">
        <w:rPr>
          <w:sz w:val="22"/>
        </w:rPr>
        <w:t>However, w</w:t>
      </w:r>
      <w:r w:rsidR="00527602" w:rsidRPr="009260C9">
        <w:rPr>
          <w:sz w:val="22"/>
        </w:rPr>
        <w:t>e note in this context that the substantially higher clearing threshold in those 3</w:t>
      </w:r>
      <w:r w:rsidR="00527602" w:rsidRPr="009260C9">
        <w:rPr>
          <w:sz w:val="22"/>
          <w:vertAlign w:val="superscript"/>
        </w:rPr>
        <w:t>rd</w:t>
      </w:r>
      <w:r w:rsidR="00527602" w:rsidRPr="009260C9">
        <w:rPr>
          <w:sz w:val="22"/>
        </w:rPr>
        <w:t xml:space="preserve"> </w:t>
      </w:r>
      <w:r w:rsidR="00C27700" w:rsidRPr="009260C9">
        <w:rPr>
          <w:sz w:val="22"/>
        </w:rPr>
        <w:t xml:space="preserve">country </w:t>
      </w:r>
      <w:r w:rsidR="00527602" w:rsidRPr="009260C9">
        <w:rPr>
          <w:sz w:val="22"/>
        </w:rPr>
        <w:t>jurisdictions</w:t>
      </w:r>
      <w:r w:rsidR="00A555A0" w:rsidRPr="009260C9">
        <w:rPr>
          <w:rFonts w:eastAsia="Calibri"/>
          <w:sz w:val="22"/>
          <w:szCs w:val="22"/>
          <w:lang w:eastAsia="en-US"/>
        </w:rPr>
        <w:t xml:space="preserve"> (e.g.,</w:t>
      </w:r>
      <w:r w:rsidR="004B7EC4" w:rsidRPr="009260C9">
        <w:rPr>
          <w:rFonts w:eastAsia="Calibri"/>
          <w:sz w:val="22"/>
          <w:szCs w:val="22"/>
          <w:lang w:eastAsia="en-US"/>
        </w:rPr>
        <w:t xml:space="preserve"> the USD 8 Billion threshold under the U.S. Dodd-Frank-Act</w:t>
      </w:r>
      <w:r w:rsidR="00A555A0" w:rsidRPr="009260C9">
        <w:rPr>
          <w:rFonts w:eastAsia="Calibri"/>
          <w:sz w:val="22"/>
          <w:szCs w:val="22"/>
          <w:lang w:eastAsia="en-US"/>
        </w:rPr>
        <w:t>),</w:t>
      </w:r>
      <w:r w:rsidR="004B7EC4" w:rsidRPr="009260C9">
        <w:rPr>
          <w:rFonts w:eastAsia="Calibri"/>
          <w:sz w:val="22"/>
          <w:szCs w:val="22"/>
          <w:lang w:eastAsia="en-US"/>
        </w:rPr>
        <w:t xml:space="preserve"> </w:t>
      </w:r>
      <w:r w:rsidR="00527602" w:rsidRPr="009260C9">
        <w:rPr>
          <w:sz w:val="22"/>
        </w:rPr>
        <w:t>renders the limitations of the current hedging exemption less problematic.</w:t>
      </w:r>
      <w:r w:rsidRPr="009260C9">
        <w:rPr>
          <w:sz w:val="22"/>
        </w:rPr>
        <w:t xml:space="preserve"> Therefore, we are requesting to keep </w:t>
      </w:r>
      <w:r w:rsidR="00572E09" w:rsidRPr="009260C9">
        <w:rPr>
          <w:sz w:val="22"/>
        </w:rPr>
        <w:t xml:space="preserve">at least </w:t>
      </w:r>
      <w:r w:rsidRPr="009260C9">
        <w:rPr>
          <w:sz w:val="22"/>
        </w:rPr>
        <w:t xml:space="preserve">the current </w:t>
      </w:r>
      <w:r w:rsidR="00572E09" w:rsidRPr="009260C9">
        <w:rPr>
          <w:sz w:val="22"/>
        </w:rPr>
        <w:t xml:space="preserve">Level 1 and 2 </w:t>
      </w:r>
      <w:r w:rsidRPr="009260C9">
        <w:rPr>
          <w:sz w:val="22"/>
        </w:rPr>
        <w:t>definition</w:t>
      </w:r>
      <w:r w:rsidR="00572E09" w:rsidRPr="009260C9">
        <w:rPr>
          <w:sz w:val="22"/>
        </w:rPr>
        <w:t>s</w:t>
      </w:r>
      <w:r w:rsidR="00882586" w:rsidRPr="009260C9">
        <w:rPr>
          <w:sz w:val="22"/>
        </w:rPr>
        <w:t xml:space="preserve"> of hedging</w:t>
      </w:r>
      <w:r w:rsidRPr="009260C9">
        <w:rPr>
          <w:sz w:val="22"/>
        </w:rPr>
        <w:t xml:space="preserve"> in place</w:t>
      </w:r>
      <w:r w:rsidR="00882586" w:rsidRPr="009260C9">
        <w:rPr>
          <w:sz w:val="22"/>
        </w:rPr>
        <w:t xml:space="preserve"> and </w:t>
      </w:r>
      <w:r w:rsidR="005F07D3" w:rsidRPr="009260C9">
        <w:rPr>
          <w:sz w:val="22"/>
        </w:rPr>
        <w:t xml:space="preserve">to keep </w:t>
      </w:r>
      <w:r w:rsidR="00882586" w:rsidRPr="009260C9">
        <w:rPr>
          <w:sz w:val="22"/>
        </w:rPr>
        <w:t>this independent of any future review of the EMIR CCT</w:t>
      </w:r>
      <w:r w:rsidRPr="009260C9">
        <w:rPr>
          <w:sz w:val="22"/>
        </w:rPr>
        <w:t>.</w:t>
      </w:r>
    </w:p>
    <w:p w14:paraId="2ACDF38A" w14:textId="65DAD9CA" w:rsidR="006E1C40" w:rsidRPr="00FC72A6" w:rsidRDefault="00B20DB3" w:rsidP="006E1C40">
      <w:pPr>
        <w:spacing w:before="120" w:after="120"/>
        <w:jc w:val="both"/>
        <w:rPr>
          <w:sz w:val="22"/>
        </w:rPr>
      </w:pPr>
      <w:r w:rsidRPr="00E15D92">
        <w:rPr>
          <w:b/>
          <w:bCs/>
          <w:sz w:val="22"/>
        </w:rPr>
        <w:t>However, we believe that</w:t>
      </w:r>
      <w:r w:rsidR="00F53EB3" w:rsidRPr="00E15D92">
        <w:rPr>
          <w:b/>
          <w:bCs/>
          <w:sz w:val="22"/>
        </w:rPr>
        <w:t xml:space="preserve"> the</w:t>
      </w:r>
      <w:r w:rsidR="00572E09" w:rsidRPr="00E15D92">
        <w:rPr>
          <w:b/>
          <w:bCs/>
          <w:sz w:val="22"/>
        </w:rPr>
        <w:t xml:space="preserve"> </w:t>
      </w:r>
      <w:r w:rsidR="00221F46" w:rsidRPr="00E15D92">
        <w:rPr>
          <w:b/>
          <w:bCs/>
          <w:sz w:val="22"/>
        </w:rPr>
        <w:t>understand</w:t>
      </w:r>
      <w:r w:rsidR="00F53EB3" w:rsidRPr="00E15D92">
        <w:rPr>
          <w:b/>
          <w:bCs/>
          <w:sz w:val="22"/>
        </w:rPr>
        <w:t>ing</w:t>
      </w:r>
      <w:r w:rsidR="00221F46" w:rsidRPr="00E15D92">
        <w:rPr>
          <w:b/>
          <w:bCs/>
          <w:sz w:val="22"/>
        </w:rPr>
        <w:t xml:space="preserve"> of the</w:t>
      </w:r>
      <w:r w:rsidR="00EB492A" w:rsidRPr="00E15D92">
        <w:rPr>
          <w:b/>
          <w:bCs/>
          <w:sz w:val="22"/>
        </w:rPr>
        <w:t xml:space="preserve"> term of</w:t>
      </w:r>
      <w:r w:rsidR="00221F46" w:rsidRPr="00E15D92">
        <w:rPr>
          <w:b/>
          <w:bCs/>
          <w:sz w:val="22"/>
        </w:rPr>
        <w:t xml:space="preserve"> underlying commercial</w:t>
      </w:r>
      <w:r w:rsidR="00EB492A" w:rsidRPr="00E15D92">
        <w:rPr>
          <w:b/>
          <w:bCs/>
          <w:sz w:val="22"/>
        </w:rPr>
        <w:t xml:space="preserve"> business</w:t>
      </w:r>
      <w:r w:rsidR="00FE43F6" w:rsidRPr="00E15D92">
        <w:rPr>
          <w:b/>
          <w:bCs/>
          <w:sz w:val="22"/>
        </w:rPr>
        <w:t xml:space="preserve"> (“</w:t>
      </w:r>
      <w:r w:rsidR="00FE43F6" w:rsidRPr="00E15D92">
        <w:rPr>
          <w:b/>
          <w:bCs/>
          <w:i/>
          <w:iCs/>
          <w:sz w:val="22"/>
        </w:rPr>
        <w:t>commercial activity</w:t>
      </w:r>
      <w:r w:rsidR="00FE43F6" w:rsidRPr="00E15D92">
        <w:rPr>
          <w:b/>
          <w:bCs/>
          <w:sz w:val="22"/>
        </w:rPr>
        <w:t>”)</w:t>
      </w:r>
      <w:r w:rsidR="009F6950" w:rsidRPr="00E15D92">
        <w:rPr>
          <w:b/>
          <w:bCs/>
          <w:sz w:val="22"/>
        </w:rPr>
        <w:t xml:space="preserve"> in Art. 10 (</w:t>
      </w:r>
      <w:r w:rsidR="00FE43F6" w:rsidRPr="00E15D92">
        <w:rPr>
          <w:b/>
          <w:bCs/>
          <w:sz w:val="22"/>
        </w:rPr>
        <w:t xml:space="preserve">3) </w:t>
      </w:r>
      <w:r w:rsidR="009F6950" w:rsidRPr="00E15D92">
        <w:rPr>
          <w:b/>
          <w:bCs/>
          <w:sz w:val="22"/>
        </w:rPr>
        <w:t>of EMIR REFIT</w:t>
      </w:r>
      <w:r w:rsidR="00A96D0B" w:rsidRPr="00E15D92">
        <w:rPr>
          <w:b/>
          <w:bCs/>
          <w:sz w:val="22"/>
        </w:rPr>
        <w:t xml:space="preserve">, </w:t>
      </w:r>
      <w:r w:rsidR="00221F46" w:rsidRPr="00E15D92">
        <w:rPr>
          <w:b/>
          <w:bCs/>
          <w:sz w:val="22"/>
        </w:rPr>
        <w:t xml:space="preserve">which can be hedged through OTC </w:t>
      </w:r>
      <w:r w:rsidR="001831C0" w:rsidRPr="00E15D92">
        <w:rPr>
          <w:b/>
          <w:bCs/>
          <w:sz w:val="22"/>
        </w:rPr>
        <w:t>d</w:t>
      </w:r>
      <w:r w:rsidR="00221F46" w:rsidRPr="00E15D92">
        <w:rPr>
          <w:b/>
          <w:bCs/>
          <w:sz w:val="22"/>
        </w:rPr>
        <w:t>erivatives</w:t>
      </w:r>
      <w:r w:rsidR="001831C0" w:rsidRPr="00E15D92">
        <w:rPr>
          <w:b/>
          <w:bCs/>
          <w:sz w:val="22"/>
        </w:rPr>
        <w:t xml:space="preserve"> transactions</w:t>
      </w:r>
      <w:r w:rsidR="00221F46" w:rsidRPr="00E15D92">
        <w:rPr>
          <w:b/>
          <w:bCs/>
          <w:sz w:val="22"/>
        </w:rPr>
        <w:t>,</w:t>
      </w:r>
      <w:r w:rsidR="001831C0" w:rsidRPr="00E15D92">
        <w:rPr>
          <w:b/>
          <w:bCs/>
          <w:sz w:val="22"/>
        </w:rPr>
        <w:t xml:space="preserve"> should be </w:t>
      </w:r>
      <w:r w:rsidR="00ED616A" w:rsidRPr="00E15D92">
        <w:rPr>
          <w:b/>
          <w:bCs/>
          <w:sz w:val="22"/>
        </w:rPr>
        <w:t>clarified</w:t>
      </w:r>
      <w:r w:rsidR="00CD07C7" w:rsidRPr="00E15D92">
        <w:rPr>
          <w:b/>
          <w:bCs/>
          <w:sz w:val="22"/>
        </w:rPr>
        <w:t xml:space="preserve"> by ESMA through its EMIR QAs</w:t>
      </w:r>
      <w:r w:rsidR="00E85A6A" w:rsidRPr="00E15D92">
        <w:rPr>
          <w:b/>
          <w:bCs/>
          <w:sz w:val="22"/>
        </w:rPr>
        <w:t xml:space="preserve"> under the</w:t>
      </w:r>
      <w:r w:rsidR="000619E9" w:rsidRPr="00E15D92">
        <w:rPr>
          <w:b/>
          <w:bCs/>
          <w:sz w:val="22"/>
        </w:rPr>
        <w:t xml:space="preserve"> current</w:t>
      </w:r>
      <w:r w:rsidR="001831C0" w:rsidRPr="00E15D92">
        <w:rPr>
          <w:b/>
          <w:bCs/>
          <w:sz w:val="22"/>
        </w:rPr>
        <w:t xml:space="preserve"> Level 2 text of Article 10(1) of CDR 129/2013 </w:t>
      </w:r>
      <w:r w:rsidR="00ED616A" w:rsidRPr="00E15D92">
        <w:rPr>
          <w:b/>
          <w:bCs/>
          <w:sz w:val="22"/>
        </w:rPr>
        <w:t>to cover the following commercial activities</w:t>
      </w:r>
      <w:r w:rsidR="006E1C40" w:rsidRPr="00FC72A6">
        <w:rPr>
          <w:sz w:val="22"/>
        </w:rPr>
        <w:t>:</w:t>
      </w:r>
    </w:p>
    <w:p w14:paraId="534D3AF0" w14:textId="3A2DE6E8" w:rsidR="006E1C40" w:rsidRPr="00FC72A6" w:rsidRDefault="00913A52" w:rsidP="006E1C40">
      <w:pPr>
        <w:pStyle w:val="ListParagraph"/>
        <w:numPr>
          <w:ilvl w:val="0"/>
          <w:numId w:val="57"/>
        </w:numPr>
        <w:spacing w:before="120" w:after="120"/>
        <w:contextualSpacing w:val="0"/>
        <w:jc w:val="both"/>
        <w:rPr>
          <w:sz w:val="22"/>
        </w:rPr>
      </w:pPr>
      <w:r w:rsidRPr="00FC72A6">
        <w:rPr>
          <w:sz w:val="22"/>
        </w:rPr>
        <w:t>The term “commercial activity”</w:t>
      </w:r>
      <w:r w:rsidR="00F53EB3" w:rsidRPr="00FC72A6">
        <w:rPr>
          <w:sz w:val="22"/>
        </w:rPr>
        <w:t xml:space="preserve"> is currently understood</w:t>
      </w:r>
      <w:r w:rsidR="005A59BF" w:rsidRPr="00FC72A6">
        <w:rPr>
          <w:sz w:val="22"/>
        </w:rPr>
        <w:t xml:space="preserve"> </w:t>
      </w:r>
      <w:r w:rsidR="00F53EB3" w:rsidRPr="00FC72A6">
        <w:rPr>
          <w:sz w:val="22"/>
        </w:rPr>
        <w:t>to cover only non-financial business (non-MiFID II activities)</w:t>
      </w:r>
      <w:r w:rsidRPr="00FC72A6">
        <w:rPr>
          <w:sz w:val="22"/>
        </w:rPr>
        <w:t xml:space="preserve">, i.e., </w:t>
      </w:r>
      <w:r w:rsidR="00C27700" w:rsidRPr="00FC72A6">
        <w:rPr>
          <w:sz w:val="22"/>
        </w:rPr>
        <w:t xml:space="preserve">currently </w:t>
      </w:r>
      <w:r w:rsidRPr="00FC72A6">
        <w:rPr>
          <w:sz w:val="22"/>
        </w:rPr>
        <w:t>it does not cover transactions</w:t>
      </w:r>
      <w:r w:rsidR="00A2615A" w:rsidRPr="00FC72A6">
        <w:rPr>
          <w:sz w:val="22"/>
        </w:rPr>
        <w:t xml:space="preserve"> qualified as </w:t>
      </w:r>
      <w:r w:rsidR="00BF1C78" w:rsidRPr="00FC72A6">
        <w:rPr>
          <w:sz w:val="22"/>
        </w:rPr>
        <w:t xml:space="preserve">commodity </w:t>
      </w:r>
      <w:r w:rsidR="00A2615A" w:rsidRPr="00FC72A6">
        <w:rPr>
          <w:sz w:val="22"/>
        </w:rPr>
        <w:t>derivatives under MiFID II</w:t>
      </w:r>
      <w:r w:rsidR="00F53EB3" w:rsidRPr="00FC72A6">
        <w:rPr>
          <w:sz w:val="22"/>
        </w:rPr>
        <w:t>.</w:t>
      </w:r>
      <w:r w:rsidR="00E718A0" w:rsidRPr="00FC72A6">
        <w:rPr>
          <w:sz w:val="22"/>
        </w:rPr>
        <w:t xml:space="preserve"> Therefore, hedging the commercial risk of a</w:t>
      </w:r>
      <w:r w:rsidR="005A59BF" w:rsidRPr="00FC72A6">
        <w:rPr>
          <w:sz w:val="22"/>
        </w:rPr>
        <w:t xml:space="preserve"> first</w:t>
      </w:r>
      <w:r w:rsidR="00E718A0" w:rsidRPr="00FC72A6">
        <w:rPr>
          <w:sz w:val="22"/>
        </w:rPr>
        <w:t xml:space="preserve"> </w:t>
      </w:r>
      <w:r w:rsidR="00BF1C78" w:rsidRPr="00FC72A6">
        <w:rPr>
          <w:sz w:val="22"/>
        </w:rPr>
        <w:t>(</w:t>
      </w:r>
      <w:r w:rsidR="005A59BF" w:rsidRPr="00FC72A6">
        <w:rPr>
          <w:sz w:val="22"/>
        </w:rPr>
        <w:t>non-hedging</w:t>
      </w:r>
      <w:r w:rsidR="00BF1C78" w:rsidRPr="00FC72A6">
        <w:rPr>
          <w:sz w:val="22"/>
        </w:rPr>
        <w:t>)</w:t>
      </w:r>
      <w:r w:rsidR="005A59BF" w:rsidRPr="00FC72A6">
        <w:rPr>
          <w:sz w:val="22"/>
        </w:rPr>
        <w:t xml:space="preserve"> </w:t>
      </w:r>
      <w:r w:rsidR="00E718A0" w:rsidRPr="00FC72A6">
        <w:rPr>
          <w:sz w:val="22"/>
        </w:rPr>
        <w:t>derivative transaction</w:t>
      </w:r>
      <w:r w:rsidR="001831C0" w:rsidRPr="00FC72A6">
        <w:rPr>
          <w:sz w:val="22"/>
        </w:rPr>
        <w:t xml:space="preserve"> – which forms part of the main commercial business of a</w:t>
      </w:r>
      <w:r w:rsidR="00C27700" w:rsidRPr="00FC72A6">
        <w:rPr>
          <w:sz w:val="22"/>
        </w:rPr>
        <w:t>n</w:t>
      </w:r>
      <w:r w:rsidR="001831C0" w:rsidRPr="00FC72A6">
        <w:rPr>
          <w:sz w:val="22"/>
        </w:rPr>
        <w:t xml:space="preserve"> NFC –</w:t>
      </w:r>
      <w:r w:rsidR="00E718A0" w:rsidRPr="00FC72A6">
        <w:rPr>
          <w:sz w:val="22"/>
        </w:rPr>
        <w:t xml:space="preserve"> with another</w:t>
      </w:r>
      <w:r w:rsidR="005A59BF" w:rsidRPr="00FC72A6">
        <w:rPr>
          <w:sz w:val="22"/>
        </w:rPr>
        <w:t xml:space="preserve"> second</w:t>
      </w:r>
      <w:r w:rsidR="005D1114" w:rsidRPr="00FC72A6">
        <w:rPr>
          <w:sz w:val="22"/>
        </w:rPr>
        <w:t xml:space="preserve"> risk</w:t>
      </w:r>
      <w:r w:rsidR="00C27700" w:rsidRPr="00FC72A6">
        <w:rPr>
          <w:sz w:val="22"/>
        </w:rPr>
        <w:t>-</w:t>
      </w:r>
      <w:r w:rsidR="005D1114" w:rsidRPr="00FC72A6">
        <w:rPr>
          <w:sz w:val="22"/>
        </w:rPr>
        <w:t>reducing</w:t>
      </w:r>
      <w:r w:rsidR="00E718A0" w:rsidRPr="00FC72A6">
        <w:rPr>
          <w:sz w:val="22"/>
        </w:rPr>
        <w:t xml:space="preserve"> derivative transaction is </w:t>
      </w:r>
      <w:r w:rsidR="005A59BF" w:rsidRPr="00FC72A6">
        <w:rPr>
          <w:sz w:val="22"/>
        </w:rPr>
        <w:t xml:space="preserve">currently </w:t>
      </w:r>
      <w:r w:rsidR="00E718A0" w:rsidRPr="00FC72A6">
        <w:rPr>
          <w:sz w:val="22"/>
        </w:rPr>
        <w:t>not recognised as hedging</w:t>
      </w:r>
      <w:r w:rsidR="001831C0" w:rsidRPr="00FC72A6">
        <w:rPr>
          <w:sz w:val="22"/>
        </w:rPr>
        <w:t xml:space="preserve">, </w:t>
      </w:r>
      <w:r w:rsidR="00E718A0" w:rsidRPr="00FC72A6">
        <w:rPr>
          <w:sz w:val="22"/>
        </w:rPr>
        <w:t xml:space="preserve">although economically the latter transaction can reduce the market price risk of the </w:t>
      </w:r>
      <w:r w:rsidR="00C27700" w:rsidRPr="00FC72A6">
        <w:rPr>
          <w:sz w:val="22"/>
        </w:rPr>
        <w:t>former</w:t>
      </w:r>
      <w:r w:rsidR="00E718A0" w:rsidRPr="00FC72A6">
        <w:rPr>
          <w:sz w:val="22"/>
        </w:rPr>
        <w:t>.</w:t>
      </w:r>
    </w:p>
    <w:p w14:paraId="0CEA681E" w14:textId="188CB7FE" w:rsidR="006E1C40" w:rsidRPr="005B3970" w:rsidRDefault="00E718A0" w:rsidP="006E1C40">
      <w:pPr>
        <w:pStyle w:val="ListParagraph"/>
        <w:numPr>
          <w:ilvl w:val="0"/>
          <w:numId w:val="57"/>
        </w:numPr>
        <w:spacing w:before="120" w:after="120"/>
        <w:contextualSpacing w:val="0"/>
        <w:jc w:val="both"/>
        <w:rPr>
          <w:b/>
          <w:bCs/>
          <w:sz w:val="22"/>
        </w:rPr>
      </w:pPr>
      <w:r w:rsidRPr="005B3970">
        <w:rPr>
          <w:b/>
          <w:bCs/>
          <w:sz w:val="22"/>
        </w:rPr>
        <w:lastRenderedPageBreak/>
        <w:t>Hence,</w:t>
      </w:r>
      <w:r w:rsidR="00221F46" w:rsidRPr="005B3970">
        <w:rPr>
          <w:b/>
          <w:bCs/>
          <w:sz w:val="22"/>
        </w:rPr>
        <w:t xml:space="preserve"> </w:t>
      </w:r>
      <w:r w:rsidRPr="005B3970">
        <w:rPr>
          <w:b/>
          <w:bCs/>
          <w:sz w:val="22"/>
        </w:rPr>
        <w:t>the understanding of</w:t>
      </w:r>
      <w:r w:rsidR="001831C0" w:rsidRPr="005B3970">
        <w:rPr>
          <w:b/>
          <w:bCs/>
          <w:sz w:val="22"/>
        </w:rPr>
        <w:t xml:space="preserve"> the term “commercial activity”</w:t>
      </w:r>
      <w:r w:rsidR="00A96D0B" w:rsidRPr="005B3970">
        <w:rPr>
          <w:b/>
          <w:bCs/>
          <w:sz w:val="22"/>
        </w:rPr>
        <w:t xml:space="preserve"> </w:t>
      </w:r>
      <w:r w:rsidR="00572E09" w:rsidRPr="005B3970">
        <w:rPr>
          <w:b/>
          <w:bCs/>
          <w:sz w:val="22"/>
        </w:rPr>
        <w:t xml:space="preserve">could </w:t>
      </w:r>
      <w:r w:rsidR="00221F46" w:rsidRPr="005B3970">
        <w:rPr>
          <w:b/>
          <w:bCs/>
          <w:sz w:val="22"/>
        </w:rPr>
        <w:t xml:space="preserve">be </w:t>
      </w:r>
      <w:r w:rsidR="00ED616A" w:rsidRPr="005B3970">
        <w:rPr>
          <w:b/>
          <w:bCs/>
          <w:sz w:val="22"/>
        </w:rPr>
        <w:t>clarified</w:t>
      </w:r>
      <w:r w:rsidR="00221F46" w:rsidRPr="005B3970">
        <w:rPr>
          <w:b/>
          <w:bCs/>
          <w:sz w:val="22"/>
        </w:rPr>
        <w:t xml:space="preserve"> to cover the hedging of risks stemming from </w:t>
      </w:r>
      <w:r w:rsidR="00572E09" w:rsidRPr="005B3970">
        <w:rPr>
          <w:b/>
          <w:bCs/>
          <w:sz w:val="22"/>
        </w:rPr>
        <w:t>entering into</w:t>
      </w:r>
      <w:r w:rsidR="00221F46" w:rsidRPr="005B3970">
        <w:rPr>
          <w:b/>
          <w:bCs/>
          <w:sz w:val="22"/>
        </w:rPr>
        <w:t xml:space="preserve"> financial instruments</w:t>
      </w:r>
      <w:r w:rsidR="00BF1C78" w:rsidRPr="005B3970">
        <w:rPr>
          <w:b/>
          <w:bCs/>
          <w:sz w:val="22"/>
        </w:rPr>
        <w:t xml:space="preserve"> (commodity derivatives)</w:t>
      </w:r>
      <w:r w:rsidR="00221F46" w:rsidRPr="005B3970">
        <w:rPr>
          <w:b/>
          <w:bCs/>
          <w:sz w:val="22"/>
        </w:rPr>
        <w:t>, when the</w:t>
      </w:r>
      <w:r w:rsidR="00572E09" w:rsidRPr="005B3970">
        <w:rPr>
          <w:b/>
          <w:bCs/>
          <w:sz w:val="22"/>
        </w:rPr>
        <w:t>se financial instruments belong to</w:t>
      </w:r>
      <w:r w:rsidR="00221F46" w:rsidRPr="005B3970">
        <w:rPr>
          <w:b/>
          <w:bCs/>
          <w:sz w:val="22"/>
        </w:rPr>
        <w:t xml:space="preserve"> </w:t>
      </w:r>
      <w:r w:rsidR="00F55397" w:rsidRPr="005B3970">
        <w:rPr>
          <w:b/>
          <w:bCs/>
          <w:sz w:val="22"/>
        </w:rPr>
        <w:t xml:space="preserve">the </w:t>
      </w:r>
      <w:r w:rsidR="00221F46" w:rsidRPr="005B3970">
        <w:rPr>
          <w:b/>
          <w:bCs/>
          <w:sz w:val="22"/>
        </w:rPr>
        <w:t>core</w:t>
      </w:r>
      <w:r w:rsidR="00EB492A" w:rsidRPr="005B3970">
        <w:rPr>
          <w:b/>
          <w:bCs/>
          <w:sz w:val="22"/>
        </w:rPr>
        <w:t xml:space="preserve"> commercial</w:t>
      </w:r>
      <w:r w:rsidR="00221F46" w:rsidRPr="005B3970">
        <w:rPr>
          <w:b/>
          <w:bCs/>
          <w:sz w:val="22"/>
        </w:rPr>
        <w:t xml:space="preserve"> activity of </w:t>
      </w:r>
      <w:r w:rsidR="00EB492A" w:rsidRPr="005B3970">
        <w:rPr>
          <w:b/>
          <w:bCs/>
          <w:sz w:val="22"/>
        </w:rPr>
        <w:t>a</w:t>
      </w:r>
      <w:r w:rsidR="00407BF2" w:rsidRPr="005B3970">
        <w:rPr>
          <w:b/>
          <w:bCs/>
          <w:sz w:val="22"/>
        </w:rPr>
        <w:t>n</w:t>
      </w:r>
      <w:r w:rsidR="00EB492A" w:rsidRPr="005B3970">
        <w:rPr>
          <w:b/>
          <w:bCs/>
          <w:sz w:val="22"/>
        </w:rPr>
        <w:t xml:space="preserve"> NFC-</w:t>
      </w:r>
      <w:r w:rsidRPr="005B3970">
        <w:rPr>
          <w:b/>
          <w:bCs/>
          <w:sz w:val="22"/>
        </w:rPr>
        <w:t>, e.g.,</w:t>
      </w:r>
      <w:r w:rsidR="005A59BF" w:rsidRPr="005B3970">
        <w:rPr>
          <w:b/>
          <w:bCs/>
          <w:sz w:val="22"/>
        </w:rPr>
        <w:t xml:space="preserve"> </w:t>
      </w:r>
      <w:r w:rsidR="00C27700" w:rsidRPr="005B3970">
        <w:rPr>
          <w:b/>
          <w:bCs/>
          <w:sz w:val="22"/>
        </w:rPr>
        <w:t>those</w:t>
      </w:r>
      <w:r w:rsidR="00A2615A" w:rsidRPr="005B3970">
        <w:rPr>
          <w:b/>
          <w:bCs/>
          <w:sz w:val="22"/>
        </w:rPr>
        <w:t xml:space="preserve"> NFC-s whose core commercial activity is</w:t>
      </w:r>
      <w:r w:rsidRPr="005B3970">
        <w:rPr>
          <w:b/>
          <w:bCs/>
          <w:sz w:val="22"/>
        </w:rPr>
        <w:t xml:space="preserve"> </w:t>
      </w:r>
      <w:r w:rsidR="00572E09" w:rsidRPr="005B3970">
        <w:rPr>
          <w:b/>
          <w:bCs/>
          <w:sz w:val="22"/>
        </w:rPr>
        <w:t>t</w:t>
      </w:r>
      <w:r w:rsidR="00EB492A" w:rsidRPr="005B3970">
        <w:rPr>
          <w:b/>
          <w:bCs/>
          <w:sz w:val="22"/>
        </w:rPr>
        <w:t xml:space="preserve">o deal in financial instruments </w:t>
      </w:r>
      <w:r w:rsidR="00EC0AF0" w:rsidRPr="005B3970">
        <w:rPr>
          <w:b/>
          <w:bCs/>
          <w:sz w:val="22"/>
        </w:rPr>
        <w:t xml:space="preserve">as </w:t>
      </w:r>
      <w:r w:rsidR="00EB492A" w:rsidRPr="005B3970">
        <w:rPr>
          <w:b/>
          <w:bCs/>
          <w:sz w:val="22"/>
        </w:rPr>
        <w:t xml:space="preserve">specialised </w:t>
      </w:r>
      <w:r w:rsidR="005830A8" w:rsidRPr="005B3970">
        <w:rPr>
          <w:b/>
          <w:bCs/>
          <w:sz w:val="22"/>
        </w:rPr>
        <w:t xml:space="preserve">energy and </w:t>
      </w:r>
      <w:r w:rsidR="00EB492A" w:rsidRPr="005B3970">
        <w:rPr>
          <w:b/>
          <w:bCs/>
          <w:sz w:val="22"/>
        </w:rPr>
        <w:t>commodity</w:t>
      </w:r>
      <w:r w:rsidR="005830A8" w:rsidRPr="005B3970">
        <w:rPr>
          <w:b/>
          <w:bCs/>
          <w:sz w:val="22"/>
        </w:rPr>
        <w:t xml:space="preserve"> trading firms</w:t>
      </w:r>
      <w:r w:rsidR="00C27700" w:rsidRPr="005B3970">
        <w:rPr>
          <w:b/>
          <w:bCs/>
          <w:sz w:val="22"/>
        </w:rPr>
        <w:t xml:space="preserve"> do</w:t>
      </w:r>
      <w:r w:rsidR="00EB492A" w:rsidRPr="005B3970">
        <w:rPr>
          <w:b/>
          <w:bCs/>
          <w:sz w:val="22"/>
        </w:rPr>
        <w:t>.</w:t>
      </w:r>
    </w:p>
    <w:p w14:paraId="16F36798" w14:textId="10F557AB" w:rsidR="00E718A0" w:rsidRPr="00FC72A6" w:rsidRDefault="007D6715" w:rsidP="006E1C40">
      <w:pPr>
        <w:pStyle w:val="ListParagraph"/>
        <w:numPr>
          <w:ilvl w:val="0"/>
          <w:numId w:val="57"/>
        </w:numPr>
        <w:spacing w:before="120" w:after="120"/>
        <w:contextualSpacing w:val="0"/>
        <w:jc w:val="both"/>
        <w:rPr>
          <w:sz w:val="22"/>
        </w:rPr>
      </w:pPr>
      <w:r>
        <w:rPr>
          <w:sz w:val="22"/>
        </w:rPr>
        <w:t xml:space="preserve">We </w:t>
      </w:r>
      <w:r w:rsidR="00E85A6A" w:rsidRPr="00FC72A6">
        <w:rPr>
          <w:sz w:val="22"/>
        </w:rPr>
        <w:t>understand from the</w:t>
      </w:r>
      <w:r w:rsidR="005D1114" w:rsidRPr="00FC72A6">
        <w:rPr>
          <w:sz w:val="22"/>
        </w:rPr>
        <w:t xml:space="preserve"> wording of</w:t>
      </w:r>
      <w:r w:rsidR="00BF1C78" w:rsidRPr="00FC72A6">
        <w:rPr>
          <w:sz w:val="22"/>
        </w:rPr>
        <w:t xml:space="preserve"> the</w:t>
      </w:r>
      <w:r w:rsidR="00E85A6A" w:rsidRPr="00FC72A6">
        <w:rPr>
          <w:sz w:val="22"/>
        </w:rPr>
        <w:t xml:space="preserve"> new ESMA EMIR QA</w:t>
      </w:r>
      <w:r w:rsidR="000619E9" w:rsidRPr="00FC72A6">
        <w:rPr>
          <w:sz w:val="22"/>
        </w:rPr>
        <w:t>s</w:t>
      </w:r>
      <w:r w:rsidR="00E85A6A" w:rsidRPr="00FC72A6">
        <w:rPr>
          <w:sz w:val="22"/>
        </w:rPr>
        <w:t xml:space="preserve"> (</w:t>
      </w:r>
      <w:r w:rsidR="005A59BF" w:rsidRPr="00FC72A6">
        <w:rPr>
          <w:sz w:val="22"/>
        </w:rPr>
        <w:t>OTC Question 10</w:t>
      </w:r>
      <w:r w:rsidR="004F0C45" w:rsidRPr="00FC72A6">
        <w:rPr>
          <w:sz w:val="22"/>
        </w:rPr>
        <w:t xml:space="preserve"> (d)</w:t>
      </w:r>
      <w:r w:rsidR="005A59BF" w:rsidRPr="00FC72A6">
        <w:rPr>
          <w:sz w:val="22"/>
        </w:rPr>
        <w:t>, page 29</w:t>
      </w:r>
      <w:r w:rsidR="00982AA2" w:rsidRPr="00FC72A6">
        <w:rPr>
          <w:sz w:val="22"/>
        </w:rPr>
        <w:t>, 31</w:t>
      </w:r>
      <w:r w:rsidR="005A59BF" w:rsidRPr="00FC72A6">
        <w:rPr>
          <w:sz w:val="22"/>
        </w:rPr>
        <w:t xml:space="preserve"> – see </w:t>
      </w:r>
      <w:hyperlink r:id="rId21" w:history="1">
        <w:r w:rsidR="005A59BF" w:rsidRPr="00FC72A6">
          <w:rPr>
            <w:rStyle w:val="Hyperlink"/>
            <w:color w:val="auto"/>
            <w:sz w:val="22"/>
          </w:rPr>
          <w:t>link</w:t>
        </w:r>
      </w:hyperlink>
      <w:r w:rsidR="005A59BF" w:rsidRPr="00FC72A6">
        <w:rPr>
          <w:sz w:val="22"/>
        </w:rPr>
        <w:t>) that a core commercial activity</w:t>
      </w:r>
      <w:r w:rsidR="00D87FC6" w:rsidRPr="00FC72A6">
        <w:rPr>
          <w:sz w:val="22"/>
        </w:rPr>
        <w:t xml:space="preserve"> of an NFC</w:t>
      </w:r>
      <w:r w:rsidR="005A59BF" w:rsidRPr="00FC72A6">
        <w:rPr>
          <w:sz w:val="22"/>
        </w:rPr>
        <w:t xml:space="preserve"> can consist of buying, selling or owning financial instruments</w:t>
      </w:r>
      <w:r w:rsidR="00982AA2" w:rsidRPr="00FC72A6">
        <w:rPr>
          <w:sz w:val="22"/>
        </w:rPr>
        <w:t>.</w:t>
      </w:r>
    </w:p>
    <w:p w14:paraId="5F7D8ED4" w14:textId="4E988CBC" w:rsidR="00E718A0" w:rsidRPr="00FC72A6" w:rsidRDefault="00572E09" w:rsidP="006E1C40">
      <w:pPr>
        <w:spacing w:before="120" w:after="120"/>
        <w:jc w:val="both"/>
        <w:rPr>
          <w:sz w:val="22"/>
        </w:rPr>
      </w:pPr>
      <w:r w:rsidRPr="00FC72A6">
        <w:rPr>
          <w:sz w:val="22"/>
        </w:rPr>
        <w:t>This concerns</w:t>
      </w:r>
      <w:r w:rsidR="00E718A0" w:rsidRPr="00FC72A6">
        <w:rPr>
          <w:sz w:val="22"/>
        </w:rPr>
        <w:t xml:space="preserve"> the following</w:t>
      </w:r>
      <w:r w:rsidRPr="00FC72A6">
        <w:rPr>
          <w:sz w:val="22"/>
        </w:rPr>
        <w:t xml:space="preserve"> cases</w:t>
      </w:r>
      <w:r w:rsidR="00E718A0" w:rsidRPr="00FC72A6">
        <w:rPr>
          <w:sz w:val="22"/>
        </w:rPr>
        <w:t>:</w:t>
      </w:r>
    </w:p>
    <w:p w14:paraId="660BF091" w14:textId="77777777" w:rsidR="00906782" w:rsidRPr="00E15D92" w:rsidRDefault="00B02317" w:rsidP="006E1C40">
      <w:pPr>
        <w:pStyle w:val="ListParagraph"/>
        <w:numPr>
          <w:ilvl w:val="0"/>
          <w:numId w:val="56"/>
        </w:numPr>
        <w:spacing w:before="120" w:after="120"/>
        <w:contextualSpacing w:val="0"/>
        <w:jc w:val="both"/>
        <w:rPr>
          <w:b/>
          <w:bCs/>
          <w:sz w:val="22"/>
        </w:rPr>
      </w:pPr>
      <w:r w:rsidRPr="00E15D92">
        <w:rPr>
          <w:b/>
          <w:bCs/>
          <w:sz w:val="22"/>
        </w:rPr>
        <w:t>W</w:t>
      </w:r>
      <w:r w:rsidR="00572E09" w:rsidRPr="00E15D92">
        <w:rPr>
          <w:b/>
          <w:bCs/>
          <w:sz w:val="22"/>
        </w:rPr>
        <w:t xml:space="preserve">here the OTC </w:t>
      </w:r>
      <w:r w:rsidR="001831C0" w:rsidRPr="00E15D92">
        <w:rPr>
          <w:b/>
          <w:bCs/>
          <w:sz w:val="22"/>
        </w:rPr>
        <w:t>d</w:t>
      </w:r>
      <w:r w:rsidR="00572E09" w:rsidRPr="00E15D92">
        <w:rPr>
          <w:b/>
          <w:bCs/>
          <w:sz w:val="22"/>
        </w:rPr>
        <w:t>erivatives are used as</w:t>
      </w:r>
      <w:r w:rsidR="001831C0" w:rsidRPr="00E15D92">
        <w:rPr>
          <w:b/>
          <w:bCs/>
          <w:sz w:val="22"/>
        </w:rPr>
        <w:t xml:space="preserve"> part of the main</w:t>
      </w:r>
      <w:r w:rsidR="00572E09" w:rsidRPr="00E15D92">
        <w:rPr>
          <w:b/>
          <w:bCs/>
          <w:sz w:val="22"/>
        </w:rPr>
        <w:t xml:space="preserve"> commercial activity</w:t>
      </w:r>
      <w:r w:rsidR="005B0F4A" w:rsidRPr="00E15D92">
        <w:rPr>
          <w:b/>
          <w:bCs/>
          <w:sz w:val="22"/>
        </w:rPr>
        <w:t>:</w:t>
      </w:r>
    </w:p>
    <w:p w14:paraId="3DE58C2E" w14:textId="26EEA972" w:rsidR="00B02317" w:rsidRPr="009260C9" w:rsidRDefault="005B0F4A" w:rsidP="006E1C40">
      <w:pPr>
        <w:spacing w:before="120" w:after="120"/>
        <w:ind w:left="360"/>
        <w:jc w:val="both"/>
        <w:rPr>
          <w:sz w:val="22"/>
        </w:rPr>
      </w:pPr>
      <w:r w:rsidRPr="009260C9">
        <w:rPr>
          <w:sz w:val="22"/>
        </w:rPr>
        <w:t>F</w:t>
      </w:r>
      <w:r w:rsidR="00F55397" w:rsidRPr="009260C9">
        <w:rPr>
          <w:sz w:val="22"/>
        </w:rPr>
        <w:t>or example</w:t>
      </w:r>
      <w:r w:rsidRPr="009260C9">
        <w:rPr>
          <w:sz w:val="22"/>
        </w:rPr>
        <w:t>,</w:t>
      </w:r>
      <w:r w:rsidR="00F55397" w:rsidRPr="009260C9">
        <w:rPr>
          <w:sz w:val="22"/>
        </w:rPr>
        <w:t xml:space="preserve"> if a</w:t>
      </w:r>
      <w:r w:rsidR="00407BF2" w:rsidRPr="009260C9">
        <w:rPr>
          <w:sz w:val="22"/>
        </w:rPr>
        <w:t>n</w:t>
      </w:r>
      <w:r w:rsidR="00F55397" w:rsidRPr="009260C9">
        <w:rPr>
          <w:sz w:val="22"/>
        </w:rPr>
        <w:t xml:space="preserve"> energy trader</w:t>
      </w:r>
      <w:r w:rsidR="00EC0AF0" w:rsidRPr="009260C9">
        <w:rPr>
          <w:sz w:val="22"/>
        </w:rPr>
        <w:t xml:space="preserve"> or other energy firms</w:t>
      </w:r>
      <w:r w:rsidR="00F55397" w:rsidRPr="009260C9">
        <w:rPr>
          <w:sz w:val="22"/>
        </w:rPr>
        <w:t xml:space="preserve"> enter into a virtual</w:t>
      </w:r>
      <w:r w:rsidR="00200C87" w:rsidRPr="009260C9">
        <w:rPr>
          <w:sz w:val="22"/>
        </w:rPr>
        <w:t xml:space="preserve"> Power Purchase Agreement</w:t>
      </w:r>
      <w:r w:rsidR="00F55397" w:rsidRPr="009260C9">
        <w:rPr>
          <w:sz w:val="22"/>
        </w:rPr>
        <w:t xml:space="preserve"> </w:t>
      </w:r>
      <w:r w:rsidRPr="009260C9">
        <w:rPr>
          <w:sz w:val="22"/>
        </w:rPr>
        <w:t>(“</w:t>
      </w:r>
      <w:r w:rsidR="00F55397" w:rsidRPr="009260C9">
        <w:rPr>
          <w:sz w:val="22"/>
        </w:rPr>
        <w:t>PPA</w:t>
      </w:r>
      <w:r w:rsidRPr="009260C9">
        <w:rPr>
          <w:sz w:val="22"/>
        </w:rPr>
        <w:t xml:space="preserve">”), e.g., in the form of a </w:t>
      </w:r>
      <w:r w:rsidR="00E718A0" w:rsidRPr="009260C9">
        <w:rPr>
          <w:sz w:val="22"/>
        </w:rPr>
        <w:t>financially settled swap fix-for-floating</w:t>
      </w:r>
      <w:r w:rsidRPr="009260C9">
        <w:rPr>
          <w:sz w:val="22"/>
        </w:rPr>
        <w:t>,</w:t>
      </w:r>
      <w:r w:rsidR="00F55397" w:rsidRPr="009260C9">
        <w:rPr>
          <w:sz w:val="22"/>
        </w:rPr>
        <w:t xml:space="preserve"> with a renewable energy producer.</w:t>
      </w:r>
      <w:r w:rsidR="00B02317" w:rsidRPr="009260C9">
        <w:rPr>
          <w:sz w:val="22"/>
        </w:rPr>
        <w:t xml:space="preserve"> In this respect we would like to stress that energy firms are playing an increasingly important role in facilitating and enabling renewable energy projects</w:t>
      </w:r>
      <w:r w:rsidR="00C27700" w:rsidRPr="009260C9">
        <w:rPr>
          <w:sz w:val="22"/>
        </w:rPr>
        <w:t>, for example,</w:t>
      </w:r>
      <w:r w:rsidR="00B02317" w:rsidRPr="009260C9">
        <w:rPr>
          <w:sz w:val="22"/>
        </w:rPr>
        <w:t xml:space="preserve"> wind farms</w:t>
      </w:r>
      <w:r w:rsidR="00C27700" w:rsidRPr="009260C9">
        <w:rPr>
          <w:sz w:val="22"/>
        </w:rPr>
        <w:t xml:space="preserve"> and</w:t>
      </w:r>
      <w:r w:rsidR="00B02317" w:rsidRPr="009260C9">
        <w:rPr>
          <w:sz w:val="22"/>
        </w:rPr>
        <w:t xml:space="preserve"> hydrogen plants. Due to various considerations </w:t>
      </w:r>
      <w:r w:rsidR="001B03DB" w:rsidRPr="009260C9">
        <w:rPr>
          <w:sz w:val="22"/>
        </w:rPr>
        <w:t>including</w:t>
      </w:r>
      <w:r w:rsidR="00B02317" w:rsidRPr="009260C9">
        <w:rPr>
          <w:sz w:val="22"/>
        </w:rPr>
        <w:t xml:space="preserve"> regulatory constraints this facilitation regularly takes the form of virtual offtake structures which renewable</w:t>
      </w:r>
      <w:r w:rsidR="001B03DB" w:rsidRPr="009260C9">
        <w:rPr>
          <w:sz w:val="22"/>
        </w:rPr>
        <w:t xml:space="preserve"> energy</w:t>
      </w:r>
      <w:r w:rsidR="00B02317" w:rsidRPr="009260C9">
        <w:rPr>
          <w:sz w:val="22"/>
        </w:rPr>
        <w:t xml:space="preserve"> asset developers</w:t>
      </w:r>
      <w:r w:rsidR="001B03DB" w:rsidRPr="009260C9">
        <w:rPr>
          <w:sz w:val="22"/>
        </w:rPr>
        <w:t xml:space="preserve"> and producers</w:t>
      </w:r>
      <w:r w:rsidR="00B02317" w:rsidRPr="009260C9">
        <w:rPr>
          <w:sz w:val="22"/>
        </w:rPr>
        <w:t xml:space="preserve"> require as a risk management tool (and without which these projects would not materialize).</w:t>
      </w:r>
    </w:p>
    <w:p w14:paraId="11E091AF" w14:textId="50CB3F4E" w:rsidR="00F17350" w:rsidRPr="009260C9" w:rsidRDefault="00B345EF" w:rsidP="006E1C40">
      <w:pPr>
        <w:spacing w:before="120" w:after="120"/>
        <w:ind w:left="360"/>
        <w:jc w:val="both"/>
        <w:rPr>
          <w:sz w:val="22"/>
        </w:rPr>
      </w:pPr>
      <w:r w:rsidRPr="009260C9">
        <w:rPr>
          <w:sz w:val="22"/>
          <w:szCs w:val="22"/>
        </w:rPr>
        <w:t xml:space="preserve">Hence, these </w:t>
      </w:r>
      <w:r w:rsidR="00F17350" w:rsidRPr="009260C9">
        <w:rPr>
          <w:sz w:val="22"/>
          <w:szCs w:val="22"/>
        </w:rPr>
        <w:t>PPA</w:t>
      </w:r>
      <w:r w:rsidRPr="009260C9">
        <w:rPr>
          <w:sz w:val="22"/>
          <w:szCs w:val="22"/>
        </w:rPr>
        <w:t>s</w:t>
      </w:r>
      <w:r w:rsidR="00F17350" w:rsidRPr="009260C9">
        <w:rPr>
          <w:sz w:val="22"/>
          <w:szCs w:val="22"/>
        </w:rPr>
        <w:t xml:space="preserve"> </w:t>
      </w:r>
      <w:r w:rsidR="00F17350" w:rsidRPr="009260C9">
        <w:rPr>
          <w:rFonts w:eastAsia="Calibri"/>
          <w:sz w:val="22"/>
          <w:szCs w:val="22"/>
          <w:lang w:val="en-US" w:eastAsia="en-US"/>
        </w:rPr>
        <w:t xml:space="preserve">are used as a means of investment financing as it </w:t>
      </w:r>
      <w:r w:rsidR="00F17350" w:rsidRPr="009260C9">
        <w:rPr>
          <w:sz w:val="22"/>
          <w:szCs w:val="22"/>
        </w:rPr>
        <w:t>secures the renewable energy producer a fixed margin for its</w:t>
      </w:r>
      <w:r w:rsidR="00027A85" w:rsidRPr="009260C9">
        <w:rPr>
          <w:sz w:val="22"/>
          <w:szCs w:val="22"/>
        </w:rPr>
        <w:t xml:space="preserve"> produced</w:t>
      </w:r>
      <w:r w:rsidR="00F17350" w:rsidRPr="009260C9">
        <w:rPr>
          <w:sz w:val="22"/>
          <w:szCs w:val="22"/>
        </w:rPr>
        <w:t xml:space="preserve"> power quantities. The </w:t>
      </w:r>
      <w:r w:rsidR="00DB35FF" w:rsidRPr="009260C9">
        <w:rPr>
          <w:sz w:val="22"/>
          <w:szCs w:val="22"/>
        </w:rPr>
        <w:t xml:space="preserve">payments under such contracts depend not only on a price index, but also on </w:t>
      </w:r>
      <w:r w:rsidRPr="009260C9">
        <w:rPr>
          <w:sz w:val="22"/>
          <w:szCs w:val="22"/>
        </w:rPr>
        <w:t xml:space="preserve">the </w:t>
      </w:r>
      <w:r w:rsidR="00DB35FF" w:rsidRPr="009260C9">
        <w:rPr>
          <w:sz w:val="22"/>
          <w:szCs w:val="22"/>
        </w:rPr>
        <w:t xml:space="preserve">real physical production of a wind or solar farm by taking account the meter data of produced </w:t>
      </w:r>
      <w:r w:rsidR="00027A85" w:rsidRPr="009260C9">
        <w:rPr>
          <w:sz w:val="22"/>
          <w:szCs w:val="22"/>
        </w:rPr>
        <w:t xml:space="preserve">renewable </w:t>
      </w:r>
      <w:r w:rsidR="00DB35FF" w:rsidRPr="009260C9">
        <w:rPr>
          <w:sz w:val="22"/>
          <w:szCs w:val="22"/>
        </w:rPr>
        <w:t xml:space="preserve">energy (“pay as produced”). Therefore, these contracts </w:t>
      </w:r>
      <w:r w:rsidR="00027A85" w:rsidRPr="009260C9">
        <w:rPr>
          <w:sz w:val="22"/>
          <w:szCs w:val="22"/>
        </w:rPr>
        <w:t>share</w:t>
      </w:r>
      <w:r w:rsidR="00B82110" w:rsidRPr="009260C9">
        <w:rPr>
          <w:sz w:val="22"/>
          <w:szCs w:val="22"/>
        </w:rPr>
        <w:t xml:space="preserve"> some</w:t>
      </w:r>
      <w:r w:rsidR="00DB35FF" w:rsidRPr="009260C9">
        <w:rPr>
          <w:sz w:val="22"/>
          <w:szCs w:val="22"/>
        </w:rPr>
        <w:t xml:space="preserve"> characteristics of commercial power production</w:t>
      </w:r>
      <w:r w:rsidR="00F27F26" w:rsidRPr="009260C9">
        <w:rPr>
          <w:sz w:val="22"/>
          <w:szCs w:val="22"/>
        </w:rPr>
        <w:t xml:space="preserve"> and physical delivery</w:t>
      </w:r>
      <w:r w:rsidR="00DB35FF" w:rsidRPr="009260C9">
        <w:rPr>
          <w:sz w:val="22"/>
          <w:szCs w:val="22"/>
        </w:rPr>
        <w:t xml:space="preserve"> activities.</w:t>
      </w:r>
    </w:p>
    <w:p w14:paraId="2A3F8473" w14:textId="2BEF8952" w:rsidR="00B02317" w:rsidRPr="00FC72A6" w:rsidRDefault="00B02317" w:rsidP="006E1C40">
      <w:pPr>
        <w:spacing w:before="120" w:after="120"/>
        <w:ind w:left="360"/>
        <w:jc w:val="both"/>
        <w:rPr>
          <w:sz w:val="22"/>
        </w:rPr>
      </w:pPr>
      <w:r w:rsidRPr="00FC72A6">
        <w:rPr>
          <w:sz w:val="22"/>
        </w:rPr>
        <w:t xml:space="preserve">These virtual offtake structures (such as virtual PPAs) qualify today as MiFID II financial instruments and therefore such activity is not deemed to constitute an eligible underlying commercial activity that could be hedged through OTC </w:t>
      </w:r>
      <w:r w:rsidR="005B0F4A" w:rsidRPr="00FC72A6">
        <w:rPr>
          <w:sz w:val="22"/>
        </w:rPr>
        <w:t>d</w:t>
      </w:r>
      <w:r w:rsidRPr="00FC72A6">
        <w:rPr>
          <w:sz w:val="22"/>
        </w:rPr>
        <w:t xml:space="preserve">erivatives from the perspective of the </w:t>
      </w:r>
      <w:r w:rsidR="001B03DB" w:rsidRPr="00FC72A6">
        <w:rPr>
          <w:sz w:val="22"/>
        </w:rPr>
        <w:t>energy trader</w:t>
      </w:r>
      <w:r w:rsidRPr="00FC72A6">
        <w:rPr>
          <w:sz w:val="22"/>
        </w:rPr>
        <w:t xml:space="preserve">. This narrow </w:t>
      </w:r>
      <w:r w:rsidR="001B03DB" w:rsidRPr="00FC72A6">
        <w:rPr>
          <w:sz w:val="22"/>
        </w:rPr>
        <w:t>understanding</w:t>
      </w:r>
      <w:r w:rsidRPr="00FC72A6">
        <w:rPr>
          <w:sz w:val="22"/>
        </w:rPr>
        <w:t xml:space="preserve"> of commercial activity is hence putting a real limitation to renewable energy business development. </w:t>
      </w:r>
    </w:p>
    <w:p w14:paraId="7D74597F" w14:textId="24E38E07" w:rsidR="00221F46" w:rsidRPr="00FC72A6" w:rsidRDefault="00B02317" w:rsidP="006E1C40">
      <w:pPr>
        <w:spacing w:before="120" w:after="120"/>
        <w:ind w:left="360"/>
        <w:jc w:val="both"/>
        <w:rPr>
          <w:sz w:val="22"/>
        </w:rPr>
      </w:pPr>
      <w:r w:rsidRPr="00FC72A6">
        <w:rPr>
          <w:sz w:val="22"/>
        </w:rPr>
        <w:t>The renewable energy industry would in our view greatly benefit from a</w:t>
      </w:r>
      <w:r w:rsidR="001B03DB" w:rsidRPr="00FC72A6">
        <w:rPr>
          <w:sz w:val="22"/>
        </w:rPr>
        <w:t xml:space="preserve"> clarification </w:t>
      </w:r>
      <w:r w:rsidRPr="00FC72A6">
        <w:rPr>
          <w:sz w:val="22"/>
        </w:rPr>
        <w:t>of the definition of underlying commercial activity to include financial instruments offered by NF</w:t>
      </w:r>
      <w:r w:rsidR="0011324D">
        <w:rPr>
          <w:sz w:val="22"/>
        </w:rPr>
        <w:t>C</w:t>
      </w:r>
      <w:r w:rsidRPr="00FC72A6">
        <w:rPr>
          <w:sz w:val="22"/>
        </w:rPr>
        <w:t>s as a risk management service to third parties for physical renewable energy project development.</w:t>
      </w:r>
    </w:p>
    <w:p w14:paraId="0E546A10" w14:textId="77777777" w:rsidR="00906782" w:rsidRPr="00E15D92" w:rsidRDefault="00994FB2" w:rsidP="006E1C40">
      <w:pPr>
        <w:pStyle w:val="ListParagraph"/>
        <w:numPr>
          <w:ilvl w:val="0"/>
          <w:numId w:val="56"/>
        </w:numPr>
        <w:spacing w:before="120" w:after="120"/>
        <w:contextualSpacing w:val="0"/>
        <w:jc w:val="both"/>
        <w:rPr>
          <w:b/>
          <w:bCs/>
          <w:sz w:val="22"/>
        </w:rPr>
      </w:pPr>
      <w:r w:rsidRPr="00E15D92">
        <w:rPr>
          <w:b/>
          <w:bCs/>
          <w:sz w:val="22"/>
        </w:rPr>
        <w:t>Hedging of currency (FX) risks:</w:t>
      </w:r>
    </w:p>
    <w:p w14:paraId="579D6CAF" w14:textId="4001126D" w:rsidR="00994FB2" w:rsidRPr="009260C9" w:rsidRDefault="00994FB2" w:rsidP="006E1C40">
      <w:pPr>
        <w:spacing w:before="120" w:after="120"/>
        <w:ind w:left="360"/>
        <w:jc w:val="both"/>
        <w:rPr>
          <w:sz w:val="22"/>
        </w:rPr>
      </w:pPr>
      <w:r w:rsidRPr="009260C9">
        <w:rPr>
          <w:sz w:val="22"/>
        </w:rPr>
        <w:t>Financial commodity derivatives are often concluded</w:t>
      </w:r>
      <w:r w:rsidR="005830A8" w:rsidRPr="009260C9">
        <w:rPr>
          <w:sz w:val="22"/>
        </w:rPr>
        <w:t xml:space="preserve"> by energy trading firms</w:t>
      </w:r>
      <w:r w:rsidRPr="009260C9">
        <w:rPr>
          <w:sz w:val="22"/>
        </w:rPr>
        <w:t xml:space="preserve"> to hedge potential price movements</w:t>
      </w:r>
      <w:r w:rsidR="00F85A4E" w:rsidRPr="009260C9">
        <w:rPr>
          <w:sz w:val="22"/>
        </w:rPr>
        <w:t>, e.g.,</w:t>
      </w:r>
      <w:r w:rsidR="0011324D" w:rsidRPr="009260C9">
        <w:rPr>
          <w:sz w:val="22"/>
        </w:rPr>
        <w:t xml:space="preserve"> </w:t>
      </w:r>
      <w:r w:rsidR="0011324D" w:rsidRPr="009260C9">
        <w:rPr>
          <w:sz w:val="22"/>
          <w:highlight w:val="red"/>
        </w:rPr>
        <w:t>in</w:t>
      </w:r>
      <w:r w:rsidR="0011324D" w:rsidRPr="009260C9">
        <w:rPr>
          <w:sz w:val="22"/>
        </w:rPr>
        <w:t xml:space="preserve"> </w:t>
      </w:r>
      <w:r w:rsidRPr="009260C9">
        <w:rPr>
          <w:sz w:val="22"/>
        </w:rPr>
        <w:t>physical energy supply contracts or raw materials, which are required within the construction phase of renewable energy projects. Within internationally active company groups, these financial hedges may not necessarily be concluded in the same currency in which the company generally finances itself or otherwise generates cash flows. To reduce this currency risk, companies often enter into FX transactions. As these FX transactions</w:t>
      </w:r>
      <w:r w:rsidR="00D31254" w:rsidRPr="009260C9">
        <w:rPr>
          <w:sz w:val="22"/>
        </w:rPr>
        <w:t xml:space="preserve"> (</w:t>
      </w:r>
      <w:r w:rsidR="00E52957" w:rsidRPr="009260C9">
        <w:rPr>
          <w:sz w:val="22"/>
        </w:rPr>
        <w:t>which are not means of payment under Article 10 CDR 2017/565)</w:t>
      </w:r>
      <w:r w:rsidRPr="009260C9">
        <w:rPr>
          <w:sz w:val="22"/>
        </w:rPr>
        <w:t xml:space="preserve"> are concluded in relation to another financial instrument (the aforementioned financial commodity hedge), these products currently cannot be recognised as an EMIR hedge, although they clearly reduce the currency risk within the group. It would be helpful to clarify that these types of transactions qualify as eligible treasury financing activities in accordance with Art. 10 CDR 149/2013</w:t>
      </w:r>
      <w:bookmarkStart w:id="5" w:name="_Hlk92378285"/>
      <w:r w:rsidRPr="009260C9">
        <w:rPr>
          <w:sz w:val="22"/>
        </w:rPr>
        <w:t>.</w:t>
      </w:r>
      <w:bookmarkEnd w:id="5"/>
    </w:p>
    <w:p w14:paraId="7D4B3EA7" w14:textId="77777777" w:rsidR="006E1C40" w:rsidRPr="00E15D92" w:rsidRDefault="005830A8" w:rsidP="006E1C40">
      <w:pPr>
        <w:pStyle w:val="ListParagraph"/>
        <w:numPr>
          <w:ilvl w:val="0"/>
          <w:numId w:val="56"/>
        </w:numPr>
        <w:spacing w:before="120" w:after="120"/>
        <w:contextualSpacing w:val="0"/>
        <w:jc w:val="both"/>
        <w:rPr>
          <w:b/>
          <w:bCs/>
          <w:sz w:val="22"/>
        </w:rPr>
      </w:pPr>
      <w:r w:rsidRPr="00E15D92">
        <w:rPr>
          <w:b/>
          <w:bCs/>
          <w:sz w:val="22"/>
        </w:rPr>
        <w:t>Mitigation of commodity price risks</w:t>
      </w:r>
      <w:r w:rsidR="00B02317" w:rsidRPr="00E15D92">
        <w:rPr>
          <w:b/>
          <w:bCs/>
          <w:sz w:val="22"/>
        </w:rPr>
        <w:t>:</w:t>
      </w:r>
    </w:p>
    <w:p w14:paraId="420888CD" w14:textId="319DFD55" w:rsidR="00D22BE1" w:rsidRPr="009260C9" w:rsidRDefault="005830A8" w:rsidP="006E1C40">
      <w:pPr>
        <w:spacing w:before="120" w:after="120"/>
        <w:ind w:left="360"/>
        <w:jc w:val="both"/>
        <w:rPr>
          <w:sz w:val="22"/>
        </w:rPr>
      </w:pPr>
      <w:r w:rsidRPr="009260C9">
        <w:rPr>
          <w:sz w:val="22"/>
        </w:rPr>
        <w:lastRenderedPageBreak/>
        <w:t>A</w:t>
      </w:r>
      <w:r w:rsidR="00BD3B4F" w:rsidRPr="009260C9">
        <w:rPr>
          <w:sz w:val="22"/>
        </w:rPr>
        <w:t>n</w:t>
      </w:r>
      <w:r w:rsidRPr="009260C9">
        <w:rPr>
          <w:sz w:val="22"/>
        </w:rPr>
        <w:t xml:space="preserve"> energy trading firm might enter into a financial commodity derivative with another NFC to hedge its commodity price risk stemming from a</w:t>
      </w:r>
      <w:r w:rsidR="00BF1C78" w:rsidRPr="009260C9">
        <w:rPr>
          <w:sz w:val="22"/>
        </w:rPr>
        <w:t>nother</w:t>
      </w:r>
      <w:r w:rsidRPr="009260C9">
        <w:rPr>
          <w:sz w:val="22"/>
        </w:rPr>
        <w:t xml:space="preserve"> commodity derivatives transaction previously entered into in the course of its core activity of energy trading. If that latter derivative does not hedge a corresponding commercial risk of the </w:t>
      </w:r>
      <w:r w:rsidR="00847779" w:rsidRPr="009260C9">
        <w:rPr>
          <w:sz w:val="22"/>
        </w:rPr>
        <w:t>energy trading firm</w:t>
      </w:r>
      <w:r w:rsidR="00F85A4E" w:rsidRPr="009260C9">
        <w:rPr>
          <w:sz w:val="22"/>
        </w:rPr>
        <w:t>,</w:t>
      </w:r>
      <w:r w:rsidRPr="009260C9">
        <w:rPr>
          <w:sz w:val="22"/>
        </w:rPr>
        <w:t xml:space="preserve"> that latter derivative is of </w:t>
      </w:r>
      <w:r w:rsidR="00F85A4E" w:rsidRPr="009260C9">
        <w:rPr>
          <w:sz w:val="22"/>
        </w:rPr>
        <w:t xml:space="preserve">a </w:t>
      </w:r>
      <w:r w:rsidRPr="009260C9">
        <w:rPr>
          <w:sz w:val="22"/>
        </w:rPr>
        <w:t>non-hedging nature, but still form</w:t>
      </w:r>
      <w:r w:rsidR="00F85A4E" w:rsidRPr="009260C9">
        <w:rPr>
          <w:sz w:val="22"/>
        </w:rPr>
        <w:t>s</w:t>
      </w:r>
      <w:r w:rsidRPr="009260C9">
        <w:rPr>
          <w:sz w:val="22"/>
        </w:rPr>
        <w:t xml:space="preserve"> part of </w:t>
      </w:r>
      <w:r w:rsidR="00BF1C78" w:rsidRPr="009260C9">
        <w:rPr>
          <w:sz w:val="22"/>
        </w:rPr>
        <w:t>the</w:t>
      </w:r>
      <w:r w:rsidRPr="009260C9">
        <w:rPr>
          <w:sz w:val="22"/>
        </w:rPr>
        <w:t xml:space="preserve"> core commercial activity </w:t>
      </w:r>
      <w:r w:rsidR="00BF1C78" w:rsidRPr="009260C9">
        <w:rPr>
          <w:sz w:val="22"/>
        </w:rPr>
        <w:t>of the concerned</w:t>
      </w:r>
      <w:r w:rsidRPr="009260C9">
        <w:rPr>
          <w:sz w:val="22"/>
        </w:rPr>
        <w:t xml:space="preserve"> energy trading firm. </w:t>
      </w:r>
      <w:r w:rsidR="00E85A6A" w:rsidRPr="009260C9">
        <w:rPr>
          <w:sz w:val="22"/>
        </w:rPr>
        <w:t>I</w:t>
      </w:r>
      <w:r w:rsidRPr="009260C9">
        <w:rPr>
          <w:sz w:val="22"/>
        </w:rPr>
        <w:t xml:space="preserve">n such a case the </w:t>
      </w:r>
      <w:r w:rsidR="00847779" w:rsidRPr="009260C9">
        <w:rPr>
          <w:sz w:val="22"/>
        </w:rPr>
        <w:t>energy trading firm</w:t>
      </w:r>
      <w:r w:rsidRPr="009260C9">
        <w:rPr>
          <w:sz w:val="22"/>
        </w:rPr>
        <w:t xml:space="preserve"> typically hedge</w:t>
      </w:r>
      <w:r w:rsidR="00E85A6A" w:rsidRPr="009260C9">
        <w:rPr>
          <w:sz w:val="22"/>
        </w:rPr>
        <w:t>s</w:t>
      </w:r>
      <w:r w:rsidRPr="009260C9">
        <w:rPr>
          <w:sz w:val="22"/>
        </w:rPr>
        <w:t xml:space="preserve"> the commodity price risk from the original derivat</w:t>
      </w:r>
      <w:r w:rsidR="00077DF2" w:rsidRPr="009260C9">
        <w:rPr>
          <w:sz w:val="22"/>
        </w:rPr>
        <w:t>iv</w:t>
      </w:r>
      <w:r w:rsidRPr="009260C9">
        <w:rPr>
          <w:sz w:val="22"/>
        </w:rPr>
        <w:t>e by entering into a fu</w:t>
      </w:r>
      <w:r w:rsidR="00E85A6A" w:rsidRPr="009260C9">
        <w:rPr>
          <w:sz w:val="22"/>
        </w:rPr>
        <w:t>r</w:t>
      </w:r>
      <w:r w:rsidRPr="009260C9">
        <w:rPr>
          <w:sz w:val="22"/>
        </w:rPr>
        <w:t xml:space="preserve">ther offsetting derivative which from an economical perspective is an effective hedge and thus objectively measurable as reducing the risk from the original derivative and thus should be classified as </w:t>
      </w:r>
      <w:r w:rsidR="003B3007" w:rsidRPr="009260C9">
        <w:rPr>
          <w:sz w:val="22"/>
        </w:rPr>
        <w:t>a</w:t>
      </w:r>
      <w:r w:rsidRPr="009260C9">
        <w:rPr>
          <w:sz w:val="22"/>
        </w:rPr>
        <w:t xml:space="preserve"> hedge</w:t>
      </w:r>
      <w:r w:rsidR="00E85A6A" w:rsidRPr="009260C9">
        <w:rPr>
          <w:sz w:val="22"/>
        </w:rPr>
        <w:t xml:space="preserve"> under the EMIR Level 2 rules</w:t>
      </w:r>
      <w:r w:rsidR="00590947" w:rsidRPr="009260C9">
        <w:rPr>
          <w:sz w:val="22"/>
        </w:rPr>
        <w:t>.</w:t>
      </w:r>
    </w:p>
    <w:p w14:paraId="3E8ABD37" w14:textId="0F547C4C" w:rsidR="00590947" w:rsidRPr="00FC72A6" w:rsidRDefault="00D22BE1" w:rsidP="006E1C40">
      <w:pPr>
        <w:spacing w:before="120" w:after="120"/>
        <w:jc w:val="both"/>
        <w:rPr>
          <w:sz w:val="22"/>
        </w:rPr>
      </w:pPr>
      <w:r w:rsidRPr="00FC72A6">
        <w:rPr>
          <w:sz w:val="22"/>
        </w:rPr>
        <w:t>Furthermore, w</w:t>
      </w:r>
      <w:r w:rsidR="0002460C" w:rsidRPr="00FC72A6">
        <w:rPr>
          <w:sz w:val="22"/>
        </w:rPr>
        <w:t>e would also support ESMA's suggestion in its June 2019 letter to the European Commission (</w:t>
      </w:r>
      <w:hyperlink r:id="rId22" w:history="1">
        <w:r w:rsidR="0002460C" w:rsidRPr="00FC72A6">
          <w:rPr>
            <w:rStyle w:val="Hyperlink"/>
            <w:color w:val="auto"/>
            <w:sz w:val="22"/>
          </w:rPr>
          <w:t>link</w:t>
        </w:r>
      </w:hyperlink>
      <w:r w:rsidR="0002460C" w:rsidRPr="00FC72A6">
        <w:rPr>
          <w:sz w:val="22"/>
        </w:rPr>
        <w:t xml:space="preserve">) that </w:t>
      </w:r>
      <w:r w:rsidR="0002460C" w:rsidRPr="00E15D92">
        <w:rPr>
          <w:b/>
          <w:bCs/>
          <w:sz w:val="22"/>
        </w:rPr>
        <w:t>financial counterparties should be able to take into account the hedging exemption available to non-financial counterparties when calculating the positions of the entities in the group to which the financial counterparty belongs</w:t>
      </w:r>
      <w:r w:rsidR="0002460C" w:rsidRPr="00FC72A6">
        <w:rPr>
          <w:sz w:val="22"/>
        </w:rPr>
        <w:t>. At the moment, a financial counterparty is required to take into account the positions of all entities in its group, whether FCs or NFCs, whether these are hedging or non-hedging positions. However, the NFCs in that group would calculate their position based on the non-hedging positions of the NFCs in the group. This requires a group containing FCs and NFCs to carry out at least two different sets of calculations for the same group entities. We agree with ESMA that if it is appropriate to assess the positions of an NFC based only on non-hedging positions, it should also be appropriate for an FC in the same group to assess the positions of NFCs in its group on the same basis.</w:t>
      </w:r>
      <w:r w:rsidR="00BD3B4F" w:rsidRPr="00FC72A6">
        <w:rPr>
          <w:sz w:val="22"/>
        </w:rPr>
        <w:t xml:space="preserve"> However, the current ESMA EMIR QAs (OTC Question 3 (h), page 20, </w:t>
      </w:r>
      <w:r w:rsidR="004F0C45" w:rsidRPr="00FC72A6">
        <w:rPr>
          <w:sz w:val="22"/>
        </w:rPr>
        <w:t>23</w:t>
      </w:r>
      <w:r w:rsidR="00BD3B4F" w:rsidRPr="00FC72A6">
        <w:rPr>
          <w:sz w:val="22"/>
        </w:rPr>
        <w:t xml:space="preserve"> – see </w:t>
      </w:r>
      <w:hyperlink r:id="rId23" w:history="1">
        <w:r w:rsidR="00BD3B4F" w:rsidRPr="00FC72A6">
          <w:rPr>
            <w:rStyle w:val="Hyperlink"/>
            <w:color w:val="auto"/>
            <w:sz w:val="22"/>
          </w:rPr>
          <w:t>link</w:t>
        </w:r>
      </w:hyperlink>
      <w:r w:rsidR="00BD3B4F" w:rsidRPr="00FC72A6">
        <w:rPr>
          <w:sz w:val="22"/>
        </w:rPr>
        <w:t>)</w:t>
      </w:r>
      <w:r w:rsidR="004F0C45" w:rsidRPr="00FC72A6">
        <w:rPr>
          <w:sz w:val="22"/>
        </w:rPr>
        <w:t xml:space="preserve"> states – based on a response from the EU Commission – that Article 4a(3) of EMIR does not provide for a hedging exemption for financial counterparties.</w:t>
      </w:r>
    </w:p>
    <w:permEnd w:id="2039636534"/>
    <w:p w14:paraId="3F104378" w14:textId="6B35F027" w:rsidR="00A8728B" w:rsidRDefault="00A8728B" w:rsidP="00A8728B"/>
    <w:p w14:paraId="51AE5A1B" w14:textId="3B94778D" w:rsidR="00A8728B" w:rsidRPr="00D76652" w:rsidRDefault="00A8728B" w:rsidP="00A8728B">
      <w:pPr>
        <w:rPr>
          <w:lang w:val="es-ES"/>
        </w:rPr>
      </w:pPr>
      <w:r w:rsidRPr="00D76652">
        <w:rPr>
          <w:lang w:val="es-ES"/>
        </w:rPr>
        <w:t>&lt;ESMA_QUESTION</w:t>
      </w:r>
      <w:r w:rsidR="00D920D1" w:rsidRPr="00D76652">
        <w:rPr>
          <w:lang w:val="es-ES"/>
        </w:rPr>
        <w:t>_</w:t>
      </w:r>
      <w:r w:rsidR="00D76652" w:rsidRPr="00D76652">
        <w:rPr>
          <w:rFonts w:cs="Arial"/>
          <w:lang w:val="es-ES"/>
        </w:rPr>
        <w:t>DP_EMIR_CTs</w:t>
      </w:r>
      <w:r w:rsidR="004648DA">
        <w:rPr>
          <w:rFonts w:cs="Arial"/>
          <w:lang w:val="es-ES"/>
        </w:rPr>
        <w:t>_2</w:t>
      </w:r>
      <w:r w:rsidRPr="00D76652">
        <w:rPr>
          <w:lang w:val="es-ES"/>
        </w:rPr>
        <w:t>&gt;</w:t>
      </w:r>
    </w:p>
    <w:p w14:paraId="28C39E9E" w14:textId="77777777" w:rsidR="002E1760" w:rsidRPr="00D76652" w:rsidRDefault="002E1760" w:rsidP="00A8728B">
      <w:pPr>
        <w:rPr>
          <w:lang w:val="es-ES"/>
        </w:rPr>
      </w:pPr>
    </w:p>
    <w:p w14:paraId="73A8E0F2" w14:textId="52206645" w:rsidR="002E1760" w:rsidRPr="00431DA4" w:rsidRDefault="004648DA" w:rsidP="00293D78">
      <w:pPr>
        <w:pStyle w:val="CPQuestions"/>
      </w:pPr>
      <w:r w:rsidRPr="00425096">
        <w:t>Please provide information and examples on how counterparties count fungible ETDs and OTC derivatives for the purpose of the calculation of the clearing thresholds</w:t>
      </w:r>
      <w:r w:rsidR="00B61CD3" w:rsidRPr="00B61CD3">
        <w:t>?</w:t>
      </w:r>
    </w:p>
    <w:p w14:paraId="30CAA40B" w14:textId="2452752A" w:rsidR="002E1760" w:rsidRPr="006C2D5A" w:rsidRDefault="002E1760" w:rsidP="002E1760">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Pr="006C2D5A">
        <w:rPr>
          <w:lang w:val="es-ES"/>
        </w:rPr>
        <w:t>3&gt;</w:t>
      </w:r>
    </w:p>
    <w:p w14:paraId="690404D9" w14:textId="464AC497" w:rsidR="002E1760" w:rsidRPr="002F6D28" w:rsidRDefault="002E1760" w:rsidP="002E1760">
      <w:permStart w:id="1876965468" w:edGrp="everyone"/>
      <w:r w:rsidRPr="002F6D28">
        <w:t>TYPE YOUR TEXT HERE</w:t>
      </w:r>
    </w:p>
    <w:p w14:paraId="4E19C63C" w14:textId="222D6AFA" w:rsidR="00627E90" w:rsidRPr="002F6D28" w:rsidRDefault="00ED7A58" w:rsidP="00557A8C">
      <w:pPr>
        <w:spacing w:before="120" w:after="120"/>
        <w:jc w:val="both"/>
        <w:rPr>
          <w:sz w:val="22"/>
          <w:szCs w:val="22"/>
        </w:rPr>
      </w:pPr>
      <w:r w:rsidRPr="002F6D28">
        <w:rPr>
          <w:sz w:val="22"/>
          <w:szCs w:val="22"/>
        </w:rPr>
        <w:t>Regarding renewable energy markets, firms use energy and commodity derivatives to mitigate the specific commercial risks triggered by their renewable energy production (i.e.</w:t>
      </w:r>
      <w:r w:rsidR="0011324D">
        <w:rPr>
          <w:sz w:val="22"/>
          <w:szCs w:val="22"/>
        </w:rPr>
        <w:t>,</w:t>
      </w:r>
      <w:r w:rsidRPr="002F6D28">
        <w:rPr>
          <w:sz w:val="22"/>
          <w:szCs w:val="22"/>
        </w:rPr>
        <w:t xml:space="preserve"> hedging). Renewable energy producers can hedge their commercial risks if they can enter into tailor-made hedging transactions on OTC markets, i.e.</w:t>
      </w:r>
      <w:r w:rsidR="0011324D">
        <w:rPr>
          <w:sz w:val="22"/>
          <w:szCs w:val="22"/>
        </w:rPr>
        <w:t>,</w:t>
      </w:r>
      <w:r w:rsidRPr="002F6D28">
        <w:rPr>
          <w:sz w:val="22"/>
          <w:szCs w:val="22"/>
        </w:rPr>
        <w:t xml:space="preserve"> if there are energy firms which are willing and able to offer suitable OTC hedge transactions to them. However, the EMIR clearing threshold for commodities (</w:t>
      </w:r>
      <w:r w:rsidR="0011324D">
        <w:rPr>
          <w:sz w:val="22"/>
          <w:szCs w:val="22"/>
        </w:rPr>
        <w:t>“</w:t>
      </w:r>
      <w:r w:rsidRPr="002F6D28">
        <w:rPr>
          <w:sz w:val="22"/>
          <w:szCs w:val="22"/>
        </w:rPr>
        <w:t>EMIR CCT</w:t>
      </w:r>
      <w:r w:rsidR="0011324D">
        <w:rPr>
          <w:sz w:val="22"/>
          <w:szCs w:val="22"/>
        </w:rPr>
        <w:t>”</w:t>
      </w:r>
      <w:r w:rsidRPr="002F6D28">
        <w:rPr>
          <w:sz w:val="22"/>
          <w:szCs w:val="22"/>
        </w:rPr>
        <w:t>) discourages these energy firms from providing liquidity to OTC markets and offering effective risk management opportunities to renewable energy producers.</w:t>
      </w:r>
    </w:p>
    <w:p w14:paraId="5CE43A23" w14:textId="5B5BC0B7" w:rsidR="00ED7A58" w:rsidRPr="002F6D28" w:rsidRDefault="00ED7A58" w:rsidP="00557A8C">
      <w:pPr>
        <w:spacing w:before="120" w:after="120"/>
        <w:jc w:val="both"/>
        <w:rPr>
          <w:sz w:val="22"/>
          <w:szCs w:val="22"/>
        </w:rPr>
      </w:pPr>
      <w:r w:rsidRPr="00E15D92">
        <w:rPr>
          <w:b/>
          <w:bCs/>
          <w:sz w:val="22"/>
          <w:szCs w:val="22"/>
        </w:rPr>
        <w:t>In this context</w:t>
      </w:r>
      <w:r w:rsidR="00627E90" w:rsidRPr="00E15D92">
        <w:rPr>
          <w:b/>
          <w:bCs/>
          <w:sz w:val="22"/>
          <w:szCs w:val="22"/>
        </w:rPr>
        <w:t>,</w:t>
      </w:r>
      <w:r w:rsidRPr="00E15D92">
        <w:rPr>
          <w:b/>
          <w:bCs/>
          <w:sz w:val="22"/>
          <w:szCs w:val="22"/>
        </w:rPr>
        <w:t xml:space="preserve"> </w:t>
      </w:r>
      <w:r w:rsidR="007D6715">
        <w:rPr>
          <w:b/>
          <w:bCs/>
          <w:sz w:val="22"/>
          <w:szCs w:val="22"/>
        </w:rPr>
        <w:t xml:space="preserve">we are </w:t>
      </w:r>
      <w:r w:rsidRPr="00E15D92">
        <w:rPr>
          <w:b/>
          <w:bCs/>
          <w:sz w:val="22"/>
          <w:szCs w:val="22"/>
        </w:rPr>
        <w:t>of the opinion that there are usually no fungible financial instruments</w:t>
      </w:r>
      <w:r w:rsidR="00627E90" w:rsidRPr="00E15D92">
        <w:rPr>
          <w:b/>
          <w:bCs/>
          <w:sz w:val="22"/>
          <w:szCs w:val="22"/>
        </w:rPr>
        <w:t xml:space="preserve"> for these hedging purposes</w:t>
      </w:r>
      <w:r w:rsidRPr="00E15D92">
        <w:rPr>
          <w:b/>
          <w:bCs/>
          <w:sz w:val="22"/>
          <w:szCs w:val="22"/>
        </w:rPr>
        <w:t xml:space="preserve"> that </w:t>
      </w:r>
      <w:r w:rsidR="00627E90" w:rsidRPr="00E15D92">
        <w:rPr>
          <w:b/>
          <w:bCs/>
          <w:sz w:val="22"/>
          <w:szCs w:val="22"/>
        </w:rPr>
        <w:t>are</w:t>
      </w:r>
      <w:r w:rsidRPr="00E15D92">
        <w:rPr>
          <w:b/>
          <w:bCs/>
          <w:sz w:val="22"/>
          <w:szCs w:val="22"/>
        </w:rPr>
        <w:t xml:space="preserve"> traded on regulated markets as well as off-venue</w:t>
      </w:r>
      <w:r w:rsidR="00627E90" w:rsidRPr="00E15D92">
        <w:rPr>
          <w:b/>
          <w:bCs/>
          <w:sz w:val="22"/>
          <w:szCs w:val="22"/>
        </w:rPr>
        <w:t>.</w:t>
      </w:r>
      <w:r w:rsidR="00627E90" w:rsidRPr="00E15D92">
        <w:rPr>
          <w:sz w:val="22"/>
          <w:szCs w:val="22"/>
        </w:rPr>
        <w:t xml:space="preserve"> </w:t>
      </w:r>
      <w:r w:rsidR="00627E90" w:rsidRPr="002F6D28">
        <w:rPr>
          <w:sz w:val="22"/>
          <w:szCs w:val="22"/>
        </w:rPr>
        <w:t xml:space="preserve">This is </w:t>
      </w:r>
      <w:r w:rsidRPr="002F6D28">
        <w:rPr>
          <w:sz w:val="22"/>
          <w:szCs w:val="22"/>
        </w:rPr>
        <w:t>for the following reasons:</w:t>
      </w:r>
    </w:p>
    <w:p w14:paraId="462D8D48" w14:textId="2966B5A7" w:rsidR="00FB3E1B" w:rsidRPr="002F6D28" w:rsidRDefault="00FB3E1B" w:rsidP="00557A8C">
      <w:pPr>
        <w:pStyle w:val="ListParagraph"/>
        <w:numPr>
          <w:ilvl w:val="0"/>
          <w:numId w:val="54"/>
        </w:numPr>
        <w:spacing w:before="120" w:after="120"/>
        <w:contextualSpacing w:val="0"/>
        <w:jc w:val="both"/>
        <w:rPr>
          <w:sz w:val="22"/>
          <w:szCs w:val="22"/>
        </w:rPr>
      </w:pPr>
      <w:r w:rsidRPr="002F6D28">
        <w:rPr>
          <w:sz w:val="22"/>
          <w:szCs w:val="22"/>
        </w:rPr>
        <w:t>For example, the output of wind or solar parks depends on weather conditions, which can obviously change very quickly. Investors in these technologies face uncertainties about how much they will produce, when they will produce it and at what price. To manage these</w:t>
      </w:r>
      <w:r w:rsidR="00627E90" w:rsidRPr="002F6D28">
        <w:rPr>
          <w:sz w:val="22"/>
          <w:szCs w:val="22"/>
        </w:rPr>
        <w:t xml:space="preserve"> specific</w:t>
      </w:r>
      <w:r w:rsidRPr="002F6D28">
        <w:rPr>
          <w:sz w:val="22"/>
          <w:szCs w:val="22"/>
        </w:rPr>
        <w:t xml:space="preserve"> </w:t>
      </w:r>
      <w:r w:rsidRPr="002F6D28">
        <w:rPr>
          <w:sz w:val="22"/>
          <w:szCs w:val="22"/>
        </w:rPr>
        <w:lastRenderedPageBreak/>
        <w:t>risks, they must be able to enter into tailor-made, bilaterally negotiated OTC hedging transactions with energy market participant</w:t>
      </w:r>
      <w:r w:rsidR="00847779" w:rsidRPr="002F6D28">
        <w:rPr>
          <w:sz w:val="22"/>
          <w:szCs w:val="22"/>
        </w:rPr>
        <w:t>s. These transactions</w:t>
      </w:r>
      <w:r w:rsidRPr="002F6D28">
        <w:rPr>
          <w:sz w:val="22"/>
          <w:szCs w:val="22"/>
        </w:rPr>
        <w:t xml:space="preserve"> are usually not available at exchanges.</w:t>
      </w:r>
    </w:p>
    <w:p w14:paraId="07F32BBF" w14:textId="77777777" w:rsidR="00FB3E1B" w:rsidRPr="002F6D28" w:rsidRDefault="00FB3E1B" w:rsidP="00557A8C">
      <w:pPr>
        <w:pStyle w:val="ListParagraph"/>
        <w:numPr>
          <w:ilvl w:val="0"/>
          <w:numId w:val="54"/>
        </w:numPr>
        <w:spacing w:before="120" w:after="120"/>
        <w:contextualSpacing w:val="0"/>
        <w:jc w:val="both"/>
        <w:rPr>
          <w:sz w:val="22"/>
          <w:szCs w:val="22"/>
        </w:rPr>
      </w:pPr>
      <w:r w:rsidRPr="002F6D28">
        <w:rPr>
          <w:sz w:val="22"/>
          <w:szCs w:val="22"/>
        </w:rPr>
        <w:t>Thus, managing these risks relies on the presence of firms in the OTC markets which are willing and able to provide tailor-made and structured risk management solutions in the form of transactions in OTC energy and commodity derivatives.</w:t>
      </w:r>
    </w:p>
    <w:p w14:paraId="02F5A19F" w14:textId="66BDF7C4" w:rsidR="00BE5EDF" w:rsidRPr="002F6D28" w:rsidRDefault="00FB3E1B" w:rsidP="00557A8C">
      <w:pPr>
        <w:pStyle w:val="ListParagraph"/>
        <w:numPr>
          <w:ilvl w:val="0"/>
          <w:numId w:val="54"/>
        </w:numPr>
        <w:spacing w:before="120" w:after="120"/>
        <w:contextualSpacing w:val="0"/>
        <w:jc w:val="both"/>
        <w:rPr>
          <w:sz w:val="22"/>
          <w:szCs w:val="22"/>
        </w:rPr>
      </w:pPr>
      <w:r w:rsidRPr="002F6D28">
        <w:rPr>
          <w:sz w:val="22"/>
          <w:szCs w:val="22"/>
        </w:rPr>
        <w:t>For example, onshore and offshore wind generators enter into financially settled electricity swaps with particular price features to hedge their specific and complex</w:t>
      </w:r>
      <w:r w:rsidR="00ED7A58" w:rsidRPr="002F6D28">
        <w:rPr>
          <w:sz w:val="22"/>
          <w:szCs w:val="22"/>
        </w:rPr>
        <w:t xml:space="preserve"> </w:t>
      </w:r>
      <w:r w:rsidRPr="002F6D28">
        <w:rPr>
          <w:sz w:val="22"/>
          <w:szCs w:val="22"/>
        </w:rPr>
        <w:t>market price risks.</w:t>
      </w:r>
      <w:r w:rsidR="00ED7A58" w:rsidRPr="002F6D28">
        <w:rPr>
          <w:sz w:val="22"/>
          <w:szCs w:val="22"/>
        </w:rPr>
        <w:t xml:space="preserve"> Such contracts </w:t>
      </w:r>
      <w:r w:rsidR="000A24CC" w:rsidRPr="002F6D28">
        <w:rPr>
          <w:sz w:val="22"/>
          <w:szCs w:val="22"/>
        </w:rPr>
        <w:t>cannot</w:t>
      </w:r>
      <w:r w:rsidR="00ED7A58" w:rsidRPr="002F6D28">
        <w:rPr>
          <w:sz w:val="22"/>
          <w:szCs w:val="22"/>
        </w:rPr>
        <w:t xml:space="preserve"> be found </w:t>
      </w:r>
      <w:r w:rsidR="000A24CC" w:rsidRPr="002F6D28">
        <w:rPr>
          <w:sz w:val="22"/>
          <w:szCs w:val="22"/>
        </w:rPr>
        <w:t>on</w:t>
      </w:r>
      <w:r w:rsidR="00ED7A58" w:rsidRPr="002F6D28">
        <w:rPr>
          <w:sz w:val="22"/>
          <w:szCs w:val="22"/>
        </w:rPr>
        <w:t xml:space="preserve"> regulated markets.</w:t>
      </w:r>
    </w:p>
    <w:p w14:paraId="2C8510B1" w14:textId="5C4E9DD2" w:rsidR="00BE5EDF" w:rsidRPr="002F6D28" w:rsidRDefault="00FB3E1B" w:rsidP="00557A8C">
      <w:pPr>
        <w:pStyle w:val="ListParagraph"/>
        <w:numPr>
          <w:ilvl w:val="0"/>
          <w:numId w:val="54"/>
        </w:numPr>
        <w:spacing w:before="120" w:after="120"/>
        <w:contextualSpacing w:val="0"/>
        <w:jc w:val="both"/>
        <w:rPr>
          <w:sz w:val="22"/>
          <w:szCs w:val="22"/>
        </w:rPr>
      </w:pPr>
      <w:r w:rsidRPr="002F6D28">
        <w:rPr>
          <w:sz w:val="22"/>
          <w:szCs w:val="22"/>
        </w:rPr>
        <w:t>In addition, even for more standardized risk profiles the contracts in the OTC trading markets are the only hedging possibility simply because the exchanges do not offer the long-term contracts needed to match the long-term commercial risks of the sustainable energy assets in question (such as wind or solar parks).</w:t>
      </w:r>
    </w:p>
    <w:p w14:paraId="4F097521" w14:textId="3FBC177F" w:rsidR="00D86C62" w:rsidRPr="009260C9" w:rsidRDefault="00D86C62" w:rsidP="00557A8C">
      <w:pPr>
        <w:pStyle w:val="ListParagraph"/>
        <w:numPr>
          <w:ilvl w:val="0"/>
          <w:numId w:val="54"/>
        </w:numPr>
        <w:spacing w:before="120" w:after="120"/>
        <w:contextualSpacing w:val="0"/>
        <w:jc w:val="both"/>
        <w:rPr>
          <w:sz w:val="22"/>
          <w:szCs w:val="22"/>
        </w:rPr>
      </w:pPr>
      <w:r w:rsidRPr="009260C9">
        <w:rPr>
          <w:sz w:val="22"/>
          <w:szCs w:val="22"/>
        </w:rPr>
        <w:t>Also, market participants do not use exchange product</w:t>
      </w:r>
      <w:r w:rsidR="00C87743" w:rsidRPr="009260C9">
        <w:rPr>
          <w:sz w:val="22"/>
          <w:szCs w:val="22"/>
        </w:rPr>
        <w:t>s</w:t>
      </w:r>
      <w:r w:rsidRPr="009260C9">
        <w:rPr>
          <w:sz w:val="22"/>
          <w:szCs w:val="22"/>
        </w:rPr>
        <w:t xml:space="preserve"> because the setup of an exchange access and the ongoing </w:t>
      </w:r>
      <w:r w:rsidR="00C87743" w:rsidRPr="009260C9">
        <w:rPr>
          <w:sz w:val="22"/>
          <w:szCs w:val="22"/>
        </w:rPr>
        <w:t xml:space="preserve">exchange and clearing </w:t>
      </w:r>
      <w:r w:rsidRPr="009260C9">
        <w:rPr>
          <w:sz w:val="22"/>
          <w:szCs w:val="22"/>
        </w:rPr>
        <w:t>processes are too resource intens</w:t>
      </w:r>
      <w:r w:rsidR="003B3007" w:rsidRPr="009260C9">
        <w:rPr>
          <w:sz w:val="22"/>
          <w:szCs w:val="22"/>
        </w:rPr>
        <w:t>ive</w:t>
      </w:r>
      <w:r w:rsidRPr="009260C9">
        <w:rPr>
          <w:sz w:val="22"/>
          <w:szCs w:val="22"/>
        </w:rPr>
        <w:t xml:space="preserve"> and</w:t>
      </w:r>
      <w:r w:rsidR="003B3007" w:rsidRPr="009260C9">
        <w:rPr>
          <w:sz w:val="22"/>
          <w:szCs w:val="22"/>
        </w:rPr>
        <w:t xml:space="preserve"> particularly,</w:t>
      </w:r>
      <w:r w:rsidRPr="009260C9">
        <w:rPr>
          <w:sz w:val="22"/>
          <w:szCs w:val="22"/>
        </w:rPr>
        <w:t xml:space="preserve"> </w:t>
      </w:r>
      <w:r w:rsidR="00C87743" w:rsidRPr="009260C9">
        <w:rPr>
          <w:sz w:val="22"/>
          <w:szCs w:val="22"/>
        </w:rPr>
        <w:t xml:space="preserve">exchange trading </w:t>
      </w:r>
      <w:r w:rsidRPr="009260C9">
        <w:rPr>
          <w:sz w:val="22"/>
          <w:szCs w:val="22"/>
        </w:rPr>
        <w:t>require</w:t>
      </w:r>
      <w:r w:rsidR="00C87743" w:rsidRPr="009260C9">
        <w:rPr>
          <w:sz w:val="22"/>
          <w:szCs w:val="22"/>
        </w:rPr>
        <w:t>s</w:t>
      </w:r>
      <w:r w:rsidRPr="009260C9">
        <w:rPr>
          <w:sz w:val="22"/>
          <w:szCs w:val="22"/>
        </w:rPr>
        <w:t xml:space="preserve"> </w:t>
      </w:r>
      <w:r w:rsidR="00C87743" w:rsidRPr="009260C9">
        <w:rPr>
          <w:sz w:val="22"/>
          <w:szCs w:val="22"/>
        </w:rPr>
        <w:t xml:space="preserve">the provision of </w:t>
      </w:r>
      <w:r w:rsidRPr="009260C9">
        <w:rPr>
          <w:sz w:val="22"/>
          <w:szCs w:val="22"/>
        </w:rPr>
        <w:t xml:space="preserve">substantial liquidity </w:t>
      </w:r>
      <w:r w:rsidR="00C87743" w:rsidRPr="009260C9">
        <w:rPr>
          <w:sz w:val="22"/>
          <w:szCs w:val="22"/>
        </w:rPr>
        <w:t>funds</w:t>
      </w:r>
      <w:r w:rsidRPr="009260C9">
        <w:rPr>
          <w:sz w:val="22"/>
          <w:szCs w:val="22"/>
        </w:rPr>
        <w:t xml:space="preserve"> to fulfil the huge variation and initial margin calls from CCPs. </w:t>
      </w:r>
    </w:p>
    <w:p w14:paraId="57A96AE0" w14:textId="046D49A1" w:rsidR="003F1B60" w:rsidRPr="002F6D28" w:rsidRDefault="00FB3E1B" w:rsidP="00557A8C">
      <w:pPr>
        <w:pStyle w:val="ListParagraph"/>
        <w:numPr>
          <w:ilvl w:val="0"/>
          <w:numId w:val="54"/>
        </w:numPr>
        <w:spacing w:before="120" w:after="120"/>
        <w:contextualSpacing w:val="0"/>
        <w:jc w:val="both"/>
        <w:rPr>
          <w:sz w:val="22"/>
          <w:szCs w:val="22"/>
        </w:rPr>
      </w:pPr>
      <w:r w:rsidRPr="002F6D28">
        <w:rPr>
          <w:sz w:val="22"/>
          <w:szCs w:val="22"/>
        </w:rPr>
        <w:t>Finally, industrial consumers enter into long-term (10-20 years) power purchase agreements (“PPA”) with renewable power producers or re-sellers of such renewable production. Often such a PPA is structured as a bilaterally negotiated OTC cash settled fix</w:t>
      </w:r>
      <w:r w:rsidR="00C958B5" w:rsidRPr="002F6D28">
        <w:rPr>
          <w:sz w:val="22"/>
          <w:szCs w:val="22"/>
        </w:rPr>
        <w:t>ed</w:t>
      </w:r>
      <w:r w:rsidRPr="002F6D28">
        <w:rPr>
          <w:sz w:val="22"/>
          <w:szCs w:val="22"/>
        </w:rPr>
        <w:t>-for-floating swap, a so-called virtual PPA, which secures the renewable energy producer a fixed margin for its power quantities (hedging) and is combined with the delivery of the Guarantees of Origin (</w:t>
      </w:r>
      <w:proofErr w:type="spellStart"/>
      <w:r w:rsidRPr="002F6D28">
        <w:rPr>
          <w:sz w:val="22"/>
          <w:szCs w:val="22"/>
        </w:rPr>
        <w:t>GoOs</w:t>
      </w:r>
      <w:proofErr w:type="spellEnd"/>
      <w:r w:rsidRPr="002F6D28">
        <w:rPr>
          <w:sz w:val="22"/>
          <w:szCs w:val="22"/>
        </w:rPr>
        <w:t>) to the industrial customer for his de-carbonization purposes.</w:t>
      </w:r>
      <w:r w:rsidR="00557A8C" w:rsidRPr="002F6D28">
        <w:rPr>
          <w:sz w:val="22"/>
          <w:szCs w:val="22"/>
        </w:rPr>
        <w:t xml:space="preserve"> The reason is that for physical PPAs there are fewer potential counterparties and hence less liquidity as </w:t>
      </w:r>
      <w:r w:rsidR="00801D1E" w:rsidRPr="002F6D28">
        <w:rPr>
          <w:sz w:val="22"/>
          <w:szCs w:val="22"/>
        </w:rPr>
        <w:t>physical delivery</w:t>
      </w:r>
      <w:r w:rsidR="00557A8C" w:rsidRPr="002F6D28">
        <w:rPr>
          <w:sz w:val="22"/>
          <w:szCs w:val="22"/>
        </w:rPr>
        <w:t xml:space="preserve"> requires the capability of both counterparties to handle physical deliveries.</w:t>
      </w:r>
    </w:p>
    <w:permEnd w:id="1876965468"/>
    <w:p w14:paraId="169A5C01" w14:textId="77777777" w:rsidR="002E1760" w:rsidRDefault="002E1760" w:rsidP="002E1760"/>
    <w:p w14:paraId="5A3AE447" w14:textId="5A689F39" w:rsidR="002E1760" w:rsidRPr="004648DA" w:rsidRDefault="002E1760" w:rsidP="002E1760">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Pr="004648DA">
        <w:rPr>
          <w:lang w:val="es-ES"/>
        </w:rPr>
        <w:t>3&gt;</w:t>
      </w:r>
    </w:p>
    <w:p w14:paraId="205463C4" w14:textId="77777777" w:rsidR="002E1760" w:rsidRPr="004648DA" w:rsidRDefault="002E1760" w:rsidP="00A8728B">
      <w:pPr>
        <w:rPr>
          <w:lang w:val="es-ES"/>
        </w:rPr>
      </w:pPr>
    </w:p>
    <w:p w14:paraId="6084263A" w14:textId="6084A96E" w:rsidR="002E1760" w:rsidRPr="00431DA4" w:rsidRDefault="004648DA" w:rsidP="00293D78">
      <w:pPr>
        <w:pStyle w:val="CPQuestions"/>
      </w:pPr>
      <w:r w:rsidRPr="00425096">
        <w:t>Please provide data and arguments to illustrate the potential impact of the lack of an equivalence decision under Article 2a of EMIR and what could be done to alleviate your concerns (besides an equivalence decision)? Please specify the kind of transactions and activities that would be affected and the purpose of those, and whether there are alternatives</w:t>
      </w:r>
      <w:r w:rsidR="00B61CD3">
        <w:t>.</w:t>
      </w:r>
    </w:p>
    <w:p w14:paraId="48BB589C" w14:textId="24C09D54" w:rsidR="002E1760" w:rsidRPr="006C2D5A" w:rsidRDefault="002E1760" w:rsidP="002E1760">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Pr="006C2D5A">
        <w:rPr>
          <w:lang w:val="es-ES"/>
        </w:rPr>
        <w:t>4&gt;</w:t>
      </w:r>
    </w:p>
    <w:p w14:paraId="564334D5" w14:textId="5F71CFC5" w:rsidR="002E1760" w:rsidRPr="002F6D28" w:rsidRDefault="002E1760" w:rsidP="002E1760">
      <w:permStart w:id="2122265796" w:edGrp="everyone"/>
      <w:r w:rsidRPr="002F6D28">
        <w:t>TYPE YOUR TEXT HERE</w:t>
      </w:r>
    </w:p>
    <w:p w14:paraId="79BA96E5" w14:textId="6ADB9A18" w:rsidR="00F80A0A" w:rsidRPr="002F6D28" w:rsidRDefault="00435E81" w:rsidP="00020230">
      <w:pPr>
        <w:spacing w:before="120" w:after="120"/>
        <w:jc w:val="both"/>
        <w:rPr>
          <w:b/>
          <w:bCs/>
          <w:sz w:val="22"/>
        </w:rPr>
      </w:pPr>
      <w:r w:rsidRPr="002F6D28">
        <w:rPr>
          <w:b/>
          <w:bCs/>
          <w:sz w:val="22"/>
        </w:rPr>
        <w:t>Adverse i</w:t>
      </w:r>
      <w:r w:rsidR="00F80A0A" w:rsidRPr="002F6D28">
        <w:rPr>
          <w:b/>
          <w:bCs/>
          <w:sz w:val="22"/>
        </w:rPr>
        <w:t>mpact</w:t>
      </w:r>
      <w:r w:rsidRPr="002F6D28">
        <w:rPr>
          <w:b/>
          <w:bCs/>
          <w:sz w:val="22"/>
        </w:rPr>
        <w:t>s</w:t>
      </w:r>
      <w:r w:rsidR="00F80A0A" w:rsidRPr="002F6D28">
        <w:rPr>
          <w:b/>
          <w:bCs/>
          <w:sz w:val="22"/>
        </w:rPr>
        <w:t xml:space="preserve"> of the lack of an equivalence decision under Article 2a of EMIR</w:t>
      </w:r>
    </w:p>
    <w:p w14:paraId="32EF07FD" w14:textId="74D5EAB6" w:rsidR="00CA690F" w:rsidRPr="002F6D28" w:rsidRDefault="00CA690F" w:rsidP="00435E81">
      <w:pPr>
        <w:spacing w:before="120" w:after="120"/>
        <w:jc w:val="both"/>
        <w:rPr>
          <w:b/>
          <w:bCs/>
          <w:sz w:val="22"/>
        </w:rPr>
      </w:pPr>
      <w:r w:rsidRPr="002F6D28">
        <w:rPr>
          <w:b/>
          <w:bCs/>
          <w:sz w:val="22"/>
        </w:rPr>
        <w:t>Introduction</w:t>
      </w:r>
    </w:p>
    <w:p w14:paraId="40FDBDE5" w14:textId="34256B29" w:rsidR="00C073EA" w:rsidRPr="00E15D92" w:rsidRDefault="007D6715" w:rsidP="00435E81">
      <w:pPr>
        <w:spacing w:before="120" w:after="120"/>
        <w:jc w:val="both"/>
        <w:rPr>
          <w:b/>
          <w:bCs/>
          <w:sz w:val="22"/>
        </w:rPr>
      </w:pPr>
      <w:r>
        <w:rPr>
          <w:b/>
          <w:bCs/>
          <w:sz w:val="22"/>
        </w:rPr>
        <w:t xml:space="preserve">We are </w:t>
      </w:r>
      <w:r w:rsidR="00694094" w:rsidRPr="00E15D92">
        <w:rPr>
          <w:b/>
          <w:bCs/>
          <w:sz w:val="22"/>
        </w:rPr>
        <w:t>of the opinion</w:t>
      </w:r>
      <w:r w:rsidR="00C564A3" w:rsidRPr="00E15D92">
        <w:rPr>
          <w:b/>
          <w:bCs/>
          <w:sz w:val="22"/>
        </w:rPr>
        <w:t xml:space="preserve"> that an unconditional </w:t>
      </w:r>
      <w:r w:rsidR="00DD549B" w:rsidRPr="00E15D92">
        <w:rPr>
          <w:b/>
          <w:bCs/>
          <w:sz w:val="22"/>
        </w:rPr>
        <w:t>a</w:t>
      </w:r>
      <w:r w:rsidR="00C564A3" w:rsidRPr="00E15D92">
        <w:rPr>
          <w:b/>
          <w:bCs/>
          <w:sz w:val="22"/>
        </w:rPr>
        <w:t xml:space="preserve">nd unlimited recognition of LME and IFEU as equivalent by the EU is still the </w:t>
      </w:r>
      <w:r w:rsidR="00694094" w:rsidRPr="00E15D92">
        <w:rPr>
          <w:b/>
          <w:bCs/>
          <w:sz w:val="22"/>
        </w:rPr>
        <w:t>appropriate</w:t>
      </w:r>
      <w:r w:rsidR="00BB593B" w:rsidRPr="00E15D92">
        <w:rPr>
          <w:b/>
          <w:bCs/>
          <w:sz w:val="22"/>
        </w:rPr>
        <w:t xml:space="preserve"> and targeted</w:t>
      </w:r>
      <w:r w:rsidR="00C564A3" w:rsidRPr="00E15D92">
        <w:rPr>
          <w:b/>
          <w:bCs/>
          <w:sz w:val="22"/>
        </w:rPr>
        <w:t xml:space="preserve"> </w:t>
      </w:r>
      <w:r w:rsidR="00694094" w:rsidRPr="00E15D92">
        <w:rPr>
          <w:b/>
          <w:bCs/>
          <w:sz w:val="22"/>
        </w:rPr>
        <w:t>mitigant for</w:t>
      </w:r>
      <w:r w:rsidR="00C564A3" w:rsidRPr="00E15D92">
        <w:rPr>
          <w:b/>
          <w:bCs/>
          <w:sz w:val="22"/>
        </w:rPr>
        <w:t xml:space="preserve"> this particular</w:t>
      </w:r>
      <w:r w:rsidR="00694094" w:rsidRPr="00E15D92">
        <w:rPr>
          <w:b/>
          <w:bCs/>
          <w:sz w:val="22"/>
        </w:rPr>
        <w:t xml:space="preserve"> UK</w:t>
      </w:r>
      <w:r w:rsidR="00C564A3" w:rsidRPr="00E15D92">
        <w:rPr>
          <w:b/>
          <w:bCs/>
          <w:sz w:val="22"/>
        </w:rPr>
        <w:t xml:space="preserve"> non-equivalence issue</w:t>
      </w:r>
      <w:r w:rsidR="00694094" w:rsidRPr="00E15D92">
        <w:rPr>
          <w:b/>
          <w:bCs/>
          <w:sz w:val="22"/>
        </w:rPr>
        <w:t xml:space="preserve"> caused by Brexit</w:t>
      </w:r>
      <w:r w:rsidR="00C564A3" w:rsidRPr="00E15D92">
        <w:rPr>
          <w:b/>
          <w:bCs/>
          <w:sz w:val="22"/>
        </w:rPr>
        <w:t>.</w:t>
      </w:r>
      <w:r w:rsidR="00C073EA" w:rsidRPr="00E15D92">
        <w:rPr>
          <w:b/>
          <w:bCs/>
          <w:sz w:val="22"/>
        </w:rPr>
        <w:t xml:space="preserve"> </w:t>
      </w:r>
      <w:r w:rsidR="00694094" w:rsidRPr="00E15D92">
        <w:rPr>
          <w:b/>
          <w:bCs/>
          <w:sz w:val="22"/>
        </w:rPr>
        <w:t xml:space="preserve">However, any future recognition of UK commodity exchanges will not remedy the </w:t>
      </w:r>
      <w:r w:rsidR="00C073EA" w:rsidRPr="00E15D92">
        <w:rPr>
          <w:b/>
          <w:bCs/>
          <w:sz w:val="22"/>
        </w:rPr>
        <w:t xml:space="preserve">problems triggered by the low </w:t>
      </w:r>
      <w:r w:rsidR="00694094" w:rsidRPr="00E15D92">
        <w:rPr>
          <w:b/>
          <w:bCs/>
          <w:sz w:val="22"/>
        </w:rPr>
        <w:t xml:space="preserve">EMIR CCT </w:t>
      </w:r>
      <w:r w:rsidR="00C073EA" w:rsidRPr="00E15D92">
        <w:rPr>
          <w:b/>
          <w:bCs/>
          <w:sz w:val="22"/>
        </w:rPr>
        <w:t>and the wider issues of the EMIR CCT</w:t>
      </w:r>
      <w:r w:rsidR="00927805" w:rsidRPr="00E15D92">
        <w:rPr>
          <w:b/>
          <w:bCs/>
          <w:sz w:val="22"/>
        </w:rPr>
        <w:t xml:space="preserve"> as explained in our responses to this consultation (</w:t>
      </w:r>
      <w:r w:rsidR="00E15D92" w:rsidRPr="00E15D92">
        <w:rPr>
          <w:b/>
          <w:bCs/>
          <w:sz w:val="22"/>
        </w:rPr>
        <w:t>cf.</w:t>
      </w:r>
      <w:r w:rsidR="00927805" w:rsidRPr="00E15D92">
        <w:rPr>
          <w:b/>
          <w:bCs/>
          <w:sz w:val="22"/>
        </w:rPr>
        <w:t xml:space="preserve"> our responses to Question 6)</w:t>
      </w:r>
      <w:r w:rsidR="00C073EA" w:rsidRPr="00E15D92">
        <w:rPr>
          <w:b/>
          <w:bCs/>
          <w:sz w:val="22"/>
        </w:rPr>
        <w:t>.</w:t>
      </w:r>
    </w:p>
    <w:p w14:paraId="3C7C7666" w14:textId="528B31D5" w:rsidR="00C564A3" w:rsidRPr="00E15D92" w:rsidRDefault="00C073EA" w:rsidP="00435E81">
      <w:pPr>
        <w:spacing w:before="120" w:after="120"/>
        <w:jc w:val="both"/>
        <w:rPr>
          <w:b/>
          <w:bCs/>
          <w:sz w:val="22"/>
        </w:rPr>
      </w:pPr>
      <w:r w:rsidRPr="00E15D92">
        <w:rPr>
          <w:b/>
          <w:bCs/>
          <w:sz w:val="22"/>
        </w:rPr>
        <w:lastRenderedPageBreak/>
        <w:t xml:space="preserve">Therefore, </w:t>
      </w:r>
      <w:r w:rsidR="007D6715">
        <w:rPr>
          <w:b/>
          <w:bCs/>
          <w:sz w:val="22"/>
        </w:rPr>
        <w:t xml:space="preserve">we are </w:t>
      </w:r>
      <w:r w:rsidR="00EC0A61">
        <w:rPr>
          <w:b/>
          <w:bCs/>
          <w:sz w:val="22"/>
        </w:rPr>
        <w:t>of the opinion</w:t>
      </w:r>
      <w:r w:rsidR="00694094" w:rsidRPr="00E15D92">
        <w:rPr>
          <w:b/>
          <w:bCs/>
          <w:sz w:val="22"/>
        </w:rPr>
        <w:t xml:space="preserve"> that ESMA and the EU Commission shall by way of an EMIR </w:t>
      </w:r>
      <w:r w:rsidR="00C25F79" w:rsidRPr="00E15D92">
        <w:rPr>
          <w:b/>
          <w:bCs/>
          <w:sz w:val="22"/>
        </w:rPr>
        <w:t>quick fix</w:t>
      </w:r>
      <w:r w:rsidR="00694094" w:rsidRPr="00E15D92">
        <w:rPr>
          <w:b/>
          <w:bCs/>
          <w:sz w:val="22"/>
        </w:rPr>
        <w:t xml:space="preserve"> proceeding substantially increase the EMIR CCT to an internationally comparable and more systemic </w:t>
      </w:r>
      <w:r w:rsidR="00573807" w:rsidRPr="00E15D92">
        <w:rPr>
          <w:b/>
          <w:bCs/>
          <w:sz w:val="22"/>
        </w:rPr>
        <w:t xml:space="preserve">relevant </w:t>
      </w:r>
      <w:r w:rsidR="00694094" w:rsidRPr="00E15D92">
        <w:rPr>
          <w:b/>
          <w:bCs/>
          <w:sz w:val="22"/>
        </w:rPr>
        <w:t>level</w:t>
      </w:r>
      <w:r w:rsidR="003E6D0C" w:rsidRPr="00E15D92">
        <w:rPr>
          <w:rFonts w:eastAsia="Calibri"/>
          <w:b/>
          <w:bCs/>
          <w:sz w:val="22"/>
          <w:szCs w:val="22"/>
          <w:lang w:eastAsia="en-US"/>
        </w:rPr>
        <w:t xml:space="preserve"> (e.g., </w:t>
      </w:r>
      <w:r w:rsidR="00136A35" w:rsidRPr="00E15D92">
        <w:rPr>
          <w:rFonts w:eastAsia="Calibri"/>
          <w:b/>
          <w:bCs/>
          <w:sz w:val="22"/>
          <w:szCs w:val="22"/>
          <w:lang w:eastAsia="en-US"/>
        </w:rPr>
        <w:t>the USD 8 Billion threshold under the U.S. Dodd-Frank-Act</w:t>
      </w:r>
      <w:r w:rsidR="00E67DCE" w:rsidRPr="00E15D92">
        <w:rPr>
          <w:rFonts w:eastAsia="Calibri"/>
          <w:b/>
          <w:bCs/>
          <w:sz w:val="22"/>
          <w:szCs w:val="22"/>
          <w:lang w:eastAsia="en-US"/>
        </w:rPr>
        <w:t>; cf. our response to Question 6</w:t>
      </w:r>
      <w:r w:rsidR="003E6D0C" w:rsidRPr="00E15D92">
        <w:rPr>
          <w:rFonts w:eastAsia="Calibri"/>
          <w:b/>
          <w:bCs/>
          <w:sz w:val="22"/>
          <w:szCs w:val="22"/>
          <w:lang w:eastAsia="en-US"/>
        </w:rPr>
        <w:t>)</w:t>
      </w:r>
      <w:r w:rsidR="00694094" w:rsidRPr="00E15D92">
        <w:rPr>
          <w:b/>
          <w:bCs/>
          <w:sz w:val="22"/>
        </w:rPr>
        <w:t>.</w:t>
      </w:r>
    </w:p>
    <w:p w14:paraId="4033C39F" w14:textId="69F6CF52" w:rsidR="00CA690F" w:rsidRPr="002F6D28" w:rsidRDefault="00435E81" w:rsidP="00435E81">
      <w:pPr>
        <w:spacing w:before="120" w:after="120"/>
        <w:jc w:val="both"/>
        <w:rPr>
          <w:sz w:val="22"/>
        </w:rPr>
      </w:pPr>
      <w:r w:rsidRPr="002F6D28">
        <w:rPr>
          <w:sz w:val="22"/>
        </w:rPr>
        <w:t>The adverse impacts of</w:t>
      </w:r>
      <w:r w:rsidR="008D6CF9" w:rsidRPr="002F6D28">
        <w:rPr>
          <w:sz w:val="22"/>
        </w:rPr>
        <w:t xml:space="preserve"> the absence of an equivalence decision in respect of ICE Futures Europe (“IFEU”) and London Metal Exchange (“LME”) under Article 2a of EMIR</w:t>
      </w:r>
      <w:r w:rsidRPr="002F6D28">
        <w:rPr>
          <w:sz w:val="22"/>
        </w:rPr>
        <w:t xml:space="preserve"> </w:t>
      </w:r>
      <w:r w:rsidR="00E15760" w:rsidRPr="002F6D28">
        <w:rPr>
          <w:sz w:val="22"/>
        </w:rPr>
        <w:t>are</w:t>
      </w:r>
      <w:r w:rsidRPr="002F6D28">
        <w:rPr>
          <w:sz w:val="22"/>
        </w:rPr>
        <w:t xml:space="preserve"> caused by the regulatory fact that</w:t>
      </w:r>
      <w:r w:rsidR="008D6CF9" w:rsidRPr="002F6D28">
        <w:rPr>
          <w:sz w:val="22"/>
        </w:rPr>
        <w:t xml:space="preserve"> trades executed on these platforms will constitute over-the-counter (OTC) trades for the purposes of EMIR</w:t>
      </w:r>
      <w:r w:rsidR="00CA690F" w:rsidRPr="002F6D28">
        <w:rPr>
          <w:sz w:val="22"/>
        </w:rPr>
        <w:t>:</w:t>
      </w:r>
    </w:p>
    <w:p w14:paraId="5D39BC95" w14:textId="5CDABBFF" w:rsidR="00CA690F" w:rsidRPr="002F6D28" w:rsidRDefault="00435E81" w:rsidP="006F2628">
      <w:pPr>
        <w:pStyle w:val="ListParagraph"/>
        <w:numPr>
          <w:ilvl w:val="0"/>
          <w:numId w:val="50"/>
        </w:numPr>
        <w:spacing w:before="120" w:after="120"/>
        <w:jc w:val="both"/>
        <w:rPr>
          <w:sz w:val="22"/>
        </w:rPr>
      </w:pPr>
      <w:r w:rsidRPr="002F6D28">
        <w:rPr>
          <w:sz w:val="22"/>
        </w:rPr>
        <w:t xml:space="preserve">EU Non-financial firms (“EU NFCs”), with OTC derivatives in excess of pre-defined </w:t>
      </w:r>
      <w:r w:rsidR="00CA690F" w:rsidRPr="002F6D28">
        <w:rPr>
          <w:sz w:val="22"/>
        </w:rPr>
        <w:t xml:space="preserve">EMIR </w:t>
      </w:r>
      <w:r w:rsidRPr="002F6D28">
        <w:rPr>
          <w:sz w:val="22"/>
        </w:rPr>
        <w:t xml:space="preserve">clearing thresholds, </w:t>
      </w:r>
      <w:r w:rsidR="00CA690F" w:rsidRPr="002F6D28">
        <w:rPr>
          <w:sz w:val="22"/>
        </w:rPr>
        <w:t>are classified as “NFC+s”.</w:t>
      </w:r>
    </w:p>
    <w:p w14:paraId="4A927FD8" w14:textId="57FCBAA1" w:rsidR="00CA690F" w:rsidRPr="002F6D28" w:rsidRDefault="00435E81" w:rsidP="006F2628">
      <w:pPr>
        <w:pStyle w:val="ListParagraph"/>
        <w:numPr>
          <w:ilvl w:val="0"/>
          <w:numId w:val="50"/>
        </w:numPr>
        <w:spacing w:before="120" w:after="120"/>
        <w:jc w:val="both"/>
        <w:rPr>
          <w:sz w:val="22"/>
        </w:rPr>
      </w:pPr>
      <w:r w:rsidRPr="002F6D28">
        <w:rPr>
          <w:sz w:val="22"/>
        </w:rPr>
        <w:t xml:space="preserve">The clearing threshold for commodities under EMIR is defined at a </w:t>
      </w:r>
      <w:r w:rsidR="00CA690F" w:rsidRPr="002F6D28">
        <w:rPr>
          <w:sz w:val="22"/>
        </w:rPr>
        <w:t xml:space="preserve">relatively low </w:t>
      </w:r>
      <w:r w:rsidRPr="002F6D28">
        <w:rPr>
          <w:sz w:val="22"/>
        </w:rPr>
        <w:t>level of a gross notional value of EUR 3bn (“EMIR CCT”).</w:t>
      </w:r>
      <w:r w:rsidR="00C564A3" w:rsidRPr="002F6D28">
        <w:rPr>
          <w:sz w:val="22"/>
        </w:rPr>
        <w:t xml:space="preserve"> This threshold is assessed on a group-wide and world-wide basis, with hedging trades ignored.</w:t>
      </w:r>
    </w:p>
    <w:p w14:paraId="4E873279" w14:textId="77777777" w:rsidR="00C564A3" w:rsidRPr="002F6D28" w:rsidRDefault="00F80A0A" w:rsidP="006F2628">
      <w:pPr>
        <w:pStyle w:val="ListParagraph"/>
        <w:numPr>
          <w:ilvl w:val="0"/>
          <w:numId w:val="50"/>
        </w:numPr>
        <w:spacing w:before="120" w:after="120"/>
        <w:jc w:val="both"/>
        <w:rPr>
          <w:sz w:val="22"/>
        </w:rPr>
      </w:pPr>
      <w:r w:rsidRPr="002F6D28">
        <w:rPr>
          <w:sz w:val="22"/>
        </w:rPr>
        <w:t xml:space="preserve">In practice, the non-equivalence under Art. 2a of EMIR and </w:t>
      </w:r>
      <w:bookmarkStart w:id="6" w:name="_Hlk90049004"/>
      <w:r w:rsidRPr="002F6D28">
        <w:rPr>
          <w:sz w:val="22"/>
        </w:rPr>
        <w:t>re-characterisation of derivatives traded on non-equivalent UK venues</w:t>
      </w:r>
      <w:r w:rsidR="00E532FD" w:rsidRPr="002F6D28">
        <w:rPr>
          <w:sz w:val="22"/>
        </w:rPr>
        <w:t>, i.e.,</w:t>
      </w:r>
      <w:r w:rsidR="00F2473C" w:rsidRPr="002F6D28">
        <w:rPr>
          <w:sz w:val="22"/>
        </w:rPr>
        <w:t xml:space="preserve"> </w:t>
      </w:r>
      <w:r w:rsidR="00435E81" w:rsidRPr="002F6D28">
        <w:rPr>
          <w:sz w:val="22"/>
        </w:rPr>
        <w:t>ICE and LME</w:t>
      </w:r>
      <w:r w:rsidR="00E532FD" w:rsidRPr="002F6D28">
        <w:rPr>
          <w:sz w:val="22"/>
        </w:rPr>
        <w:t>,</w:t>
      </w:r>
      <w:r w:rsidRPr="002F6D28">
        <w:rPr>
          <w:sz w:val="22"/>
        </w:rPr>
        <w:t xml:space="preserve"> as OTC derivatives </w:t>
      </w:r>
      <w:bookmarkEnd w:id="6"/>
      <w:r w:rsidRPr="002F6D28">
        <w:rPr>
          <w:sz w:val="22"/>
        </w:rPr>
        <w:t xml:space="preserve">expose </w:t>
      </w:r>
      <w:r w:rsidR="001A7F8A" w:rsidRPr="002F6D28">
        <w:rPr>
          <w:sz w:val="22"/>
        </w:rPr>
        <w:t>EU NFCs</w:t>
      </w:r>
      <w:r w:rsidRPr="002F6D28">
        <w:rPr>
          <w:sz w:val="22"/>
        </w:rPr>
        <w:t xml:space="preserve"> </w:t>
      </w:r>
      <w:r w:rsidR="000A13DF" w:rsidRPr="002F6D28">
        <w:rPr>
          <w:sz w:val="22"/>
        </w:rPr>
        <w:t>to</w:t>
      </w:r>
      <w:r w:rsidRPr="002F6D28">
        <w:rPr>
          <w:sz w:val="22"/>
        </w:rPr>
        <w:t xml:space="preserve"> the risk of exceeding the EMIR CCT.</w:t>
      </w:r>
    </w:p>
    <w:p w14:paraId="317EACAF" w14:textId="70080F92" w:rsidR="00CA690F" w:rsidRPr="002F6D28" w:rsidRDefault="00C564A3" w:rsidP="006F2628">
      <w:pPr>
        <w:pStyle w:val="ListParagraph"/>
        <w:numPr>
          <w:ilvl w:val="0"/>
          <w:numId w:val="50"/>
        </w:numPr>
        <w:spacing w:before="120" w:after="120"/>
        <w:jc w:val="both"/>
        <w:rPr>
          <w:sz w:val="22"/>
        </w:rPr>
      </w:pPr>
      <w:r w:rsidRPr="002F6D28">
        <w:rPr>
          <w:sz w:val="22"/>
        </w:rPr>
        <w:t>Consequently, the lack of</w:t>
      </w:r>
      <w:r w:rsidR="000A24CC" w:rsidRPr="002F6D28">
        <w:rPr>
          <w:sz w:val="22"/>
        </w:rPr>
        <w:t xml:space="preserve"> an</w:t>
      </w:r>
      <w:r w:rsidRPr="002F6D28">
        <w:rPr>
          <w:sz w:val="22"/>
        </w:rPr>
        <w:t xml:space="preserve"> equivalence decision expose</w:t>
      </w:r>
      <w:r w:rsidR="000A24CC" w:rsidRPr="002F6D28">
        <w:rPr>
          <w:sz w:val="22"/>
        </w:rPr>
        <w:t>s</w:t>
      </w:r>
      <w:r w:rsidRPr="002F6D28">
        <w:rPr>
          <w:sz w:val="22"/>
        </w:rPr>
        <w:t xml:space="preserve"> EU NFCs to </w:t>
      </w:r>
      <w:r w:rsidR="00BB593B" w:rsidRPr="002F6D28">
        <w:rPr>
          <w:sz w:val="22"/>
        </w:rPr>
        <w:t xml:space="preserve">the risk </w:t>
      </w:r>
      <w:r w:rsidR="000A24CC" w:rsidRPr="002F6D28">
        <w:rPr>
          <w:sz w:val="22"/>
        </w:rPr>
        <w:t>of becoming</w:t>
      </w:r>
      <w:r w:rsidRPr="002F6D28">
        <w:rPr>
          <w:sz w:val="22"/>
        </w:rPr>
        <w:t xml:space="preserve"> NFC+s</w:t>
      </w:r>
      <w:r w:rsidR="000A24CC" w:rsidRPr="002F6D28">
        <w:rPr>
          <w:sz w:val="22"/>
        </w:rPr>
        <w:t>, which are</w:t>
      </w:r>
      <w:r w:rsidRPr="002F6D28">
        <w:rPr>
          <w:sz w:val="22"/>
        </w:rPr>
        <w:t xml:space="preserve"> subject to mandatory clearing and/or bilateral margining requirements as well as certain other more onerous elements of EMIR</w:t>
      </w:r>
      <w:r w:rsidR="00573807" w:rsidRPr="002F6D28">
        <w:rPr>
          <w:sz w:val="22"/>
        </w:rPr>
        <w:t>, although the transactions on IFEU and LME are centrally cleared and margined according to international standards</w:t>
      </w:r>
      <w:r w:rsidRPr="002F6D28">
        <w:rPr>
          <w:sz w:val="22"/>
        </w:rPr>
        <w:t>.</w:t>
      </w:r>
    </w:p>
    <w:p w14:paraId="6566AF9D" w14:textId="282685FD" w:rsidR="00C073EA" w:rsidRPr="002F6D28" w:rsidRDefault="00F80A0A" w:rsidP="00020230">
      <w:pPr>
        <w:spacing w:before="120" w:after="120"/>
        <w:jc w:val="both"/>
        <w:rPr>
          <w:sz w:val="22"/>
        </w:rPr>
      </w:pPr>
      <w:r w:rsidRPr="00E15D92">
        <w:rPr>
          <w:b/>
          <w:bCs/>
          <w:sz w:val="22"/>
        </w:rPr>
        <w:t xml:space="preserve">The consequence of this risk is that EU </w:t>
      </w:r>
      <w:r w:rsidR="0030247F" w:rsidRPr="00E15D92">
        <w:rPr>
          <w:b/>
          <w:bCs/>
          <w:sz w:val="22"/>
        </w:rPr>
        <w:t>NFCs</w:t>
      </w:r>
      <w:r w:rsidRPr="00E15D92">
        <w:rPr>
          <w:b/>
          <w:bCs/>
          <w:sz w:val="22"/>
        </w:rPr>
        <w:t xml:space="preserve"> face an immediate stark choice between meeting costly and burdensome NFC+-EMIR requirements or restricting their trading activities on UK exchanges to avoid breaching the EMIR CCT, due to lack of alternative similar venues for trading.</w:t>
      </w:r>
      <w:r w:rsidR="00C564A3" w:rsidRPr="002F6D28">
        <w:rPr>
          <w:sz w:val="22"/>
        </w:rPr>
        <w:t xml:space="preserve"> </w:t>
      </w:r>
      <w:r w:rsidRPr="002F6D28">
        <w:rPr>
          <w:sz w:val="22"/>
        </w:rPr>
        <w:t xml:space="preserve">This situation places EU </w:t>
      </w:r>
      <w:r w:rsidR="001A7F8A" w:rsidRPr="002F6D28">
        <w:rPr>
          <w:sz w:val="22"/>
        </w:rPr>
        <w:t>NFCs</w:t>
      </w:r>
      <w:r w:rsidRPr="002F6D28">
        <w:rPr>
          <w:sz w:val="22"/>
        </w:rPr>
        <w:t xml:space="preserve"> at a competitive disadvantage when compared to 3rd country firms and this</w:t>
      </w:r>
      <w:r w:rsidR="000A24CC" w:rsidRPr="002F6D28">
        <w:rPr>
          <w:sz w:val="22"/>
        </w:rPr>
        <w:t xml:space="preserve"> is</w:t>
      </w:r>
      <w:r w:rsidRPr="002F6D28">
        <w:rPr>
          <w:sz w:val="22"/>
        </w:rPr>
        <w:t xml:space="preserve"> solely based on a regulatory necessity for EU firms to avoid breaching the EMIR </w:t>
      </w:r>
      <w:r w:rsidR="00FE6C7B" w:rsidRPr="002F6D28">
        <w:rPr>
          <w:sz w:val="22"/>
        </w:rPr>
        <w:t>C</w:t>
      </w:r>
      <w:r w:rsidRPr="002F6D28">
        <w:rPr>
          <w:sz w:val="22"/>
        </w:rPr>
        <w:t xml:space="preserve">CT. </w:t>
      </w:r>
    </w:p>
    <w:p w14:paraId="319895D1" w14:textId="0DE355FE" w:rsidR="000A13DF" w:rsidRPr="002F6D28" w:rsidRDefault="00F80A0A" w:rsidP="00020230">
      <w:pPr>
        <w:spacing w:before="120" w:after="120"/>
        <w:jc w:val="both"/>
        <w:rPr>
          <w:sz w:val="22"/>
        </w:rPr>
      </w:pPr>
      <w:r w:rsidRPr="002F6D28">
        <w:rPr>
          <w:sz w:val="22"/>
        </w:rPr>
        <w:t xml:space="preserve">Ultimately, the alternatives of implementing the NFC+ status or avoiding it by reducing trading activities on ICE and LME will increase </w:t>
      </w:r>
      <w:bookmarkStart w:id="7" w:name="_Hlk90050020"/>
      <w:r w:rsidRPr="002F6D28">
        <w:rPr>
          <w:sz w:val="22"/>
        </w:rPr>
        <w:t>costs for the industry and cause higher power and gas prices for consumers.</w:t>
      </w:r>
      <w:bookmarkEnd w:id="7"/>
    </w:p>
    <w:p w14:paraId="49830D3A" w14:textId="4364CF66" w:rsidR="00694094" w:rsidRPr="002F6D28" w:rsidRDefault="00694094" w:rsidP="00020230">
      <w:pPr>
        <w:spacing w:before="120" w:after="120"/>
        <w:jc w:val="both"/>
        <w:rPr>
          <w:b/>
          <w:bCs/>
          <w:sz w:val="22"/>
        </w:rPr>
      </w:pPr>
      <w:r w:rsidRPr="002F6D28">
        <w:rPr>
          <w:b/>
          <w:bCs/>
          <w:sz w:val="22"/>
        </w:rPr>
        <w:t>Manifold adverse impacts triggered</w:t>
      </w:r>
      <w:r w:rsidR="00BB593B" w:rsidRPr="002F6D28">
        <w:rPr>
          <w:b/>
          <w:bCs/>
          <w:sz w:val="22"/>
        </w:rPr>
        <w:t xml:space="preserve"> by</w:t>
      </w:r>
      <w:r w:rsidRPr="002F6D28">
        <w:rPr>
          <w:b/>
          <w:bCs/>
          <w:sz w:val="22"/>
        </w:rPr>
        <w:t xml:space="preserve"> lack of an equivalence decision</w:t>
      </w:r>
    </w:p>
    <w:p w14:paraId="5615CB0B" w14:textId="0B73421D" w:rsidR="00D66F10" w:rsidRPr="002F6D28" w:rsidRDefault="00D66F10" w:rsidP="00020230">
      <w:pPr>
        <w:spacing w:before="120" w:after="120"/>
        <w:jc w:val="both"/>
        <w:rPr>
          <w:sz w:val="22"/>
        </w:rPr>
      </w:pPr>
      <w:r w:rsidRPr="002F6D28">
        <w:rPr>
          <w:sz w:val="22"/>
        </w:rPr>
        <w:t xml:space="preserve">In the following </w:t>
      </w:r>
      <w:r w:rsidR="000A13DF" w:rsidRPr="002F6D28">
        <w:rPr>
          <w:sz w:val="22"/>
        </w:rPr>
        <w:t xml:space="preserve">sections </w:t>
      </w:r>
      <w:r w:rsidRPr="002F6D28">
        <w:rPr>
          <w:sz w:val="22"/>
        </w:rPr>
        <w:t>we summari</w:t>
      </w:r>
      <w:r w:rsidR="00F119E0" w:rsidRPr="002F6D28">
        <w:rPr>
          <w:sz w:val="22"/>
        </w:rPr>
        <w:t>se the</w:t>
      </w:r>
      <w:r w:rsidRPr="002F6D28">
        <w:rPr>
          <w:sz w:val="22"/>
        </w:rPr>
        <w:t xml:space="preserve"> adverse impacts</w:t>
      </w:r>
      <w:r w:rsidR="004E0CA0" w:rsidRPr="002F6D28">
        <w:rPr>
          <w:sz w:val="22"/>
        </w:rPr>
        <w:t xml:space="preserve"> of the missing equivalence decision under Article 2a of EMIR under the currently low level of the EMIR CCT</w:t>
      </w:r>
      <w:r w:rsidRPr="002F6D28">
        <w:rPr>
          <w:sz w:val="22"/>
        </w:rPr>
        <w:t>:</w:t>
      </w:r>
    </w:p>
    <w:p w14:paraId="4045102D" w14:textId="315B3500" w:rsidR="0091453F" w:rsidRPr="002F6D28" w:rsidRDefault="0091453F" w:rsidP="00020230">
      <w:pPr>
        <w:spacing w:before="120" w:after="120"/>
        <w:jc w:val="both"/>
        <w:rPr>
          <w:b/>
          <w:bCs/>
          <w:sz w:val="22"/>
        </w:rPr>
      </w:pPr>
      <w:bookmarkStart w:id="8" w:name="_Hlk90050143"/>
      <w:r w:rsidRPr="002F6D28">
        <w:rPr>
          <w:b/>
          <w:bCs/>
          <w:sz w:val="22"/>
        </w:rPr>
        <w:t xml:space="preserve">1. </w:t>
      </w:r>
      <w:r w:rsidR="00572AF0" w:rsidRPr="002F6D28">
        <w:rPr>
          <w:b/>
          <w:bCs/>
          <w:sz w:val="22"/>
        </w:rPr>
        <w:t>Overview of s</w:t>
      </w:r>
      <w:r w:rsidRPr="002F6D28">
        <w:rPr>
          <w:b/>
          <w:bCs/>
          <w:sz w:val="22"/>
        </w:rPr>
        <w:t>tark choices for NFCs in the EU with adverse consequences for</w:t>
      </w:r>
      <w:r w:rsidR="00E532FD" w:rsidRPr="002F6D28">
        <w:rPr>
          <w:b/>
          <w:bCs/>
          <w:sz w:val="22"/>
        </w:rPr>
        <w:t xml:space="preserve"> energy firms,</w:t>
      </w:r>
      <w:r w:rsidRPr="002F6D28">
        <w:rPr>
          <w:b/>
          <w:bCs/>
          <w:sz w:val="22"/>
        </w:rPr>
        <w:t xml:space="preserve"> industry and consumers</w:t>
      </w:r>
    </w:p>
    <w:p w14:paraId="3E94D68C" w14:textId="055EEB53" w:rsidR="0091453F" w:rsidRPr="002F6D28" w:rsidRDefault="0091453F" w:rsidP="00020230">
      <w:pPr>
        <w:spacing w:before="120" w:after="120"/>
        <w:jc w:val="both"/>
        <w:rPr>
          <w:sz w:val="22"/>
        </w:rPr>
      </w:pPr>
      <w:r w:rsidRPr="002F6D28">
        <w:rPr>
          <w:sz w:val="22"/>
        </w:rPr>
        <w:t>The consequence is that EU NFCs face an immediate stark choice between</w:t>
      </w:r>
    </w:p>
    <w:p w14:paraId="2A3C94C7" w14:textId="3D5D9E8E" w:rsidR="0091453F" w:rsidRPr="002F6D28" w:rsidRDefault="0091453F" w:rsidP="006F2628">
      <w:pPr>
        <w:numPr>
          <w:ilvl w:val="0"/>
          <w:numId w:val="42"/>
        </w:numPr>
        <w:spacing w:before="120" w:after="120"/>
        <w:jc w:val="both"/>
        <w:rPr>
          <w:sz w:val="22"/>
        </w:rPr>
      </w:pPr>
      <w:r w:rsidRPr="00E15D92">
        <w:rPr>
          <w:b/>
          <w:bCs/>
          <w:sz w:val="22"/>
        </w:rPr>
        <w:t>restricting their trading activities on UK exchanges</w:t>
      </w:r>
      <w:r w:rsidRPr="00E15D92">
        <w:rPr>
          <w:sz w:val="22"/>
        </w:rPr>
        <w:t xml:space="preserve"> </w:t>
      </w:r>
      <w:r w:rsidRPr="002F6D28">
        <w:rPr>
          <w:sz w:val="22"/>
        </w:rPr>
        <w:t>to avoid breaching the EMIR CT, due to lack of alternative similar venues for trading</w:t>
      </w:r>
      <w:r w:rsidR="000A13DF" w:rsidRPr="002F6D28">
        <w:rPr>
          <w:sz w:val="22"/>
        </w:rPr>
        <w:t xml:space="preserve"> </w:t>
      </w:r>
      <w:r w:rsidR="000A13DF" w:rsidRPr="002F6D28">
        <w:rPr>
          <w:b/>
          <w:bCs/>
          <w:sz w:val="22"/>
        </w:rPr>
        <w:t>(see nr. 2)</w:t>
      </w:r>
      <w:r w:rsidR="000A13DF" w:rsidRPr="002F6D28">
        <w:rPr>
          <w:sz w:val="22"/>
        </w:rPr>
        <w:t>;</w:t>
      </w:r>
      <w:r w:rsidRPr="002F6D28">
        <w:rPr>
          <w:sz w:val="22"/>
        </w:rPr>
        <w:t xml:space="preserve"> or</w:t>
      </w:r>
    </w:p>
    <w:p w14:paraId="3295F274" w14:textId="786284E7" w:rsidR="00853FA8" w:rsidRPr="002F6D28" w:rsidRDefault="0091453F" w:rsidP="006F2628">
      <w:pPr>
        <w:numPr>
          <w:ilvl w:val="0"/>
          <w:numId w:val="42"/>
        </w:numPr>
        <w:spacing w:before="120" w:after="120"/>
        <w:jc w:val="both"/>
        <w:rPr>
          <w:sz w:val="22"/>
        </w:rPr>
      </w:pPr>
      <w:r w:rsidRPr="00E15D92">
        <w:rPr>
          <w:b/>
          <w:bCs/>
          <w:sz w:val="22"/>
        </w:rPr>
        <w:t>not being able to provide sufficient liquidity to OTC derivatives markets</w:t>
      </w:r>
      <w:r w:rsidRPr="002F6D28">
        <w:rPr>
          <w:sz w:val="22"/>
        </w:rPr>
        <w:t xml:space="preserve"> to enable efficient hedging of the real economy</w:t>
      </w:r>
      <w:r w:rsidR="000A13DF" w:rsidRPr="002F6D28">
        <w:rPr>
          <w:sz w:val="22"/>
        </w:rPr>
        <w:t xml:space="preserve"> </w:t>
      </w:r>
      <w:r w:rsidR="000A13DF" w:rsidRPr="002F6D28">
        <w:rPr>
          <w:b/>
          <w:bCs/>
          <w:sz w:val="22"/>
        </w:rPr>
        <w:t>(see nr. 3)</w:t>
      </w:r>
      <w:r w:rsidR="000A13DF" w:rsidRPr="002F6D28">
        <w:rPr>
          <w:sz w:val="22"/>
        </w:rPr>
        <w:t>;</w:t>
      </w:r>
      <w:r w:rsidR="00853FA8" w:rsidRPr="002F6D28">
        <w:rPr>
          <w:sz w:val="22"/>
        </w:rPr>
        <w:t xml:space="preserve"> or</w:t>
      </w:r>
    </w:p>
    <w:p w14:paraId="51CDBEE6" w14:textId="546B5BB1" w:rsidR="00853FA8" w:rsidRPr="002F6D28" w:rsidRDefault="00853FA8" w:rsidP="006F2628">
      <w:pPr>
        <w:numPr>
          <w:ilvl w:val="0"/>
          <w:numId w:val="42"/>
        </w:numPr>
        <w:spacing w:before="120" w:after="120"/>
        <w:jc w:val="both"/>
        <w:rPr>
          <w:sz w:val="22"/>
        </w:rPr>
      </w:pPr>
      <w:r w:rsidRPr="00E15D92">
        <w:rPr>
          <w:b/>
          <w:bCs/>
          <w:sz w:val="22"/>
        </w:rPr>
        <w:t>meeting costly and burdensome NFC+-EMIR requirements</w:t>
      </w:r>
      <w:r w:rsidR="000A13DF" w:rsidRPr="002F6D28">
        <w:rPr>
          <w:sz w:val="22"/>
        </w:rPr>
        <w:t xml:space="preserve"> </w:t>
      </w:r>
      <w:r w:rsidR="000A13DF" w:rsidRPr="002F6D28">
        <w:rPr>
          <w:b/>
          <w:bCs/>
          <w:sz w:val="22"/>
        </w:rPr>
        <w:t>(see nr. 4)</w:t>
      </w:r>
      <w:r w:rsidR="000D28E3" w:rsidRPr="002F6D28">
        <w:rPr>
          <w:sz w:val="22"/>
        </w:rPr>
        <w:t>;</w:t>
      </w:r>
      <w:r w:rsidRPr="002F6D28">
        <w:rPr>
          <w:sz w:val="22"/>
        </w:rPr>
        <w:t xml:space="preserve"> or</w:t>
      </w:r>
    </w:p>
    <w:p w14:paraId="712471A1" w14:textId="64E2633D" w:rsidR="0091453F" w:rsidRPr="002F6D28" w:rsidRDefault="00853FA8" w:rsidP="006F2628">
      <w:pPr>
        <w:numPr>
          <w:ilvl w:val="0"/>
          <w:numId w:val="42"/>
        </w:numPr>
        <w:spacing w:before="120" w:after="120"/>
        <w:jc w:val="both"/>
        <w:rPr>
          <w:sz w:val="22"/>
        </w:rPr>
      </w:pPr>
      <w:r w:rsidRPr="00E15D92">
        <w:rPr>
          <w:b/>
          <w:bCs/>
          <w:sz w:val="22"/>
        </w:rPr>
        <w:t>facing competitive disadvantage vis-à-vis 3rd country firms and markets</w:t>
      </w:r>
      <w:r w:rsidR="000A13DF" w:rsidRPr="002F6D28">
        <w:rPr>
          <w:sz w:val="22"/>
        </w:rPr>
        <w:t xml:space="preserve"> </w:t>
      </w:r>
      <w:r w:rsidR="000A13DF" w:rsidRPr="002F6D28">
        <w:rPr>
          <w:b/>
          <w:bCs/>
          <w:sz w:val="22"/>
        </w:rPr>
        <w:t>(see nr. 5)</w:t>
      </w:r>
      <w:r w:rsidR="0091453F" w:rsidRPr="002F6D28">
        <w:rPr>
          <w:sz w:val="22"/>
        </w:rPr>
        <w:t xml:space="preserve">. </w:t>
      </w:r>
    </w:p>
    <w:p w14:paraId="2C04AD04" w14:textId="79F22A1D" w:rsidR="0091453F" w:rsidRPr="002F6D28" w:rsidRDefault="000A13DF" w:rsidP="00020230">
      <w:pPr>
        <w:spacing w:before="120" w:after="120"/>
        <w:jc w:val="both"/>
        <w:rPr>
          <w:sz w:val="22"/>
        </w:rPr>
      </w:pPr>
      <w:r w:rsidRPr="002F6D28">
        <w:rPr>
          <w:sz w:val="22"/>
        </w:rPr>
        <w:t xml:space="preserve">There are </w:t>
      </w:r>
      <w:r w:rsidRPr="00E15D92">
        <w:rPr>
          <w:b/>
          <w:bCs/>
          <w:sz w:val="22"/>
        </w:rPr>
        <w:t>limited options to mitigate this adverse impact</w:t>
      </w:r>
      <w:r w:rsidR="000D28E3" w:rsidRPr="00E15D92">
        <w:rPr>
          <w:b/>
          <w:bCs/>
          <w:sz w:val="22"/>
        </w:rPr>
        <w:t xml:space="preserve"> of the</w:t>
      </w:r>
      <w:r w:rsidR="00DB2F94" w:rsidRPr="00E15D92">
        <w:rPr>
          <w:b/>
          <w:bCs/>
          <w:sz w:val="22"/>
        </w:rPr>
        <w:t xml:space="preserve"> lack of an</w:t>
      </w:r>
      <w:r w:rsidR="000D28E3" w:rsidRPr="00E15D92">
        <w:rPr>
          <w:b/>
          <w:bCs/>
          <w:sz w:val="22"/>
        </w:rPr>
        <w:t xml:space="preserve"> equivalence decision</w:t>
      </w:r>
      <w:r w:rsidRPr="00E15D92">
        <w:rPr>
          <w:b/>
          <w:bCs/>
          <w:sz w:val="22"/>
        </w:rPr>
        <w:t xml:space="preserve">, in particular </w:t>
      </w:r>
      <w:r w:rsidR="00DB2F94" w:rsidRPr="00E15D92">
        <w:rPr>
          <w:b/>
          <w:bCs/>
          <w:sz w:val="22"/>
        </w:rPr>
        <w:t xml:space="preserve">in case </w:t>
      </w:r>
      <w:r w:rsidRPr="00E15D92">
        <w:rPr>
          <w:b/>
          <w:bCs/>
          <w:sz w:val="22"/>
        </w:rPr>
        <w:t>the migration of trading to alternative trading venues is not possible</w:t>
      </w:r>
      <w:r w:rsidRPr="002F6D28">
        <w:rPr>
          <w:sz w:val="22"/>
        </w:rPr>
        <w:t xml:space="preserve"> (</w:t>
      </w:r>
      <w:r w:rsidRPr="002F6D28">
        <w:rPr>
          <w:b/>
          <w:bCs/>
          <w:sz w:val="22"/>
        </w:rPr>
        <w:t>see nr. 6</w:t>
      </w:r>
      <w:r w:rsidRPr="002F6D28">
        <w:rPr>
          <w:sz w:val="22"/>
        </w:rPr>
        <w:t>).</w:t>
      </w:r>
    </w:p>
    <w:p w14:paraId="38AB6F49" w14:textId="7070DA3D" w:rsidR="000D28E3" w:rsidRPr="002F6D28" w:rsidRDefault="00DA20D5" w:rsidP="00020230">
      <w:pPr>
        <w:spacing w:before="120" w:after="120"/>
        <w:jc w:val="both"/>
        <w:rPr>
          <w:sz w:val="22"/>
        </w:rPr>
      </w:pPr>
      <w:r w:rsidRPr="002F6D28">
        <w:rPr>
          <w:sz w:val="22"/>
        </w:rPr>
        <w:lastRenderedPageBreak/>
        <w:t>In the following paragraphs we highlight the main aspects:</w:t>
      </w:r>
    </w:p>
    <w:p w14:paraId="735CC93C" w14:textId="35EE8B05" w:rsidR="00D66F10" w:rsidRPr="002F6D28" w:rsidRDefault="0091453F" w:rsidP="00020230">
      <w:pPr>
        <w:spacing w:before="120" w:after="120"/>
        <w:jc w:val="both"/>
        <w:rPr>
          <w:rFonts w:eastAsia="Calibri"/>
          <w:b/>
          <w:bCs/>
          <w:sz w:val="22"/>
          <w:szCs w:val="22"/>
          <w:lang w:eastAsia="en-US"/>
        </w:rPr>
      </w:pPr>
      <w:r w:rsidRPr="002F6D28">
        <w:rPr>
          <w:b/>
          <w:bCs/>
          <w:sz w:val="22"/>
        </w:rPr>
        <w:t>2</w:t>
      </w:r>
      <w:r w:rsidR="00D66F10" w:rsidRPr="002F6D28">
        <w:rPr>
          <w:b/>
          <w:bCs/>
          <w:sz w:val="22"/>
        </w:rPr>
        <w:t xml:space="preserve">. </w:t>
      </w:r>
      <w:r w:rsidR="00D66F10" w:rsidRPr="002F6D28">
        <w:rPr>
          <w:rFonts w:eastAsia="Calibri"/>
          <w:b/>
          <w:bCs/>
          <w:sz w:val="22"/>
          <w:szCs w:val="22"/>
          <w:lang w:eastAsia="en-US"/>
        </w:rPr>
        <w:t xml:space="preserve">EU NFCs face the risk of exceeding the EMIR CT </w:t>
      </w:r>
      <w:r w:rsidR="00853FA8" w:rsidRPr="002F6D28">
        <w:rPr>
          <w:rFonts w:eastAsia="Calibri"/>
          <w:b/>
          <w:bCs/>
          <w:sz w:val="22"/>
          <w:szCs w:val="22"/>
          <w:lang w:eastAsia="en-US"/>
        </w:rPr>
        <w:t>and hence have to restrict their trading activities</w:t>
      </w:r>
    </w:p>
    <w:p w14:paraId="3F33DD3C" w14:textId="63B972BD" w:rsidR="00D66F10" w:rsidRPr="002F6D28" w:rsidRDefault="00D66F10" w:rsidP="00020230">
      <w:pPr>
        <w:spacing w:before="120" w:after="120"/>
        <w:jc w:val="both"/>
        <w:rPr>
          <w:rFonts w:eastAsia="Calibri"/>
          <w:bCs/>
          <w:sz w:val="22"/>
          <w:szCs w:val="22"/>
          <w:lang w:eastAsia="en-US"/>
        </w:rPr>
      </w:pPr>
      <w:r w:rsidRPr="002F6D28">
        <w:rPr>
          <w:rFonts w:eastAsia="Calibri"/>
          <w:bCs/>
          <w:sz w:val="22"/>
          <w:szCs w:val="22"/>
          <w:lang w:eastAsia="en-US"/>
        </w:rPr>
        <w:t>In practice, the non-equivalence under Art. 2a of EMIR and re-characterisation of derivatives traded on non-equivalent UK venues as OTC derivatives expose EU NFCs to the risk of rapidly exceeding the EMIR CCT.</w:t>
      </w:r>
      <w:r w:rsidRPr="002F6D28">
        <w:rPr>
          <w:rFonts w:eastAsia="Calibri"/>
          <w:sz w:val="22"/>
          <w:szCs w:val="22"/>
          <w:lang w:eastAsia="en-US"/>
        </w:rPr>
        <w:t xml:space="preserve"> </w:t>
      </w:r>
      <w:r w:rsidRPr="002F6D28">
        <w:rPr>
          <w:rFonts w:eastAsia="Calibri"/>
          <w:bCs/>
          <w:sz w:val="22"/>
          <w:szCs w:val="22"/>
          <w:lang w:eastAsia="en-US"/>
        </w:rPr>
        <w:t>EU NFCs can only use ICE and LME markets as only these trading venues offer sufficiently liquid markets in certain commodity products and, hence, their exposure to the EMIR CCT builds up.</w:t>
      </w:r>
      <w:r w:rsidR="00793417" w:rsidRPr="002F6D28">
        <w:rPr>
          <w:rFonts w:eastAsia="Calibri"/>
          <w:bCs/>
          <w:sz w:val="22"/>
          <w:szCs w:val="22"/>
          <w:lang w:eastAsia="en-US"/>
        </w:rPr>
        <w:t xml:space="preserve"> Therefore, the </w:t>
      </w:r>
      <w:r w:rsidR="00DB2F94" w:rsidRPr="002F6D28">
        <w:rPr>
          <w:rFonts w:eastAsia="Calibri"/>
          <w:bCs/>
          <w:sz w:val="22"/>
          <w:szCs w:val="22"/>
          <w:lang w:eastAsia="en-US"/>
        </w:rPr>
        <w:t xml:space="preserve">impacted </w:t>
      </w:r>
      <w:r w:rsidR="00793417" w:rsidRPr="002F6D28">
        <w:rPr>
          <w:rFonts w:eastAsia="Calibri"/>
          <w:bCs/>
          <w:sz w:val="22"/>
          <w:szCs w:val="22"/>
          <w:lang w:eastAsia="en-US"/>
        </w:rPr>
        <w:t xml:space="preserve">energy firms are forced to restrict their </w:t>
      </w:r>
      <w:r w:rsidR="00FA6C1B" w:rsidRPr="002F6D28">
        <w:rPr>
          <w:rFonts w:eastAsia="Calibri"/>
          <w:bCs/>
          <w:sz w:val="22"/>
          <w:szCs w:val="22"/>
          <w:lang w:eastAsia="en-US"/>
        </w:rPr>
        <w:t xml:space="preserve">non-hedging </w:t>
      </w:r>
      <w:r w:rsidR="00793417" w:rsidRPr="002F6D28">
        <w:rPr>
          <w:rFonts w:eastAsia="Calibri"/>
          <w:bCs/>
          <w:sz w:val="22"/>
          <w:szCs w:val="22"/>
          <w:lang w:eastAsia="en-US"/>
        </w:rPr>
        <w:t>trading activities on UK exchanges</w:t>
      </w:r>
      <w:r w:rsidR="000D28E3" w:rsidRPr="002F6D28">
        <w:rPr>
          <w:rFonts w:eastAsia="Calibri"/>
          <w:bCs/>
          <w:sz w:val="22"/>
          <w:szCs w:val="22"/>
          <w:lang w:eastAsia="en-US"/>
        </w:rPr>
        <w:t xml:space="preserve"> if they want to avoid </w:t>
      </w:r>
      <w:r w:rsidR="00DB2F94" w:rsidRPr="002F6D28">
        <w:rPr>
          <w:rFonts w:eastAsia="Calibri"/>
          <w:bCs/>
          <w:sz w:val="22"/>
          <w:szCs w:val="22"/>
          <w:lang w:eastAsia="en-US"/>
        </w:rPr>
        <w:t>breaching</w:t>
      </w:r>
      <w:r w:rsidR="000D28E3" w:rsidRPr="002F6D28">
        <w:rPr>
          <w:rFonts w:eastAsia="Calibri"/>
          <w:bCs/>
          <w:sz w:val="22"/>
          <w:szCs w:val="22"/>
          <w:lang w:eastAsia="en-US"/>
        </w:rPr>
        <w:t xml:space="preserve"> the EMIR CT</w:t>
      </w:r>
      <w:r w:rsidR="00793417" w:rsidRPr="002F6D28">
        <w:rPr>
          <w:rFonts w:eastAsia="Calibri"/>
          <w:bCs/>
          <w:sz w:val="22"/>
          <w:szCs w:val="22"/>
          <w:lang w:eastAsia="en-US"/>
        </w:rPr>
        <w:t>.</w:t>
      </w:r>
    </w:p>
    <w:p w14:paraId="466A22D4" w14:textId="1080346F" w:rsidR="006921D5" w:rsidRPr="002F6D28" w:rsidRDefault="006921D5" w:rsidP="006921D5">
      <w:pPr>
        <w:spacing w:before="120" w:after="120"/>
        <w:jc w:val="both"/>
        <w:rPr>
          <w:rFonts w:eastAsia="Calibri"/>
          <w:bCs/>
          <w:sz w:val="22"/>
          <w:szCs w:val="22"/>
          <w:lang w:eastAsia="en-US"/>
        </w:rPr>
      </w:pPr>
      <w:r w:rsidRPr="002F6D28">
        <w:rPr>
          <w:rFonts w:eastAsia="Calibri"/>
          <w:bCs/>
          <w:sz w:val="22"/>
          <w:szCs w:val="22"/>
          <w:lang w:eastAsia="en-US"/>
        </w:rPr>
        <w:t xml:space="preserve">This </w:t>
      </w:r>
      <w:r w:rsidR="004F2471" w:rsidRPr="002F6D28">
        <w:rPr>
          <w:rFonts w:eastAsia="Calibri"/>
          <w:bCs/>
          <w:sz w:val="22"/>
          <w:szCs w:val="22"/>
          <w:lang w:eastAsia="en-US"/>
        </w:rPr>
        <w:t>issue</w:t>
      </w:r>
      <w:r w:rsidRPr="002F6D28">
        <w:rPr>
          <w:rFonts w:eastAsia="Calibri"/>
          <w:bCs/>
          <w:sz w:val="22"/>
          <w:szCs w:val="22"/>
          <w:lang w:eastAsia="en-US"/>
        </w:rPr>
        <w:t xml:space="preserve"> is </w:t>
      </w:r>
      <w:r w:rsidR="00DB2F94" w:rsidRPr="002F6D28">
        <w:rPr>
          <w:rFonts w:eastAsia="Calibri"/>
          <w:bCs/>
          <w:sz w:val="22"/>
          <w:szCs w:val="22"/>
          <w:lang w:eastAsia="en-US"/>
        </w:rPr>
        <w:t xml:space="preserve">compounded </w:t>
      </w:r>
      <w:r w:rsidRPr="002F6D28">
        <w:rPr>
          <w:rFonts w:eastAsia="Calibri"/>
          <w:bCs/>
          <w:sz w:val="22"/>
          <w:szCs w:val="22"/>
          <w:lang w:eastAsia="en-US"/>
        </w:rPr>
        <w:t>by the fact that commodity trading venue</w:t>
      </w:r>
      <w:r w:rsidR="008741F7" w:rsidRPr="002F6D28">
        <w:rPr>
          <w:rFonts w:eastAsia="Calibri"/>
          <w:bCs/>
          <w:sz w:val="22"/>
          <w:szCs w:val="22"/>
          <w:lang w:eastAsia="en-US"/>
        </w:rPr>
        <w:t>s</w:t>
      </w:r>
      <w:r w:rsidRPr="002F6D28">
        <w:rPr>
          <w:rFonts w:eastAsia="Calibri"/>
          <w:bCs/>
          <w:sz w:val="22"/>
          <w:szCs w:val="22"/>
          <w:lang w:eastAsia="en-US"/>
        </w:rPr>
        <w:t xml:space="preserve"> in numerous jurisdictions are not recognised by the EU Commission as equivalent, e.g., venues in United Arab Emirates, China, Russia, Turkey and Brazil in the near future.</w:t>
      </w:r>
    </w:p>
    <w:bookmarkEnd w:id="8"/>
    <w:p w14:paraId="78696910" w14:textId="00453866" w:rsidR="00D66F10" w:rsidRPr="009260C9" w:rsidRDefault="0091453F" w:rsidP="00020230">
      <w:pPr>
        <w:spacing w:before="120" w:after="120"/>
        <w:jc w:val="both"/>
        <w:rPr>
          <w:rFonts w:eastAsia="Calibri"/>
          <w:sz w:val="22"/>
          <w:szCs w:val="22"/>
          <w:lang w:eastAsia="en-US"/>
        </w:rPr>
      </w:pPr>
      <w:r w:rsidRPr="009260C9">
        <w:rPr>
          <w:rFonts w:eastAsia="Calibri"/>
          <w:b/>
          <w:sz w:val="22"/>
          <w:szCs w:val="22"/>
          <w:lang w:eastAsia="en-US"/>
        </w:rPr>
        <w:t>3</w:t>
      </w:r>
      <w:r w:rsidR="00D66F10" w:rsidRPr="009260C9">
        <w:rPr>
          <w:rFonts w:eastAsia="Calibri"/>
          <w:b/>
          <w:sz w:val="22"/>
          <w:szCs w:val="22"/>
          <w:lang w:eastAsia="en-US"/>
        </w:rPr>
        <w:t xml:space="preserve">. </w:t>
      </w:r>
      <w:r w:rsidR="00DB2F94" w:rsidRPr="009260C9">
        <w:rPr>
          <w:rFonts w:eastAsia="Calibri"/>
          <w:b/>
          <w:sz w:val="22"/>
          <w:szCs w:val="22"/>
          <w:lang w:eastAsia="en-US"/>
        </w:rPr>
        <w:t>In</w:t>
      </w:r>
      <w:r w:rsidR="00D66F10" w:rsidRPr="009260C9">
        <w:rPr>
          <w:rFonts w:eastAsia="Calibri"/>
          <w:b/>
          <w:sz w:val="22"/>
          <w:szCs w:val="22"/>
          <w:lang w:eastAsia="en-US"/>
        </w:rPr>
        <w:t xml:space="preserve">sufficient liquidity for </w:t>
      </w:r>
      <w:r w:rsidR="00DD549B" w:rsidRPr="009260C9">
        <w:rPr>
          <w:rFonts w:eastAsia="Calibri"/>
          <w:b/>
          <w:sz w:val="22"/>
          <w:szCs w:val="22"/>
          <w:lang w:eastAsia="en-US"/>
        </w:rPr>
        <w:t xml:space="preserve">efficiently </w:t>
      </w:r>
      <w:r w:rsidR="00D66F10" w:rsidRPr="009260C9">
        <w:rPr>
          <w:rFonts w:eastAsia="Calibri"/>
          <w:b/>
          <w:sz w:val="22"/>
          <w:szCs w:val="22"/>
          <w:lang w:eastAsia="en-US"/>
        </w:rPr>
        <w:t>hedging commercial risks in OTC derivative markets</w:t>
      </w:r>
    </w:p>
    <w:p w14:paraId="211FAB61" w14:textId="15C8A1DC" w:rsidR="00CD05BB" w:rsidRPr="002F6D28" w:rsidRDefault="00D66F10" w:rsidP="00020230">
      <w:pPr>
        <w:spacing w:before="120" w:after="120"/>
        <w:jc w:val="both"/>
        <w:rPr>
          <w:rFonts w:eastAsia="Calibri"/>
          <w:sz w:val="22"/>
          <w:szCs w:val="22"/>
          <w:lang w:eastAsia="en-US"/>
        </w:rPr>
      </w:pPr>
      <w:r w:rsidRPr="002F6D28">
        <w:rPr>
          <w:rFonts w:eastAsia="Calibri"/>
          <w:sz w:val="22"/>
          <w:szCs w:val="22"/>
          <w:lang w:eastAsia="en-US"/>
        </w:rPr>
        <w:t xml:space="preserve">In addition, </w:t>
      </w:r>
      <w:r w:rsidR="006921D5" w:rsidRPr="002F6D28">
        <w:rPr>
          <w:rFonts w:eastAsia="Calibri"/>
          <w:sz w:val="22"/>
          <w:szCs w:val="22"/>
          <w:lang w:eastAsia="en-US"/>
        </w:rPr>
        <w:t xml:space="preserve">non-hedging </w:t>
      </w:r>
      <w:r w:rsidRPr="002F6D28">
        <w:rPr>
          <w:rFonts w:eastAsia="Calibri"/>
          <w:sz w:val="22"/>
          <w:szCs w:val="22"/>
          <w:lang w:eastAsia="en-US"/>
        </w:rPr>
        <w:t>OTC derivatives transactions continue</w:t>
      </w:r>
      <w:r w:rsidR="00DB2F94" w:rsidRPr="002F6D28">
        <w:rPr>
          <w:rFonts w:eastAsia="Calibri"/>
          <w:sz w:val="22"/>
          <w:szCs w:val="22"/>
          <w:lang w:eastAsia="en-US"/>
        </w:rPr>
        <w:t xml:space="preserve"> to</w:t>
      </w:r>
      <w:r w:rsidRPr="002F6D28">
        <w:rPr>
          <w:rFonts w:eastAsia="Calibri"/>
          <w:sz w:val="22"/>
          <w:szCs w:val="22"/>
          <w:lang w:eastAsia="en-US"/>
        </w:rPr>
        <w:t xml:space="preserve"> contribut</w:t>
      </w:r>
      <w:r w:rsidR="00DB2F94" w:rsidRPr="002F6D28">
        <w:rPr>
          <w:rFonts w:eastAsia="Calibri"/>
          <w:sz w:val="22"/>
          <w:szCs w:val="22"/>
          <w:lang w:eastAsia="en-US"/>
        </w:rPr>
        <w:t>e</w:t>
      </w:r>
      <w:r w:rsidRPr="002F6D28">
        <w:rPr>
          <w:rFonts w:eastAsia="Calibri"/>
          <w:sz w:val="22"/>
          <w:szCs w:val="22"/>
          <w:lang w:eastAsia="en-US"/>
        </w:rPr>
        <w:t xml:space="preserve"> to the EMIR CCT as well</w:t>
      </w:r>
      <w:r w:rsidR="00C31B7F" w:rsidRPr="002F6D28">
        <w:rPr>
          <w:rFonts w:eastAsia="Calibri"/>
          <w:sz w:val="22"/>
          <w:szCs w:val="22"/>
          <w:lang w:eastAsia="en-US"/>
        </w:rPr>
        <w:t>.</w:t>
      </w:r>
      <w:r w:rsidRPr="002F6D28">
        <w:rPr>
          <w:rFonts w:eastAsia="Calibri"/>
          <w:sz w:val="22"/>
          <w:szCs w:val="22"/>
          <w:lang w:eastAsia="en-US"/>
        </w:rPr>
        <w:t xml:space="preserve"> </w:t>
      </w:r>
      <w:r w:rsidR="00C31B7F" w:rsidRPr="002F6D28">
        <w:rPr>
          <w:rFonts w:eastAsia="Calibri"/>
          <w:sz w:val="22"/>
          <w:szCs w:val="22"/>
          <w:lang w:eastAsia="en-US"/>
        </w:rPr>
        <w:t>F</w:t>
      </w:r>
      <w:r w:rsidRPr="002F6D28">
        <w:rPr>
          <w:rFonts w:eastAsia="Calibri"/>
          <w:sz w:val="22"/>
          <w:szCs w:val="22"/>
          <w:lang w:eastAsia="en-US"/>
        </w:rPr>
        <w:t>or EU NFCs seeking to hedge their commodity risks it is traditionally these</w:t>
      </w:r>
      <w:r w:rsidR="00C31B7F" w:rsidRPr="002F6D28">
        <w:rPr>
          <w:rFonts w:eastAsia="Calibri"/>
          <w:sz w:val="22"/>
          <w:szCs w:val="22"/>
          <w:lang w:eastAsia="en-US"/>
        </w:rPr>
        <w:t xml:space="preserve"> OTC</w:t>
      </w:r>
      <w:r w:rsidRPr="002F6D28">
        <w:rPr>
          <w:rFonts w:eastAsia="Calibri"/>
          <w:sz w:val="22"/>
          <w:szCs w:val="22"/>
          <w:lang w:eastAsia="en-US"/>
        </w:rPr>
        <w:t xml:space="preserve"> derivatives that represent the provision of important hedging solutions for industrial and commercial customers. </w:t>
      </w:r>
      <w:r w:rsidR="00C31B7F" w:rsidRPr="002F6D28">
        <w:rPr>
          <w:rFonts w:eastAsia="Calibri"/>
          <w:sz w:val="22"/>
          <w:szCs w:val="22"/>
          <w:lang w:eastAsia="en-US"/>
        </w:rPr>
        <w:t>For example</w:t>
      </w:r>
      <w:r w:rsidR="00EC2F22" w:rsidRPr="002F6D28">
        <w:rPr>
          <w:rFonts w:eastAsia="Calibri"/>
          <w:sz w:val="22"/>
          <w:szCs w:val="22"/>
          <w:lang w:eastAsia="en-US"/>
        </w:rPr>
        <w:t>,</w:t>
      </w:r>
      <w:r w:rsidR="00C31B7F" w:rsidRPr="002F6D28">
        <w:rPr>
          <w:rFonts w:eastAsia="Calibri"/>
          <w:sz w:val="22"/>
          <w:szCs w:val="22"/>
          <w:lang w:eastAsia="en-US"/>
        </w:rPr>
        <w:t xml:space="preserve"> renewable energy producers can hedge their commercial risks if they can enter into hedging transactions, i.e.</w:t>
      </w:r>
      <w:r w:rsidR="00EC2F22" w:rsidRPr="002F6D28">
        <w:rPr>
          <w:rFonts w:eastAsia="Calibri"/>
          <w:sz w:val="22"/>
          <w:szCs w:val="22"/>
          <w:lang w:eastAsia="en-US"/>
        </w:rPr>
        <w:t>,</w:t>
      </w:r>
      <w:r w:rsidR="00C31B7F" w:rsidRPr="002F6D28">
        <w:rPr>
          <w:rFonts w:eastAsia="Calibri"/>
          <w:sz w:val="22"/>
          <w:szCs w:val="22"/>
          <w:lang w:eastAsia="en-US"/>
        </w:rPr>
        <w:t xml:space="preserve"> if there are energy firms which are willing and able to offer suitable hedge transactions to them.</w:t>
      </w:r>
      <w:r w:rsidR="001A7F8A" w:rsidRPr="002F6D28">
        <w:rPr>
          <w:rFonts w:eastAsia="Calibri"/>
          <w:sz w:val="22"/>
          <w:szCs w:val="22"/>
          <w:lang w:eastAsia="en-US"/>
        </w:rPr>
        <w:t xml:space="preserve"> However, for an energy firm </w:t>
      </w:r>
      <w:r w:rsidR="00EC2F22" w:rsidRPr="002F6D28">
        <w:rPr>
          <w:rFonts w:eastAsia="Calibri"/>
          <w:sz w:val="22"/>
          <w:szCs w:val="22"/>
          <w:lang w:eastAsia="en-US"/>
        </w:rPr>
        <w:t>which provides</w:t>
      </w:r>
      <w:r w:rsidR="001A7F8A" w:rsidRPr="002F6D28">
        <w:rPr>
          <w:rFonts w:eastAsia="Calibri"/>
          <w:sz w:val="22"/>
          <w:szCs w:val="22"/>
          <w:lang w:eastAsia="en-US"/>
        </w:rPr>
        <w:t xml:space="preserve"> hedges to renewable energy producers, these transactions will usually not be a hedge for themselves and count against the EMIR clearing threshold. This is because energy firms which enter into this type of hedging transactions do not usually hedge the commercial risks of their business but rather those of the renewable energy producers. The current restrictive</w:t>
      </w:r>
      <w:r w:rsidR="00A5131C" w:rsidRPr="002F6D28">
        <w:rPr>
          <w:rFonts w:eastAsia="Calibri"/>
          <w:sz w:val="22"/>
          <w:szCs w:val="22"/>
          <w:lang w:eastAsia="en-US"/>
        </w:rPr>
        <w:t xml:space="preserve"> interpretation of the</w:t>
      </w:r>
      <w:r w:rsidR="001A7F8A" w:rsidRPr="002F6D28">
        <w:rPr>
          <w:rFonts w:eastAsia="Calibri"/>
          <w:sz w:val="22"/>
          <w:szCs w:val="22"/>
          <w:lang w:eastAsia="en-US"/>
        </w:rPr>
        <w:t xml:space="preserve"> hedging definition of Article 10(1) CDR 149/2013 and the applicable interpretation of ESMA QAs do limit the ability of energy firms to categorise such transactions as reducing risk related to their own business.</w:t>
      </w:r>
    </w:p>
    <w:p w14:paraId="01DE697B" w14:textId="39D15EF8" w:rsidR="001A67D4" w:rsidRPr="009260C9" w:rsidRDefault="001A7F8A" w:rsidP="00020230">
      <w:pPr>
        <w:spacing w:before="120" w:after="120"/>
        <w:jc w:val="both"/>
        <w:rPr>
          <w:rFonts w:eastAsia="Calibri"/>
          <w:sz w:val="22"/>
          <w:szCs w:val="22"/>
          <w:lang w:eastAsia="en-US"/>
        </w:rPr>
      </w:pPr>
      <w:r w:rsidRPr="009260C9">
        <w:rPr>
          <w:rFonts w:eastAsia="Calibri"/>
          <w:sz w:val="22"/>
          <w:szCs w:val="22"/>
          <w:lang w:eastAsia="en-US"/>
        </w:rPr>
        <w:t xml:space="preserve">The missing equivalence decision means that </w:t>
      </w:r>
      <w:r w:rsidR="0091453F" w:rsidRPr="009260C9">
        <w:rPr>
          <w:rFonts w:eastAsia="Calibri"/>
          <w:sz w:val="22"/>
          <w:szCs w:val="22"/>
          <w:lang w:eastAsia="en-US"/>
        </w:rPr>
        <w:t>the</w:t>
      </w:r>
      <w:r w:rsidR="00AF7EDC" w:rsidRPr="009260C9">
        <w:rPr>
          <w:rFonts w:eastAsia="Calibri"/>
          <w:sz w:val="22"/>
          <w:szCs w:val="22"/>
          <w:lang w:eastAsia="en-US"/>
        </w:rPr>
        <w:t xml:space="preserve"> above-mentioned</w:t>
      </w:r>
      <w:r w:rsidR="0091453F" w:rsidRPr="009260C9">
        <w:rPr>
          <w:rFonts w:eastAsia="Calibri"/>
          <w:sz w:val="22"/>
          <w:szCs w:val="22"/>
          <w:lang w:eastAsia="en-US"/>
        </w:rPr>
        <w:t xml:space="preserve"> provision of liquidity </w:t>
      </w:r>
      <w:r w:rsidR="004F2471" w:rsidRPr="009260C9">
        <w:rPr>
          <w:rFonts w:eastAsia="Calibri"/>
          <w:sz w:val="22"/>
          <w:szCs w:val="22"/>
          <w:lang w:eastAsia="en-US"/>
        </w:rPr>
        <w:t>to</w:t>
      </w:r>
      <w:r w:rsidR="0091453F" w:rsidRPr="009260C9">
        <w:rPr>
          <w:rFonts w:eastAsia="Calibri"/>
          <w:sz w:val="22"/>
          <w:szCs w:val="22"/>
          <w:lang w:eastAsia="en-US"/>
        </w:rPr>
        <w:t xml:space="preserve"> OTC markets is at ris</w:t>
      </w:r>
      <w:r w:rsidRPr="009260C9">
        <w:rPr>
          <w:rFonts w:eastAsia="Calibri"/>
          <w:sz w:val="22"/>
          <w:szCs w:val="22"/>
          <w:lang w:eastAsia="en-US"/>
        </w:rPr>
        <w:t>k</w:t>
      </w:r>
      <w:r w:rsidR="0091453F" w:rsidRPr="009260C9">
        <w:rPr>
          <w:rFonts w:eastAsia="Calibri"/>
          <w:sz w:val="22"/>
          <w:szCs w:val="22"/>
          <w:lang w:eastAsia="en-US"/>
        </w:rPr>
        <w:t xml:space="preserve"> as NFCs </w:t>
      </w:r>
      <w:r w:rsidR="00F261A3" w:rsidRPr="009260C9">
        <w:rPr>
          <w:rFonts w:eastAsia="Calibri"/>
          <w:sz w:val="22"/>
          <w:szCs w:val="22"/>
          <w:lang w:eastAsia="en-US"/>
        </w:rPr>
        <w:t>are already using</w:t>
      </w:r>
      <w:r w:rsidR="0091453F" w:rsidRPr="009260C9">
        <w:rPr>
          <w:rFonts w:eastAsia="Calibri"/>
          <w:sz w:val="22"/>
          <w:szCs w:val="22"/>
          <w:lang w:eastAsia="en-US"/>
        </w:rPr>
        <w:t xml:space="preserve"> the EMIR CCT headroom for the</w:t>
      </w:r>
      <w:r w:rsidR="00DD549B" w:rsidRPr="009260C9">
        <w:rPr>
          <w:rFonts w:eastAsia="Calibri"/>
          <w:sz w:val="22"/>
          <w:szCs w:val="22"/>
          <w:lang w:eastAsia="en-US"/>
        </w:rPr>
        <w:t>ir</w:t>
      </w:r>
      <w:r w:rsidR="0091453F" w:rsidRPr="009260C9">
        <w:rPr>
          <w:rFonts w:eastAsia="Calibri"/>
          <w:sz w:val="22"/>
          <w:szCs w:val="22"/>
          <w:lang w:eastAsia="en-US"/>
        </w:rPr>
        <w:t xml:space="preserve"> ICE and LME trading activities</w:t>
      </w:r>
      <w:r w:rsidRPr="009260C9">
        <w:rPr>
          <w:rFonts w:eastAsia="Calibri"/>
          <w:sz w:val="22"/>
          <w:szCs w:val="22"/>
          <w:lang w:eastAsia="en-US"/>
        </w:rPr>
        <w:t>.</w:t>
      </w:r>
      <w:r w:rsidR="00F261A3" w:rsidRPr="009260C9">
        <w:rPr>
          <w:rFonts w:eastAsia="Calibri"/>
          <w:sz w:val="22"/>
          <w:szCs w:val="22"/>
          <w:lang w:eastAsia="en-US"/>
        </w:rPr>
        <w:t xml:space="preserve"> Therefore</w:t>
      </w:r>
      <w:r w:rsidR="0091453F" w:rsidRPr="009260C9">
        <w:rPr>
          <w:rFonts w:eastAsia="Calibri"/>
          <w:sz w:val="22"/>
          <w:szCs w:val="22"/>
          <w:lang w:eastAsia="en-US"/>
        </w:rPr>
        <w:t xml:space="preserve">, </w:t>
      </w:r>
      <w:r w:rsidRPr="009260C9">
        <w:rPr>
          <w:rFonts w:eastAsia="Calibri"/>
          <w:sz w:val="22"/>
          <w:szCs w:val="22"/>
          <w:lang w:eastAsia="en-US"/>
        </w:rPr>
        <w:t xml:space="preserve">they </w:t>
      </w:r>
      <w:r w:rsidR="0091453F" w:rsidRPr="009260C9">
        <w:rPr>
          <w:rFonts w:eastAsia="Calibri"/>
          <w:sz w:val="22"/>
          <w:szCs w:val="22"/>
          <w:lang w:eastAsia="en-US"/>
        </w:rPr>
        <w:t xml:space="preserve">cannot provide liquidity on OTC commodity derivatives markets anymore. </w:t>
      </w:r>
      <w:r w:rsidR="00AF7EDC" w:rsidRPr="009260C9">
        <w:rPr>
          <w:rFonts w:eastAsia="Calibri"/>
          <w:sz w:val="22"/>
          <w:szCs w:val="22"/>
          <w:lang w:eastAsia="en-US"/>
        </w:rPr>
        <w:t>Consequently, m</w:t>
      </w:r>
      <w:r w:rsidR="0091453F" w:rsidRPr="009260C9">
        <w:rPr>
          <w:rFonts w:eastAsia="Calibri"/>
          <w:sz w:val="22"/>
          <w:szCs w:val="22"/>
          <w:lang w:eastAsia="en-US"/>
        </w:rPr>
        <w:t xml:space="preserve">arket participants such as industrial producers, in particular those with no access to exchanges, will </w:t>
      </w:r>
      <w:r w:rsidR="00F261A3" w:rsidRPr="009260C9">
        <w:rPr>
          <w:rFonts w:eastAsia="Calibri"/>
          <w:sz w:val="22"/>
          <w:szCs w:val="22"/>
          <w:lang w:eastAsia="en-US"/>
        </w:rPr>
        <w:t>be increasingly challenged</w:t>
      </w:r>
      <w:r w:rsidR="0091453F" w:rsidRPr="009260C9">
        <w:rPr>
          <w:rFonts w:eastAsia="Calibri"/>
          <w:sz w:val="22"/>
          <w:szCs w:val="22"/>
          <w:lang w:eastAsia="en-US"/>
        </w:rPr>
        <w:t xml:space="preserve"> to find a counterparty willing to provide them </w:t>
      </w:r>
      <w:r w:rsidR="00DD549B" w:rsidRPr="009260C9">
        <w:rPr>
          <w:rFonts w:eastAsia="Calibri"/>
          <w:sz w:val="22"/>
          <w:szCs w:val="22"/>
          <w:lang w:eastAsia="en-US"/>
        </w:rPr>
        <w:t xml:space="preserve">with </w:t>
      </w:r>
      <w:r w:rsidR="0091453F" w:rsidRPr="009260C9">
        <w:rPr>
          <w:rFonts w:eastAsia="Calibri"/>
          <w:sz w:val="22"/>
          <w:szCs w:val="22"/>
          <w:lang w:eastAsia="en-US"/>
        </w:rPr>
        <w:t>OTC hedges.</w:t>
      </w:r>
    </w:p>
    <w:p w14:paraId="668AA654" w14:textId="449EEE3A" w:rsidR="00146F38" w:rsidRPr="002F6D28" w:rsidRDefault="00146F38" w:rsidP="00020230">
      <w:pPr>
        <w:spacing w:before="120" w:after="120"/>
        <w:jc w:val="both"/>
        <w:rPr>
          <w:rFonts w:eastAsia="Calibri"/>
          <w:b/>
          <w:bCs/>
          <w:sz w:val="22"/>
          <w:szCs w:val="22"/>
          <w:lang w:eastAsia="en-US"/>
        </w:rPr>
      </w:pPr>
      <w:r w:rsidRPr="002F6D28">
        <w:rPr>
          <w:b/>
          <w:bCs/>
          <w:sz w:val="22"/>
        </w:rPr>
        <w:t xml:space="preserve">4. </w:t>
      </w:r>
      <w:r w:rsidRPr="002F6D28">
        <w:rPr>
          <w:rFonts w:eastAsia="Calibri"/>
          <w:b/>
          <w:bCs/>
          <w:sz w:val="22"/>
          <w:szCs w:val="22"/>
          <w:lang w:eastAsia="en-US"/>
        </w:rPr>
        <w:t xml:space="preserve">NFC+ implementation: </w:t>
      </w:r>
      <w:r w:rsidRPr="002F6D28">
        <w:rPr>
          <w:rFonts w:eastAsia="Calibri"/>
          <w:b/>
          <w:sz w:val="22"/>
          <w:szCs w:val="22"/>
          <w:lang w:eastAsia="en-US"/>
        </w:rPr>
        <w:t>costly and burdensome compliance requirements only affect EU NFCs</w:t>
      </w:r>
    </w:p>
    <w:p w14:paraId="701BE53D" w14:textId="769A1A82" w:rsidR="00146F38" w:rsidRPr="009260C9" w:rsidRDefault="00146F38" w:rsidP="00020230">
      <w:pPr>
        <w:spacing w:before="120" w:after="120"/>
        <w:jc w:val="both"/>
        <w:rPr>
          <w:rFonts w:eastAsia="Calibri"/>
          <w:sz w:val="22"/>
          <w:szCs w:val="22"/>
          <w:lang w:eastAsia="en-US"/>
        </w:rPr>
      </w:pPr>
      <w:r w:rsidRPr="009260C9">
        <w:rPr>
          <w:rFonts w:eastAsia="Calibri"/>
          <w:sz w:val="22"/>
          <w:szCs w:val="22"/>
          <w:lang w:eastAsia="en-US"/>
        </w:rPr>
        <w:t>EU NFCs belonging to industrial groups which breach the EMIR CT (NFCs+) will have to comply immediately with costly and burdensome EMIR risk management requirements (Article</w:t>
      </w:r>
      <w:r w:rsidR="00B5718B" w:rsidRPr="009260C9">
        <w:rPr>
          <w:rFonts w:eastAsia="Calibri"/>
          <w:sz w:val="22"/>
          <w:szCs w:val="22"/>
          <w:lang w:eastAsia="en-US"/>
        </w:rPr>
        <w:t>s</w:t>
      </w:r>
      <w:r w:rsidRPr="009260C9">
        <w:rPr>
          <w:rFonts w:eastAsia="Calibri"/>
          <w:sz w:val="22"/>
          <w:szCs w:val="22"/>
          <w:lang w:eastAsia="en-US"/>
        </w:rPr>
        <w:t xml:space="preserve"> 10 and 11 EMIR) following an EMIR CCT breach.</w:t>
      </w:r>
      <w:r w:rsidR="00DD15DA" w:rsidRPr="009260C9">
        <w:rPr>
          <w:rFonts w:eastAsia="Calibri"/>
          <w:sz w:val="22"/>
          <w:szCs w:val="22"/>
          <w:lang w:eastAsia="en-US"/>
        </w:rPr>
        <w:t xml:space="preserve"> In particular</w:t>
      </w:r>
      <w:r w:rsidR="00B5718B" w:rsidRPr="009260C9">
        <w:rPr>
          <w:rFonts w:eastAsia="Calibri"/>
          <w:sz w:val="22"/>
          <w:szCs w:val="22"/>
          <w:lang w:eastAsia="en-US"/>
        </w:rPr>
        <w:t>,</w:t>
      </w:r>
      <w:r w:rsidR="00DD15DA" w:rsidRPr="009260C9">
        <w:rPr>
          <w:rFonts w:eastAsia="Calibri"/>
          <w:sz w:val="22"/>
          <w:szCs w:val="22"/>
          <w:lang w:eastAsia="en-US"/>
        </w:rPr>
        <w:t xml:space="preserve"> the bilateral collateralisation requirements </w:t>
      </w:r>
      <w:r w:rsidR="005F5412" w:rsidRPr="009260C9">
        <w:rPr>
          <w:rFonts w:eastAsia="Calibri"/>
          <w:sz w:val="22"/>
          <w:szCs w:val="22"/>
          <w:lang w:eastAsia="en-US"/>
        </w:rPr>
        <w:t>increase the costs of</w:t>
      </w:r>
      <w:r w:rsidR="00DD549B" w:rsidRPr="009260C9">
        <w:rPr>
          <w:rFonts w:eastAsia="Calibri"/>
          <w:sz w:val="22"/>
          <w:szCs w:val="22"/>
          <w:lang w:eastAsia="en-US"/>
        </w:rPr>
        <w:t>,</w:t>
      </w:r>
      <w:r w:rsidR="005F5412" w:rsidRPr="009260C9">
        <w:rPr>
          <w:rFonts w:eastAsia="Calibri"/>
          <w:sz w:val="22"/>
          <w:szCs w:val="22"/>
          <w:lang w:eastAsia="en-US"/>
        </w:rPr>
        <w:t xml:space="preserve"> and </w:t>
      </w:r>
      <w:r w:rsidR="00DD15DA" w:rsidRPr="009260C9">
        <w:rPr>
          <w:rFonts w:eastAsia="Calibri"/>
          <w:sz w:val="22"/>
          <w:szCs w:val="22"/>
          <w:lang w:eastAsia="en-US"/>
        </w:rPr>
        <w:t xml:space="preserve">might </w:t>
      </w:r>
      <w:r w:rsidR="004D5054" w:rsidRPr="009260C9">
        <w:rPr>
          <w:rFonts w:eastAsia="Calibri"/>
          <w:sz w:val="22"/>
          <w:szCs w:val="22"/>
          <w:lang w:eastAsia="en-US"/>
        </w:rPr>
        <w:t xml:space="preserve">even </w:t>
      </w:r>
      <w:r w:rsidR="00DD15DA" w:rsidRPr="009260C9">
        <w:rPr>
          <w:rFonts w:eastAsia="Calibri"/>
          <w:sz w:val="22"/>
          <w:szCs w:val="22"/>
          <w:lang w:eastAsia="en-US"/>
        </w:rPr>
        <w:t>jeopardize</w:t>
      </w:r>
      <w:r w:rsidR="00DD549B" w:rsidRPr="009260C9">
        <w:rPr>
          <w:rFonts w:eastAsia="Calibri"/>
          <w:sz w:val="22"/>
          <w:szCs w:val="22"/>
          <w:lang w:eastAsia="en-US"/>
        </w:rPr>
        <w:t>,</w:t>
      </w:r>
      <w:r w:rsidR="00DD15DA" w:rsidRPr="009260C9">
        <w:rPr>
          <w:rFonts w:eastAsia="Calibri"/>
          <w:sz w:val="22"/>
          <w:szCs w:val="22"/>
          <w:lang w:eastAsia="en-US"/>
        </w:rPr>
        <w:t xml:space="preserve"> the realisation of green energy projects due to liquidity impacts.</w:t>
      </w:r>
    </w:p>
    <w:p w14:paraId="7936579B" w14:textId="5B176234" w:rsidR="00146F38" w:rsidRPr="009260C9" w:rsidRDefault="00146F38" w:rsidP="00020230">
      <w:pPr>
        <w:spacing w:before="120" w:after="120"/>
        <w:jc w:val="both"/>
        <w:rPr>
          <w:rFonts w:eastAsia="Calibri"/>
          <w:sz w:val="22"/>
          <w:szCs w:val="22"/>
          <w:lang w:eastAsia="en-US"/>
        </w:rPr>
      </w:pPr>
      <w:r w:rsidRPr="009260C9">
        <w:rPr>
          <w:rFonts w:eastAsia="Calibri"/>
          <w:sz w:val="22"/>
          <w:szCs w:val="22"/>
          <w:lang w:eastAsia="en-US"/>
        </w:rPr>
        <w:t>Immediately applicable risk mitigation requirements encompass the following EMIR compliance requirements and impact all legal entities entering in</w:t>
      </w:r>
      <w:r w:rsidR="004D5054" w:rsidRPr="009260C9">
        <w:rPr>
          <w:rFonts w:eastAsia="Calibri"/>
          <w:sz w:val="22"/>
          <w:szCs w:val="22"/>
          <w:lang w:eastAsia="en-US"/>
        </w:rPr>
        <w:t>to</w:t>
      </w:r>
      <w:r w:rsidRPr="009260C9">
        <w:rPr>
          <w:rFonts w:eastAsia="Calibri"/>
          <w:sz w:val="22"/>
          <w:szCs w:val="22"/>
          <w:lang w:eastAsia="en-US"/>
        </w:rPr>
        <w:t xml:space="preserve"> derivatives of any asset class in a group breaching the clearing threshold:</w:t>
      </w:r>
    </w:p>
    <w:p w14:paraId="34CBDEA7" w14:textId="08F5468E" w:rsidR="00146F38" w:rsidRPr="00DB060C" w:rsidRDefault="00146F38" w:rsidP="006F2628">
      <w:pPr>
        <w:numPr>
          <w:ilvl w:val="0"/>
          <w:numId w:val="43"/>
        </w:numPr>
        <w:spacing w:before="120" w:after="120"/>
        <w:jc w:val="both"/>
        <w:rPr>
          <w:rFonts w:eastAsia="Calibri"/>
          <w:sz w:val="22"/>
          <w:szCs w:val="22"/>
          <w:lang w:eastAsia="en-US"/>
        </w:rPr>
      </w:pPr>
      <w:r w:rsidRPr="002F6D28">
        <w:rPr>
          <w:rFonts w:eastAsia="Calibri"/>
          <w:b/>
          <w:bCs/>
          <w:sz w:val="22"/>
          <w:szCs w:val="22"/>
          <w:lang w:eastAsia="en-US"/>
        </w:rPr>
        <w:t xml:space="preserve">Bilateral collateralization </w:t>
      </w:r>
      <w:r w:rsidRPr="002F6D28">
        <w:rPr>
          <w:rFonts w:eastAsia="Calibri"/>
          <w:sz w:val="22"/>
          <w:szCs w:val="22"/>
          <w:lang w:eastAsia="en-US"/>
        </w:rPr>
        <w:t xml:space="preserve">of non-centrally-cleared OTC derivatives through posting of </w:t>
      </w:r>
      <w:r w:rsidRPr="002F6D28">
        <w:rPr>
          <w:rFonts w:eastAsia="Calibri"/>
          <w:b/>
          <w:bCs/>
          <w:sz w:val="22"/>
          <w:szCs w:val="22"/>
          <w:lang w:eastAsia="en-US"/>
        </w:rPr>
        <w:t xml:space="preserve">variation margin (VM) </w:t>
      </w:r>
      <w:r w:rsidRPr="002F6D28">
        <w:rPr>
          <w:rFonts w:eastAsia="Calibri"/>
          <w:sz w:val="22"/>
          <w:szCs w:val="22"/>
          <w:lang w:eastAsia="en-US"/>
        </w:rPr>
        <w:t xml:space="preserve">immediately after the EMIR CT breach and </w:t>
      </w:r>
      <w:r w:rsidRPr="002F6D28">
        <w:rPr>
          <w:rFonts w:eastAsia="Calibri"/>
          <w:b/>
          <w:bCs/>
          <w:sz w:val="22"/>
          <w:szCs w:val="22"/>
          <w:lang w:eastAsia="en-US"/>
        </w:rPr>
        <w:t xml:space="preserve">initial margin (IM) </w:t>
      </w:r>
      <w:r w:rsidRPr="002F6D28">
        <w:rPr>
          <w:rFonts w:eastAsia="Calibri"/>
          <w:sz w:val="22"/>
          <w:szCs w:val="22"/>
          <w:lang w:eastAsia="en-US"/>
        </w:rPr>
        <w:t>upon the breach of the threshold under the Margin RTS (CDR 2016/2251).</w:t>
      </w:r>
      <w:r w:rsidR="00D057C9" w:rsidRPr="002F6D28">
        <w:rPr>
          <w:rFonts w:eastAsia="Calibri"/>
          <w:sz w:val="22"/>
          <w:szCs w:val="22"/>
          <w:lang w:eastAsia="en-US"/>
        </w:rPr>
        <w:t xml:space="preserve"> Th</w:t>
      </w:r>
      <w:r w:rsidR="00DD15DA" w:rsidRPr="002F6D28">
        <w:rPr>
          <w:rFonts w:eastAsia="Calibri"/>
          <w:sz w:val="22"/>
          <w:szCs w:val="22"/>
          <w:lang w:eastAsia="en-US"/>
        </w:rPr>
        <w:t>ese</w:t>
      </w:r>
      <w:r w:rsidR="00D057C9" w:rsidRPr="002F6D28">
        <w:rPr>
          <w:rFonts w:eastAsia="Calibri"/>
          <w:sz w:val="22"/>
          <w:szCs w:val="22"/>
          <w:lang w:eastAsia="en-US"/>
        </w:rPr>
        <w:t xml:space="preserve"> collateralization obligations</w:t>
      </w:r>
      <w:r w:rsidR="00DD15DA" w:rsidRPr="004D5054">
        <w:rPr>
          <w:rFonts w:eastAsia="Calibri"/>
          <w:color w:val="FF0000"/>
          <w:sz w:val="22"/>
          <w:szCs w:val="22"/>
          <w:lang w:eastAsia="en-US"/>
        </w:rPr>
        <w:t xml:space="preserve"> </w:t>
      </w:r>
      <w:r w:rsidR="00D057C9" w:rsidRPr="002F6D28">
        <w:rPr>
          <w:rFonts w:eastAsia="Calibri"/>
          <w:sz w:val="22"/>
          <w:szCs w:val="22"/>
          <w:lang w:eastAsia="en-US"/>
        </w:rPr>
        <w:t>appl</w:t>
      </w:r>
      <w:r w:rsidR="00DD15DA" w:rsidRPr="002F6D28">
        <w:rPr>
          <w:rFonts w:eastAsia="Calibri"/>
          <w:sz w:val="22"/>
          <w:szCs w:val="22"/>
          <w:lang w:eastAsia="en-US"/>
        </w:rPr>
        <w:t>y</w:t>
      </w:r>
      <w:r w:rsidR="00D057C9" w:rsidRPr="002F6D28">
        <w:rPr>
          <w:rFonts w:eastAsia="Calibri"/>
          <w:sz w:val="22"/>
          <w:szCs w:val="22"/>
          <w:lang w:eastAsia="en-US"/>
        </w:rPr>
        <w:t xml:space="preserve"> to all asset classes of non-centrally-cleared OTC derivatives and across the entire corporate group.</w:t>
      </w:r>
      <w:r w:rsidR="00DD15DA" w:rsidRPr="002F6D28">
        <w:rPr>
          <w:rFonts w:eastAsia="Calibri"/>
          <w:sz w:val="22"/>
          <w:szCs w:val="22"/>
          <w:lang w:eastAsia="en-US"/>
        </w:rPr>
        <w:t xml:space="preserve"> </w:t>
      </w:r>
      <w:bookmarkStart w:id="9" w:name="_Hlk92185859"/>
      <w:r w:rsidR="00DD15DA" w:rsidRPr="002F6D28">
        <w:rPr>
          <w:rFonts w:eastAsia="Calibri"/>
          <w:sz w:val="22"/>
          <w:szCs w:val="22"/>
          <w:lang w:eastAsia="en-US"/>
        </w:rPr>
        <w:t xml:space="preserve">Exemptions are only available for a very limited range of products such </w:t>
      </w:r>
      <w:r w:rsidR="00DD15DA" w:rsidRPr="002F6D28">
        <w:rPr>
          <w:rFonts w:eastAsia="Calibri"/>
          <w:sz w:val="22"/>
          <w:szCs w:val="22"/>
          <w:lang w:eastAsia="en-US"/>
        </w:rPr>
        <w:lastRenderedPageBreak/>
        <w:t>as physically settled foreign exchange forwards and swaps, the princip</w:t>
      </w:r>
      <w:r w:rsidR="00482ACF" w:rsidRPr="002F6D28">
        <w:rPr>
          <w:rFonts w:eastAsia="Calibri"/>
          <w:sz w:val="22"/>
          <w:szCs w:val="22"/>
          <w:lang w:eastAsia="en-US"/>
        </w:rPr>
        <w:t>al amount</w:t>
      </w:r>
      <w:r w:rsidR="00DD15DA" w:rsidRPr="002F6D28">
        <w:rPr>
          <w:rFonts w:eastAsia="Calibri"/>
          <w:sz w:val="22"/>
          <w:szCs w:val="22"/>
          <w:lang w:eastAsia="en-US"/>
        </w:rPr>
        <w:t xml:space="preserve"> of currency swaps and – transitionally until 2024 – some equity derivatives. </w:t>
      </w:r>
      <w:bookmarkEnd w:id="9"/>
      <w:r w:rsidR="00DD15DA" w:rsidRPr="002F6D28">
        <w:rPr>
          <w:rFonts w:eastAsia="Calibri"/>
          <w:sz w:val="22"/>
          <w:szCs w:val="22"/>
          <w:lang w:eastAsia="en-US"/>
        </w:rPr>
        <w:t xml:space="preserve">In addition, </w:t>
      </w:r>
      <w:r w:rsidR="00DD15DA" w:rsidRPr="00DB060C">
        <w:rPr>
          <w:rFonts w:eastAsia="Calibri"/>
          <w:sz w:val="22"/>
          <w:szCs w:val="22"/>
          <w:lang w:eastAsia="en-US"/>
        </w:rPr>
        <w:t>NFC+</w:t>
      </w:r>
      <w:r w:rsidR="00C63FB8" w:rsidRPr="00DB060C">
        <w:rPr>
          <w:rFonts w:eastAsia="Calibri"/>
          <w:sz w:val="22"/>
          <w:szCs w:val="22"/>
          <w:lang w:eastAsia="en-US"/>
        </w:rPr>
        <w:t>s</w:t>
      </w:r>
      <w:r w:rsidR="00DD15DA" w:rsidRPr="00DB060C">
        <w:rPr>
          <w:rFonts w:eastAsia="Calibri"/>
          <w:sz w:val="22"/>
          <w:szCs w:val="22"/>
          <w:lang w:eastAsia="en-US"/>
        </w:rPr>
        <w:t xml:space="preserve"> are allowed to reduce the amount of IM to be exchanged by EUR 10m</w:t>
      </w:r>
      <w:r w:rsidR="00C63FB8" w:rsidRPr="00DB060C">
        <w:rPr>
          <w:rFonts w:eastAsia="Calibri"/>
          <w:sz w:val="22"/>
          <w:szCs w:val="22"/>
          <w:lang w:eastAsia="en-US"/>
        </w:rPr>
        <w:t>n</w:t>
      </w:r>
      <w:r w:rsidR="00DD15DA" w:rsidRPr="00DB060C">
        <w:rPr>
          <w:rFonts w:eastAsia="Calibri"/>
          <w:sz w:val="22"/>
          <w:szCs w:val="22"/>
          <w:lang w:eastAsia="en-US"/>
        </w:rPr>
        <w:t xml:space="preserve"> for intragroup transactions or by EUR 50m</w:t>
      </w:r>
      <w:r w:rsidR="00C63FB8" w:rsidRPr="00DB060C">
        <w:rPr>
          <w:rFonts w:eastAsia="Calibri"/>
          <w:sz w:val="22"/>
          <w:szCs w:val="22"/>
          <w:lang w:eastAsia="en-US"/>
        </w:rPr>
        <w:t>n</w:t>
      </w:r>
      <w:r w:rsidR="00DD15DA" w:rsidRPr="00DB060C">
        <w:rPr>
          <w:rFonts w:eastAsia="Calibri"/>
          <w:sz w:val="22"/>
          <w:szCs w:val="22"/>
          <w:lang w:eastAsia="en-US"/>
        </w:rPr>
        <w:t xml:space="preserve"> for transactions with counterparties outside the group. However, these exemptions require agreement with the respective counterparty and are subject to complex monitoring obligations on group level. In addition, since there are essentially no exemptions for certain types of counterparties (except for securitisation SPVs), the obligation to post VM and IM applies to all companies of a</w:t>
      </w:r>
      <w:r w:rsidR="00C63FB8" w:rsidRPr="00DB060C">
        <w:rPr>
          <w:rFonts w:eastAsia="Calibri"/>
          <w:sz w:val="22"/>
          <w:szCs w:val="22"/>
          <w:lang w:eastAsia="en-US"/>
        </w:rPr>
        <w:t>n</w:t>
      </w:r>
      <w:r w:rsidR="00DD15DA" w:rsidRPr="00DB060C">
        <w:rPr>
          <w:rFonts w:eastAsia="Calibri"/>
          <w:sz w:val="22"/>
          <w:szCs w:val="22"/>
          <w:lang w:eastAsia="en-US"/>
        </w:rPr>
        <w:t xml:space="preserve"> NFC+ group to</w:t>
      </w:r>
      <w:r w:rsidR="00C63FB8" w:rsidRPr="00DB060C">
        <w:rPr>
          <w:rFonts w:eastAsia="Calibri"/>
          <w:sz w:val="22"/>
          <w:szCs w:val="22"/>
          <w:lang w:eastAsia="en-US"/>
        </w:rPr>
        <w:t xml:space="preserve"> the</w:t>
      </w:r>
      <w:r w:rsidR="00DD15DA" w:rsidRPr="00DB060C">
        <w:rPr>
          <w:rFonts w:eastAsia="Calibri"/>
          <w:sz w:val="22"/>
          <w:szCs w:val="22"/>
          <w:lang w:eastAsia="en-US"/>
        </w:rPr>
        <w:t xml:space="preserve"> full exten</w:t>
      </w:r>
      <w:r w:rsidR="00C63FB8" w:rsidRPr="00DB060C">
        <w:rPr>
          <w:rFonts w:eastAsia="Calibri"/>
          <w:sz w:val="22"/>
          <w:szCs w:val="22"/>
          <w:lang w:eastAsia="en-US"/>
        </w:rPr>
        <w:t>t</w:t>
      </w:r>
      <w:r w:rsidR="00DD15DA" w:rsidRPr="00DB060C">
        <w:rPr>
          <w:rFonts w:eastAsia="Calibri"/>
          <w:sz w:val="22"/>
          <w:szCs w:val="22"/>
          <w:lang w:eastAsia="en-US"/>
        </w:rPr>
        <w:t xml:space="preserve">, irrespective of the individual portfolio and volume of transactions. </w:t>
      </w:r>
      <w:r w:rsidR="00C63FB8" w:rsidRPr="00DB060C">
        <w:rPr>
          <w:rFonts w:eastAsia="Calibri"/>
          <w:sz w:val="22"/>
          <w:szCs w:val="22"/>
          <w:lang w:eastAsia="en-US"/>
        </w:rPr>
        <w:t>For example, t</w:t>
      </w:r>
      <w:r w:rsidR="00DD15DA" w:rsidRPr="00DB060C">
        <w:rPr>
          <w:rFonts w:eastAsia="Calibri"/>
          <w:sz w:val="22"/>
          <w:szCs w:val="22"/>
          <w:lang w:eastAsia="en-US"/>
        </w:rPr>
        <w:t>his includes project finance SPVs, that usually enter into very few transactions to hedge their interest rate exposure and which</w:t>
      </w:r>
      <w:r w:rsidR="006410A9" w:rsidRPr="00DB060C">
        <w:rPr>
          <w:rFonts w:eastAsia="Calibri"/>
          <w:sz w:val="22"/>
          <w:szCs w:val="22"/>
          <w:lang w:eastAsia="en-US"/>
        </w:rPr>
        <w:t xml:space="preserve"> – given the ring-fenced nature of such project finance SPVs –</w:t>
      </w:r>
      <w:r w:rsidR="00DD15DA" w:rsidRPr="00DB060C">
        <w:rPr>
          <w:rFonts w:eastAsia="Calibri"/>
          <w:sz w:val="22"/>
          <w:szCs w:val="22"/>
          <w:lang w:eastAsia="en-US"/>
        </w:rPr>
        <w:t xml:space="preserve"> naturally do not possess the liquidity and operational resources to collateralise transactions.</w:t>
      </w:r>
      <w:r w:rsidR="00D057C9" w:rsidRPr="00DB060C">
        <w:rPr>
          <w:rFonts w:eastAsia="Calibri"/>
          <w:sz w:val="22"/>
          <w:szCs w:val="22"/>
          <w:lang w:eastAsia="en-US"/>
        </w:rPr>
        <w:t xml:space="preserve"> </w:t>
      </w:r>
      <w:r w:rsidRPr="00DB060C">
        <w:rPr>
          <w:rFonts w:eastAsia="Calibri"/>
          <w:sz w:val="22"/>
          <w:szCs w:val="22"/>
          <w:lang w:eastAsia="en-US"/>
        </w:rPr>
        <w:t>The</w:t>
      </w:r>
      <w:r w:rsidR="00D057C9" w:rsidRPr="00DB060C">
        <w:rPr>
          <w:rFonts w:eastAsia="Calibri"/>
          <w:sz w:val="22"/>
          <w:szCs w:val="22"/>
          <w:lang w:eastAsia="en-US"/>
        </w:rPr>
        <w:t xml:space="preserve"> consequential</w:t>
      </w:r>
      <w:r w:rsidRPr="00DB060C">
        <w:rPr>
          <w:rFonts w:eastAsia="Calibri"/>
          <w:sz w:val="22"/>
          <w:szCs w:val="22"/>
          <w:lang w:eastAsia="en-US"/>
        </w:rPr>
        <w:t xml:space="preserve"> </w:t>
      </w:r>
      <w:r w:rsidR="00C2140B" w:rsidRPr="00DB060C">
        <w:rPr>
          <w:rFonts w:eastAsia="Calibri"/>
          <w:sz w:val="22"/>
          <w:szCs w:val="22"/>
          <w:lang w:eastAsia="en-US"/>
        </w:rPr>
        <w:t>sum</w:t>
      </w:r>
      <w:r w:rsidRPr="00DB060C">
        <w:rPr>
          <w:rFonts w:eastAsia="Calibri"/>
          <w:sz w:val="22"/>
          <w:szCs w:val="22"/>
          <w:lang w:eastAsia="en-US"/>
        </w:rPr>
        <w:t xml:space="preserve"> of VM and IM</w:t>
      </w:r>
      <w:r w:rsidR="00D057C9" w:rsidRPr="00DB060C">
        <w:rPr>
          <w:rFonts w:eastAsia="Calibri"/>
          <w:sz w:val="22"/>
          <w:szCs w:val="22"/>
          <w:lang w:eastAsia="en-US"/>
        </w:rPr>
        <w:t xml:space="preserve"> for NFC+s</w:t>
      </w:r>
      <w:r w:rsidRPr="00DB060C">
        <w:rPr>
          <w:rFonts w:eastAsia="Calibri"/>
          <w:sz w:val="22"/>
          <w:szCs w:val="22"/>
          <w:lang w:eastAsia="en-US"/>
        </w:rPr>
        <w:t xml:space="preserve"> can amount to more than </w:t>
      </w:r>
      <w:r w:rsidRPr="00DB060C">
        <w:rPr>
          <w:rFonts w:eastAsia="Calibri"/>
          <w:b/>
          <w:sz w:val="22"/>
          <w:szCs w:val="22"/>
          <w:lang w:eastAsia="en-US"/>
        </w:rPr>
        <w:t>€</w:t>
      </w:r>
      <w:r w:rsidRPr="00DB060C">
        <w:rPr>
          <w:rFonts w:eastAsia="Calibri"/>
          <w:b/>
          <w:bCs/>
          <w:sz w:val="22"/>
          <w:szCs w:val="22"/>
          <w:lang w:eastAsia="en-US"/>
        </w:rPr>
        <w:t xml:space="preserve"> 1-2bn</w:t>
      </w:r>
      <w:r w:rsidRPr="00DB060C">
        <w:rPr>
          <w:rFonts w:eastAsia="Calibri"/>
          <w:sz w:val="22"/>
          <w:szCs w:val="22"/>
          <w:lang w:eastAsia="en-US"/>
        </w:rPr>
        <w:t xml:space="preserve"> per firm</w:t>
      </w:r>
      <w:r w:rsidR="00DD15DA" w:rsidRPr="00DB060C">
        <w:rPr>
          <w:rFonts w:eastAsia="Calibri"/>
          <w:sz w:val="22"/>
          <w:szCs w:val="22"/>
          <w:lang w:eastAsia="en-US"/>
        </w:rPr>
        <w:t xml:space="preserve"> (plus additional cost</w:t>
      </w:r>
      <w:r w:rsidR="00C63FB8" w:rsidRPr="00DB060C">
        <w:rPr>
          <w:rFonts w:eastAsia="Calibri"/>
          <w:sz w:val="22"/>
          <w:szCs w:val="22"/>
          <w:lang w:eastAsia="en-US"/>
        </w:rPr>
        <w:t>s</w:t>
      </w:r>
      <w:r w:rsidR="00DD15DA" w:rsidRPr="00DB060C">
        <w:rPr>
          <w:rFonts w:eastAsia="Calibri"/>
          <w:sz w:val="22"/>
          <w:szCs w:val="22"/>
          <w:lang w:eastAsia="en-US"/>
        </w:rPr>
        <w:t xml:space="preserve"> due to operational effort to comply with NFC+ requirements)</w:t>
      </w:r>
      <w:r w:rsidRPr="00DB060C">
        <w:rPr>
          <w:rFonts w:eastAsia="Calibri"/>
          <w:sz w:val="22"/>
          <w:szCs w:val="22"/>
          <w:lang w:eastAsia="en-US"/>
        </w:rPr>
        <w:t>. This leads to trapped liquidity which EU NFCs can</w:t>
      </w:r>
      <w:r w:rsidR="00DD15DA" w:rsidRPr="00DB060C">
        <w:rPr>
          <w:rFonts w:eastAsia="Calibri"/>
          <w:sz w:val="22"/>
          <w:szCs w:val="22"/>
          <w:lang w:eastAsia="en-US"/>
        </w:rPr>
        <w:t>not</w:t>
      </w:r>
      <w:r w:rsidR="00C63FB8" w:rsidRPr="00DB060C">
        <w:rPr>
          <w:rFonts w:eastAsia="Calibri"/>
          <w:sz w:val="22"/>
          <w:szCs w:val="22"/>
          <w:lang w:eastAsia="en-US"/>
        </w:rPr>
        <w:t>, for example,</w:t>
      </w:r>
      <w:r w:rsidRPr="00DB060C">
        <w:rPr>
          <w:rFonts w:eastAsia="Calibri"/>
          <w:sz w:val="22"/>
          <w:szCs w:val="22"/>
          <w:lang w:eastAsia="en-US"/>
        </w:rPr>
        <w:t xml:space="preserve"> invest in </w:t>
      </w:r>
      <w:r w:rsidR="00DD15DA" w:rsidRPr="00DB060C">
        <w:rPr>
          <w:rFonts w:eastAsia="Calibri"/>
          <w:sz w:val="22"/>
          <w:szCs w:val="22"/>
          <w:lang w:eastAsia="en-US"/>
        </w:rPr>
        <w:t xml:space="preserve">green energy projects or other </w:t>
      </w:r>
      <w:r w:rsidRPr="00DB060C">
        <w:rPr>
          <w:rFonts w:eastAsia="Calibri"/>
          <w:sz w:val="22"/>
          <w:szCs w:val="22"/>
          <w:lang w:eastAsia="en-US"/>
        </w:rPr>
        <w:t>economic</w:t>
      </w:r>
      <w:r w:rsidR="00C63FB8" w:rsidRPr="00DB060C">
        <w:rPr>
          <w:rFonts w:eastAsia="Calibri"/>
          <w:sz w:val="22"/>
          <w:szCs w:val="22"/>
          <w:lang w:eastAsia="en-US"/>
        </w:rPr>
        <w:t>ally</w:t>
      </w:r>
      <w:r w:rsidRPr="00DB060C">
        <w:rPr>
          <w:rFonts w:eastAsia="Calibri"/>
          <w:sz w:val="22"/>
          <w:szCs w:val="22"/>
          <w:lang w:eastAsia="en-US"/>
        </w:rPr>
        <w:t xml:space="preserve"> sustainable activities</w:t>
      </w:r>
      <w:r w:rsidR="00C63FB8" w:rsidRPr="00DB060C">
        <w:rPr>
          <w:rFonts w:eastAsia="Calibri"/>
          <w:sz w:val="22"/>
          <w:szCs w:val="22"/>
          <w:lang w:eastAsia="en-US"/>
        </w:rPr>
        <w:t>. This trapped liquidity</w:t>
      </w:r>
      <w:r w:rsidRPr="00DB060C">
        <w:rPr>
          <w:rFonts w:eastAsia="Calibri"/>
          <w:sz w:val="22"/>
          <w:szCs w:val="22"/>
          <w:lang w:eastAsia="en-US"/>
        </w:rPr>
        <w:t xml:space="preserve"> is counterproductive for achieving the aims of the EU’s Green Deal.</w:t>
      </w:r>
    </w:p>
    <w:p w14:paraId="0C298490" w14:textId="20B352EC" w:rsidR="00146F38" w:rsidRPr="00DB060C" w:rsidRDefault="00146F38" w:rsidP="006F2628">
      <w:pPr>
        <w:numPr>
          <w:ilvl w:val="0"/>
          <w:numId w:val="43"/>
        </w:numPr>
        <w:spacing w:before="120" w:after="120"/>
        <w:jc w:val="both"/>
        <w:rPr>
          <w:rFonts w:eastAsia="Calibri"/>
          <w:sz w:val="22"/>
          <w:szCs w:val="22"/>
          <w:lang w:eastAsia="en-US"/>
        </w:rPr>
      </w:pPr>
      <w:r w:rsidRPr="00DB060C">
        <w:rPr>
          <w:rFonts w:eastAsia="Calibri"/>
          <w:b/>
          <w:bCs/>
          <w:sz w:val="22"/>
          <w:szCs w:val="22"/>
          <w:lang w:eastAsia="en-US"/>
        </w:rPr>
        <w:t>Further risk mitigation techniques</w:t>
      </w:r>
      <w:r w:rsidRPr="00DB060C">
        <w:rPr>
          <w:rFonts w:eastAsia="Calibri"/>
          <w:sz w:val="22"/>
          <w:szCs w:val="22"/>
          <w:lang w:eastAsia="en-US"/>
        </w:rPr>
        <w:t xml:space="preserve"> such as timely confirmation deadlines, higher frequency of trade reconciliations, trade compressions and reporting requirements. </w:t>
      </w:r>
      <w:r w:rsidR="00482ACF" w:rsidRPr="00DB060C">
        <w:rPr>
          <w:rFonts w:eastAsia="Calibri"/>
          <w:sz w:val="22"/>
          <w:szCs w:val="22"/>
          <w:lang w:eastAsia="en-US"/>
        </w:rPr>
        <w:t xml:space="preserve">The </w:t>
      </w:r>
      <w:r w:rsidRPr="00DB060C">
        <w:rPr>
          <w:rFonts w:eastAsia="Calibri"/>
          <w:sz w:val="22"/>
          <w:szCs w:val="22"/>
          <w:lang w:eastAsia="en-US"/>
        </w:rPr>
        <w:t>implementation and ongoing cost</w:t>
      </w:r>
      <w:r w:rsidR="00482ACF" w:rsidRPr="00DB060C">
        <w:rPr>
          <w:rFonts w:eastAsia="Calibri"/>
          <w:sz w:val="22"/>
          <w:szCs w:val="22"/>
          <w:lang w:eastAsia="en-US"/>
        </w:rPr>
        <w:t xml:space="preserve"> of these measures are considerable</w:t>
      </w:r>
      <w:r w:rsidRPr="00DB060C">
        <w:rPr>
          <w:rFonts w:eastAsia="Calibri"/>
          <w:sz w:val="22"/>
          <w:szCs w:val="22"/>
          <w:lang w:eastAsia="en-US"/>
        </w:rPr>
        <w:t>.</w:t>
      </w:r>
    </w:p>
    <w:p w14:paraId="15421916" w14:textId="7C6F0FFB" w:rsidR="00146F38" w:rsidRPr="009D54DF" w:rsidRDefault="00146F38" w:rsidP="00726529">
      <w:pPr>
        <w:numPr>
          <w:ilvl w:val="0"/>
          <w:numId w:val="43"/>
        </w:numPr>
        <w:spacing w:before="120" w:after="120"/>
        <w:jc w:val="both"/>
        <w:rPr>
          <w:rFonts w:eastAsia="Calibri"/>
          <w:sz w:val="22"/>
          <w:szCs w:val="22"/>
          <w:lang w:eastAsia="en-US"/>
        </w:rPr>
      </w:pPr>
      <w:r w:rsidRPr="009260C9">
        <w:rPr>
          <w:rFonts w:eastAsia="Calibri"/>
          <w:sz w:val="22"/>
          <w:szCs w:val="22"/>
          <w:lang w:eastAsia="en-US"/>
        </w:rPr>
        <w:t xml:space="preserve">The </w:t>
      </w:r>
      <w:r w:rsidRPr="009260C9">
        <w:rPr>
          <w:rFonts w:eastAsia="Calibri"/>
          <w:b/>
          <w:bCs/>
          <w:sz w:val="22"/>
          <w:szCs w:val="22"/>
          <w:lang w:eastAsia="en-US"/>
        </w:rPr>
        <w:t>implementation</w:t>
      </w:r>
      <w:r w:rsidR="00482ACF" w:rsidRPr="009260C9">
        <w:rPr>
          <w:rFonts w:eastAsia="Calibri"/>
          <w:b/>
          <w:bCs/>
          <w:sz w:val="22"/>
          <w:szCs w:val="22"/>
          <w:lang w:eastAsia="en-US"/>
        </w:rPr>
        <w:t xml:space="preserve"> time frame</w:t>
      </w:r>
      <w:r w:rsidRPr="009260C9">
        <w:rPr>
          <w:rFonts w:eastAsia="Calibri"/>
          <w:b/>
          <w:bCs/>
          <w:sz w:val="22"/>
          <w:szCs w:val="22"/>
          <w:lang w:eastAsia="en-US"/>
        </w:rPr>
        <w:t xml:space="preserve"> </w:t>
      </w:r>
      <w:r w:rsidR="00A45E17" w:rsidRPr="009260C9">
        <w:rPr>
          <w:rFonts w:eastAsia="Calibri"/>
          <w:sz w:val="22"/>
          <w:szCs w:val="22"/>
          <w:lang w:eastAsia="en-US"/>
        </w:rPr>
        <w:t xml:space="preserve">of </w:t>
      </w:r>
      <w:r w:rsidRPr="009260C9">
        <w:rPr>
          <w:rFonts w:eastAsia="Calibri"/>
          <w:sz w:val="22"/>
          <w:szCs w:val="22"/>
          <w:lang w:eastAsia="en-US"/>
        </w:rPr>
        <w:t>these requirements</w:t>
      </w:r>
      <w:r w:rsidR="004D5054" w:rsidRPr="009260C9">
        <w:rPr>
          <w:rFonts w:eastAsia="Calibri"/>
          <w:sz w:val="22"/>
          <w:szCs w:val="22"/>
          <w:lang w:eastAsia="en-US"/>
        </w:rPr>
        <w:t xml:space="preserve"> is</w:t>
      </w:r>
      <w:r w:rsidRPr="009260C9">
        <w:rPr>
          <w:rFonts w:eastAsia="Calibri"/>
          <w:sz w:val="22"/>
          <w:szCs w:val="22"/>
          <w:lang w:eastAsia="en-US"/>
        </w:rPr>
        <w:t xml:space="preserve"> </w:t>
      </w:r>
      <w:r w:rsidRPr="009260C9">
        <w:rPr>
          <w:rFonts w:eastAsia="Calibri"/>
          <w:b/>
          <w:sz w:val="22"/>
          <w:szCs w:val="22"/>
          <w:lang w:eastAsia="en-US"/>
        </w:rPr>
        <w:t>at least 12 months</w:t>
      </w:r>
      <w:r w:rsidRPr="009260C9">
        <w:rPr>
          <w:rFonts w:eastAsia="Calibri"/>
          <w:sz w:val="22"/>
          <w:szCs w:val="22"/>
          <w:lang w:eastAsia="en-US"/>
        </w:rPr>
        <w:t xml:space="preserve"> </w:t>
      </w:r>
      <w:r w:rsidR="00A45E17" w:rsidRPr="009260C9">
        <w:rPr>
          <w:rFonts w:eastAsia="Calibri"/>
          <w:bCs/>
          <w:sz w:val="22"/>
          <w:szCs w:val="22"/>
          <w:lang w:eastAsia="en-US"/>
        </w:rPr>
        <w:t>and entails significant changes to operational, risk, collateral and legal procedures, including the setting up of a third-party custodian for the exchange of IM collateral</w:t>
      </w:r>
      <w:r w:rsidR="00A45E17" w:rsidRPr="009260C9">
        <w:rPr>
          <w:rFonts w:eastAsia="Calibri"/>
          <w:sz w:val="22"/>
          <w:szCs w:val="22"/>
          <w:lang w:eastAsia="en-US"/>
        </w:rPr>
        <w:t>.</w:t>
      </w:r>
    </w:p>
    <w:p w14:paraId="10DEFE5A" w14:textId="501C1989" w:rsidR="001A67D4" w:rsidRPr="00DB060C" w:rsidRDefault="000A13DF" w:rsidP="00020230">
      <w:pPr>
        <w:spacing w:before="120" w:after="120"/>
        <w:jc w:val="both"/>
        <w:rPr>
          <w:b/>
          <w:bCs/>
          <w:sz w:val="22"/>
        </w:rPr>
      </w:pPr>
      <w:r w:rsidRPr="00DB060C">
        <w:rPr>
          <w:b/>
          <w:bCs/>
          <w:sz w:val="22"/>
        </w:rPr>
        <w:t>5</w:t>
      </w:r>
      <w:r w:rsidR="0091453F" w:rsidRPr="00DB060C">
        <w:rPr>
          <w:b/>
          <w:bCs/>
          <w:sz w:val="22"/>
        </w:rPr>
        <w:t>. Competitive disadvantages for EU NFCs</w:t>
      </w:r>
    </w:p>
    <w:p w14:paraId="356F0D4E" w14:textId="59FBF397" w:rsidR="001C4886" w:rsidRPr="00DB060C" w:rsidRDefault="00563D84" w:rsidP="00020230">
      <w:pPr>
        <w:spacing w:before="120" w:after="120"/>
        <w:jc w:val="both"/>
        <w:rPr>
          <w:rFonts w:eastAsia="Calibri"/>
          <w:sz w:val="22"/>
          <w:szCs w:val="22"/>
          <w:lang w:eastAsia="en-US"/>
        </w:rPr>
      </w:pPr>
      <w:r w:rsidRPr="00DB060C">
        <w:rPr>
          <w:rFonts w:eastAsia="Calibri"/>
          <w:sz w:val="22"/>
          <w:szCs w:val="22"/>
          <w:lang w:eastAsia="en-US"/>
        </w:rPr>
        <w:t>This situation places EU NFCs at a competitive disadvantage when compared to 3</w:t>
      </w:r>
      <w:r w:rsidRPr="00DB060C">
        <w:rPr>
          <w:rFonts w:eastAsia="Calibri"/>
          <w:sz w:val="22"/>
          <w:szCs w:val="22"/>
          <w:vertAlign w:val="superscript"/>
          <w:lang w:eastAsia="en-US"/>
        </w:rPr>
        <w:t>rd</w:t>
      </w:r>
      <w:r w:rsidRPr="00DB060C">
        <w:rPr>
          <w:rFonts w:eastAsia="Calibri"/>
          <w:sz w:val="22"/>
          <w:szCs w:val="22"/>
          <w:lang w:eastAsia="en-US"/>
        </w:rPr>
        <w:t xml:space="preserve"> country firms solely based on a regulatory necessity for EU firms to</w:t>
      </w:r>
      <w:r w:rsidR="00AD1497" w:rsidRPr="00DB060C">
        <w:rPr>
          <w:rFonts w:eastAsia="Calibri"/>
          <w:sz w:val="22"/>
          <w:szCs w:val="22"/>
          <w:lang w:eastAsia="en-US"/>
        </w:rPr>
        <w:t xml:space="preserve"> either</w:t>
      </w:r>
      <w:r w:rsidRPr="00DB060C">
        <w:rPr>
          <w:rFonts w:eastAsia="Calibri"/>
          <w:sz w:val="22"/>
          <w:szCs w:val="22"/>
          <w:lang w:eastAsia="en-US"/>
        </w:rPr>
        <w:t xml:space="preserve"> avoid breaching the EMIR CT</w:t>
      </w:r>
      <w:r w:rsidR="00AD1497" w:rsidRPr="00DB060C">
        <w:rPr>
          <w:rFonts w:eastAsia="Calibri"/>
          <w:sz w:val="22"/>
          <w:szCs w:val="22"/>
          <w:lang w:eastAsia="en-US"/>
        </w:rPr>
        <w:t xml:space="preserve"> or to implement a</w:t>
      </w:r>
      <w:r w:rsidR="00DA6616" w:rsidRPr="00DB060C">
        <w:rPr>
          <w:rFonts w:eastAsia="Calibri"/>
          <w:sz w:val="22"/>
          <w:szCs w:val="22"/>
          <w:lang w:eastAsia="en-US"/>
        </w:rPr>
        <w:t>n</w:t>
      </w:r>
      <w:r w:rsidR="00AD1497" w:rsidRPr="00DB060C">
        <w:rPr>
          <w:rFonts w:eastAsia="Calibri"/>
          <w:sz w:val="22"/>
          <w:szCs w:val="22"/>
          <w:lang w:eastAsia="en-US"/>
        </w:rPr>
        <w:t xml:space="preserve"> NFC+ Status</w:t>
      </w:r>
      <w:r w:rsidRPr="00DB060C">
        <w:rPr>
          <w:rFonts w:eastAsia="Calibri"/>
          <w:sz w:val="22"/>
          <w:szCs w:val="22"/>
          <w:lang w:eastAsia="en-US"/>
        </w:rPr>
        <w:t>. The competitive disadvantages are manifold for the concerned firm</w:t>
      </w:r>
      <w:r w:rsidR="009F6A96" w:rsidRPr="00DB060C">
        <w:rPr>
          <w:rFonts w:eastAsia="Calibri"/>
          <w:sz w:val="22"/>
          <w:szCs w:val="22"/>
          <w:lang w:eastAsia="en-US"/>
        </w:rPr>
        <w:t>s</w:t>
      </w:r>
      <w:r w:rsidR="001C4886" w:rsidRPr="00DB060C">
        <w:rPr>
          <w:rFonts w:eastAsia="Calibri"/>
          <w:sz w:val="22"/>
          <w:szCs w:val="22"/>
          <w:lang w:eastAsia="en-US"/>
        </w:rPr>
        <w:t>, for example:</w:t>
      </w:r>
    </w:p>
    <w:p w14:paraId="5C3D7762" w14:textId="494BEFA1" w:rsidR="001C4886" w:rsidRPr="00DB060C" w:rsidRDefault="009F6A96" w:rsidP="006F2628">
      <w:pPr>
        <w:pStyle w:val="ListParagraph"/>
        <w:numPr>
          <w:ilvl w:val="0"/>
          <w:numId w:val="44"/>
        </w:numPr>
        <w:spacing w:before="120" w:after="120"/>
        <w:jc w:val="both"/>
        <w:rPr>
          <w:sz w:val="22"/>
        </w:rPr>
      </w:pPr>
      <w:r w:rsidRPr="00DB060C">
        <w:rPr>
          <w:rFonts w:eastAsia="Calibri"/>
          <w:sz w:val="22"/>
          <w:szCs w:val="22"/>
          <w:lang w:eastAsia="en-US"/>
        </w:rPr>
        <w:t>In particular</w:t>
      </w:r>
      <w:r w:rsidR="00AD1497" w:rsidRPr="00DB060C">
        <w:rPr>
          <w:rFonts w:eastAsia="Calibri"/>
          <w:sz w:val="22"/>
          <w:szCs w:val="22"/>
          <w:lang w:eastAsia="en-US"/>
        </w:rPr>
        <w:t xml:space="preserve">, EU27 </w:t>
      </w:r>
      <w:r w:rsidRPr="00DB060C">
        <w:rPr>
          <w:rFonts w:eastAsia="Calibri"/>
          <w:sz w:val="22"/>
          <w:szCs w:val="22"/>
          <w:lang w:eastAsia="en-US"/>
        </w:rPr>
        <w:t>e</w:t>
      </w:r>
      <w:r w:rsidR="00AD1497" w:rsidRPr="00DB060C">
        <w:rPr>
          <w:rFonts w:eastAsia="Calibri"/>
          <w:sz w:val="22"/>
          <w:szCs w:val="22"/>
          <w:lang w:eastAsia="en-US"/>
        </w:rPr>
        <w:t>nergy firms lose unfettered access to the huge liquidity pools on UK commodity exchanges.</w:t>
      </w:r>
      <w:r w:rsidRPr="00DB060C">
        <w:rPr>
          <w:sz w:val="22"/>
        </w:rPr>
        <w:t xml:space="preserve"> </w:t>
      </w:r>
      <w:r w:rsidR="00AD1497" w:rsidRPr="00DB060C">
        <w:rPr>
          <w:sz w:val="22"/>
        </w:rPr>
        <w:t>NFCs established in 3rd jurisdictions do not encounter the above-mentioned stark choice, as other jurisdiction</w:t>
      </w:r>
      <w:r w:rsidR="00DA6616" w:rsidRPr="00DB060C">
        <w:rPr>
          <w:sz w:val="22"/>
        </w:rPr>
        <w:t>s</w:t>
      </w:r>
      <w:r w:rsidR="00AD1497" w:rsidRPr="00DB060C">
        <w:rPr>
          <w:sz w:val="22"/>
        </w:rPr>
        <w:t xml:space="preserve"> do not have such </w:t>
      </w:r>
      <w:r w:rsidR="00DA6616" w:rsidRPr="00DB060C">
        <w:rPr>
          <w:sz w:val="22"/>
        </w:rPr>
        <w:t xml:space="preserve">a </w:t>
      </w:r>
      <w:r w:rsidR="00AD1497" w:rsidRPr="00DB060C">
        <w:rPr>
          <w:sz w:val="22"/>
        </w:rPr>
        <w:t>formal equivalence requirement in place or do recognize EU exchanges as equivalent</w:t>
      </w:r>
      <w:r w:rsidR="00DA6616" w:rsidRPr="00DB060C">
        <w:rPr>
          <w:sz w:val="22"/>
        </w:rPr>
        <w:t xml:space="preserve"> under their financial market rules</w:t>
      </w:r>
      <w:r w:rsidR="00AD1497" w:rsidRPr="00DB060C">
        <w:rPr>
          <w:sz w:val="22"/>
        </w:rPr>
        <w:t xml:space="preserve">. For example, UK market participants continue to have </w:t>
      </w:r>
      <w:r w:rsidR="00DA6616" w:rsidRPr="00DB060C">
        <w:rPr>
          <w:sz w:val="22"/>
        </w:rPr>
        <w:t>unrestricted</w:t>
      </w:r>
      <w:r w:rsidR="00AD1497" w:rsidRPr="00DB060C">
        <w:rPr>
          <w:sz w:val="22"/>
        </w:rPr>
        <w:t xml:space="preserve"> access to EU commodity exchanges as the UK recognized EU commodity exchanges as equivalent and for UK</w:t>
      </w:r>
      <w:r w:rsidRPr="00DB060C">
        <w:rPr>
          <w:sz w:val="22"/>
        </w:rPr>
        <w:t xml:space="preserve"> energy</w:t>
      </w:r>
      <w:r w:rsidR="00AD1497" w:rsidRPr="00DB060C">
        <w:rPr>
          <w:sz w:val="22"/>
        </w:rPr>
        <w:t xml:space="preserve"> firms the transactions on UK exchanges do not count against the UK EMIR clearing threshold for commodities.</w:t>
      </w:r>
    </w:p>
    <w:p w14:paraId="55E39824" w14:textId="47BBA735" w:rsidR="00793417" w:rsidRPr="00DB060C" w:rsidRDefault="001C4886" w:rsidP="006F2628">
      <w:pPr>
        <w:pStyle w:val="ListParagraph"/>
        <w:numPr>
          <w:ilvl w:val="0"/>
          <w:numId w:val="44"/>
        </w:numPr>
        <w:spacing w:before="120" w:after="120"/>
        <w:jc w:val="both"/>
        <w:rPr>
          <w:sz w:val="22"/>
        </w:rPr>
      </w:pPr>
      <w:r w:rsidRPr="00DB060C">
        <w:rPr>
          <w:sz w:val="22"/>
        </w:rPr>
        <w:t xml:space="preserve">Furthermore, </w:t>
      </w:r>
      <w:r w:rsidR="00530C18" w:rsidRPr="00DB060C">
        <w:rPr>
          <w:sz w:val="22"/>
        </w:rPr>
        <w:t>r</w:t>
      </w:r>
      <w:r w:rsidRPr="00DB060C">
        <w:rPr>
          <w:sz w:val="22"/>
        </w:rPr>
        <w:t>educing trading activities means in practice a considerable loss of opportunities for the concerned firms and/or lead</w:t>
      </w:r>
      <w:r w:rsidR="00DA6616" w:rsidRPr="00DB060C">
        <w:rPr>
          <w:sz w:val="22"/>
        </w:rPr>
        <w:t>s</w:t>
      </w:r>
      <w:r w:rsidRPr="00DB060C">
        <w:rPr>
          <w:sz w:val="22"/>
        </w:rPr>
        <w:t xml:space="preserve"> to the permanent closure of trading activities and hence job losses in the EU</w:t>
      </w:r>
    </w:p>
    <w:p w14:paraId="02990F59" w14:textId="70B314E4" w:rsidR="00F769FF" w:rsidRPr="009260C9" w:rsidRDefault="004D5054" w:rsidP="00020230">
      <w:pPr>
        <w:spacing w:before="120" w:after="120"/>
        <w:jc w:val="both"/>
        <w:rPr>
          <w:b/>
          <w:bCs/>
          <w:sz w:val="22"/>
        </w:rPr>
      </w:pPr>
      <w:r w:rsidRPr="009260C9">
        <w:rPr>
          <w:b/>
          <w:bCs/>
          <w:sz w:val="22"/>
        </w:rPr>
        <w:t>6</w:t>
      </w:r>
      <w:r w:rsidR="00853FA8" w:rsidRPr="009260C9">
        <w:rPr>
          <w:b/>
          <w:bCs/>
          <w:sz w:val="22"/>
        </w:rPr>
        <w:t xml:space="preserve">. </w:t>
      </w:r>
      <w:bookmarkStart w:id="10" w:name="_Hlk90056424"/>
      <w:r w:rsidR="00F769FF" w:rsidRPr="009260C9">
        <w:rPr>
          <w:b/>
          <w:bCs/>
          <w:sz w:val="22"/>
        </w:rPr>
        <w:t>Limited options of migration of trading to alternative trading venues</w:t>
      </w:r>
      <w:bookmarkEnd w:id="10"/>
    </w:p>
    <w:p w14:paraId="264BF480" w14:textId="3B6D2604" w:rsidR="00530C18" w:rsidRPr="00DB060C" w:rsidRDefault="007D6715" w:rsidP="00020230">
      <w:pPr>
        <w:spacing w:before="120" w:after="120"/>
        <w:jc w:val="both"/>
        <w:rPr>
          <w:sz w:val="22"/>
        </w:rPr>
      </w:pPr>
      <w:r>
        <w:rPr>
          <w:sz w:val="22"/>
        </w:rPr>
        <w:t xml:space="preserve">We </w:t>
      </w:r>
      <w:r w:rsidR="00F769FF" w:rsidRPr="00DB060C">
        <w:rPr>
          <w:sz w:val="22"/>
        </w:rPr>
        <w:t xml:space="preserve">assessed the possibility </w:t>
      </w:r>
      <w:r w:rsidR="00DA6616" w:rsidRPr="00DB060C">
        <w:rPr>
          <w:sz w:val="22"/>
        </w:rPr>
        <w:t>of migrating</w:t>
      </w:r>
      <w:r w:rsidR="00F769FF" w:rsidRPr="00DB060C">
        <w:rPr>
          <w:sz w:val="22"/>
        </w:rPr>
        <w:t xml:space="preserve"> commodities trading from third countries, including the UK, into the EU, as well as from the UK to third countries. Overall, </w:t>
      </w:r>
      <w:r w:rsidR="00EC0A61">
        <w:rPr>
          <w:sz w:val="22"/>
        </w:rPr>
        <w:t xml:space="preserve">we </w:t>
      </w:r>
      <w:r w:rsidR="00F769FF" w:rsidRPr="00DB060C">
        <w:rPr>
          <w:sz w:val="22"/>
        </w:rPr>
        <w:t>believe that this is not possible in the current environment.</w:t>
      </w:r>
    </w:p>
    <w:p w14:paraId="735D0C6E" w14:textId="5D11419B" w:rsidR="000A13DF" w:rsidRPr="009260C9" w:rsidRDefault="00E611E4" w:rsidP="00020230">
      <w:pPr>
        <w:spacing w:before="120" w:after="120"/>
        <w:jc w:val="both"/>
        <w:rPr>
          <w:sz w:val="22"/>
        </w:rPr>
      </w:pPr>
      <w:r w:rsidRPr="004F1A0C">
        <w:rPr>
          <w:b/>
          <w:bCs/>
          <w:sz w:val="22"/>
        </w:rPr>
        <w:t>In summary, EU NFCs depend on their access to IFEU and LME as there are no sufficiently liquid alternative markets for the commodities traded on these exchanges and alternatives are unlikely to develop.</w:t>
      </w:r>
      <w:r w:rsidRPr="009260C9">
        <w:rPr>
          <w:sz w:val="22"/>
        </w:rPr>
        <w:t xml:space="preserve"> The reason is that alternative markets would </w:t>
      </w:r>
      <w:r w:rsidR="00DA6616" w:rsidRPr="009260C9">
        <w:rPr>
          <w:sz w:val="22"/>
        </w:rPr>
        <w:t xml:space="preserve">invariably </w:t>
      </w:r>
      <w:r w:rsidRPr="009260C9">
        <w:rPr>
          <w:sz w:val="22"/>
        </w:rPr>
        <w:t xml:space="preserve">lead to market fragmentation, while most of these commodities are traded globally by international players who are not affected at all by the current difficulty faced by EU NFCs and, hence, these global players </w:t>
      </w:r>
      <w:r w:rsidRPr="009260C9">
        <w:rPr>
          <w:sz w:val="22"/>
        </w:rPr>
        <w:lastRenderedPageBreak/>
        <w:t xml:space="preserve">are not interested in shifting liquidity. Even initiatives of the commodity exchanges to create new centres of liquidity have ended in failure. The market prefers that the benchmark commodity contracts </w:t>
      </w:r>
      <w:r w:rsidR="004D5054" w:rsidRPr="009260C9">
        <w:rPr>
          <w:sz w:val="22"/>
        </w:rPr>
        <w:t>are</w:t>
      </w:r>
      <w:r w:rsidR="00DA6616" w:rsidRPr="009260C9">
        <w:rPr>
          <w:sz w:val="22"/>
        </w:rPr>
        <w:t xml:space="preserve"> </w:t>
      </w:r>
      <w:r w:rsidRPr="009260C9">
        <w:rPr>
          <w:sz w:val="22"/>
        </w:rPr>
        <w:t>concentrated on one exchange to attract</w:t>
      </w:r>
      <w:r w:rsidR="004D5054" w:rsidRPr="009260C9">
        <w:rPr>
          <w:sz w:val="22"/>
        </w:rPr>
        <w:t xml:space="preserve"> the</w:t>
      </w:r>
      <w:r w:rsidRPr="009260C9">
        <w:rPr>
          <w:sz w:val="22"/>
        </w:rPr>
        <w:t xml:space="preserve"> most liquidity and to provide maximum transparency. Historically, for Brent Crude &amp; Products and LME Base Metals this marketplace </w:t>
      </w:r>
      <w:r w:rsidR="00DA6616" w:rsidRPr="009260C9">
        <w:rPr>
          <w:sz w:val="22"/>
        </w:rPr>
        <w:t>has been</w:t>
      </w:r>
      <w:r w:rsidRPr="009260C9">
        <w:rPr>
          <w:sz w:val="22"/>
        </w:rPr>
        <w:t xml:space="preserve"> in London.</w:t>
      </w:r>
    </w:p>
    <w:p w14:paraId="44801A4C" w14:textId="7D9D14DF" w:rsidR="000A13DF" w:rsidRPr="00020230" w:rsidRDefault="000A13DF" w:rsidP="00020230">
      <w:pPr>
        <w:spacing w:before="120" w:after="120"/>
        <w:jc w:val="both"/>
        <w:rPr>
          <w:rFonts w:eastAsia="Calibri"/>
          <w:sz w:val="22"/>
          <w:szCs w:val="22"/>
          <w:lang w:val="en-US" w:eastAsia="en-US"/>
        </w:rPr>
      </w:pPr>
      <w:r w:rsidRPr="00020230">
        <w:rPr>
          <w:rFonts w:eastAsia="Calibri"/>
          <w:sz w:val="22"/>
          <w:szCs w:val="22"/>
          <w:lang w:eastAsia="en-US"/>
        </w:rPr>
        <w:t xml:space="preserve">In the following table, </w:t>
      </w:r>
      <w:r w:rsidR="007D6715">
        <w:rPr>
          <w:rFonts w:eastAsia="Calibri"/>
          <w:sz w:val="22"/>
          <w:szCs w:val="22"/>
          <w:lang w:eastAsia="en-US"/>
        </w:rPr>
        <w:t xml:space="preserve">we </w:t>
      </w:r>
      <w:r w:rsidRPr="00020230">
        <w:rPr>
          <w:rFonts w:eastAsia="Calibri"/>
          <w:sz w:val="22"/>
          <w:szCs w:val="22"/>
          <w:lang w:eastAsia="en-US"/>
        </w:rPr>
        <w:t xml:space="preserve">provide an </w:t>
      </w:r>
      <w:r w:rsidRPr="00020230">
        <w:rPr>
          <w:rFonts w:eastAsia="Calibri"/>
          <w:sz w:val="22"/>
          <w:szCs w:val="22"/>
          <w:lang w:val="en-US" w:eastAsia="en-US"/>
        </w:rPr>
        <w:t>overview of benchmark products traded on IFEU and LME, other venues and their respective liquidity</w:t>
      </w:r>
      <w:r w:rsidR="00AE34D5">
        <w:rPr>
          <w:rFonts w:eastAsia="Calibri"/>
          <w:sz w:val="22"/>
          <w:szCs w:val="22"/>
          <w:lang w:val="en-US" w:eastAsia="en-US"/>
        </w:rPr>
        <w:t>:</w:t>
      </w:r>
    </w:p>
    <w:tbl>
      <w:tblPr>
        <w:tblW w:w="9760" w:type="dxa"/>
        <w:tblCellMar>
          <w:left w:w="0" w:type="dxa"/>
          <w:right w:w="0" w:type="dxa"/>
        </w:tblCellMar>
        <w:tblLook w:val="0420" w:firstRow="1" w:lastRow="0" w:firstColumn="0" w:lastColumn="0" w:noHBand="0" w:noVBand="1"/>
      </w:tblPr>
      <w:tblGrid>
        <w:gridCol w:w="1946"/>
        <w:gridCol w:w="1273"/>
        <w:gridCol w:w="842"/>
        <w:gridCol w:w="1174"/>
        <w:gridCol w:w="1053"/>
        <w:gridCol w:w="3472"/>
      </w:tblGrid>
      <w:tr w:rsidR="000A13DF" w:rsidRPr="000A13DF" w14:paraId="63A873E0" w14:textId="77777777" w:rsidTr="00BA2E74">
        <w:tc>
          <w:tcPr>
            <w:tcW w:w="1946" w:type="dxa"/>
            <w:tcBorders>
              <w:top w:val="single" w:sz="8" w:space="0" w:color="000000"/>
              <w:left w:val="single" w:sz="8" w:space="0" w:color="000000"/>
              <w:bottom w:val="single" w:sz="4" w:space="0" w:color="58ECD0"/>
              <w:right w:val="single" w:sz="8" w:space="0" w:color="000000"/>
            </w:tcBorders>
            <w:shd w:val="clear" w:color="auto" w:fill="A6A6A6"/>
            <w:tcMar>
              <w:top w:w="72" w:type="dxa"/>
              <w:left w:w="144" w:type="dxa"/>
              <w:bottom w:w="72" w:type="dxa"/>
              <w:right w:w="144" w:type="dxa"/>
            </w:tcMar>
            <w:vAlign w:val="bottom"/>
            <w:hideMark/>
          </w:tcPr>
          <w:p w14:paraId="017DA4F6" w14:textId="77777777" w:rsidR="000A13DF" w:rsidRPr="000A13DF" w:rsidRDefault="000A13DF" w:rsidP="000A13DF">
            <w:pPr>
              <w:jc w:val="center"/>
              <w:rPr>
                <w:rFonts w:ascii="Calibri" w:hAnsi="Calibri" w:cs="Calibri"/>
                <w:color w:val="000000" w:themeColor="text1"/>
                <w:sz w:val="36"/>
                <w:szCs w:val="36"/>
                <w:lang w:val="de-DE"/>
              </w:rPr>
            </w:pPr>
            <w:r w:rsidRPr="000A13DF">
              <w:rPr>
                <w:rFonts w:ascii="Calibri" w:hAnsi="Calibri" w:cs="Calibri"/>
                <w:b/>
                <w:bCs/>
                <w:color w:val="000000" w:themeColor="text1"/>
                <w:kern w:val="24"/>
                <w:sz w:val="18"/>
                <w:szCs w:val="18"/>
                <w:lang w:val="en-US"/>
              </w:rPr>
              <w:t>Commodity</w:t>
            </w:r>
          </w:p>
        </w:tc>
        <w:tc>
          <w:tcPr>
            <w:tcW w:w="1273" w:type="dxa"/>
            <w:tcBorders>
              <w:top w:val="single" w:sz="8" w:space="0" w:color="000000"/>
              <w:left w:val="single" w:sz="8" w:space="0" w:color="000000"/>
              <w:bottom w:val="single" w:sz="4" w:space="0" w:color="58ECD0"/>
              <w:right w:val="single" w:sz="4" w:space="0" w:color="58ECD0"/>
            </w:tcBorders>
            <w:shd w:val="clear" w:color="auto" w:fill="32B4E6"/>
            <w:tcMar>
              <w:top w:w="72" w:type="dxa"/>
              <w:left w:w="144" w:type="dxa"/>
              <w:bottom w:w="72" w:type="dxa"/>
              <w:right w:w="144" w:type="dxa"/>
            </w:tcMar>
            <w:vAlign w:val="bottom"/>
            <w:hideMark/>
          </w:tcPr>
          <w:p w14:paraId="4C2E328E" w14:textId="77777777" w:rsidR="000A13DF" w:rsidRPr="000A13DF" w:rsidRDefault="000A13DF" w:rsidP="000A13DF">
            <w:pPr>
              <w:jc w:val="center"/>
              <w:rPr>
                <w:rFonts w:ascii="Calibri" w:hAnsi="Calibri" w:cs="Calibri"/>
                <w:color w:val="000000" w:themeColor="text1"/>
                <w:sz w:val="36"/>
                <w:szCs w:val="36"/>
                <w:lang w:val="de-DE"/>
              </w:rPr>
            </w:pPr>
            <w:r w:rsidRPr="000A13DF">
              <w:rPr>
                <w:rFonts w:ascii="Calibri" w:hAnsi="Calibri" w:cs="Calibri"/>
                <w:b/>
                <w:bCs/>
                <w:color w:val="000000" w:themeColor="text1"/>
                <w:kern w:val="24"/>
                <w:sz w:val="18"/>
                <w:szCs w:val="18"/>
                <w:lang w:val="en-US"/>
              </w:rPr>
              <w:t>UK Venue</w:t>
            </w:r>
          </w:p>
        </w:tc>
        <w:tc>
          <w:tcPr>
            <w:tcW w:w="842" w:type="dxa"/>
            <w:tcBorders>
              <w:top w:val="single" w:sz="8" w:space="0" w:color="000000"/>
              <w:left w:val="single" w:sz="4" w:space="0" w:color="58ECD0"/>
              <w:bottom w:val="single" w:sz="4" w:space="0" w:color="58ECD0"/>
              <w:right w:val="single" w:sz="8" w:space="0" w:color="000000"/>
            </w:tcBorders>
            <w:shd w:val="clear" w:color="auto" w:fill="32B4E6"/>
            <w:tcMar>
              <w:top w:w="72" w:type="dxa"/>
              <w:left w:w="144" w:type="dxa"/>
              <w:bottom w:w="72" w:type="dxa"/>
              <w:right w:w="144" w:type="dxa"/>
            </w:tcMar>
            <w:vAlign w:val="bottom"/>
            <w:hideMark/>
          </w:tcPr>
          <w:p w14:paraId="23564C7A" w14:textId="77777777" w:rsidR="000A13DF" w:rsidRPr="000A13DF" w:rsidRDefault="000A13DF" w:rsidP="000A13DF">
            <w:pPr>
              <w:jc w:val="center"/>
              <w:rPr>
                <w:rFonts w:ascii="Calibri" w:hAnsi="Calibri" w:cs="Calibri"/>
                <w:color w:val="000000" w:themeColor="text1"/>
                <w:sz w:val="36"/>
                <w:szCs w:val="36"/>
                <w:lang w:val="de-DE"/>
              </w:rPr>
            </w:pPr>
            <w:r w:rsidRPr="000A13DF">
              <w:rPr>
                <w:rFonts w:ascii="Calibri" w:hAnsi="Calibri" w:cs="Calibri"/>
                <w:b/>
                <w:bCs/>
                <w:color w:val="000000" w:themeColor="text1"/>
                <w:kern w:val="24"/>
                <w:sz w:val="18"/>
                <w:szCs w:val="18"/>
                <w:lang w:val="en-US"/>
              </w:rPr>
              <w:t>Del. Type</w:t>
            </w:r>
          </w:p>
        </w:tc>
        <w:tc>
          <w:tcPr>
            <w:tcW w:w="1174" w:type="dxa"/>
            <w:tcBorders>
              <w:top w:val="single" w:sz="8" w:space="0" w:color="000000"/>
              <w:left w:val="single" w:sz="8" w:space="0" w:color="000000"/>
              <w:bottom w:val="single" w:sz="4" w:space="0" w:color="58ECD0"/>
              <w:right w:val="single" w:sz="4" w:space="0" w:color="58ECD0"/>
            </w:tcBorders>
            <w:shd w:val="clear" w:color="auto" w:fill="14B496"/>
            <w:tcMar>
              <w:top w:w="72" w:type="dxa"/>
              <w:left w:w="144" w:type="dxa"/>
              <w:bottom w:w="72" w:type="dxa"/>
              <w:right w:w="144" w:type="dxa"/>
            </w:tcMar>
            <w:vAlign w:val="bottom"/>
            <w:hideMark/>
          </w:tcPr>
          <w:p w14:paraId="40C0AFEC" w14:textId="77777777" w:rsidR="000A13DF" w:rsidRPr="000A13DF" w:rsidRDefault="000A13DF" w:rsidP="000A13DF">
            <w:pPr>
              <w:jc w:val="center"/>
              <w:rPr>
                <w:rFonts w:ascii="Calibri" w:hAnsi="Calibri" w:cs="Calibri"/>
                <w:color w:val="000000" w:themeColor="text1"/>
                <w:sz w:val="36"/>
                <w:szCs w:val="36"/>
                <w:lang w:val="de-DE"/>
              </w:rPr>
            </w:pPr>
            <w:r w:rsidRPr="000A13DF">
              <w:rPr>
                <w:rFonts w:ascii="Calibri" w:hAnsi="Calibri" w:cs="Calibri"/>
                <w:b/>
                <w:bCs/>
                <w:color w:val="000000" w:themeColor="text1"/>
                <w:kern w:val="24"/>
                <w:sz w:val="18"/>
                <w:szCs w:val="18"/>
                <w:lang w:val="en-US"/>
              </w:rPr>
              <w:t>Other Venue</w:t>
            </w:r>
          </w:p>
        </w:tc>
        <w:tc>
          <w:tcPr>
            <w:tcW w:w="1053" w:type="dxa"/>
            <w:tcBorders>
              <w:top w:val="single" w:sz="8" w:space="0" w:color="000000"/>
              <w:left w:val="single" w:sz="4" w:space="0" w:color="58ECD0"/>
              <w:bottom w:val="single" w:sz="4" w:space="0" w:color="58ECD0"/>
              <w:right w:val="single" w:sz="4" w:space="0" w:color="58ECD0"/>
            </w:tcBorders>
            <w:shd w:val="clear" w:color="auto" w:fill="14B496"/>
            <w:tcMar>
              <w:top w:w="72" w:type="dxa"/>
              <w:left w:w="144" w:type="dxa"/>
              <w:bottom w:w="72" w:type="dxa"/>
              <w:right w:w="144" w:type="dxa"/>
            </w:tcMar>
            <w:vAlign w:val="bottom"/>
            <w:hideMark/>
          </w:tcPr>
          <w:p w14:paraId="3B29D524" w14:textId="77777777" w:rsidR="000A13DF" w:rsidRPr="000A13DF" w:rsidRDefault="000A13DF" w:rsidP="000A13DF">
            <w:pPr>
              <w:jc w:val="center"/>
              <w:rPr>
                <w:rFonts w:ascii="Calibri" w:hAnsi="Calibri" w:cs="Calibri"/>
                <w:color w:val="000000" w:themeColor="text1"/>
                <w:sz w:val="36"/>
                <w:szCs w:val="36"/>
                <w:lang w:val="de-DE"/>
              </w:rPr>
            </w:pPr>
            <w:r w:rsidRPr="000A13DF">
              <w:rPr>
                <w:rFonts w:ascii="Calibri" w:hAnsi="Calibri" w:cs="Calibri"/>
                <w:b/>
                <w:bCs/>
                <w:color w:val="000000" w:themeColor="text1"/>
                <w:kern w:val="24"/>
                <w:sz w:val="18"/>
                <w:szCs w:val="18"/>
                <w:lang w:val="en-US"/>
              </w:rPr>
              <w:t>Liquidity</w:t>
            </w:r>
          </w:p>
        </w:tc>
        <w:tc>
          <w:tcPr>
            <w:tcW w:w="3472" w:type="dxa"/>
            <w:tcBorders>
              <w:top w:val="single" w:sz="8" w:space="0" w:color="000000"/>
              <w:left w:val="single" w:sz="4" w:space="0" w:color="58ECD0"/>
              <w:bottom w:val="single" w:sz="4" w:space="0" w:color="58ECD0"/>
              <w:right w:val="single" w:sz="8" w:space="0" w:color="000000"/>
            </w:tcBorders>
            <w:shd w:val="clear" w:color="auto" w:fill="A6A6A6"/>
            <w:tcMar>
              <w:top w:w="72" w:type="dxa"/>
              <w:left w:w="144" w:type="dxa"/>
              <w:bottom w:w="72" w:type="dxa"/>
              <w:right w:w="144" w:type="dxa"/>
            </w:tcMar>
            <w:vAlign w:val="bottom"/>
            <w:hideMark/>
          </w:tcPr>
          <w:p w14:paraId="4EE288D7" w14:textId="77777777" w:rsidR="000A13DF" w:rsidRPr="000A13DF" w:rsidRDefault="000A13DF" w:rsidP="000A13DF">
            <w:pPr>
              <w:jc w:val="center"/>
              <w:rPr>
                <w:rFonts w:ascii="Calibri" w:hAnsi="Calibri" w:cs="Calibri"/>
                <w:color w:val="000000" w:themeColor="text1"/>
                <w:sz w:val="36"/>
                <w:szCs w:val="36"/>
                <w:lang w:val="de-DE"/>
              </w:rPr>
            </w:pPr>
            <w:r w:rsidRPr="000A13DF">
              <w:rPr>
                <w:rFonts w:ascii="Calibri" w:hAnsi="Calibri" w:cs="Calibri"/>
                <w:b/>
                <w:bCs/>
                <w:color w:val="000000" w:themeColor="text1"/>
                <w:kern w:val="24"/>
                <w:sz w:val="18"/>
                <w:szCs w:val="18"/>
                <w:lang w:val="en-US"/>
              </w:rPr>
              <w:t>Situation and Implications</w:t>
            </w:r>
          </w:p>
        </w:tc>
      </w:tr>
      <w:tr w:rsidR="000A13DF" w:rsidRPr="000A13DF" w14:paraId="7F6E257C" w14:textId="77777777" w:rsidTr="00BA2E74">
        <w:trPr>
          <w:trHeight w:val="292"/>
        </w:trPr>
        <w:tc>
          <w:tcPr>
            <w:tcW w:w="1946" w:type="dxa"/>
            <w:tcBorders>
              <w:top w:val="single" w:sz="8" w:space="0" w:color="58ECD0"/>
              <w:left w:val="single" w:sz="8" w:space="0" w:color="000000"/>
              <w:bottom w:val="single" w:sz="8" w:space="0" w:color="58ECD0"/>
              <w:right w:val="single" w:sz="8" w:space="0" w:color="000000"/>
            </w:tcBorders>
            <w:shd w:val="clear" w:color="auto" w:fill="auto"/>
            <w:tcMar>
              <w:top w:w="28" w:type="dxa"/>
              <w:left w:w="57" w:type="dxa"/>
              <w:bottom w:w="28" w:type="dxa"/>
              <w:right w:w="57" w:type="dxa"/>
            </w:tcMar>
            <w:vAlign w:val="center"/>
            <w:hideMark/>
          </w:tcPr>
          <w:p w14:paraId="50723510" w14:textId="77777777" w:rsidR="000A13DF" w:rsidRPr="000A13DF" w:rsidRDefault="000A13DF" w:rsidP="000A13DF">
            <w:pPr>
              <w:rPr>
                <w:rFonts w:ascii="Calibri" w:hAnsi="Calibri" w:cs="Calibri"/>
                <w:sz w:val="36"/>
                <w:szCs w:val="36"/>
                <w:lang w:val="de-DE"/>
              </w:rPr>
            </w:pPr>
            <w:r w:rsidRPr="000A13DF">
              <w:rPr>
                <w:rFonts w:ascii="Calibri" w:hAnsi="Calibri" w:cs="Calibri"/>
                <w:color w:val="000000"/>
                <w:kern w:val="24"/>
                <w:sz w:val="16"/>
                <w:szCs w:val="16"/>
                <w:lang w:val="en-US"/>
              </w:rPr>
              <w:t>Coal – Newcastle</w:t>
            </w:r>
          </w:p>
        </w:tc>
        <w:tc>
          <w:tcPr>
            <w:tcW w:w="1273" w:type="dxa"/>
            <w:tcBorders>
              <w:top w:val="single" w:sz="8" w:space="0" w:color="58ECD0"/>
              <w:left w:val="single" w:sz="8" w:space="0" w:color="000000"/>
              <w:bottom w:val="single" w:sz="8" w:space="0" w:color="58ECD0"/>
              <w:right w:val="single" w:sz="4" w:space="0" w:color="58ECD0"/>
            </w:tcBorders>
            <w:shd w:val="clear" w:color="auto" w:fill="auto"/>
            <w:tcMar>
              <w:top w:w="28" w:type="dxa"/>
              <w:left w:w="57" w:type="dxa"/>
              <w:bottom w:w="28" w:type="dxa"/>
              <w:right w:w="57" w:type="dxa"/>
            </w:tcMar>
            <w:hideMark/>
          </w:tcPr>
          <w:p w14:paraId="486A74BD" w14:textId="77777777" w:rsidR="000A13DF" w:rsidRPr="000A13DF" w:rsidRDefault="000A13DF" w:rsidP="000A13DF">
            <w:pPr>
              <w:rPr>
                <w:rFonts w:ascii="Calibri" w:hAnsi="Calibri" w:cs="Calibri"/>
                <w:sz w:val="36"/>
                <w:szCs w:val="36"/>
                <w:lang w:val="de-DE"/>
              </w:rPr>
            </w:pPr>
            <w:r w:rsidRPr="000A13DF">
              <w:rPr>
                <w:rFonts w:ascii="Calibri" w:hAnsi="Calibri" w:cs="Calibri"/>
                <w:color w:val="000000"/>
                <w:kern w:val="24"/>
                <w:sz w:val="16"/>
                <w:szCs w:val="16"/>
                <w:lang w:val="en-US"/>
              </w:rPr>
              <w:t>ICE Futures Europe</w:t>
            </w:r>
          </w:p>
        </w:tc>
        <w:tc>
          <w:tcPr>
            <w:tcW w:w="842" w:type="dxa"/>
            <w:tcBorders>
              <w:top w:val="single" w:sz="8" w:space="0" w:color="58ECD0"/>
              <w:left w:val="single" w:sz="4" w:space="0" w:color="58ECD0"/>
              <w:bottom w:val="single" w:sz="8" w:space="0" w:color="58ECD0"/>
              <w:right w:val="single" w:sz="8" w:space="0" w:color="000000"/>
            </w:tcBorders>
            <w:shd w:val="clear" w:color="auto" w:fill="auto"/>
            <w:tcMar>
              <w:top w:w="28" w:type="dxa"/>
              <w:left w:w="57" w:type="dxa"/>
              <w:bottom w:w="28" w:type="dxa"/>
              <w:right w:w="57" w:type="dxa"/>
            </w:tcMar>
            <w:vAlign w:val="center"/>
            <w:hideMark/>
          </w:tcPr>
          <w:p w14:paraId="370D4CE7" w14:textId="77777777" w:rsidR="000A13DF" w:rsidRPr="000A13DF" w:rsidRDefault="000A13DF" w:rsidP="000A13DF">
            <w:pPr>
              <w:jc w:val="center"/>
              <w:rPr>
                <w:rFonts w:ascii="Calibri" w:hAnsi="Calibri" w:cs="Calibri"/>
                <w:sz w:val="36"/>
                <w:szCs w:val="36"/>
                <w:lang w:val="de-DE"/>
              </w:rPr>
            </w:pPr>
            <w:r w:rsidRPr="000A13DF">
              <w:rPr>
                <w:rFonts w:ascii="Calibri" w:hAnsi="Calibri" w:cs="Calibri"/>
                <w:color w:val="000000"/>
                <w:kern w:val="24"/>
                <w:sz w:val="16"/>
                <w:szCs w:val="16"/>
                <w:lang w:val="en-US"/>
              </w:rPr>
              <w:t>Fin.</w:t>
            </w:r>
          </w:p>
        </w:tc>
        <w:tc>
          <w:tcPr>
            <w:tcW w:w="1174" w:type="dxa"/>
            <w:tcBorders>
              <w:top w:val="single" w:sz="8" w:space="0" w:color="58ECD0"/>
              <w:left w:val="single" w:sz="8" w:space="0" w:color="000000"/>
              <w:bottom w:val="single" w:sz="8" w:space="0" w:color="58ECD0"/>
              <w:right w:val="single" w:sz="4" w:space="0" w:color="58ECD0"/>
            </w:tcBorders>
            <w:shd w:val="clear" w:color="auto" w:fill="auto"/>
            <w:tcMar>
              <w:top w:w="28" w:type="dxa"/>
              <w:left w:w="57" w:type="dxa"/>
              <w:bottom w:w="28" w:type="dxa"/>
              <w:right w:w="57" w:type="dxa"/>
            </w:tcMar>
            <w:vAlign w:val="center"/>
            <w:hideMark/>
          </w:tcPr>
          <w:p w14:paraId="144C1662" w14:textId="77777777" w:rsidR="000A13DF" w:rsidRPr="000A13DF" w:rsidRDefault="000A13DF" w:rsidP="000A13DF">
            <w:pPr>
              <w:jc w:val="center"/>
              <w:rPr>
                <w:rFonts w:ascii="Calibri" w:hAnsi="Calibri" w:cs="Calibri"/>
                <w:sz w:val="36"/>
                <w:szCs w:val="36"/>
                <w:lang w:val="de-DE"/>
              </w:rPr>
            </w:pPr>
            <w:r w:rsidRPr="000A13DF">
              <w:rPr>
                <w:rFonts w:ascii="Calibri" w:hAnsi="Calibri" w:cs="Calibri"/>
                <w:color w:val="000000"/>
                <w:kern w:val="24"/>
                <w:sz w:val="16"/>
                <w:szCs w:val="16"/>
                <w:lang w:val="en-US"/>
              </w:rPr>
              <w:t>CME</w:t>
            </w:r>
          </w:p>
        </w:tc>
        <w:tc>
          <w:tcPr>
            <w:tcW w:w="1053" w:type="dxa"/>
            <w:tcBorders>
              <w:top w:val="single" w:sz="8" w:space="0" w:color="58ECD0"/>
              <w:left w:val="single" w:sz="4" w:space="0" w:color="58ECD0"/>
              <w:bottom w:val="single" w:sz="8" w:space="0" w:color="58ECD0"/>
              <w:right w:val="single" w:sz="4" w:space="0" w:color="58ECD0"/>
            </w:tcBorders>
            <w:shd w:val="clear" w:color="auto" w:fill="FFCCCC"/>
            <w:tcMar>
              <w:top w:w="28" w:type="dxa"/>
              <w:left w:w="57" w:type="dxa"/>
              <w:bottom w:w="28" w:type="dxa"/>
              <w:right w:w="57" w:type="dxa"/>
            </w:tcMar>
            <w:vAlign w:val="center"/>
            <w:hideMark/>
          </w:tcPr>
          <w:p w14:paraId="4603669F" w14:textId="77777777" w:rsidR="000A13DF" w:rsidRPr="000A13DF" w:rsidRDefault="000A13DF" w:rsidP="000A13DF">
            <w:pPr>
              <w:jc w:val="center"/>
              <w:rPr>
                <w:rFonts w:ascii="Calibri" w:hAnsi="Calibri" w:cs="Calibri"/>
                <w:sz w:val="36"/>
                <w:szCs w:val="36"/>
                <w:lang w:val="de-DE"/>
              </w:rPr>
            </w:pPr>
            <w:r w:rsidRPr="000A13DF">
              <w:rPr>
                <w:rFonts w:ascii="Calibri" w:hAnsi="Calibri" w:cs="Calibri"/>
                <w:color w:val="000000"/>
                <w:kern w:val="24"/>
                <w:sz w:val="16"/>
                <w:szCs w:val="16"/>
                <w:lang w:val="en-US"/>
              </w:rPr>
              <w:t>None</w:t>
            </w:r>
          </w:p>
        </w:tc>
        <w:tc>
          <w:tcPr>
            <w:tcW w:w="3472" w:type="dxa"/>
            <w:tcBorders>
              <w:top w:val="single" w:sz="8" w:space="0" w:color="58ECD0"/>
              <w:left w:val="single" w:sz="4" w:space="0" w:color="58ECD0"/>
              <w:bottom w:val="single" w:sz="8" w:space="0" w:color="58ECD0"/>
              <w:right w:val="single" w:sz="8" w:space="0" w:color="000000"/>
            </w:tcBorders>
            <w:shd w:val="clear" w:color="auto" w:fill="auto"/>
            <w:tcMar>
              <w:top w:w="28" w:type="dxa"/>
              <w:left w:w="57" w:type="dxa"/>
              <w:bottom w:w="28" w:type="dxa"/>
              <w:right w:w="57" w:type="dxa"/>
            </w:tcMar>
            <w:vAlign w:val="center"/>
            <w:hideMark/>
          </w:tcPr>
          <w:p w14:paraId="0B84C45F" w14:textId="77777777" w:rsidR="000A13DF" w:rsidRPr="000A13DF" w:rsidRDefault="000A13DF" w:rsidP="000A13DF">
            <w:pPr>
              <w:rPr>
                <w:rFonts w:ascii="Calibri" w:hAnsi="Calibri" w:cs="Calibri"/>
                <w:color w:val="000000"/>
                <w:kern w:val="24"/>
                <w:sz w:val="16"/>
                <w:szCs w:val="16"/>
                <w:lang w:val="en-US"/>
              </w:rPr>
            </w:pPr>
            <w:r w:rsidRPr="000A13DF">
              <w:rPr>
                <w:rFonts w:ascii="Calibri" w:hAnsi="Calibri" w:cs="Calibri"/>
                <w:color w:val="000000"/>
                <w:kern w:val="24"/>
                <w:sz w:val="16"/>
                <w:szCs w:val="16"/>
                <w:lang w:val="en-US"/>
              </w:rPr>
              <w:t xml:space="preserve">No alternative, as NEWC is currently exclusively traded on IFEU. </w:t>
            </w:r>
          </w:p>
        </w:tc>
      </w:tr>
      <w:tr w:rsidR="000A13DF" w:rsidRPr="000A13DF" w14:paraId="7EAC9561" w14:textId="77777777" w:rsidTr="000A13DF">
        <w:trPr>
          <w:trHeight w:val="292"/>
        </w:trPr>
        <w:tc>
          <w:tcPr>
            <w:tcW w:w="1946" w:type="dxa"/>
            <w:tcBorders>
              <w:top w:val="single" w:sz="8" w:space="0" w:color="58ECD0"/>
              <w:left w:val="single" w:sz="8" w:space="0" w:color="000000"/>
              <w:bottom w:val="single" w:sz="8" w:space="0" w:color="58ECD0"/>
              <w:right w:val="single" w:sz="8" w:space="0" w:color="000000"/>
            </w:tcBorders>
            <w:shd w:val="clear" w:color="auto" w:fill="auto"/>
            <w:tcMar>
              <w:top w:w="28" w:type="dxa"/>
              <w:left w:w="57" w:type="dxa"/>
              <w:bottom w:w="28" w:type="dxa"/>
              <w:right w:w="57" w:type="dxa"/>
            </w:tcMar>
            <w:vAlign w:val="center"/>
            <w:hideMark/>
          </w:tcPr>
          <w:p w14:paraId="3FA0EFFF" w14:textId="77777777" w:rsidR="000A13DF" w:rsidRPr="000A13DF" w:rsidRDefault="000A13DF" w:rsidP="000A13DF">
            <w:pPr>
              <w:rPr>
                <w:rFonts w:ascii="Calibri" w:hAnsi="Calibri" w:cs="Calibri"/>
                <w:sz w:val="36"/>
                <w:szCs w:val="36"/>
                <w:lang w:val="de-DE"/>
              </w:rPr>
            </w:pPr>
            <w:r w:rsidRPr="000A13DF">
              <w:rPr>
                <w:rFonts w:ascii="Calibri" w:hAnsi="Calibri" w:cs="Calibri"/>
                <w:color w:val="000000"/>
                <w:kern w:val="24"/>
                <w:sz w:val="16"/>
                <w:szCs w:val="16"/>
                <w:lang w:val="en-US"/>
              </w:rPr>
              <w:t>Emissions – EUA/CER</w:t>
            </w:r>
          </w:p>
        </w:tc>
        <w:tc>
          <w:tcPr>
            <w:tcW w:w="1273" w:type="dxa"/>
            <w:tcBorders>
              <w:top w:val="single" w:sz="8" w:space="0" w:color="58ECD0"/>
              <w:left w:val="single" w:sz="8" w:space="0" w:color="000000"/>
              <w:bottom w:val="single" w:sz="8" w:space="0" w:color="58ECD0"/>
              <w:right w:val="single" w:sz="4" w:space="0" w:color="58ECD0"/>
            </w:tcBorders>
            <w:shd w:val="clear" w:color="auto" w:fill="auto"/>
            <w:tcMar>
              <w:top w:w="28" w:type="dxa"/>
              <w:left w:w="57" w:type="dxa"/>
              <w:bottom w:w="28" w:type="dxa"/>
              <w:right w:w="57" w:type="dxa"/>
            </w:tcMar>
            <w:hideMark/>
          </w:tcPr>
          <w:p w14:paraId="1C23DD7C" w14:textId="77777777" w:rsidR="000A13DF" w:rsidRPr="000A13DF" w:rsidRDefault="000A13DF" w:rsidP="000A13DF">
            <w:pPr>
              <w:rPr>
                <w:rFonts w:ascii="Calibri" w:hAnsi="Calibri" w:cs="Calibri"/>
                <w:color w:val="000000"/>
                <w:kern w:val="24"/>
                <w:sz w:val="16"/>
                <w:szCs w:val="16"/>
                <w:lang w:val="en-US"/>
              </w:rPr>
            </w:pPr>
          </w:p>
          <w:p w14:paraId="26F49B57" w14:textId="77777777" w:rsidR="000A13DF" w:rsidRPr="000A13DF" w:rsidRDefault="000A13DF" w:rsidP="000A13DF">
            <w:pPr>
              <w:rPr>
                <w:rFonts w:ascii="Calibri" w:hAnsi="Calibri" w:cs="Calibri"/>
                <w:color w:val="000000"/>
                <w:kern w:val="24"/>
                <w:sz w:val="16"/>
                <w:szCs w:val="16"/>
                <w:lang w:val="en-US"/>
              </w:rPr>
            </w:pPr>
          </w:p>
          <w:p w14:paraId="10F8226A" w14:textId="77777777" w:rsidR="000A13DF" w:rsidRPr="000A13DF" w:rsidRDefault="000A13DF" w:rsidP="000A13DF">
            <w:pPr>
              <w:rPr>
                <w:rFonts w:ascii="Calibri" w:hAnsi="Calibri" w:cs="Calibri"/>
                <w:color w:val="000000"/>
                <w:kern w:val="24"/>
                <w:sz w:val="16"/>
                <w:szCs w:val="16"/>
                <w:lang w:val="en-US"/>
              </w:rPr>
            </w:pPr>
          </w:p>
          <w:p w14:paraId="1A4CECC4" w14:textId="77777777" w:rsidR="000A13DF" w:rsidRPr="000A13DF" w:rsidRDefault="000A13DF" w:rsidP="000A13DF">
            <w:pPr>
              <w:rPr>
                <w:rFonts w:ascii="Calibri" w:hAnsi="Calibri" w:cs="Calibri"/>
                <w:sz w:val="36"/>
                <w:szCs w:val="36"/>
                <w:lang w:val="de-DE"/>
              </w:rPr>
            </w:pPr>
            <w:r w:rsidRPr="000A13DF">
              <w:rPr>
                <w:rFonts w:ascii="Calibri" w:hAnsi="Calibri" w:cs="Calibri"/>
                <w:color w:val="000000"/>
                <w:kern w:val="24"/>
                <w:sz w:val="16"/>
                <w:szCs w:val="16"/>
                <w:lang w:val="en-US"/>
              </w:rPr>
              <w:t>ICE Futures Europe</w:t>
            </w:r>
          </w:p>
        </w:tc>
        <w:tc>
          <w:tcPr>
            <w:tcW w:w="842" w:type="dxa"/>
            <w:tcBorders>
              <w:top w:val="single" w:sz="8" w:space="0" w:color="58ECD0"/>
              <w:left w:val="single" w:sz="4" w:space="0" w:color="58ECD0"/>
              <w:bottom w:val="single" w:sz="8" w:space="0" w:color="58ECD0"/>
              <w:right w:val="single" w:sz="8" w:space="0" w:color="000000"/>
            </w:tcBorders>
            <w:shd w:val="clear" w:color="auto" w:fill="auto"/>
            <w:tcMar>
              <w:top w:w="28" w:type="dxa"/>
              <w:left w:w="57" w:type="dxa"/>
              <w:bottom w:w="28" w:type="dxa"/>
              <w:right w:w="57" w:type="dxa"/>
            </w:tcMar>
            <w:vAlign w:val="center"/>
            <w:hideMark/>
          </w:tcPr>
          <w:p w14:paraId="1423CDC8" w14:textId="77777777" w:rsidR="000A13DF" w:rsidRPr="000A13DF" w:rsidRDefault="000A13DF" w:rsidP="000A13DF">
            <w:pPr>
              <w:jc w:val="center"/>
              <w:rPr>
                <w:rFonts w:ascii="Calibri" w:hAnsi="Calibri" w:cs="Calibri"/>
                <w:sz w:val="36"/>
                <w:szCs w:val="36"/>
                <w:lang w:val="de-DE"/>
              </w:rPr>
            </w:pPr>
            <w:r w:rsidRPr="000A13DF">
              <w:rPr>
                <w:rFonts w:ascii="Calibri" w:hAnsi="Calibri" w:cs="Calibri"/>
                <w:color w:val="000000"/>
                <w:kern w:val="24"/>
                <w:sz w:val="16"/>
                <w:szCs w:val="16"/>
                <w:lang w:val="en-US"/>
              </w:rPr>
              <w:t>Phys.</w:t>
            </w:r>
          </w:p>
        </w:tc>
        <w:tc>
          <w:tcPr>
            <w:tcW w:w="1174" w:type="dxa"/>
            <w:tcBorders>
              <w:top w:val="single" w:sz="8" w:space="0" w:color="58ECD0"/>
              <w:left w:val="single" w:sz="8" w:space="0" w:color="000000"/>
              <w:bottom w:val="single" w:sz="8" w:space="0" w:color="58ECD0"/>
              <w:right w:val="single" w:sz="4" w:space="0" w:color="58ECD0"/>
            </w:tcBorders>
            <w:shd w:val="clear" w:color="auto" w:fill="auto"/>
            <w:tcMar>
              <w:top w:w="28" w:type="dxa"/>
              <w:left w:w="57" w:type="dxa"/>
              <w:bottom w:w="28" w:type="dxa"/>
              <w:right w:w="57" w:type="dxa"/>
            </w:tcMar>
            <w:vAlign w:val="center"/>
            <w:hideMark/>
          </w:tcPr>
          <w:p w14:paraId="3C9A3C6F" w14:textId="77777777" w:rsidR="000A13DF" w:rsidRPr="000A13DF" w:rsidRDefault="000A13DF" w:rsidP="000A13DF">
            <w:pPr>
              <w:jc w:val="center"/>
              <w:rPr>
                <w:rFonts w:ascii="Calibri" w:hAnsi="Calibri" w:cs="Calibri"/>
                <w:sz w:val="36"/>
                <w:szCs w:val="36"/>
                <w:lang w:val="de-DE"/>
              </w:rPr>
            </w:pPr>
            <w:r w:rsidRPr="000A13DF">
              <w:rPr>
                <w:rFonts w:ascii="Calibri" w:hAnsi="Calibri" w:cs="Calibri"/>
                <w:color w:val="000000"/>
                <w:kern w:val="24"/>
                <w:sz w:val="16"/>
                <w:szCs w:val="16"/>
                <w:lang w:val="en-US"/>
              </w:rPr>
              <w:t>EEX</w:t>
            </w:r>
          </w:p>
        </w:tc>
        <w:tc>
          <w:tcPr>
            <w:tcW w:w="1053" w:type="dxa"/>
            <w:tcBorders>
              <w:top w:val="single" w:sz="8" w:space="0" w:color="58ECD0"/>
              <w:left w:val="single" w:sz="4" w:space="0" w:color="58ECD0"/>
              <w:bottom w:val="single" w:sz="8" w:space="0" w:color="58ECD0"/>
              <w:right w:val="single" w:sz="4" w:space="0" w:color="58ECD0"/>
            </w:tcBorders>
            <w:shd w:val="clear" w:color="auto" w:fill="FFF2CC"/>
            <w:tcMar>
              <w:top w:w="28" w:type="dxa"/>
              <w:left w:w="57" w:type="dxa"/>
              <w:bottom w:w="28" w:type="dxa"/>
              <w:right w:w="57" w:type="dxa"/>
            </w:tcMar>
            <w:vAlign w:val="center"/>
            <w:hideMark/>
          </w:tcPr>
          <w:p w14:paraId="040D52CF" w14:textId="77777777" w:rsidR="000A13DF" w:rsidRPr="000A13DF" w:rsidRDefault="000A13DF" w:rsidP="000A13DF">
            <w:pPr>
              <w:jc w:val="center"/>
              <w:rPr>
                <w:rFonts w:ascii="Calibri" w:hAnsi="Calibri" w:cs="Calibri"/>
                <w:sz w:val="36"/>
                <w:szCs w:val="36"/>
                <w:lang w:val="de-DE"/>
              </w:rPr>
            </w:pPr>
            <w:r w:rsidRPr="000A13DF">
              <w:rPr>
                <w:rFonts w:ascii="Calibri" w:hAnsi="Calibri" w:cs="Calibri"/>
                <w:color w:val="000000"/>
                <w:kern w:val="24"/>
                <w:sz w:val="16"/>
                <w:szCs w:val="16"/>
                <w:lang w:val="en-US"/>
              </w:rPr>
              <w:t>Medium</w:t>
            </w:r>
          </w:p>
        </w:tc>
        <w:tc>
          <w:tcPr>
            <w:tcW w:w="3472" w:type="dxa"/>
            <w:tcBorders>
              <w:top w:val="single" w:sz="8" w:space="0" w:color="58ECD0"/>
              <w:left w:val="single" w:sz="4" w:space="0" w:color="58ECD0"/>
              <w:bottom w:val="single" w:sz="8" w:space="0" w:color="58ECD0"/>
              <w:right w:val="single" w:sz="8" w:space="0" w:color="000000"/>
            </w:tcBorders>
            <w:shd w:val="clear" w:color="auto" w:fill="auto"/>
            <w:tcMar>
              <w:top w:w="28" w:type="dxa"/>
              <w:left w:w="57" w:type="dxa"/>
              <w:bottom w:w="28" w:type="dxa"/>
              <w:right w:w="57" w:type="dxa"/>
            </w:tcMar>
            <w:vAlign w:val="center"/>
            <w:hideMark/>
          </w:tcPr>
          <w:p w14:paraId="0E2E7292" w14:textId="77777777" w:rsidR="000A13DF" w:rsidRPr="000A13DF" w:rsidRDefault="000A13DF" w:rsidP="000A13DF">
            <w:pPr>
              <w:rPr>
                <w:rFonts w:ascii="Calibri" w:hAnsi="Calibri" w:cs="Calibri"/>
                <w:color w:val="000000"/>
                <w:kern w:val="24"/>
                <w:sz w:val="16"/>
                <w:szCs w:val="16"/>
                <w:lang w:val="en-US"/>
              </w:rPr>
            </w:pPr>
            <w:r w:rsidRPr="000A13DF">
              <w:rPr>
                <w:rFonts w:ascii="Calibri" w:hAnsi="Calibri" w:cs="Calibri"/>
                <w:color w:val="000000"/>
                <w:kern w:val="24"/>
                <w:sz w:val="16"/>
                <w:szCs w:val="16"/>
                <w:lang w:val="en-US"/>
              </w:rPr>
              <w:t xml:space="preserve">ICE will transfer EUA contracts from IFEU to ICE </w:t>
            </w:r>
            <w:proofErr w:type="spellStart"/>
            <w:r w:rsidRPr="000A13DF">
              <w:rPr>
                <w:rFonts w:ascii="Calibri" w:hAnsi="Calibri" w:cs="Calibri"/>
                <w:color w:val="000000"/>
                <w:kern w:val="24"/>
                <w:sz w:val="16"/>
                <w:szCs w:val="16"/>
                <w:lang w:val="en-US"/>
              </w:rPr>
              <w:t>Endex</w:t>
            </w:r>
            <w:proofErr w:type="spellEnd"/>
            <w:r w:rsidRPr="000A13DF">
              <w:rPr>
                <w:rFonts w:ascii="Calibri" w:hAnsi="Calibri" w:cs="Calibri"/>
                <w:color w:val="000000"/>
                <w:kern w:val="24"/>
                <w:sz w:val="16"/>
                <w:szCs w:val="16"/>
                <w:lang w:val="en-US"/>
              </w:rPr>
              <w:t>. For the 2021 EMIR CT calculations the reclassification of IFEU EUAs continues to pose a serious problem for EU NFCs.</w:t>
            </w:r>
          </w:p>
          <w:p w14:paraId="26EDF454" w14:textId="77777777" w:rsidR="000A13DF" w:rsidRPr="000A13DF" w:rsidRDefault="000A13DF" w:rsidP="000A13DF">
            <w:pPr>
              <w:rPr>
                <w:rFonts w:ascii="Calibri" w:hAnsi="Calibri" w:cs="Calibri"/>
                <w:color w:val="000000"/>
                <w:kern w:val="24"/>
                <w:sz w:val="16"/>
                <w:szCs w:val="16"/>
                <w:lang w:val="en-US"/>
              </w:rPr>
            </w:pPr>
            <w:r w:rsidRPr="000A13DF">
              <w:rPr>
                <w:rFonts w:ascii="Calibri" w:hAnsi="Calibri" w:cs="Calibri"/>
                <w:color w:val="000000"/>
                <w:kern w:val="24"/>
                <w:sz w:val="16"/>
                <w:szCs w:val="16"/>
                <w:lang w:val="en-US"/>
              </w:rPr>
              <w:t xml:space="preserve"> </w:t>
            </w:r>
          </w:p>
          <w:p w14:paraId="11C2F137" w14:textId="77777777" w:rsidR="000A13DF" w:rsidRPr="000A13DF" w:rsidRDefault="000A13DF" w:rsidP="000A13DF">
            <w:pPr>
              <w:rPr>
                <w:rFonts w:ascii="Calibri" w:hAnsi="Calibri" w:cs="Calibri"/>
                <w:color w:val="000000"/>
                <w:kern w:val="24"/>
                <w:sz w:val="16"/>
                <w:szCs w:val="16"/>
                <w:lang w:val="en-US"/>
              </w:rPr>
            </w:pPr>
            <w:r w:rsidRPr="000A13DF">
              <w:rPr>
                <w:rFonts w:ascii="Calibri" w:hAnsi="Calibri" w:cs="Calibri"/>
                <w:color w:val="000000"/>
                <w:kern w:val="24"/>
                <w:sz w:val="16"/>
                <w:szCs w:val="16"/>
                <w:lang w:val="en-US"/>
              </w:rPr>
              <w:t xml:space="preserve">The alternative venue EEX does not have any screen liquidity. </w:t>
            </w:r>
          </w:p>
        </w:tc>
      </w:tr>
      <w:tr w:rsidR="000A13DF" w:rsidRPr="000A13DF" w14:paraId="29595A7A" w14:textId="77777777" w:rsidTr="000A13DF">
        <w:trPr>
          <w:trHeight w:val="292"/>
        </w:trPr>
        <w:tc>
          <w:tcPr>
            <w:tcW w:w="1946" w:type="dxa"/>
            <w:tcBorders>
              <w:top w:val="single" w:sz="8" w:space="0" w:color="58ECD0"/>
              <w:left w:val="single" w:sz="8" w:space="0" w:color="000000"/>
              <w:bottom w:val="single" w:sz="8" w:space="0" w:color="58ECD0"/>
              <w:right w:val="single" w:sz="8" w:space="0" w:color="000000"/>
            </w:tcBorders>
            <w:shd w:val="clear" w:color="auto" w:fill="auto"/>
            <w:tcMar>
              <w:top w:w="28" w:type="dxa"/>
              <w:left w:w="57" w:type="dxa"/>
              <w:bottom w:w="28" w:type="dxa"/>
              <w:right w:w="57" w:type="dxa"/>
            </w:tcMar>
            <w:vAlign w:val="center"/>
            <w:hideMark/>
          </w:tcPr>
          <w:p w14:paraId="3DEBB89A" w14:textId="77777777" w:rsidR="000A13DF" w:rsidRPr="000A13DF" w:rsidRDefault="000A13DF" w:rsidP="000A13DF">
            <w:pPr>
              <w:rPr>
                <w:rFonts w:ascii="Calibri" w:hAnsi="Calibri" w:cs="Calibri"/>
                <w:sz w:val="36"/>
                <w:szCs w:val="36"/>
                <w:lang w:val="de-DE"/>
              </w:rPr>
            </w:pPr>
            <w:r w:rsidRPr="000A13DF">
              <w:rPr>
                <w:rFonts w:ascii="Calibri" w:hAnsi="Calibri" w:cs="Calibri"/>
                <w:color w:val="000000"/>
                <w:kern w:val="24"/>
                <w:sz w:val="16"/>
                <w:szCs w:val="16"/>
                <w:lang w:val="en-US"/>
              </w:rPr>
              <w:t>Freight – Wet Freight</w:t>
            </w:r>
          </w:p>
        </w:tc>
        <w:tc>
          <w:tcPr>
            <w:tcW w:w="1273" w:type="dxa"/>
            <w:tcBorders>
              <w:top w:val="single" w:sz="8" w:space="0" w:color="58ECD0"/>
              <w:left w:val="single" w:sz="8" w:space="0" w:color="000000"/>
              <w:bottom w:val="single" w:sz="8" w:space="0" w:color="58ECD0"/>
              <w:right w:val="single" w:sz="4" w:space="0" w:color="58ECD0"/>
            </w:tcBorders>
            <w:shd w:val="clear" w:color="auto" w:fill="auto"/>
            <w:tcMar>
              <w:top w:w="28" w:type="dxa"/>
              <w:left w:w="57" w:type="dxa"/>
              <w:bottom w:w="28" w:type="dxa"/>
              <w:right w:w="57" w:type="dxa"/>
            </w:tcMar>
            <w:hideMark/>
          </w:tcPr>
          <w:p w14:paraId="1715CA48" w14:textId="77777777" w:rsidR="000A13DF" w:rsidRPr="000A13DF" w:rsidRDefault="000A13DF" w:rsidP="000A13DF">
            <w:pPr>
              <w:rPr>
                <w:rFonts w:ascii="Calibri" w:hAnsi="Calibri" w:cs="Calibri"/>
                <w:sz w:val="36"/>
                <w:szCs w:val="36"/>
                <w:lang w:val="de-DE"/>
              </w:rPr>
            </w:pPr>
            <w:r w:rsidRPr="000A13DF">
              <w:rPr>
                <w:rFonts w:ascii="Calibri" w:hAnsi="Calibri" w:cs="Calibri"/>
                <w:color w:val="000000"/>
                <w:kern w:val="24"/>
                <w:sz w:val="16"/>
                <w:szCs w:val="16"/>
                <w:lang w:val="en-US"/>
              </w:rPr>
              <w:t>ICE Futures Europe</w:t>
            </w:r>
          </w:p>
        </w:tc>
        <w:tc>
          <w:tcPr>
            <w:tcW w:w="842" w:type="dxa"/>
            <w:tcBorders>
              <w:top w:val="single" w:sz="8" w:space="0" w:color="58ECD0"/>
              <w:left w:val="single" w:sz="4" w:space="0" w:color="58ECD0"/>
              <w:bottom w:val="single" w:sz="8" w:space="0" w:color="58ECD0"/>
              <w:right w:val="single" w:sz="8" w:space="0" w:color="000000"/>
            </w:tcBorders>
            <w:shd w:val="clear" w:color="auto" w:fill="auto"/>
            <w:tcMar>
              <w:top w:w="28" w:type="dxa"/>
              <w:left w:w="57" w:type="dxa"/>
              <w:bottom w:w="28" w:type="dxa"/>
              <w:right w:w="57" w:type="dxa"/>
            </w:tcMar>
            <w:vAlign w:val="center"/>
            <w:hideMark/>
          </w:tcPr>
          <w:p w14:paraId="39FDF9EF" w14:textId="77777777" w:rsidR="000A13DF" w:rsidRPr="000A13DF" w:rsidRDefault="000A13DF" w:rsidP="000A13DF">
            <w:pPr>
              <w:jc w:val="center"/>
              <w:rPr>
                <w:rFonts w:ascii="Calibri" w:hAnsi="Calibri" w:cs="Calibri"/>
                <w:sz w:val="36"/>
                <w:szCs w:val="36"/>
                <w:lang w:val="de-DE"/>
              </w:rPr>
            </w:pPr>
            <w:r w:rsidRPr="000A13DF">
              <w:rPr>
                <w:rFonts w:ascii="Calibri" w:hAnsi="Calibri" w:cs="Calibri"/>
                <w:color w:val="000000"/>
                <w:kern w:val="24"/>
                <w:sz w:val="16"/>
                <w:szCs w:val="16"/>
                <w:lang w:val="en-US"/>
              </w:rPr>
              <w:t>Fin.</w:t>
            </w:r>
          </w:p>
        </w:tc>
        <w:tc>
          <w:tcPr>
            <w:tcW w:w="1174" w:type="dxa"/>
            <w:tcBorders>
              <w:top w:val="single" w:sz="8" w:space="0" w:color="58ECD0"/>
              <w:left w:val="single" w:sz="8" w:space="0" w:color="000000"/>
              <w:bottom w:val="single" w:sz="8" w:space="0" w:color="58ECD0"/>
              <w:right w:val="single" w:sz="4" w:space="0" w:color="58ECD0"/>
            </w:tcBorders>
            <w:shd w:val="clear" w:color="auto" w:fill="auto"/>
            <w:tcMar>
              <w:top w:w="28" w:type="dxa"/>
              <w:left w:w="57" w:type="dxa"/>
              <w:bottom w:w="28" w:type="dxa"/>
              <w:right w:w="57" w:type="dxa"/>
            </w:tcMar>
            <w:vAlign w:val="center"/>
            <w:hideMark/>
          </w:tcPr>
          <w:p w14:paraId="5F6A0E21" w14:textId="77777777" w:rsidR="000A13DF" w:rsidRPr="000A13DF" w:rsidRDefault="000A13DF" w:rsidP="000A13DF">
            <w:pPr>
              <w:jc w:val="center"/>
              <w:rPr>
                <w:rFonts w:ascii="Calibri" w:hAnsi="Calibri" w:cs="Calibri"/>
                <w:sz w:val="36"/>
                <w:szCs w:val="36"/>
                <w:lang w:val="de-DE"/>
              </w:rPr>
            </w:pPr>
            <w:r w:rsidRPr="000A13DF">
              <w:rPr>
                <w:rFonts w:ascii="Calibri" w:hAnsi="Calibri" w:cs="Calibri"/>
                <w:color w:val="000000"/>
                <w:kern w:val="24"/>
                <w:sz w:val="16"/>
                <w:szCs w:val="16"/>
                <w:lang w:val="en-US"/>
              </w:rPr>
              <w:t>CME</w:t>
            </w:r>
          </w:p>
        </w:tc>
        <w:tc>
          <w:tcPr>
            <w:tcW w:w="1053" w:type="dxa"/>
            <w:tcBorders>
              <w:top w:val="single" w:sz="8" w:space="0" w:color="58ECD0"/>
              <w:left w:val="single" w:sz="4" w:space="0" w:color="58ECD0"/>
              <w:bottom w:val="single" w:sz="8" w:space="0" w:color="58ECD0"/>
              <w:right w:val="single" w:sz="4" w:space="0" w:color="58ECD0"/>
            </w:tcBorders>
            <w:shd w:val="clear" w:color="auto" w:fill="FFF2CC"/>
            <w:tcMar>
              <w:top w:w="28" w:type="dxa"/>
              <w:left w:w="57" w:type="dxa"/>
              <w:bottom w:w="28" w:type="dxa"/>
              <w:right w:w="57" w:type="dxa"/>
            </w:tcMar>
            <w:vAlign w:val="center"/>
            <w:hideMark/>
          </w:tcPr>
          <w:p w14:paraId="02ACECB2" w14:textId="77777777" w:rsidR="000A13DF" w:rsidRPr="000A13DF" w:rsidRDefault="000A13DF" w:rsidP="000A13DF">
            <w:pPr>
              <w:jc w:val="center"/>
              <w:rPr>
                <w:rFonts w:ascii="Calibri" w:hAnsi="Calibri" w:cs="Calibri"/>
                <w:sz w:val="36"/>
                <w:szCs w:val="36"/>
                <w:lang w:val="de-DE"/>
              </w:rPr>
            </w:pPr>
            <w:r w:rsidRPr="000A13DF">
              <w:rPr>
                <w:rFonts w:ascii="Calibri" w:hAnsi="Calibri" w:cs="Calibri"/>
                <w:color w:val="000000"/>
                <w:kern w:val="24"/>
                <w:sz w:val="16"/>
                <w:szCs w:val="16"/>
                <w:lang w:val="en-US"/>
              </w:rPr>
              <w:t>Medium</w:t>
            </w:r>
          </w:p>
        </w:tc>
        <w:tc>
          <w:tcPr>
            <w:tcW w:w="3472" w:type="dxa"/>
            <w:tcBorders>
              <w:top w:val="single" w:sz="8" w:space="0" w:color="58ECD0"/>
              <w:left w:val="single" w:sz="4" w:space="0" w:color="58ECD0"/>
              <w:bottom w:val="single" w:sz="8" w:space="0" w:color="58ECD0"/>
              <w:right w:val="single" w:sz="8" w:space="0" w:color="000000"/>
            </w:tcBorders>
            <w:shd w:val="clear" w:color="auto" w:fill="auto"/>
            <w:tcMar>
              <w:top w:w="28" w:type="dxa"/>
              <w:left w:w="57" w:type="dxa"/>
              <w:bottom w:w="28" w:type="dxa"/>
              <w:right w:w="57" w:type="dxa"/>
            </w:tcMar>
            <w:vAlign w:val="center"/>
            <w:hideMark/>
          </w:tcPr>
          <w:p w14:paraId="3F0120F0" w14:textId="77777777" w:rsidR="000A13DF" w:rsidRPr="000A13DF" w:rsidRDefault="000A13DF" w:rsidP="000A13DF">
            <w:pPr>
              <w:rPr>
                <w:rFonts w:ascii="Calibri" w:hAnsi="Calibri" w:cs="Calibri"/>
                <w:sz w:val="16"/>
                <w:szCs w:val="16"/>
                <w:lang w:val="en-US"/>
              </w:rPr>
            </w:pPr>
            <w:r w:rsidRPr="000A13DF">
              <w:rPr>
                <w:rFonts w:ascii="Calibri" w:eastAsia="Calibri" w:hAnsi="Calibri"/>
                <w:sz w:val="16"/>
                <w:szCs w:val="16"/>
                <w:lang w:val="en-US" w:eastAsia="en-US"/>
              </w:rPr>
              <w:t>IFEU has the majority of the market share.</w:t>
            </w:r>
          </w:p>
        </w:tc>
      </w:tr>
      <w:tr w:rsidR="000A13DF" w:rsidRPr="000A13DF" w14:paraId="3B703264" w14:textId="77777777" w:rsidTr="000A13DF">
        <w:trPr>
          <w:trHeight w:val="292"/>
        </w:trPr>
        <w:tc>
          <w:tcPr>
            <w:tcW w:w="1946" w:type="dxa"/>
            <w:tcBorders>
              <w:top w:val="single" w:sz="8" w:space="0" w:color="58ECD0"/>
              <w:left w:val="single" w:sz="8" w:space="0" w:color="000000"/>
              <w:bottom w:val="single" w:sz="8" w:space="0" w:color="58ECD0"/>
              <w:right w:val="single" w:sz="8" w:space="0" w:color="000000"/>
            </w:tcBorders>
            <w:shd w:val="clear" w:color="auto" w:fill="auto"/>
            <w:tcMar>
              <w:top w:w="28" w:type="dxa"/>
              <w:left w:w="57" w:type="dxa"/>
              <w:bottom w:w="28" w:type="dxa"/>
              <w:right w:w="57" w:type="dxa"/>
            </w:tcMar>
            <w:vAlign w:val="center"/>
            <w:hideMark/>
          </w:tcPr>
          <w:p w14:paraId="63F0C925" w14:textId="77777777" w:rsidR="000A13DF" w:rsidRPr="000A13DF" w:rsidRDefault="000A13DF" w:rsidP="000A13DF">
            <w:pPr>
              <w:rPr>
                <w:rFonts w:ascii="Calibri" w:hAnsi="Calibri" w:cs="Calibri"/>
                <w:sz w:val="36"/>
                <w:szCs w:val="36"/>
                <w:lang w:val="de-DE"/>
              </w:rPr>
            </w:pPr>
            <w:r w:rsidRPr="000A13DF">
              <w:rPr>
                <w:rFonts w:ascii="Calibri" w:hAnsi="Calibri" w:cs="Calibri"/>
                <w:color w:val="000000"/>
                <w:kern w:val="24"/>
                <w:sz w:val="16"/>
                <w:szCs w:val="16"/>
                <w:lang w:val="en-US"/>
              </w:rPr>
              <w:t>LNG – JKM (Platts)</w:t>
            </w:r>
          </w:p>
        </w:tc>
        <w:tc>
          <w:tcPr>
            <w:tcW w:w="1273" w:type="dxa"/>
            <w:tcBorders>
              <w:top w:val="single" w:sz="8" w:space="0" w:color="58ECD0"/>
              <w:left w:val="single" w:sz="8" w:space="0" w:color="000000"/>
              <w:bottom w:val="single" w:sz="8" w:space="0" w:color="58ECD0"/>
              <w:right w:val="single" w:sz="4" w:space="0" w:color="58ECD0"/>
            </w:tcBorders>
            <w:shd w:val="clear" w:color="auto" w:fill="auto"/>
            <w:tcMar>
              <w:top w:w="28" w:type="dxa"/>
              <w:left w:w="57" w:type="dxa"/>
              <w:bottom w:w="28" w:type="dxa"/>
              <w:right w:w="57" w:type="dxa"/>
            </w:tcMar>
            <w:hideMark/>
          </w:tcPr>
          <w:p w14:paraId="27616D94" w14:textId="77777777" w:rsidR="000A13DF" w:rsidRPr="000A13DF" w:rsidRDefault="000A13DF" w:rsidP="000A13DF">
            <w:pPr>
              <w:rPr>
                <w:rFonts w:ascii="Calibri" w:hAnsi="Calibri" w:cs="Calibri"/>
                <w:color w:val="000000"/>
                <w:kern w:val="24"/>
                <w:sz w:val="16"/>
                <w:szCs w:val="16"/>
                <w:lang w:val="en-US"/>
              </w:rPr>
            </w:pPr>
          </w:p>
          <w:p w14:paraId="5FB59823" w14:textId="77777777" w:rsidR="000A13DF" w:rsidRPr="000A13DF" w:rsidRDefault="000A13DF" w:rsidP="000A13DF">
            <w:pPr>
              <w:rPr>
                <w:rFonts w:ascii="Calibri" w:hAnsi="Calibri" w:cs="Calibri"/>
                <w:color w:val="000000"/>
                <w:kern w:val="24"/>
                <w:sz w:val="16"/>
                <w:szCs w:val="16"/>
                <w:lang w:val="en-US"/>
              </w:rPr>
            </w:pPr>
          </w:p>
          <w:p w14:paraId="549A5A98" w14:textId="77777777" w:rsidR="000A13DF" w:rsidRPr="000A13DF" w:rsidRDefault="000A13DF" w:rsidP="000A13DF">
            <w:pPr>
              <w:rPr>
                <w:rFonts w:ascii="Calibri" w:hAnsi="Calibri" w:cs="Calibri"/>
                <w:color w:val="000000"/>
                <w:kern w:val="24"/>
                <w:sz w:val="16"/>
                <w:szCs w:val="16"/>
                <w:lang w:val="en-US"/>
              </w:rPr>
            </w:pPr>
          </w:p>
          <w:p w14:paraId="409257EE" w14:textId="77777777" w:rsidR="000A13DF" w:rsidRPr="000A13DF" w:rsidRDefault="000A13DF" w:rsidP="000A13DF">
            <w:pPr>
              <w:rPr>
                <w:rFonts w:ascii="Calibri" w:hAnsi="Calibri" w:cs="Calibri"/>
                <w:sz w:val="36"/>
                <w:szCs w:val="36"/>
                <w:lang w:val="de-DE"/>
              </w:rPr>
            </w:pPr>
            <w:r w:rsidRPr="000A13DF">
              <w:rPr>
                <w:rFonts w:ascii="Calibri" w:hAnsi="Calibri" w:cs="Calibri"/>
                <w:color w:val="000000"/>
                <w:kern w:val="24"/>
                <w:sz w:val="16"/>
                <w:szCs w:val="16"/>
                <w:lang w:val="en-US"/>
              </w:rPr>
              <w:t>ICE Futures Europe</w:t>
            </w:r>
          </w:p>
        </w:tc>
        <w:tc>
          <w:tcPr>
            <w:tcW w:w="842" w:type="dxa"/>
            <w:tcBorders>
              <w:top w:val="single" w:sz="8" w:space="0" w:color="58ECD0"/>
              <w:left w:val="single" w:sz="4" w:space="0" w:color="58ECD0"/>
              <w:bottom w:val="single" w:sz="8" w:space="0" w:color="58ECD0"/>
              <w:right w:val="single" w:sz="8" w:space="0" w:color="000000"/>
            </w:tcBorders>
            <w:shd w:val="clear" w:color="auto" w:fill="auto"/>
            <w:tcMar>
              <w:top w:w="28" w:type="dxa"/>
              <w:left w:w="57" w:type="dxa"/>
              <w:bottom w:w="28" w:type="dxa"/>
              <w:right w:w="57" w:type="dxa"/>
            </w:tcMar>
            <w:vAlign w:val="center"/>
            <w:hideMark/>
          </w:tcPr>
          <w:p w14:paraId="49440FB7" w14:textId="77777777" w:rsidR="000A13DF" w:rsidRPr="000A13DF" w:rsidRDefault="000A13DF" w:rsidP="000A13DF">
            <w:pPr>
              <w:jc w:val="center"/>
              <w:rPr>
                <w:rFonts w:ascii="Calibri" w:hAnsi="Calibri" w:cs="Calibri"/>
                <w:sz w:val="36"/>
                <w:szCs w:val="36"/>
                <w:lang w:val="de-DE"/>
              </w:rPr>
            </w:pPr>
            <w:r w:rsidRPr="000A13DF">
              <w:rPr>
                <w:rFonts w:ascii="Calibri" w:hAnsi="Calibri" w:cs="Calibri"/>
                <w:color w:val="000000"/>
                <w:kern w:val="24"/>
                <w:sz w:val="16"/>
                <w:szCs w:val="16"/>
                <w:lang w:val="en-US"/>
              </w:rPr>
              <w:t>Fin.</w:t>
            </w:r>
          </w:p>
        </w:tc>
        <w:tc>
          <w:tcPr>
            <w:tcW w:w="1174" w:type="dxa"/>
            <w:tcBorders>
              <w:top w:val="single" w:sz="8" w:space="0" w:color="58ECD0"/>
              <w:left w:val="single" w:sz="8" w:space="0" w:color="000000"/>
              <w:bottom w:val="single" w:sz="8" w:space="0" w:color="58ECD0"/>
              <w:right w:val="single" w:sz="4" w:space="0" w:color="58ECD0"/>
            </w:tcBorders>
            <w:shd w:val="clear" w:color="auto" w:fill="auto"/>
            <w:tcMar>
              <w:top w:w="28" w:type="dxa"/>
              <w:left w:w="57" w:type="dxa"/>
              <w:bottom w:w="28" w:type="dxa"/>
              <w:right w:w="57" w:type="dxa"/>
            </w:tcMar>
            <w:vAlign w:val="center"/>
            <w:hideMark/>
          </w:tcPr>
          <w:p w14:paraId="531BB98B" w14:textId="77777777" w:rsidR="000A13DF" w:rsidRPr="000A13DF" w:rsidRDefault="000A13DF" w:rsidP="000A13DF">
            <w:pPr>
              <w:jc w:val="center"/>
              <w:rPr>
                <w:rFonts w:ascii="Calibri" w:hAnsi="Calibri" w:cs="Calibri"/>
                <w:color w:val="000000"/>
                <w:kern w:val="24"/>
                <w:sz w:val="16"/>
                <w:szCs w:val="16"/>
                <w:lang w:val="en-US"/>
              </w:rPr>
            </w:pPr>
            <w:r w:rsidRPr="000A13DF">
              <w:rPr>
                <w:rFonts w:ascii="Calibri" w:hAnsi="Calibri" w:cs="Calibri"/>
                <w:color w:val="000000"/>
                <w:kern w:val="24"/>
                <w:sz w:val="16"/>
                <w:szCs w:val="16"/>
                <w:lang w:val="en-US"/>
              </w:rPr>
              <w:t xml:space="preserve">CME </w:t>
            </w:r>
          </w:p>
          <w:p w14:paraId="69A9F012" w14:textId="77777777" w:rsidR="000A13DF" w:rsidRPr="000A13DF" w:rsidRDefault="000A13DF" w:rsidP="000A13DF">
            <w:pPr>
              <w:jc w:val="center"/>
              <w:rPr>
                <w:rFonts w:ascii="Calibri" w:hAnsi="Calibri" w:cs="Calibri"/>
                <w:sz w:val="36"/>
                <w:szCs w:val="36"/>
                <w:lang w:val="de-DE"/>
              </w:rPr>
            </w:pPr>
            <w:r w:rsidRPr="000A13DF">
              <w:rPr>
                <w:rFonts w:ascii="Calibri" w:hAnsi="Calibri" w:cs="Calibri"/>
                <w:color w:val="000000"/>
                <w:kern w:val="24"/>
                <w:sz w:val="16"/>
                <w:szCs w:val="16"/>
                <w:lang w:val="en-US"/>
              </w:rPr>
              <w:t>EEX</w:t>
            </w:r>
          </w:p>
        </w:tc>
        <w:tc>
          <w:tcPr>
            <w:tcW w:w="1053" w:type="dxa"/>
            <w:tcBorders>
              <w:top w:val="single" w:sz="8" w:space="0" w:color="58ECD0"/>
              <w:left w:val="single" w:sz="4" w:space="0" w:color="58ECD0"/>
              <w:bottom w:val="single" w:sz="8" w:space="0" w:color="58ECD0"/>
              <w:right w:val="single" w:sz="4" w:space="0" w:color="58ECD0"/>
            </w:tcBorders>
            <w:shd w:val="clear" w:color="auto" w:fill="FFF2CC"/>
            <w:tcMar>
              <w:top w:w="28" w:type="dxa"/>
              <w:left w:w="57" w:type="dxa"/>
              <w:bottom w:w="28" w:type="dxa"/>
              <w:right w:w="57" w:type="dxa"/>
            </w:tcMar>
            <w:vAlign w:val="center"/>
            <w:hideMark/>
          </w:tcPr>
          <w:p w14:paraId="376BD5EE" w14:textId="77777777" w:rsidR="000A13DF" w:rsidRPr="000A13DF" w:rsidRDefault="000A13DF" w:rsidP="000A13DF">
            <w:pPr>
              <w:jc w:val="center"/>
              <w:rPr>
                <w:rFonts w:ascii="Calibri" w:hAnsi="Calibri" w:cs="Calibri"/>
                <w:sz w:val="36"/>
                <w:szCs w:val="36"/>
                <w:lang w:val="de-DE"/>
              </w:rPr>
            </w:pPr>
            <w:r w:rsidRPr="000A13DF">
              <w:rPr>
                <w:rFonts w:ascii="Calibri" w:hAnsi="Calibri" w:cs="Calibri"/>
                <w:color w:val="000000"/>
                <w:kern w:val="24"/>
                <w:sz w:val="16"/>
                <w:szCs w:val="16"/>
                <w:lang w:val="en-US"/>
              </w:rPr>
              <w:t>Medium</w:t>
            </w:r>
          </w:p>
        </w:tc>
        <w:tc>
          <w:tcPr>
            <w:tcW w:w="3472" w:type="dxa"/>
            <w:tcBorders>
              <w:top w:val="single" w:sz="8" w:space="0" w:color="58ECD0"/>
              <w:left w:val="single" w:sz="4" w:space="0" w:color="58ECD0"/>
              <w:bottom w:val="single" w:sz="8" w:space="0" w:color="58ECD0"/>
              <w:right w:val="single" w:sz="8" w:space="0" w:color="000000"/>
            </w:tcBorders>
            <w:shd w:val="clear" w:color="auto" w:fill="auto"/>
            <w:tcMar>
              <w:top w:w="28" w:type="dxa"/>
              <w:left w:w="57" w:type="dxa"/>
              <w:bottom w:w="28" w:type="dxa"/>
              <w:right w:w="57" w:type="dxa"/>
            </w:tcMar>
            <w:vAlign w:val="center"/>
            <w:hideMark/>
          </w:tcPr>
          <w:p w14:paraId="3EFADACF" w14:textId="77777777" w:rsidR="000A13DF" w:rsidRPr="000A13DF" w:rsidRDefault="000A13DF" w:rsidP="000A13DF">
            <w:pPr>
              <w:rPr>
                <w:rFonts w:ascii="Calibri" w:hAnsi="Calibri" w:cs="Calibri"/>
                <w:color w:val="000000"/>
                <w:kern w:val="24"/>
                <w:sz w:val="16"/>
                <w:szCs w:val="16"/>
                <w:lang w:val="en-US"/>
              </w:rPr>
            </w:pPr>
            <w:r w:rsidRPr="000A13DF">
              <w:rPr>
                <w:rFonts w:ascii="Calibri" w:hAnsi="Calibri" w:cs="Calibri"/>
                <w:color w:val="000000"/>
                <w:kern w:val="24"/>
                <w:sz w:val="16"/>
                <w:szCs w:val="16"/>
                <w:lang w:val="en-US"/>
              </w:rPr>
              <w:t xml:space="preserve">ICE is the market leader (95%). </w:t>
            </w:r>
          </w:p>
          <w:p w14:paraId="38A91EC0" w14:textId="77777777" w:rsidR="000A13DF" w:rsidRPr="000A13DF" w:rsidRDefault="000A13DF" w:rsidP="000A13DF">
            <w:pPr>
              <w:rPr>
                <w:rFonts w:ascii="Calibri" w:hAnsi="Calibri" w:cs="Calibri"/>
                <w:color w:val="000000"/>
                <w:kern w:val="24"/>
                <w:sz w:val="16"/>
                <w:szCs w:val="16"/>
                <w:lang w:val="en-US"/>
              </w:rPr>
            </w:pPr>
          </w:p>
          <w:p w14:paraId="4B0D86A3" w14:textId="77777777" w:rsidR="000A13DF" w:rsidRPr="000A13DF" w:rsidRDefault="000A13DF" w:rsidP="000A13DF">
            <w:pPr>
              <w:rPr>
                <w:rFonts w:ascii="Calibri" w:hAnsi="Calibri" w:cs="Calibri"/>
                <w:color w:val="000000"/>
                <w:kern w:val="24"/>
                <w:sz w:val="16"/>
                <w:szCs w:val="16"/>
                <w:lang w:val="en-US"/>
              </w:rPr>
            </w:pPr>
            <w:r w:rsidRPr="000A13DF">
              <w:rPr>
                <w:rFonts w:ascii="Calibri" w:hAnsi="Calibri" w:cs="Calibri"/>
                <w:color w:val="000000"/>
                <w:kern w:val="24"/>
                <w:sz w:val="16"/>
                <w:szCs w:val="16"/>
                <w:lang w:val="en-US"/>
              </w:rPr>
              <w:t xml:space="preserve">CME has a minority share currently (5%). </w:t>
            </w:r>
          </w:p>
          <w:p w14:paraId="60F301B7" w14:textId="77777777" w:rsidR="000A13DF" w:rsidRPr="000A13DF" w:rsidRDefault="000A13DF" w:rsidP="000A13DF">
            <w:pPr>
              <w:rPr>
                <w:rFonts w:ascii="Calibri" w:hAnsi="Calibri" w:cs="Calibri"/>
                <w:color w:val="000000"/>
                <w:kern w:val="24"/>
                <w:sz w:val="16"/>
                <w:szCs w:val="16"/>
                <w:lang w:val="en-US"/>
              </w:rPr>
            </w:pPr>
          </w:p>
          <w:p w14:paraId="6595B5E6" w14:textId="77777777" w:rsidR="000A13DF" w:rsidRPr="000A13DF" w:rsidRDefault="000A13DF" w:rsidP="000A13DF">
            <w:pPr>
              <w:rPr>
                <w:rFonts w:ascii="Calibri" w:hAnsi="Calibri" w:cs="Calibri"/>
                <w:color w:val="000000"/>
                <w:kern w:val="24"/>
                <w:sz w:val="16"/>
                <w:szCs w:val="16"/>
                <w:lang w:val="en-US"/>
              </w:rPr>
            </w:pPr>
            <w:r w:rsidRPr="000A13DF">
              <w:rPr>
                <w:rFonts w:ascii="Calibri" w:hAnsi="Calibri" w:cs="Calibri"/>
                <w:color w:val="000000"/>
                <w:kern w:val="24"/>
                <w:sz w:val="16"/>
                <w:szCs w:val="16"/>
                <w:lang w:val="en-US"/>
              </w:rPr>
              <w:t>EEX (PEGAS) has launched JKM products in March 2019 but it is not taking off resulting in negligible liquidity.</w:t>
            </w:r>
          </w:p>
        </w:tc>
      </w:tr>
      <w:tr w:rsidR="000A13DF" w:rsidRPr="000A13DF" w14:paraId="3F011CA3" w14:textId="77777777" w:rsidTr="00BA2E74">
        <w:trPr>
          <w:trHeight w:val="292"/>
        </w:trPr>
        <w:tc>
          <w:tcPr>
            <w:tcW w:w="1946" w:type="dxa"/>
            <w:tcBorders>
              <w:top w:val="single" w:sz="8" w:space="0" w:color="58ECD0"/>
              <w:left w:val="single" w:sz="8" w:space="0" w:color="000000"/>
              <w:bottom w:val="single" w:sz="8" w:space="0" w:color="58ECD0"/>
              <w:right w:val="single" w:sz="8" w:space="0" w:color="000000"/>
            </w:tcBorders>
            <w:shd w:val="clear" w:color="auto" w:fill="auto"/>
            <w:tcMar>
              <w:top w:w="28" w:type="dxa"/>
              <w:left w:w="57" w:type="dxa"/>
              <w:bottom w:w="28" w:type="dxa"/>
              <w:right w:w="57" w:type="dxa"/>
            </w:tcMar>
            <w:vAlign w:val="center"/>
            <w:hideMark/>
          </w:tcPr>
          <w:p w14:paraId="5A49E724" w14:textId="77777777" w:rsidR="000A13DF" w:rsidRPr="000A13DF" w:rsidRDefault="000A13DF" w:rsidP="000A13DF">
            <w:pPr>
              <w:rPr>
                <w:rFonts w:ascii="Calibri" w:hAnsi="Calibri" w:cs="Calibri"/>
                <w:sz w:val="36"/>
                <w:szCs w:val="36"/>
                <w:lang w:val="en-US"/>
              </w:rPr>
            </w:pPr>
            <w:r w:rsidRPr="000A13DF">
              <w:rPr>
                <w:rFonts w:ascii="Calibri" w:hAnsi="Calibri" w:cs="Calibri"/>
                <w:color w:val="000000"/>
                <w:kern w:val="24"/>
                <w:sz w:val="16"/>
                <w:szCs w:val="16"/>
                <w:lang w:val="en-US"/>
              </w:rPr>
              <w:t>Metals – Copper,</w:t>
            </w:r>
            <w:r w:rsidRPr="000A13DF">
              <w:rPr>
                <w:rFonts w:ascii="Calibri" w:hAnsi="Calibri" w:cs="Calibri"/>
                <w:color w:val="000000"/>
                <w:kern w:val="24"/>
                <w:sz w:val="16"/>
                <w:szCs w:val="16"/>
                <w:lang w:val="en-US"/>
              </w:rPr>
              <w:br/>
              <w:t>Zinc, Lead, Aluminum</w:t>
            </w:r>
          </w:p>
        </w:tc>
        <w:tc>
          <w:tcPr>
            <w:tcW w:w="1273" w:type="dxa"/>
            <w:tcBorders>
              <w:top w:val="single" w:sz="8" w:space="0" w:color="58ECD0"/>
              <w:left w:val="single" w:sz="8" w:space="0" w:color="000000"/>
              <w:bottom w:val="single" w:sz="8" w:space="0" w:color="58ECD0"/>
              <w:right w:val="single" w:sz="4" w:space="0" w:color="58ECD0"/>
            </w:tcBorders>
            <w:shd w:val="clear" w:color="auto" w:fill="auto"/>
            <w:tcMar>
              <w:top w:w="28" w:type="dxa"/>
              <w:left w:w="57" w:type="dxa"/>
              <w:bottom w:w="28" w:type="dxa"/>
              <w:right w:w="57" w:type="dxa"/>
            </w:tcMar>
            <w:vAlign w:val="center"/>
            <w:hideMark/>
          </w:tcPr>
          <w:p w14:paraId="60352E7C" w14:textId="77777777" w:rsidR="000A13DF" w:rsidRPr="000A13DF" w:rsidRDefault="000A13DF" w:rsidP="000A13DF">
            <w:pPr>
              <w:rPr>
                <w:rFonts w:ascii="Calibri" w:hAnsi="Calibri" w:cs="Calibri"/>
                <w:sz w:val="36"/>
                <w:szCs w:val="36"/>
                <w:lang w:val="de-DE"/>
              </w:rPr>
            </w:pPr>
            <w:r w:rsidRPr="000A13DF">
              <w:rPr>
                <w:rFonts w:ascii="Calibri" w:hAnsi="Calibri" w:cs="Calibri"/>
                <w:color w:val="000000"/>
                <w:kern w:val="24"/>
                <w:sz w:val="16"/>
                <w:szCs w:val="16"/>
                <w:lang w:val="en-US"/>
              </w:rPr>
              <w:t>LME</w:t>
            </w:r>
          </w:p>
        </w:tc>
        <w:tc>
          <w:tcPr>
            <w:tcW w:w="842" w:type="dxa"/>
            <w:tcBorders>
              <w:top w:val="single" w:sz="8" w:space="0" w:color="58ECD0"/>
              <w:left w:val="single" w:sz="4" w:space="0" w:color="58ECD0"/>
              <w:bottom w:val="single" w:sz="8" w:space="0" w:color="58ECD0"/>
              <w:right w:val="single" w:sz="8" w:space="0" w:color="000000"/>
            </w:tcBorders>
            <w:shd w:val="clear" w:color="auto" w:fill="auto"/>
            <w:tcMar>
              <w:top w:w="28" w:type="dxa"/>
              <w:left w:w="57" w:type="dxa"/>
              <w:bottom w:w="28" w:type="dxa"/>
              <w:right w:w="57" w:type="dxa"/>
            </w:tcMar>
            <w:vAlign w:val="center"/>
            <w:hideMark/>
          </w:tcPr>
          <w:p w14:paraId="73454627" w14:textId="77777777" w:rsidR="000A13DF" w:rsidRPr="000A13DF" w:rsidRDefault="000A13DF" w:rsidP="000A13DF">
            <w:pPr>
              <w:jc w:val="center"/>
              <w:rPr>
                <w:rFonts w:ascii="Calibri" w:hAnsi="Calibri" w:cs="Calibri"/>
                <w:sz w:val="36"/>
                <w:szCs w:val="36"/>
                <w:lang w:val="de-DE"/>
              </w:rPr>
            </w:pPr>
            <w:r w:rsidRPr="000A13DF">
              <w:rPr>
                <w:rFonts w:ascii="Calibri" w:hAnsi="Calibri" w:cs="Calibri"/>
                <w:color w:val="000000"/>
                <w:kern w:val="24"/>
                <w:sz w:val="16"/>
                <w:szCs w:val="16"/>
                <w:lang w:val="en-US"/>
              </w:rPr>
              <w:t>Phys.</w:t>
            </w:r>
          </w:p>
        </w:tc>
        <w:tc>
          <w:tcPr>
            <w:tcW w:w="1174" w:type="dxa"/>
            <w:tcBorders>
              <w:top w:val="single" w:sz="8" w:space="0" w:color="58ECD0"/>
              <w:left w:val="single" w:sz="8" w:space="0" w:color="000000"/>
              <w:bottom w:val="single" w:sz="8" w:space="0" w:color="58ECD0"/>
              <w:right w:val="single" w:sz="4" w:space="0" w:color="58ECD0"/>
            </w:tcBorders>
            <w:shd w:val="clear" w:color="auto" w:fill="auto"/>
            <w:tcMar>
              <w:top w:w="28" w:type="dxa"/>
              <w:left w:w="57" w:type="dxa"/>
              <w:bottom w:w="28" w:type="dxa"/>
              <w:right w:w="57" w:type="dxa"/>
            </w:tcMar>
            <w:vAlign w:val="center"/>
            <w:hideMark/>
          </w:tcPr>
          <w:p w14:paraId="43A130B7" w14:textId="77777777" w:rsidR="000A13DF" w:rsidRPr="000A13DF" w:rsidRDefault="000A13DF" w:rsidP="000A13DF">
            <w:pPr>
              <w:jc w:val="center"/>
              <w:rPr>
                <w:rFonts w:ascii="Calibri" w:hAnsi="Calibri" w:cs="Calibri"/>
                <w:sz w:val="36"/>
                <w:szCs w:val="36"/>
                <w:lang w:val="de-DE"/>
              </w:rPr>
            </w:pPr>
            <w:r w:rsidRPr="000A13DF">
              <w:rPr>
                <w:rFonts w:ascii="Calibri" w:hAnsi="Calibri" w:cs="Calibri"/>
                <w:color w:val="000000"/>
                <w:kern w:val="24"/>
                <w:sz w:val="16"/>
                <w:szCs w:val="16"/>
                <w:lang w:val="en-US"/>
              </w:rPr>
              <w:t>CME</w:t>
            </w:r>
          </w:p>
        </w:tc>
        <w:tc>
          <w:tcPr>
            <w:tcW w:w="1053" w:type="dxa"/>
            <w:tcBorders>
              <w:top w:val="single" w:sz="8" w:space="0" w:color="58ECD0"/>
              <w:left w:val="single" w:sz="4" w:space="0" w:color="58ECD0"/>
              <w:bottom w:val="single" w:sz="8" w:space="0" w:color="58ECD0"/>
              <w:right w:val="single" w:sz="4" w:space="0" w:color="58ECD0"/>
            </w:tcBorders>
            <w:shd w:val="clear" w:color="auto" w:fill="FFCCCC"/>
            <w:tcMar>
              <w:top w:w="28" w:type="dxa"/>
              <w:left w:w="57" w:type="dxa"/>
              <w:bottom w:w="28" w:type="dxa"/>
              <w:right w:w="57" w:type="dxa"/>
            </w:tcMar>
            <w:vAlign w:val="center"/>
            <w:hideMark/>
          </w:tcPr>
          <w:p w14:paraId="19D6C1B6" w14:textId="77777777" w:rsidR="000A13DF" w:rsidRPr="000A13DF" w:rsidRDefault="000A13DF" w:rsidP="000A13DF">
            <w:pPr>
              <w:jc w:val="center"/>
              <w:rPr>
                <w:rFonts w:ascii="Calibri" w:hAnsi="Calibri" w:cs="Calibri"/>
                <w:sz w:val="36"/>
                <w:szCs w:val="36"/>
                <w:lang w:val="de-DE"/>
              </w:rPr>
            </w:pPr>
            <w:r w:rsidRPr="000A13DF">
              <w:rPr>
                <w:rFonts w:ascii="Calibri" w:hAnsi="Calibri" w:cs="Calibri"/>
                <w:color w:val="000000"/>
                <w:kern w:val="24"/>
                <w:sz w:val="16"/>
                <w:szCs w:val="16"/>
                <w:lang w:val="en-US"/>
              </w:rPr>
              <w:t xml:space="preserve">Medium / </w:t>
            </w:r>
            <w:r w:rsidRPr="000A13DF">
              <w:rPr>
                <w:rFonts w:ascii="Calibri" w:hAnsi="Calibri" w:cs="Calibri"/>
                <w:color w:val="000000"/>
                <w:kern w:val="24"/>
                <w:sz w:val="16"/>
                <w:szCs w:val="16"/>
                <w:lang w:val="en-US"/>
              </w:rPr>
              <w:br/>
              <w:t>None</w:t>
            </w:r>
          </w:p>
        </w:tc>
        <w:tc>
          <w:tcPr>
            <w:tcW w:w="3472" w:type="dxa"/>
            <w:tcBorders>
              <w:top w:val="single" w:sz="8" w:space="0" w:color="58ECD0"/>
              <w:left w:val="single" w:sz="4" w:space="0" w:color="58ECD0"/>
              <w:bottom w:val="single" w:sz="8" w:space="0" w:color="58ECD0"/>
              <w:right w:val="single" w:sz="8" w:space="0" w:color="000000"/>
            </w:tcBorders>
            <w:shd w:val="clear" w:color="auto" w:fill="auto"/>
            <w:tcMar>
              <w:top w:w="28" w:type="dxa"/>
              <w:left w:w="57" w:type="dxa"/>
              <w:bottom w:w="28" w:type="dxa"/>
              <w:right w:w="57" w:type="dxa"/>
            </w:tcMar>
            <w:vAlign w:val="center"/>
            <w:hideMark/>
          </w:tcPr>
          <w:p w14:paraId="5ED225CD" w14:textId="77777777" w:rsidR="000A13DF" w:rsidRPr="000A13DF" w:rsidRDefault="000A13DF" w:rsidP="000A13DF">
            <w:pPr>
              <w:rPr>
                <w:rFonts w:ascii="Calibri" w:hAnsi="Calibri" w:cs="Calibri"/>
                <w:color w:val="000000"/>
                <w:kern w:val="24"/>
                <w:sz w:val="16"/>
                <w:szCs w:val="16"/>
                <w:lang w:val="en-US"/>
              </w:rPr>
            </w:pPr>
            <w:r w:rsidRPr="000A13DF">
              <w:rPr>
                <w:rFonts w:ascii="Calibri" w:hAnsi="Calibri" w:cs="Calibri"/>
                <w:color w:val="000000"/>
                <w:kern w:val="24"/>
                <w:sz w:val="16"/>
                <w:szCs w:val="16"/>
                <w:lang w:val="en-US"/>
              </w:rPr>
              <w:t xml:space="preserve">For copper only, CME is an alternative venue with a medium liquidity. </w:t>
            </w:r>
            <w:r w:rsidRPr="000A13DF">
              <w:rPr>
                <w:rFonts w:ascii="Calibri" w:hAnsi="Calibri" w:cs="Calibri"/>
                <w:sz w:val="16"/>
                <w:szCs w:val="16"/>
                <w:lang w:val="en-US"/>
              </w:rPr>
              <w:t>For other metals there is no alternative venue.</w:t>
            </w:r>
          </w:p>
        </w:tc>
      </w:tr>
      <w:tr w:rsidR="000A13DF" w:rsidRPr="000A13DF" w14:paraId="67BD72FA" w14:textId="77777777" w:rsidTr="00BA2E74">
        <w:trPr>
          <w:trHeight w:val="419"/>
        </w:trPr>
        <w:tc>
          <w:tcPr>
            <w:tcW w:w="1946" w:type="dxa"/>
            <w:tcBorders>
              <w:top w:val="single" w:sz="8" w:space="0" w:color="58ECD0"/>
              <w:left w:val="single" w:sz="8" w:space="0" w:color="000000"/>
              <w:bottom w:val="single" w:sz="8" w:space="0" w:color="58ECD0"/>
              <w:right w:val="single" w:sz="8" w:space="0" w:color="000000"/>
            </w:tcBorders>
            <w:shd w:val="clear" w:color="auto" w:fill="auto"/>
            <w:tcMar>
              <w:top w:w="28" w:type="dxa"/>
              <w:left w:w="57" w:type="dxa"/>
              <w:bottom w:w="28" w:type="dxa"/>
              <w:right w:w="57" w:type="dxa"/>
            </w:tcMar>
            <w:vAlign w:val="center"/>
            <w:hideMark/>
          </w:tcPr>
          <w:p w14:paraId="28B47A06" w14:textId="77777777" w:rsidR="000A13DF" w:rsidRPr="000A13DF" w:rsidRDefault="000A13DF" w:rsidP="000A13DF">
            <w:pPr>
              <w:rPr>
                <w:rFonts w:ascii="Calibri" w:hAnsi="Calibri" w:cs="Calibri"/>
                <w:sz w:val="36"/>
                <w:szCs w:val="36"/>
                <w:lang w:val="de-DE"/>
              </w:rPr>
            </w:pPr>
            <w:r w:rsidRPr="000A13DF">
              <w:rPr>
                <w:rFonts w:ascii="Calibri" w:hAnsi="Calibri" w:cs="Calibri"/>
                <w:color w:val="000000"/>
                <w:kern w:val="24"/>
                <w:sz w:val="16"/>
                <w:szCs w:val="16"/>
                <w:lang w:val="en-US"/>
              </w:rPr>
              <w:t>Natural Gas UK - NBP</w:t>
            </w:r>
          </w:p>
        </w:tc>
        <w:tc>
          <w:tcPr>
            <w:tcW w:w="1273" w:type="dxa"/>
            <w:tcBorders>
              <w:top w:val="single" w:sz="8" w:space="0" w:color="58ECD0"/>
              <w:left w:val="single" w:sz="8" w:space="0" w:color="000000"/>
              <w:bottom w:val="single" w:sz="8" w:space="0" w:color="58ECD0"/>
              <w:right w:val="single" w:sz="4" w:space="0" w:color="58ECD0"/>
            </w:tcBorders>
            <w:shd w:val="clear" w:color="auto" w:fill="auto"/>
            <w:tcMar>
              <w:top w:w="28" w:type="dxa"/>
              <w:left w:w="57" w:type="dxa"/>
              <w:bottom w:w="28" w:type="dxa"/>
              <w:right w:w="57" w:type="dxa"/>
            </w:tcMar>
            <w:vAlign w:val="center"/>
            <w:hideMark/>
          </w:tcPr>
          <w:p w14:paraId="2EBA05BB" w14:textId="77777777" w:rsidR="000A13DF" w:rsidRPr="000A13DF" w:rsidRDefault="000A13DF" w:rsidP="000A13DF">
            <w:pPr>
              <w:rPr>
                <w:rFonts w:ascii="Calibri" w:hAnsi="Calibri" w:cs="Calibri"/>
                <w:sz w:val="36"/>
                <w:szCs w:val="36"/>
                <w:lang w:val="de-DE"/>
              </w:rPr>
            </w:pPr>
            <w:r w:rsidRPr="000A13DF">
              <w:rPr>
                <w:rFonts w:ascii="Calibri" w:hAnsi="Calibri" w:cs="Calibri"/>
                <w:color w:val="000000"/>
                <w:kern w:val="24"/>
                <w:sz w:val="16"/>
                <w:szCs w:val="16"/>
                <w:lang w:val="en-US"/>
              </w:rPr>
              <w:t>ICE Futures Europe</w:t>
            </w:r>
          </w:p>
        </w:tc>
        <w:tc>
          <w:tcPr>
            <w:tcW w:w="842" w:type="dxa"/>
            <w:tcBorders>
              <w:top w:val="single" w:sz="8" w:space="0" w:color="58ECD0"/>
              <w:left w:val="single" w:sz="4" w:space="0" w:color="58ECD0"/>
              <w:bottom w:val="single" w:sz="8" w:space="0" w:color="58ECD0"/>
              <w:right w:val="single" w:sz="8" w:space="0" w:color="000000"/>
            </w:tcBorders>
            <w:shd w:val="clear" w:color="auto" w:fill="auto"/>
            <w:tcMar>
              <w:top w:w="28" w:type="dxa"/>
              <w:left w:w="57" w:type="dxa"/>
              <w:bottom w:w="28" w:type="dxa"/>
              <w:right w:w="57" w:type="dxa"/>
            </w:tcMar>
            <w:vAlign w:val="center"/>
            <w:hideMark/>
          </w:tcPr>
          <w:p w14:paraId="317AB0B3" w14:textId="77777777" w:rsidR="000A13DF" w:rsidRPr="000A13DF" w:rsidRDefault="000A13DF" w:rsidP="000A13DF">
            <w:pPr>
              <w:jc w:val="center"/>
              <w:rPr>
                <w:rFonts w:ascii="Calibri" w:hAnsi="Calibri" w:cs="Calibri"/>
                <w:sz w:val="36"/>
                <w:szCs w:val="36"/>
                <w:lang w:val="de-DE"/>
              </w:rPr>
            </w:pPr>
            <w:r w:rsidRPr="000A13DF">
              <w:rPr>
                <w:rFonts w:ascii="Calibri" w:hAnsi="Calibri" w:cs="Calibri"/>
                <w:color w:val="000000"/>
                <w:kern w:val="24"/>
                <w:sz w:val="16"/>
                <w:szCs w:val="16"/>
                <w:lang w:val="en-US"/>
              </w:rPr>
              <w:t>Phys.</w:t>
            </w:r>
          </w:p>
        </w:tc>
        <w:tc>
          <w:tcPr>
            <w:tcW w:w="1174" w:type="dxa"/>
            <w:tcBorders>
              <w:top w:val="single" w:sz="8" w:space="0" w:color="58ECD0"/>
              <w:left w:val="single" w:sz="8" w:space="0" w:color="000000"/>
              <w:bottom w:val="single" w:sz="8" w:space="0" w:color="58ECD0"/>
              <w:right w:val="single" w:sz="4" w:space="0" w:color="58ECD0"/>
            </w:tcBorders>
            <w:shd w:val="clear" w:color="auto" w:fill="auto"/>
            <w:tcMar>
              <w:top w:w="28" w:type="dxa"/>
              <w:left w:w="57" w:type="dxa"/>
              <w:bottom w:w="28" w:type="dxa"/>
              <w:right w:w="57" w:type="dxa"/>
            </w:tcMar>
            <w:vAlign w:val="center"/>
            <w:hideMark/>
          </w:tcPr>
          <w:p w14:paraId="4AD98DBB" w14:textId="77777777" w:rsidR="000A13DF" w:rsidRPr="000A13DF" w:rsidRDefault="000A13DF" w:rsidP="000A13DF">
            <w:pPr>
              <w:jc w:val="center"/>
              <w:rPr>
                <w:rFonts w:ascii="Calibri" w:hAnsi="Calibri" w:cs="Calibri"/>
                <w:sz w:val="36"/>
                <w:szCs w:val="36"/>
                <w:lang w:val="de-DE"/>
              </w:rPr>
            </w:pPr>
            <w:r w:rsidRPr="000A13DF">
              <w:rPr>
                <w:rFonts w:ascii="Calibri" w:hAnsi="Calibri" w:cs="Calibri"/>
                <w:color w:val="000000"/>
                <w:kern w:val="24"/>
                <w:sz w:val="16"/>
                <w:szCs w:val="16"/>
                <w:lang w:val="en-US"/>
              </w:rPr>
              <w:t xml:space="preserve">EEX </w:t>
            </w:r>
            <w:r w:rsidRPr="000A13DF">
              <w:rPr>
                <w:rFonts w:ascii="Calibri" w:hAnsi="Calibri" w:cs="Calibri"/>
                <w:color w:val="000000"/>
                <w:kern w:val="24"/>
                <w:sz w:val="16"/>
                <w:szCs w:val="16"/>
                <w:lang w:val="en-US"/>
              </w:rPr>
              <w:br/>
              <w:t>CME</w:t>
            </w:r>
          </w:p>
        </w:tc>
        <w:tc>
          <w:tcPr>
            <w:tcW w:w="1053" w:type="dxa"/>
            <w:tcBorders>
              <w:top w:val="single" w:sz="8" w:space="0" w:color="58ECD0"/>
              <w:left w:val="single" w:sz="4" w:space="0" w:color="58ECD0"/>
              <w:bottom w:val="single" w:sz="8" w:space="0" w:color="58ECD0"/>
              <w:right w:val="single" w:sz="4" w:space="0" w:color="58ECD0"/>
            </w:tcBorders>
            <w:shd w:val="clear" w:color="auto" w:fill="FFCCCC"/>
            <w:tcMar>
              <w:top w:w="28" w:type="dxa"/>
              <w:left w:w="57" w:type="dxa"/>
              <w:bottom w:w="28" w:type="dxa"/>
              <w:right w:w="57" w:type="dxa"/>
            </w:tcMar>
            <w:vAlign w:val="center"/>
            <w:hideMark/>
          </w:tcPr>
          <w:p w14:paraId="171F1C72" w14:textId="77777777" w:rsidR="000A13DF" w:rsidRPr="000A13DF" w:rsidRDefault="000A13DF" w:rsidP="000A13DF">
            <w:pPr>
              <w:jc w:val="center"/>
              <w:rPr>
                <w:rFonts w:ascii="Calibri" w:hAnsi="Calibri" w:cs="Calibri"/>
                <w:sz w:val="36"/>
                <w:szCs w:val="36"/>
                <w:lang w:val="de-DE"/>
              </w:rPr>
            </w:pPr>
            <w:r w:rsidRPr="000A13DF">
              <w:rPr>
                <w:rFonts w:ascii="Calibri" w:hAnsi="Calibri" w:cs="Calibri"/>
                <w:color w:val="000000"/>
                <w:kern w:val="24"/>
                <w:sz w:val="16"/>
                <w:szCs w:val="16"/>
                <w:lang w:val="en-US"/>
              </w:rPr>
              <w:t>Low</w:t>
            </w:r>
          </w:p>
        </w:tc>
        <w:tc>
          <w:tcPr>
            <w:tcW w:w="3472" w:type="dxa"/>
            <w:tcBorders>
              <w:top w:val="single" w:sz="8" w:space="0" w:color="58ECD0"/>
              <w:left w:val="single" w:sz="4" w:space="0" w:color="58ECD0"/>
              <w:bottom w:val="single" w:sz="8" w:space="0" w:color="58ECD0"/>
              <w:right w:val="single" w:sz="8" w:space="0" w:color="000000"/>
            </w:tcBorders>
            <w:shd w:val="clear" w:color="auto" w:fill="auto"/>
            <w:tcMar>
              <w:top w:w="28" w:type="dxa"/>
              <w:left w:w="57" w:type="dxa"/>
              <w:bottom w:w="28" w:type="dxa"/>
              <w:right w:w="57" w:type="dxa"/>
            </w:tcMar>
            <w:vAlign w:val="center"/>
            <w:hideMark/>
          </w:tcPr>
          <w:p w14:paraId="1F930F44" w14:textId="77777777" w:rsidR="000A13DF" w:rsidRPr="000A13DF" w:rsidRDefault="000A13DF" w:rsidP="000A13DF">
            <w:pPr>
              <w:rPr>
                <w:rFonts w:ascii="Calibri" w:hAnsi="Calibri" w:cs="Calibri"/>
                <w:color w:val="000000"/>
                <w:kern w:val="24"/>
                <w:sz w:val="16"/>
                <w:szCs w:val="16"/>
                <w:lang w:val="en-US"/>
              </w:rPr>
            </w:pPr>
            <w:r w:rsidRPr="000A13DF">
              <w:rPr>
                <w:rFonts w:ascii="Calibri" w:hAnsi="Calibri" w:cs="Calibri"/>
                <w:color w:val="000000"/>
                <w:kern w:val="24"/>
                <w:sz w:val="16"/>
                <w:szCs w:val="16"/>
                <w:lang w:val="en-US"/>
              </w:rPr>
              <w:t>Has always been led by IFEU and here again EEX offering did not take-off at all.</w:t>
            </w:r>
            <w:r w:rsidRPr="000A13DF">
              <w:rPr>
                <w:rFonts w:ascii="Calibri" w:hAnsi="Calibri" w:cs="Calibri"/>
                <w:color w:val="000000"/>
                <w:kern w:val="24"/>
                <w:sz w:val="16"/>
                <w:szCs w:val="16"/>
                <w:vertAlign w:val="superscript"/>
                <w:lang w:val="en-US"/>
              </w:rPr>
              <w:footnoteReference w:id="2"/>
            </w:r>
            <w:r w:rsidRPr="000A13DF">
              <w:rPr>
                <w:rFonts w:ascii="Calibri" w:hAnsi="Calibri" w:cs="Calibri"/>
                <w:color w:val="000000"/>
                <w:kern w:val="24"/>
                <w:sz w:val="16"/>
                <w:szCs w:val="16"/>
                <w:lang w:val="en-US"/>
              </w:rPr>
              <w:t xml:space="preserve"> Liquidity on CME is low.</w:t>
            </w:r>
          </w:p>
        </w:tc>
      </w:tr>
      <w:tr w:rsidR="000A13DF" w:rsidRPr="000A13DF" w14:paraId="071720A8" w14:textId="77777777" w:rsidTr="00BA2E74">
        <w:trPr>
          <w:trHeight w:val="292"/>
        </w:trPr>
        <w:tc>
          <w:tcPr>
            <w:tcW w:w="1946" w:type="dxa"/>
            <w:tcBorders>
              <w:top w:val="single" w:sz="8" w:space="0" w:color="58ECD0"/>
              <w:left w:val="single" w:sz="8" w:space="0" w:color="000000"/>
              <w:bottom w:val="single" w:sz="8" w:space="0" w:color="58ECD0"/>
              <w:right w:val="single" w:sz="8" w:space="0" w:color="000000"/>
            </w:tcBorders>
            <w:shd w:val="clear" w:color="auto" w:fill="auto"/>
            <w:tcMar>
              <w:top w:w="28" w:type="dxa"/>
              <w:left w:w="57" w:type="dxa"/>
              <w:bottom w:w="28" w:type="dxa"/>
              <w:right w:w="57" w:type="dxa"/>
            </w:tcMar>
            <w:vAlign w:val="center"/>
            <w:hideMark/>
          </w:tcPr>
          <w:p w14:paraId="69F0C167" w14:textId="77777777" w:rsidR="000A13DF" w:rsidRPr="000A13DF" w:rsidRDefault="000A13DF" w:rsidP="000A13DF">
            <w:pPr>
              <w:rPr>
                <w:rFonts w:ascii="Calibri" w:hAnsi="Calibri" w:cs="Calibri"/>
                <w:sz w:val="36"/>
                <w:szCs w:val="36"/>
                <w:lang w:val="de-DE"/>
              </w:rPr>
            </w:pPr>
            <w:r w:rsidRPr="000A13DF">
              <w:rPr>
                <w:rFonts w:ascii="Calibri" w:hAnsi="Calibri" w:cs="Calibri"/>
                <w:color w:val="000000"/>
                <w:kern w:val="24"/>
                <w:sz w:val="16"/>
                <w:szCs w:val="16"/>
                <w:lang w:val="en-US"/>
              </w:rPr>
              <w:t>Oil – Financials &amp; Spreads</w:t>
            </w:r>
          </w:p>
        </w:tc>
        <w:tc>
          <w:tcPr>
            <w:tcW w:w="1273" w:type="dxa"/>
            <w:tcBorders>
              <w:top w:val="single" w:sz="8" w:space="0" w:color="58ECD0"/>
              <w:left w:val="single" w:sz="8" w:space="0" w:color="000000"/>
              <w:bottom w:val="single" w:sz="8" w:space="0" w:color="58ECD0"/>
              <w:right w:val="single" w:sz="4" w:space="0" w:color="58ECD0"/>
            </w:tcBorders>
            <w:shd w:val="clear" w:color="auto" w:fill="auto"/>
            <w:tcMar>
              <w:top w:w="28" w:type="dxa"/>
              <w:left w:w="57" w:type="dxa"/>
              <w:bottom w:w="28" w:type="dxa"/>
              <w:right w:w="57" w:type="dxa"/>
            </w:tcMar>
            <w:hideMark/>
          </w:tcPr>
          <w:p w14:paraId="54386B6D" w14:textId="77777777" w:rsidR="000A13DF" w:rsidRPr="000A13DF" w:rsidRDefault="000A13DF" w:rsidP="000A13DF">
            <w:pPr>
              <w:rPr>
                <w:rFonts w:ascii="Calibri" w:hAnsi="Calibri" w:cs="Calibri"/>
                <w:sz w:val="36"/>
                <w:szCs w:val="36"/>
                <w:lang w:val="de-DE"/>
              </w:rPr>
            </w:pPr>
            <w:r w:rsidRPr="000A13DF">
              <w:rPr>
                <w:rFonts w:ascii="Calibri" w:hAnsi="Calibri" w:cs="Calibri"/>
                <w:color w:val="000000"/>
                <w:kern w:val="24"/>
                <w:sz w:val="16"/>
                <w:szCs w:val="16"/>
                <w:lang w:val="en-US"/>
              </w:rPr>
              <w:t>ICE Futures Europe</w:t>
            </w:r>
          </w:p>
        </w:tc>
        <w:tc>
          <w:tcPr>
            <w:tcW w:w="842" w:type="dxa"/>
            <w:tcBorders>
              <w:top w:val="single" w:sz="8" w:space="0" w:color="58ECD0"/>
              <w:left w:val="single" w:sz="4" w:space="0" w:color="58ECD0"/>
              <w:bottom w:val="single" w:sz="8" w:space="0" w:color="58ECD0"/>
              <w:right w:val="single" w:sz="8" w:space="0" w:color="000000"/>
            </w:tcBorders>
            <w:shd w:val="clear" w:color="auto" w:fill="auto"/>
            <w:tcMar>
              <w:top w:w="28" w:type="dxa"/>
              <w:left w:w="57" w:type="dxa"/>
              <w:bottom w:w="28" w:type="dxa"/>
              <w:right w:w="57" w:type="dxa"/>
            </w:tcMar>
            <w:vAlign w:val="center"/>
            <w:hideMark/>
          </w:tcPr>
          <w:p w14:paraId="137E1ABA" w14:textId="77777777" w:rsidR="000A13DF" w:rsidRPr="000A13DF" w:rsidRDefault="000A13DF" w:rsidP="000A13DF">
            <w:pPr>
              <w:jc w:val="center"/>
              <w:rPr>
                <w:rFonts w:ascii="Calibri" w:hAnsi="Calibri" w:cs="Calibri"/>
                <w:sz w:val="36"/>
                <w:szCs w:val="36"/>
                <w:lang w:val="de-DE"/>
              </w:rPr>
            </w:pPr>
            <w:r w:rsidRPr="000A13DF">
              <w:rPr>
                <w:rFonts w:ascii="Calibri" w:hAnsi="Calibri" w:cs="Calibri"/>
                <w:color w:val="000000"/>
                <w:kern w:val="24"/>
                <w:sz w:val="16"/>
                <w:szCs w:val="16"/>
                <w:lang w:val="en-US"/>
              </w:rPr>
              <w:t>Fin.</w:t>
            </w:r>
          </w:p>
        </w:tc>
        <w:tc>
          <w:tcPr>
            <w:tcW w:w="1174" w:type="dxa"/>
            <w:tcBorders>
              <w:top w:val="single" w:sz="8" w:space="0" w:color="58ECD0"/>
              <w:left w:val="single" w:sz="8" w:space="0" w:color="000000"/>
              <w:bottom w:val="single" w:sz="8" w:space="0" w:color="58ECD0"/>
              <w:right w:val="single" w:sz="4" w:space="0" w:color="58ECD0"/>
            </w:tcBorders>
            <w:shd w:val="clear" w:color="auto" w:fill="auto"/>
            <w:tcMar>
              <w:top w:w="28" w:type="dxa"/>
              <w:left w:w="57" w:type="dxa"/>
              <w:bottom w:w="28" w:type="dxa"/>
              <w:right w:w="57" w:type="dxa"/>
            </w:tcMar>
            <w:vAlign w:val="center"/>
            <w:hideMark/>
          </w:tcPr>
          <w:p w14:paraId="67D41B26" w14:textId="77777777" w:rsidR="000A13DF" w:rsidRPr="000A13DF" w:rsidRDefault="000A13DF" w:rsidP="000A13DF">
            <w:pPr>
              <w:jc w:val="center"/>
              <w:rPr>
                <w:rFonts w:ascii="Calibri" w:hAnsi="Calibri" w:cs="Calibri"/>
                <w:sz w:val="36"/>
                <w:szCs w:val="36"/>
                <w:lang w:val="de-DE"/>
              </w:rPr>
            </w:pPr>
            <w:r w:rsidRPr="000A13DF">
              <w:rPr>
                <w:rFonts w:ascii="Calibri" w:hAnsi="Calibri" w:cs="Calibri"/>
                <w:color w:val="000000"/>
                <w:kern w:val="24"/>
                <w:sz w:val="16"/>
                <w:szCs w:val="16"/>
                <w:lang w:val="en-US"/>
              </w:rPr>
              <w:t>CME</w:t>
            </w:r>
          </w:p>
        </w:tc>
        <w:tc>
          <w:tcPr>
            <w:tcW w:w="1053" w:type="dxa"/>
            <w:tcBorders>
              <w:top w:val="single" w:sz="8" w:space="0" w:color="58ECD0"/>
              <w:left w:val="single" w:sz="4" w:space="0" w:color="58ECD0"/>
              <w:bottom w:val="single" w:sz="8" w:space="0" w:color="58ECD0"/>
              <w:right w:val="single" w:sz="4" w:space="0" w:color="58ECD0"/>
            </w:tcBorders>
            <w:shd w:val="clear" w:color="auto" w:fill="C7F9EF"/>
            <w:tcMar>
              <w:top w:w="28" w:type="dxa"/>
              <w:left w:w="57" w:type="dxa"/>
              <w:bottom w:w="28" w:type="dxa"/>
              <w:right w:w="57" w:type="dxa"/>
            </w:tcMar>
            <w:vAlign w:val="center"/>
            <w:hideMark/>
          </w:tcPr>
          <w:p w14:paraId="4F2268E1" w14:textId="77777777" w:rsidR="000A13DF" w:rsidRPr="000A13DF" w:rsidRDefault="000A13DF" w:rsidP="000A13DF">
            <w:pPr>
              <w:jc w:val="center"/>
              <w:rPr>
                <w:rFonts w:ascii="Calibri" w:hAnsi="Calibri" w:cs="Calibri"/>
                <w:sz w:val="36"/>
                <w:szCs w:val="36"/>
                <w:lang w:val="de-DE"/>
              </w:rPr>
            </w:pPr>
            <w:r w:rsidRPr="000A13DF">
              <w:rPr>
                <w:rFonts w:ascii="Calibri" w:hAnsi="Calibri" w:cs="Calibri"/>
                <w:color w:val="000000"/>
                <w:kern w:val="24"/>
                <w:sz w:val="16"/>
                <w:szCs w:val="16"/>
                <w:lang w:val="en-US"/>
              </w:rPr>
              <w:t>High</w:t>
            </w:r>
          </w:p>
        </w:tc>
        <w:tc>
          <w:tcPr>
            <w:tcW w:w="3472" w:type="dxa"/>
            <w:tcBorders>
              <w:top w:val="single" w:sz="8" w:space="0" w:color="58ECD0"/>
              <w:left w:val="single" w:sz="4" w:space="0" w:color="58ECD0"/>
              <w:bottom w:val="single" w:sz="8" w:space="0" w:color="58ECD0"/>
              <w:right w:val="single" w:sz="8" w:space="0" w:color="000000"/>
            </w:tcBorders>
            <w:shd w:val="clear" w:color="auto" w:fill="auto"/>
            <w:tcMar>
              <w:top w:w="28" w:type="dxa"/>
              <w:left w:w="57" w:type="dxa"/>
              <w:bottom w:w="28" w:type="dxa"/>
              <w:right w:w="57" w:type="dxa"/>
            </w:tcMar>
            <w:vAlign w:val="center"/>
            <w:hideMark/>
          </w:tcPr>
          <w:p w14:paraId="761E650A" w14:textId="77777777" w:rsidR="000A13DF" w:rsidRPr="000A13DF" w:rsidRDefault="000A13DF" w:rsidP="000A13DF">
            <w:pPr>
              <w:rPr>
                <w:rFonts w:ascii="Calibri" w:hAnsi="Calibri" w:cs="Calibri"/>
                <w:color w:val="000000"/>
                <w:kern w:val="24"/>
                <w:sz w:val="16"/>
                <w:szCs w:val="16"/>
                <w:lang w:val="en-US"/>
              </w:rPr>
            </w:pPr>
            <w:r w:rsidRPr="000A13DF">
              <w:rPr>
                <w:rFonts w:ascii="Calibri" w:hAnsi="Calibri" w:cs="Calibri"/>
                <w:color w:val="000000"/>
                <w:kern w:val="24"/>
                <w:sz w:val="16"/>
                <w:szCs w:val="16"/>
                <w:lang w:val="en-US"/>
              </w:rPr>
              <w:t>Not all Spreads are available.</w:t>
            </w:r>
          </w:p>
        </w:tc>
      </w:tr>
      <w:tr w:rsidR="000A13DF" w:rsidRPr="000A13DF" w14:paraId="58B887E8" w14:textId="77777777" w:rsidTr="00BA2E74">
        <w:trPr>
          <w:trHeight w:val="292"/>
        </w:trPr>
        <w:tc>
          <w:tcPr>
            <w:tcW w:w="1946" w:type="dxa"/>
            <w:tcBorders>
              <w:top w:val="single" w:sz="8" w:space="0" w:color="58ECD0"/>
              <w:left w:val="single" w:sz="8" w:space="0" w:color="000000"/>
              <w:bottom w:val="single" w:sz="8" w:space="0" w:color="58ECD0"/>
              <w:right w:val="single" w:sz="8" w:space="0" w:color="000000"/>
            </w:tcBorders>
            <w:shd w:val="clear" w:color="auto" w:fill="auto"/>
            <w:tcMar>
              <w:top w:w="28" w:type="dxa"/>
              <w:left w:w="57" w:type="dxa"/>
              <w:bottom w:w="28" w:type="dxa"/>
              <w:right w:w="57" w:type="dxa"/>
            </w:tcMar>
            <w:vAlign w:val="center"/>
            <w:hideMark/>
          </w:tcPr>
          <w:p w14:paraId="1D4C6F6D" w14:textId="77777777" w:rsidR="000A13DF" w:rsidRPr="000A13DF" w:rsidRDefault="000A13DF" w:rsidP="000A13DF">
            <w:pPr>
              <w:rPr>
                <w:rFonts w:ascii="Calibri" w:hAnsi="Calibri" w:cs="Calibri"/>
                <w:sz w:val="36"/>
                <w:szCs w:val="36"/>
                <w:lang w:val="de-DE"/>
              </w:rPr>
            </w:pPr>
            <w:r w:rsidRPr="000A13DF">
              <w:rPr>
                <w:rFonts w:ascii="Calibri" w:hAnsi="Calibri" w:cs="Calibri"/>
                <w:color w:val="000000"/>
                <w:kern w:val="24"/>
                <w:sz w:val="16"/>
                <w:szCs w:val="16"/>
                <w:lang w:val="en-US"/>
              </w:rPr>
              <w:t>Oil – Brent</w:t>
            </w:r>
          </w:p>
        </w:tc>
        <w:tc>
          <w:tcPr>
            <w:tcW w:w="1273" w:type="dxa"/>
            <w:tcBorders>
              <w:top w:val="single" w:sz="8" w:space="0" w:color="58ECD0"/>
              <w:left w:val="single" w:sz="8" w:space="0" w:color="000000"/>
              <w:bottom w:val="single" w:sz="8" w:space="0" w:color="58ECD0"/>
              <w:right w:val="single" w:sz="4" w:space="0" w:color="58ECD0"/>
            </w:tcBorders>
            <w:shd w:val="clear" w:color="auto" w:fill="auto"/>
            <w:tcMar>
              <w:top w:w="28" w:type="dxa"/>
              <w:left w:w="57" w:type="dxa"/>
              <w:bottom w:w="28" w:type="dxa"/>
              <w:right w:w="57" w:type="dxa"/>
            </w:tcMar>
            <w:hideMark/>
          </w:tcPr>
          <w:p w14:paraId="185B6A63" w14:textId="77777777" w:rsidR="000A13DF" w:rsidRPr="000A13DF" w:rsidRDefault="000A13DF" w:rsidP="000A13DF">
            <w:pPr>
              <w:rPr>
                <w:rFonts w:ascii="Calibri" w:hAnsi="Calibri" w:cs="Calibri"/>
                <w:color w:val="000000"/>
                <w:kern w:val="24"/>
                <w:sz w:val="16"/>
                <w:szCs w:val="16"/>
                <w:lang w:val="en-US"/>
              </w:rPr>
            </w:pPr>
          </w:p>
          <w:p w14:paraId="060D1DE0" w14:textId="77777777" w:rsidR="000A13DF" w:rsidRPr="000A13DF" w:rsidRDefault="000A13DF" w:rsidP="000A13DF">
            <w:pPr>
              <w:rPr>
                <w:rFonts w:ascii="Calibri" w:hAnsi="Calibri" w:cs="Calibri"/>
                <w:color w:val="000000"/>
                <w:kern w:val="24"/>
                <w:sz w:val="16"/>
                <w:szCs w:val="16"/>
                <w:lang w:val="en-US"/>
              </w:rPr>
            </w:pPr>
          </w:p>
          <w:p w14:paraId="403FDFE9" w14:textId="77777777" w:rsidR="000A13DF" w:rsidRPr="000A13DF" w:rsidRDefault="000A13DF" w:rsidP="000A13DF">
            <w:pPr>
              <w:rPr>
                <w:rFonts w:ascii="Calibri" w:hAnsi="Calibri" w:cs="Calibri"/>
                <w:sz w:val="36"/>
                <w:szCs w:val="36"/>
                <w:lang w:val="de-DE"/>
              </w:rPr>
            </w:pPr>
            <w:r w:rsidRPr="000A13DF">
              <w:rPr>
                <w:rFonts w:ascii="Calibri" w:hAnsi="Calibri" w:cs="Calibri"/>
                <w:color w:val="000000"/>
                <w:kern w:val="24"/>
                <w:sz w:val="16"/>
                <w:szCs w:val="16"/>
                <w:lang w:val="en-US"/>
              </w:rPr>
              <w:t>ICE Futures Europe</w:t>
            </w:r>
          </w:p>
        </w:tc>
        <w:tc>
          <w:tcPr>
            <w:tcW w:w="842" w:type="dxa"/>
            <w:tcBorders>
              <w:top w:val="single" w:sz="8" w:space="0" w:color="58ECD0"/>
              <w:left w:val="single" w:sz="4" w:space="0" w:color="58ECD0"/>
              <w:bottom w:val="single" w:sz="8" w:space="0" w:color="58ECD0"/>
              <w:right w:val="single" w:sz="8" w:space="0" w:color="000000"/>
            </w:tcBorders>
            <w:shd w:val="clear" w:color="auto" w:fill="auto"/>
            <w:tcMar>
              <w:top w:w="28" w:type="dxa"/>
              <w:left w:w="57" w:type="dxa"/>
              <w:bottom w:w="28" w:type="dxa"/>
              <w:right w:w="57" w:type="dxa"/>
            </w:tcMar>
            <w:vAlign w:val="center"/>
            <w:hideMark/>
          </w:tcPr>
          <w:p w14:paraId="6D7DB6B2" w14:textId="77777777" w:rsidR="000A13DF" w:rsidRPr="000A13DF" w:rsidRDefault="000A13DF" w:rsidP="000A13DF">
            <w:pPr>
              <w:jc w:val="center"/>
              <w:rPr>
                <w:rFonts w:ascii="Calibri" w:hAnsi="Calibri" w:cs="Calibri"/>
                <w:sz w:val="36"/>
                <w:szCs w:val="36"/>
                <w:lang w:val="de-DE"/>
              </w:rPr>
            </w:pPr>
            <w:r w:rsidRPr="000A13DF">
              <w:rPr>
                <w:rFonts w:ascii="Calibri" w:hAnsi="Calibri" w:cs="Calibri"/>
                <w:color w:val="000000"/>
                <w:kern w:val="24"/>
                <w:sz w:val="16"/>
                <w:szCs w:val="16"/>
                <w:lang w:val="en-US"/>
              </w:rPr>
              <w:t>Fin.</w:t>
            </w:r>
          </w:p>
        </w:tc>
        <w:tc>
          <w:tcPr>
            <w:tcW w:w="1174" w:type="dxa"/>
            <w:tcBorders>
              <w:top w:val="single" w:sz="8" w:space="0" w:color="58ECD0"/>
              <w:left w:val="single" w:sz="8" w:space="0" w:color="000000"/>
              <w:bottom w:val="single" w:sz="8" w:space="0" w:color="58ECD0"/>
              <w:right w:val="single" w:sz="4" w:space="0" w:color="58ECD0"/>
            </w:tcBorders>
            <w:shd w:val="clear" w:color="auto" w:fill="auto"/>
            <w:tcMar>
              <w:top w:w="28" w:type="dxa"/>
              <w:left w:w="57" w:type="dxa"/>
              <w:bottom w:w="28" w:type="dxa"/>
              <w:right w:w="57" w:type="dxa"/>
            </w:tcMar>
            <w:vAlign w:val="center"/>
            <w:hideMark/>
          </w:tcPr>
          <w:p w14:paraId="0AD6CEB1" w14:textId="77777777" w:rsidR="000A13DF" w:rsidRPr="000A13DF" w:rsidRDefault="000A13DF" w:rsidP="000A13DF">
            <w:pPr>
              <w:jc w:val="center"/>
              <w:rPr>
                <w:rFonts w:ascii="Calibri" w:hAnsi="Calibri" w:cs="Calibri"/>
                <w:sz w:val="36"/>
                <w:szCs w:val="36"/>
                <w:lang w:val="de-DE"/>
              </w:rPr>
            </w:pPr>
            <w:r w:rsidRPr="000A13DF">
              <w:rPr>
                <w:rFonts w:ascii="Calibri" w:hAnsi="Calibri" w:cs="Calibri"/>
                <w:color w:val="000000"/>
                <w:kern w:val="24"/>
                <w:sz w:val="16"/>
                <w:szCs w:val="16"/>
                <w:lang w:val="en-US"/>
              </w:rPr>
              <w:t>CME</w:t>
            </w:r>
          </w:p>
        </w:tc>
        <w:tc>
          <w:tcPr>
            <w:tcW w:w="1053" w:type="dxa"/>
            <w:tcBorders>
              <w:top w:val="single" w:sz="8" w:space="0" w:color="58ECD0"/>
              <w:left w:val="single" w:sz="4" w:space="0" w:color="58ECD0"/>
              <w:bottom w:val="single" w:sz="8" w:space="0" w:color="58ECD0"/>
              <w:right w:val="single" w:sz="4" w:space="0" w:color="58ECD0"/>
            </w:tcBorders>
            <w:shd w:val="clear" w:color="auto" w:fill="C7F9EF"/>
            <w:tcMar>
              <w:top w:w="28" w:type="dxa"/>
              <w:left w:w="57" w:type="dxa"/>
              <w:bottom w:w="28" w:type="dxa"/>
              <w:right w:w="57" w:type="dxa"/>
            </w:tcMar>
            <w:vAlign w:val="center"/>
            <w:hideMark/>
          </w:tcPr>
          <w:p w14:paraId="6DC411DF" w14:textId="77777777" w:rsidR="000A13DF" w:rsidRPr="000A13DF" w:rsidRDefault="000A13DF" w:rsidP="000A13DF">
            <w:pPr>
              <w:jc w:val="center"/>
              <w:rPr>
                <w:rFonts w:ascii="Calibri" w:hAnsi="Calibri" w:cs="Calibri"/>
                <w:sz w:val="36"/>
                <w:szCs w:val="36"/>
                <w:lang w:val="de-DE"/>
              </w:rPr>
            </w:pPr>
            <w:r w:rsidRPr="000A13DF">
              <w:rPr>
                <w:rFonts w:ascii="Calibri" w:hAnsi="Calibri" w:cs="Calibri"/>
                <w:color w:val="000000"/>
                <w:kern w:val="24"/>
                <w:sz w:val="16"/>
                <w:szCs w:val="16"/>
                <w:lang w:val="en-US"/>
              </w:rPr>
              <w:t>High</w:t>
            </w:r>
          </w:p>
        </w:tc>
        <w:tc>
          <w:tcPr>
            <w:tcW w:w="3472" w:type="dxa"/>
            <w:tcBorders>
              <w:top w:val="single" w:sz="8" w:space="0" w:color="58ECD0"/>
              <w:left w:val="single" w:sz="4" w:space="0" w:color="58ECD0"/>
              <w:bottom w:val="single" w:sz="8" w:space="0" w:color="58ECD0"/>
              <w:right w:val="single" w:sz="8" w:space="0" w:color="000000"/>
            </w:tcBorders>
            <w:shd w:val="clear" w:color="auto" w:fill="auto"/>
            <w:tcMar>
              <w:top w:w="28" w:type="dxa"/>
              <w:left w:w="57" w:type="dxa"/>
              <w:bottom w:w="28" w:type="dxa"/>
              <w:right w:w="57" w:type="dxa"/>
            </w:tcMar>
            <w:vAlign w:val="center"/>
          </w:tcPr>
          <w:p w14:paraId="15EE9359" w14:textId="77777777" w:rsidR="000A13DF" w:rsidRPr="000A13DF" w:rsidRDefault="000A13DF" w:rsidP="000A13DF">
            <w:pPr>
              <w:spacing w:line="259" w:lineRule="auto"/>
              <w:rPr>
                <w:rFonts w:ascii="Calibri" w:eastAsia="Calibri" w:hAnsi="Calibri" w:cs="Calibri"/>
                <w:sz w:val="16"/>
                <w:szCs w:val="16"/>
                <w:lang w:eastAsia="en-US"/>
              </w:rPr>
            </w:pPr>
            <w:r w:rsidRPr="000A13DF">
              <w:rPr>
                <w:rFonts w:ascii="Calibri" w:eastAsia="Calibri" w:hAnsi="Calibri" w:cs="Calibri"/>
                <w:sz w:val="16"/>
                <w:szCs w:val="16"/>
                <w:lang w:eastAsia="en-US"/>
              </w:rPr>
              <w:t>Contracts difficult to replicate are Brent and Gasoil (led by IFEU) and WTI, RBOB and Heat (led by CME).</w:t>
            </w:r>
          </w:p>
          <w:p w14:paraId="7C977034" w14:textId="77777777" w:rsidR="000A13DF" w:rsidRPr="000A13DF" w:rsidRDefault="000A13DF" w:rsidP="000A13DF">
            <w:pPr>
              <w:spacing w:line="259" w:lineRule="auto"/>
              <w:rPr>
                <w:rFonts w:ascii="Calibri" w:eastAsia="Calibri" w:hAnsi="Calibri" w:cs="Calibri"/>
                <w:sz w:val="16"/>
                <w:szCs w:val="16"/>
                <w:lang w:eastAsia="en-US"/>
              </w:rPr>
            </w:pPr>
            <w:r w:rsidRPr="000A13DF">
              <w:rPr>
                <w:rFonts w:ascii="Calibri" w:eastAsia="Calibri" w:hAnsi="Calibri" w:cs="Calibri"/>
                <w:sz w:val="16"/>
                <w:szCs w:val="16"/>
                <w:lang w:eastAsia="en-US"/>
              </w:rPr>
              <w:t>Brent and WTI could be replicated by each alternative exchange as they are traded currently like this for arbitrage purposes.</w:t>
            </w:r>
          </w:p>
        </w:tc>
      </w:tr>
      <w:tr w:rsidR="000A13DF" w:rsidRPr="000A13DF" w14:paraId="0CB39069" w14:textId="77777777" w:rsidTr="00BA2E74">
        <w:trPr>
          <w:trHeight w:val="292"/>
        </w:trPr>
        <w:tc>
          <w:tcPr>
            <w:tcW w:w="1946" w:type="dxa"/>
            <w:tcBorders>
              <w:top w:val="single" w:sz="8" w:space="0" w:color="58ECD0"/>
              <w:left w:val="single" w:sz="8" w:space="0" w:color="000000"/>
              <w:bottom w:val="single" w:sz="8" w:space="0" w:color="58ECD0"/>
              <w:right w:val="single" w:sz="8" w:space="0" w:color="000000"/>
            </w:tcBorders>
            <w:shd w:val="clear" w:color="auto" w:fill="auto"/>
            <w:tcMar>
              <w:top w:w="28" w:type="dxa"/>
              <w:left w:w="57" w:type="dxa"/>
              <w:bottom w:w="28" w:type="dxa"/>
              <w:right w:w="57" w:type="dxa"/>
            </w:tcMar>
            <w:vAlign w:val="center"/>
            <w:hideMark/>
          </w:tcPr>
          <w:p w14:paraId="3A42A36D" w14:textId="77777777" w:rsidR="000A13DF" w:rsidRPr="000A13DF" w:rsidRDefault="000A13DF" w:rsidP="000A13DF">
            <w:pPr>
              <w:rPr>
                <w:rFonts w:ascii="Calibri" w:hAnsi="Calibri" w:cs="Calibri"/>
                <w:sz w:val="36"/>
                <w:szCs w:val="36"/>
                <w:lang w:val="de-DE"/>
              </w:rPr>
            </w:pPr>
            <w:r w:rsidRPr="000A13DF">
              <w:rPr>
                <w:rFonts w:ascii="Calibri" w:hAnsi="Calibri" w:cs="Calibri"/>
                <w:color w:val="000000"/>
                <w:kern w:val="24"/>
                <w:sz w:val="16"/>
                <w:szCs w:val="16"/>
                <w:lang w:val="en-US"/>
              </w:rPr>
              <w:t>Oil - Gasoil</w:t>
            </w:r>
          </w:p>
        </w:tc>
        <w:tc>
          <w:tcPr>
            <w:tcW w:w="1273" w:type="dxa"/>
            <w:tcBorders>
              <w:top w:val="single" w:sz="8" w:space="0" w:color="58ECD0"/>
              <w:left w:val="single" w:sz="8" w:space="0" w:color="000000"/>
              <w:bottom w:val="single" w:sz="8" w:space="0" w:color="58ECD0"/>
              <w:right w:val="single" w:sz="4" w:space="0" w:color="58ECD0"/>
            </w:tcBorders>
            <w:shd w:val="clear" w:color="auto" w:fill="auto"/>
            <w:tcMar>
              <w:top w:w="28" w:type="dxa"/>
              <w:left w:w="57" w:type="dxa"/>
              <w:bottom w:w="28" w:type="dxa"/>
              <w:right w:w="57" w:type="dxa"/>
            </w:tcMar>
            <w:hideMark/>
          </w:tcPr>
          <w:p w14:paraId="298465C4" w14:textId="77777777" w:rsidR="000A13DF" w:rsidRPr="000A13DF" w:rsidRDefault="000A13DF" w:rsidP="000A13DF">
            <w:pPr>
              <w:rPr>
                <w:rFonts w:ascii="Calibri" w:hAnsi="Calibri" w:cs="Calibri"/>
                <w:sz w:val="36"/>
                <w:szCs w:val="36"/>
                <w:lang w:val="de-DE"/>
              </w:rPr>
            </w:pPr>
            <w:r w:rsidRPr="000A13DF">
              <w:rPr>
                <w:rFonts w:ascii="Calibri" w:hAnsi="Calibri" w:cs="Calibri"/>
                <w:color w:val="000000"/>
                <w:kern w:val="24"/>
                <w:sz w:val="16"/>
                <w:szCs w:val="16"/>
                <w:lang w:val="en-US"/>
              </w:rPr>
              <w:t>ICE Futures Europe</w:t>
            </w:r>
          </w:p>
        </w:tc>
        <w:tc>
          <w:tcPr>
            <w:tcW w:w="842" w:type="dxa"/>
            <w:tcBorders>
              <w:top w:val="single" w:sz="8" w:space="0" w:color="58ECD0"/>
              <w:left w:val="single" w:sz="4" w:space="0" w:color="58ECD0"/>
              <w:bottom w:val="single" w:sz="8" w:space="0" w:color="58ECD0"/>
              <w:right w:val="single" w:sz="8" w:space="0" w:color="000000"/>
            </w:tcBorders>
            <w:shd w:val="clear" w:color="auto" w:fill="auto"/>
            <w:tcMar>
              <w:top w:w="28" w:type="dxa"/>
              <w:left w:w="57" w:type="dxa"/>
              <w:bottom w:w="28" w:type="dxa"/>
              <w:right w:w="57" w:type="dxa"/>
            </w:tcMar>
            <w:vAlign w:val="center"/>
            <w:hideMark/>
          </w:tcPr>
          <w:p w14:paraId="5740C986" w14:textId="77777777" w:rsidR="000A13DF" w:rsidRPr="000A13DF" w:rsidRDefault="000A13DF" w:rsidP="000A13DF">
            <w:pPr>
              <w:jc w:val="center"/>
              <w:rPr>
                <w:rFonts w:ascii="Calibri" w:hAnsi="Calibri" w:cs="Calibri"/>
                <w:sz w:val="36"/>
                <w:szCs w:val="36"/>
                <w:lang w:val="de-DE"/>
              </w:rPr>
            </w:pPr>
            <w:r w:rsidRPr="000A13DF">
              <w:rPr>
                <w:rFonts w:ascii="Calibri" w:hAnsi="Calibri" w:cs="Calibri"/>
                <w:color w:val="000000"/>
                <w:kern w:val="24"/>
                <w:sz w:val="16"/>
                <w:szCs w:val="16"/>
                <w:lang w:val="en-US"/>
              </w:rPr>
              <w:t>Phys.</w:t>
            </w:r>
          </w:p>
        </w:tc>
        <w:tc>
          <w:tcPr>
            <w:tcW w:w="1174" w:type="dxa"/>
            <w:tcBorders>
              <w:top w:val="single" w:sz="8" w:space="0" w:color="58ECD0"/>
              <w:left w:val="single" w:sz="8" w:space="0" w:color="000000"/>
              <w:bottom w:val="single" w:sz="8" w:space="0" w:color="58ECD0"/>
              <w:right w:val="single" w:sz="4" w:space="0" w:color="58ECD0"/>
            </w:tcBorders>
            <w:shd w:val="clear" w:color="auto" w:fill="auto"/>
            <w:tcMar>
              <w:top w:w="28" w:type="dxa"/>
              <w:left w:w="57" w:type="dxa"/>
              <w:bottom w:w="28" w:type="dxa"/>
              <w:right w:w="57" w:type="dxa"/>
            </w:tcMar>
            <w:vAlign w:val="center"/>
            <w:hideMark/>
          </w:tcPr>
          <w:p w14:paraId="6B7FF1CB" w14:textId="77777777" w:rsidR="000A13DF" w:rsidRPr="000A13DF" w:rsidRDefault="000A13DF" w:rsidP="000A13DF">
            <w:pPr>
              <w:jc w:val="center"/>
              <w:rPr>
                <w:rFonts w:ascii="Calibri" w:hAnsi="Calibri" w:cs="Calibri"/>
                <w:sz w:val="36"/>
                <w:szCs w:val="36"/>
                <w:lang w:val="de-DE"/>
              </w:rPr>
            </w:pPr>
            <w:r w:rsidRPr="000A13DF">
              <w:rPr>
                <w:rFonts w:ascii="Calibri" w:hAnsi="Calibri" w:cs="Calibri"/>
                <w:color w:val="000000"/>
                <w:kern w:val="24"/>
                <w:sz w:val="16"/>
                <w:szCs w:val="16"/>
                <w:lang w:val="en-US"/>
              </w:rPr>
              <w:t>CME</w:t>
            </w:r>
          </w:p>
        </w:tc>
        <w:tc>
          <w:tcPr>
            <w:tcW w:w="1053" w:type="dxa"/>
            <w:tcBorders>
              <w:top w:val="single" w:sz="8" w:space="0" w:color="58ECD0"/>
              <w:left w:val="single" w:sz="4" w:space="0" w:color="58ECD0"/>
              <w:bottom w:val="single" w:sz="8" w:space="0" w:color="58ECD0"/>
              <w:right w:val="single" w:sz="4" w:space="0" w:color="58ECD0"/>
            </w:tcBorders>
            <w:shd w:val="clear" w:color="auto" w:fill="FFCCCC"/>
            <w:tcMar>
              <w:top w:w="28" w:type="dxa"/>
              <w:left w:w="57" w:type="dxa"/>
              <w:bottom w:w="28" w:type="dxa"/>
              <w:right w:w="57" w:type="dxa"/>
            </w:tcMar>
            <w:vAlign w:val="center"/>
            <w:hideMark/>
          </w:tcPr>
          <w:p w14:paraId="266BE9F7" w14:textId="77777777" w:rsidR="000A13DF" w:rsidRPr="000A13DF" w:rsidRDefault="000A13DF" w:rsidP="000A13DF">
            <w:pPr>
              <w:jc w:val="center"/>
              <w:rPr>
                <w:rFonts w:ascii="Calibri" w:hAnsi="Calibri" w:cs="Calibri"/>
                <w:sz w:val="36"/>
                <w:szCs w:val="36"/>
                <w:lang w:val="de-DE"/>
              </w:rPr>
            </w:pPr>
            <w:r w:rsidRPr="000A13DF">
              <w:rPr>
                <w:rFonts w:ascii="Calibri" w:hAnsi="Calibri" w:cs="Calibri"/>
                <w:color w:val="000000"/>
                <w:kern w:val="24"/>
                <w:sz w:val="16"/>
                <w:szCs w:val="16"/>
                <w:lang w:val="en-US"/>
              </w:rPr>
              <w:t>Low</w:t>
            </w:r>
          </w:p>
        </w:tc>
        <w:tc>
          <w:tcPr>
            <w:tcW w:w="3472" w:type="dxa"/>
            <w:tcBorders>
              <w:top w:val="single" w:sz="8" w:space="0" w:color="58ECD0"/>
              <w:left w:val="single" w:sz="4" w:space="0" w:color="58ECD0"/>
              <w:bottom w:val="single" w:sz="8" w:space="0" w:color="58ECD0"/>
              <w:right w:val="single" w:sz="8" w:space="0" w:color="000000"/>
            </w:tcBorders>
            <w:shd w:val="clear" w:color="auto" w:fill="auto"/>
            <w:tcMar>
              <w:top w:w="28" w:type="dxa"/>
              <w:left w:w="57" w:type="dxa"/>
              <w:bottom w:w="28" w:type="dxa"/>
              <w:right w:w="57" w:type="dxa"/>
            </w:tcMar>
            <w:vAlign w:val="center"/>
            <w:hideMark/>
          </w:tcPr>
          <w:p w14:paraId="14FB6DE4" w14:textId="77777777" w:rsidR="000A13DF" w:rsidRPr="000A13DF" w:rsidRDefault="000A13DF" w:rsidP="000A13DF">
            <w:pPr>
              <w:rPr>
                <w:rFonts w:ascii="Calibri" w:hAnsi="Calibri" w:cs="Calibri"/>
                <w:sz w:val="16"/>
                <w:szCs w:val="16"/>
                <w:lang w:val="en-US"/>
              </w:rPr>
            </w:pPr>
            <w:r w:rsidRPr="000A13DF">
              <w:rPr>
                <w:rFonts w:ascii="Calibri" w:hAnsi="Calibri" w:cs="Calibri"/>
                <w:sz w:val="16"/>
                <w:szCs w:val="16"/>
                <w:lang w:val="en-US"/>
              </w:rPr>
              <w:t>There is no reasonable alternative as gasoil is led by IFEU.</w:t>
            </w:r>
          </w:p>
        </w:tc>
      </w:tr>
    </w:tbl>
    <w:p w14:paraId="01AAEABE" w14:textId="772AE506" w:rsidR="00B35603" w:rsidRDefault="00B35603" w:rsidP="00530C18"/>
    <w:permEnd w:id="2122265796"/>
    <w:p w14:paraId="46C3DAA1" w14:textId="77777777" w:rsidR="002E1760" w:rsidRDefault="002E1760" w:rsidP="002E1760"/>
    <w:p w14:paraId="6B4EB940" w14:textId="2B1072FC" w:rsidR="002E1760" w:rsidRPr="004648DA" w:rsidRDefault="002E1760" w:rsidP="002E1760">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Pr="004648DA">
        <w:rPr>
          <w:lang w:val="es-ES"/>
        </w:rPr>
        <w:t>4&gt;</w:t>
      </w:r>
    </w:p>
    <w:p w14:paraId="4625BF57" w14:textId="77777777" w:rsidR="002E1760" w:rsidRPr="004648DA" w:rsidRDefault="002E1760" w:rsidP="002E1760">
      <w:pPr>
        <w:rPr>
          <w:lang w:val="es-ES"/>
        </w:rPr>
      </w:pPr>
    </w:p>
    <w:p w14:paraId="312A4672" w14:textId="278AC4CC" w:rsidR="002E1760" w:rsidRPr="00431DA4" w:rsidRDefault="004648DA" w:rsidP="00293D78">
      <w:pPr>
        <w:pStyle w:val="CPQuestions"/>
      </w:pPr>
      <w:r w:rsidRPr="00ED3D8A">
        <w:t>Please describe the scenarios when transactions do not qualify as hedging transactions</w:t>
      </w:r>
      <w:r w:rsidR="00B61CD3">
        <w:t>.</w:t>
      </w:r>
    </w:p>
    <w:p w14:paraId="3DDD5516" w14:textId="44DBAEE4" w:rsidR="00227C1A" w:rsidRPr="006C2D5A" w:rsidRDefault="00227C1A" w:rsidP="00227C1A">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0062022D" w:rsidRPr="006C2D5A">
        <w:rPr>
          <w:lang w:val="es-ES"/>
        </w:rPr>
        <w:t>5</w:t>
      </w:r>
      <w:r w:rsidRPr="006C2D5A">
        <w:rPr>
          <w:lang w:val="es-ES"/>
        </w:rPr>
        <w:t>&gt;</w:t>
      </w:r>
    </w:p>
    <w:p w14:paraId="6F160661" w14:textId="6D3D43F2" w:rsidR="00227C1A" w:rsidRDefault="00227C1A" w:rsidP="00227C1A">
      <w:permStart w:id="6888419" w:edGrp="everyone"/>
      <w:r>
        <w:lastRenderedPageBreak/>
        <w:t>TYPE YOUR TEXT HERE</w:t>
      </w:r>
    </w:p>
    <w:p w14:paraId="62649EF0" w14:textId="0D0BFB84" w:rsidR="002F5120" w:rsidRPr="007E571E" w:rsidRDefault="00AE34D5" w:rsidP="00AE34D5">
      <w:r w:rsidRPr="007E571E">
        <w:t>We refer to our response to Q2 above</w:t>
      </w:r>
      <w:r w:rsidR="00D15981" w:rsidRPr="007E571E">
        <w:t>.</w:t>
      </w:r>
    </w:p>
    <w:p w14:paraId="21D8BC91" w14:textId="3B122CD8" w:rsidR="00492E10" w:rsidRDefault="00492E10" w:rsidP="00AE34D5"/>
    <w:permEnd w:id="6888419"/>
    <w:p w14:paraId="713DC7BD" w14:textId="77777777" w:rsidR="00227C1A" w:rsidRDefault="00227C1A" w:rsidP="00227C1A"/>
    <w:p w14:paraId="3AFFABD4" w14:textId="781CC891" w:rsidR="00227C1A" w:rsidRPr="004648DA" w:rsidRDefault="00227C1A" w:rsidP="00227C1A">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0062022D" w:rsidRPr="004648DA">
        <w:rPr>
          <w:lang w:val="es-ES"/>
        </w:rPr>
        <w:t>5</w:t>
      </w:r>
      <w:r w:rsidRPr="004648DA">
        <w:rPr>
          <w:lang w:val="es-ES"/>
        </w:rPr>
        <w:t>&gt;</w:t>
      </w:r>
    </w:p>
    <w:p w14:paraId="7D6FAFC4" w14:textId="77777777" w:rsidR="002E1760" w:rsidRPr="004648DA" w:rsidRDefault="002E1760" w:rsidP="002E1760">
      <w:pPr>
        <w:rPr>
          <w:lang w:val="es-ES"/>
        </w:rPr>
      </w:pPr>
    </w:p>
    <w:p w14:paraId="40B6E48B" w14:textId="7934202B" w:rsidR="002E1760" w:rsidRPr="00431DA4" w:rsidRDefault="004648DA" w:rsidP="00293D78">
      <w:pPr>
        <w:pStyle w:val="CPQuestions"/>
      </w:pPr>
      <w:r w:rsidRPr="00ED3D8A">
        <w:t>Please describe your views on how the EMIR framework works (also compared to other regimes) for the purpose of the clearing thresholds and the requirements triggered by those? Please provide examples and supporting data</w:t>
      </w:r>
      <w:r w:rsidR="00B61CD3">
        <w:t>.</w:t>
      </w:r>
    </w:p>
    <w:p w14:paraId="436A8987" w14:textId="04174F1E" w:rsidR="0062022D" w:rsidRPr="006C2D5A" w:rsidRDefault="0062022D" w:rsidP="0062022D">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00A263DF" w:rsidRPr="006C2D5A">
        <w:rPr>
          <w:lang w:val="es-ES"/>
        </w:rPr>
        <w:t>6</w:t>
      </w:r>
      <w:r w:rsidRPr="006C2D5A">
        <w:rPr>
          <w:lang w:val="es-ES"/>
        </w:rPr>
        <w:t>&gt;</w:t>
      </w:r>
    </w:p>
    <w:p w14:paraId="285F76DC" w14:textId="3188D136" w:rsidR="000F32E6" w:rsidRPr="006A18AC" w:rsidRDefault="0045778F" w:rsidP="00216FDD">
      <w:pPr>
        <w:spacing w:before="120" w:after="120"/>
        <w:jc w:val="both"/>
        <w:rPr>
          <w:color w:val="00B050"/>
          <w:sz w:val="22"/>
        </w:rPr>
      </w:pPr>
      <w:permStart w:id="548757607" w:edGrp="everyone"/>
      <w:r w:rsidRPr="00756758">
        <w:rPr>
          <w:i/>
          <w:iCs/>
          <w:color w:val="00B050"/>
          <w:sz w:val="22"/>
        </w:rPr>
        <w:t xml:space="preserve"> </w:t>
      </w:r>
    </w:p>
    <w:p w14:paraId="02D527E9" w14:textId="6A0797E7" w:rsidR="00975B77" w:rsidRPr="004F1A0C" w:rsidRDefault="00C073EA" w:rsidP="00975B77">
      <w:pPr>
        <w:spacing w:before="120" w:after="120"/>
        <w:jc w:val="both"/>
        <w:rPr>
          <w:rFonts w:eastAsia="Calibri"/>
          <w:b/>
          <w:bCs/>
          <w:sz w:val="22"/>
          <w:szCs w:val="22"/>
          <w:lang w:val="en-US" w:eastAsia="en-US"/>
        </w:rPr>
      </w:pPr>
      <w:r w:rsidRPr="004F1A0C">
        <w:rPr>
          <w:rFonts w:eastAsia="Calibri"/>
          <w:b/>
          <w:bCs/>
          <w:sz w:val="22"/>
          <w:szCs w:val="22"/>
          <w:lang w:val="en-US" w:eastAsia="en-US"/>
        </w:rPr>
        <w:t>Introduction</w:t>
      </w:r>
      <w:r w:rsidR="00975B77" w:rsidRPr="004F1A0C">
        <w:rPr>
          <w:rFonts w:eastAsia="Calibri"/>
          <w:b/>
          <w:bCs/>
          <w:sz w:val="22"/>
          <w:szCs w:val="22"/>
          <w:lang w:val="en-US" w:eastAsia="en-US"/>
        </w:rPr>
        <w:t xml:space="preserve">: </w:t>
      </w:r>
      <w:r w:rsidR="00975B77" w:rsidRPr="004F1A0C">
        <w:rPr>
          <w:rFonts w:eastAsia="Calibri"/>
          <w:b/>
          <w:bCs/>
          <w:sz w:val="22"/>
          <w:szCs w:val="22"/>
          <w:lang w:eastAsia="en-US"/>
        </w:rPr>
        <w:t xml:space="preserve">Increase of EMIR CCT as quick-fix solution to </w:t>
      </w:r>
      <w:bookmarkStart w:id="11" w:name="_Hlk83129573"/>
      <w:r w:rsidR="00975B77" w:rsidRPr="004F1A0C">
        <w:rPr>
          <w:rFonts w:eastAsia="Calibri"/>
          <w:b/>
          <w:bCs/>
          <w:sz w:val="22"/>
          <w:szCs w:val="22"/>
          <w:lang w:eastAsia="en-US"/>
        </w:rPr>
        <w:t>support the energy transition</w:t>
      </w:r>
      <w:bookmarkEnd w:id="11"/>
      <w:r w:rsidR="00975B77" w:rsidRPr="004F1A0C">
        <w:rPr>
          <w:rFonts w:eastAsia="Calibri"/>
          <w:b/>
          <w:bCs/>
          <w:sz w:val="22"/>
          <w:szCs w:val="22"/>
          <w:lang w:eastAsia="en-US"/>
        </w:rPr>
        <w:t xml:space="preserve"> and improve the EU</w:t>
      </w:r>
      <w:r w:rsidR="004D5054" w:rsidRPr="004F1A0C">
        <w:rPr>
          <w:rFonts w:eastAsia="Calibri"/>
          <w:b/>
          <w:bCs/>
          <w:sz w:val="22"/>
          <w:szCs w:val="22"/>
          <w:lang w:eastAsia="en-US"/>
        </w:rPr>
        <w:t>’s</w:t>
      </w:r>
      <w:r w:rsidR="00975B77" w:rsidRPr="004F1A0C">
        <w:rPr>
          <w:rFonts w:eastAsia="Calibri"/>
          <w:b/>
          <w:bCs/>
          <w:sz w:val="22"/>
          <w:szCs w:val="22"/>
          <w:lang w:eastAsia="en-US"/>
        </w:rPr>
        <w:t xml:space="preserve"> competitiveness</w:t>
      </w:r>
    </w:p>
    <w:p w14:paraId="33719B45" w14:textId="0715D861" w:rsidR="00584691" w:rsidRPr="00146962" w:rsidRDefault="00975B77" w:rsidP="00975B77">
      <w:pPr>
        <w:spacing w:before="120" w:after="120"/>
        <w:jc w:val="both"/>
        <w:rPr>
          <w:rFonts w:eastAsia="Calibri"/>
          <w:b/>
          <w:bCs/>
          <w:sz w:val="22"/>
          <w:szCs w:val="22"/>
          <w:lang w:eastAsia="en-US"/>
        </w:rPr>
      </w:pPr>
      <w:r w:rsidRPr="00146962">
        <w:rPr>
          <w:rFonts w:eastAsia="Calibri"/>
          <w:b/>
          <w:bCs/>
          <w:sz w:val="22"/>
          <w:szCs w:val="22"/>
          <w:lang w:eastAsia="en-US"/>
        </w:rPr>
        <w:t>A substantial increase of the EMIR clearing threshold for commodities (“EMIR CCT”) to a more systemic level comparable with thresholds in 3rd country jurisdictions</w:t>
      </w:r>
      <w:r w:rsidR="003E6D0C" w:rsidRPr="00146962">
        <w:rPr>
          <w:rFonts w:eastAsia="Calibri"/>
          <w:b/>
          <w:bCs/>
          <w:sz w:val="22"/>
          <w:szCs w:val="22"/>
          <w:lang w:eastAsia="en-US"/>
        </w:rPr>
        <w:t xml:space="preserve"> (e.g., </w:t>
      </w:r>
      <w:r w:rsidR="001D363B" w:rsidRPr="00146962">
        <w:rPr>
          <w:rFonts w:eastAsia="Calibri"/>
          <w:b/>
          <w:bCs/>
          <w:sz w:val="22"/>
          <w:szCs w:val="22"/>
          <w:lang w:eastAsia="en-US"/>
        </w:rPr>
        <w:t>such as the USD 8 Billion threshold under the U.S. Dodd-Frank-Act</w:t>
      </w:r>
      <w:r w:rsidR="008C1077" w:rsidRPr="00146962">
        <w:rPr>
          <w:rFonts w:eastAsia="Calibri"/>
          <w:b/>
          <w:bCs/>
          <w:sz w:val="22"/>
          <w:szCs w:val="22"/>
          <w:lang w:eastAsia="en-US"/>
        </w:rPr>
        <w:t>; cf. Section 1</w:t>
      </w:r>
      <w:r w:rsidR="009143F6" w:rsidRPr="00146962">
        <w:rPr>
          <w:rFonts w:eastAsia="Calibri"/>
          <w:b/>
          <w:bCs/>
          <w:sz w:val="22"/>
          <w:szCs w:val="22"/>
          <w:lang w:eastAsia="en-US"/>
        </w:rPr>
        <w:t>a</w:t>
      </w:r>
      <w:r w:rsidR="008C1077" w:rsidRPr="00146962">
        <w:rPr>
          <w:rFonts w:eastAsia="Calibri"/>
          <w:b/>
          <w:bCs/>
          <w:sz w:val="22"/>
          <w:szCs w:val="22"/>
          <w:lang w:eastAsia="en-US"/>
        </w:rPr>
        <w:t xml:space="preserve"> below</w:t>
      </w:r>
      <w:r w:rsidR="003E6D0C" w:rsidRPr="00146962">
        <w:rPr>
          <w:rFonts w:eastAsia="Calibri"/>
          <w:b/>
          <w:bCs/>
          <w:sz w:val="22"/>
          <w:szCs w:val="22"/>
          <w:lang w:eastAsia="en-US"/>
        </w:rPr>
        <w:t>)</w:t>
      </w:r>
      <w:r w:rsidRPr="00146962">
        <w:rPr>
          <w:rFonts w:eastAsia="Calibri"/>
          <w:b/>
          <w:bCs/>
          <w:sz w:val="22"/>
          <w:szCs w:val="22"/>
          <w:lang w:eastAsia="en-US"/>
        </w:rPr>
        <w:t xml:space="preserve"> is urgently needed to facilitate the energy transition and enhance European competitiveness.</w:t>
      </w:r>
    </w:p>
    <w:p w14:paraId="4B7FD9D9" w14:textId="7681D219" w:rsidR="00975B77" w:rsidRPr="007E571E" w:rsidRDefault="00975B77" w:rsidP="00975B77">
      <w:pPr>
        <w:spacing w:before="120" w:after="120"/>
        <w:jc w:val="both"/>
        <w:rPr>
          <w:rFonts w:eastAsia="Calibri"/>
          <w:sz w:val="22"/>
          <w:szCs w:val="22"/>
          <w:lang w:val="en-US" w:eastAsia="en-US"/>
        </w:rPr>
      </w:pPr>
      <w:r w:rsidRPr="007E571E">
        <w:rPr>
          <w:rFonts w:eastAsia="Calibri"/>
          <w:sz w:val="22"/>
          <w:szCs w:val="22"/>
          <w:lang w:eastAsia="en-US"/>
        </w:rPr>
        <w:t xml:space="preserve">Therefore, </w:t>
      </w:r>
      <w:r w:rsidR="007D6715">
        <w:rPr>
          <w:rFonts w:eastAsia="Calibri"/>
          <w:sz w:val="22"/>
          <w:szCs w:val="22"/>
          <w:lang w:eastAsia="en-US"/>
        </w:rPr>
        <w:t xml:space="preserve">we </w:t>
      </w:r>
      <w:r w:rsidRPr="007E571E">
        <w:rPr>
          <w:rFonts w:eastAsia="Calibri"/>
          <w:sz w:val="22"/>
          <w:szCs w:val="22"/>
          <w:lang w:eastAsia="en-US"/>
        </w:rPr>
        <w:t xml:space="preserve">propose to ESMA and EU Commission to increase the EMIR CCT by way of a quick-fix amendment to Article 11 of Regulation (EU) No 149/2013. </w:t>
      </w:r>
      <w:r w:rsidR="00F538D8">
        <w:rPr>
          <w:rFonts w:eastAsia="Calibri"/>
          <w:sz w:val="22"/>
          <w:szCs w:val="22"/>
          <w:lang w:eastAsia="en-US"/>
        </w:rPr>
        <w:t>This</w:t>
      </w:r>
      <w:r w:rsidRPr="007E571E">
        <w:rPr>
          <w:rFonts w:eastAsia="Calibri"/>
          <w:sz w:val="22"/>
          <w:szCs w:val="22"/>
          <w:lang w:eastAsia="en-US"/>
        </w:rPr>
        <w:t xml:space="preserve"> will facilitate the energy transition, </w:t>
      </w:r>
      <w:r w:rsidRPr="007E571E">
        <w:rPr>
          <w:rFonts w:eastAsia="Calibri"/>
          <w:sz w:val="22"/>
          <w:szCs w:val="22"/>
          <w:lang w:val="en-US" w:eastAsia="en-US"/>
        </w:rPr>
        <w:t>enhance European competitiveness,</w:t>
      </w:r>
      <w:r w:rsidRPr="007E571E">
        <w:rPr>
          <w:rFonts w:eastAsia="Calibri"/>
          <w:sz w:val="22"/>
          <w:szCs w:val="22"/>
          <w:lang w:eastAsia="en-US"/>
        </w:rPr>
        <w:t xml:space="preserve"> ease the burden of implementation of EU NFCs </w:t>
      </w:r>
      <w:r w:rsidRPr="007E571E">
        <w:rPr>
          <w:rFonts w:eastAsia="Calibri"/>
          <w:sz w:val="22"/>
          <w:szCs w:val="22"/>
          <w:lang w:val="en-US" w:eastAsia="en-US"/>
        </w:rPr>
        <w:t>and improve market functioning, whilst safeguarding transparent and safe markets</w:t>
      </w:r>
      <w:r w:rsidR="009251B8" w:rsidRPr="007E571E">
        <w:rPr>
          <w:rFonts w:eastAsia="Calibri"/>
          <w:sz w:val="22"/>
          <w:szCs w:val="22"/>
          <w:lang w:val="en-US" w:eastAsia="en-US"/>
        </w:rPr>
        <w:t>.</w:t>
      </w:r>
    </w:p>
    <w:p w14:paraId="5C283AED" w14:textId="182EB8DB" w:rsidR="005F5412" w:rsidRPr="001D4230" w:rsidRDefault="009251B8" w:rsidP="00975B77">
      <w:pPr>
        <w:spacing w:before="120" w:after="120"/>
        <w:jc w:val="both"/>
        <w:rPr>
          <w:rFonts w:eastAsia="Calibri"/>
          <w:sz w:val="22"/>
          <w:szCs w:val="22"/>
          <w:lang w:eastAsia="en-US"/>
        </w:rPr>
      </w:pPr>
      <w:r w:rsidRPr="001D4230">
        <w:rPr>
          <w:rFonts w:eastAsia="Calibri"/>
          <w:sz w:val="22"/>
          <w:szCs w:val="22"/>
          <w:lang w:eastAsia="en-US"/>
        </w:rPr>
        <w:t>It has to be acknowledged that sufficient headroom to offer OTC-transactions and to provide liquidity to third parties is required to enable overall economic growth and stability. This aspect is fully considered under the U.S.-DFA where the applicable</w:t>
      </w:r>
      <w:r w:rsidR="009260C9" w:rsidRPr="001D4230">
        <w:rPr>
          <w:rFonts w:eastAsia="Calibri"/>
          <w:sz w:val="22"/>
          <w:szCs w:val="22"/>
          <w:lang w:eastAsia="en-US"/>
        </w:rPr>
        <w:t xml:space="preserve"> USD 8 Billion</w:t>
      </w:r>
      <w:r w:rsidRPr="001D4230">
        <w:rPr>
          <w:rFonts w:eastAsia="Calibri"/>
          <w:sz w:val="22"/>
          <w:szCs w:val="22"/>
          <w:lang w:eastAsia="en-US"/>
        </w:rPr>
        <w:t xml:space="preserve"> clearing threshold is determined on the basis of how much liquidity is needed to allow commercial end users to manage their risks. This liquidity, however, would dry </w:t>
      </w:r>
      <w:r w:rsidR="004D5054" w:rsidRPr="001D4230">
        <w:rPr>
          <w:rFonts w:eastAsia="Calibri"/>
          <w:sz w:val="22"/>
          <w:szCs w:val="22"/>
          <w:lang w:eastAsia="en-US"/>
        </w:rPr>
        <w:t xml:space="preserve">up </w:t>
      </w:r>
      <w:r w:rsidRPr="001D4230">
        <w:rPr>
          <w:rFonts w:eastAsia="Calibri"/>
          <w:sz w:val="22"/>
          <w:szCs w:val="22"/>
          <w:lang w:eastAsia="en-US"/>
        </w:rPr>
        <w:t xml:space="preserve">if energy market participants such as corporate utilities have to develop their commercial strategy on the basis of not </w:t>
      </w:r>
      <w:r w:rsidR="00152D0A" w:rsidRPr="001D4230">
        <w:rPr>
          <w:rFonts w:eastAsia="Calibri"/>
          <w:sz w:val="22"/>
          <w:szCs w:val="22"/>
          <w:lang w:eastAsia="en-US"/>
        </w:rPr>
        <w:t xml:space="preserve">breaching </w:t>
      </w:r>
      <w:r w:rsidRPr="001D4230">
        <w:rPr>
          <w:rFonts w:eastAsia="Calibri"/>
          <w:sz w:val="22"/>
          <w:szCs w:val="22"/>
          <w:lang w:eastAsia="en-US"/>
        </w:rPr>
        <w:t xml:space="preserve">a </w:t>
      </w:r>
      <w:r w:rsidR="004D5054" w:rsidRPr="001D4230">
        <w:rPr>
          <w:rFonts w:eastAsia="Calibri"/>
          <w:sz w:val="22"/>
          <w:szCs w:val="22"/>
          <w:lang w:eastAsia="en-US"/>
        </w:rPr>
        <w:t xml:space="preserve">very </w:t>
      </w:r>
      <w:r w:rsidRPr="001D4230">
        <w:rPr>
          <w:rFonts w:eastAsia="Calibri"/>
          <w:sz w:val="22"/>
          <w:szCs w:val="22"/>
          <w:lang w:eastAsia="en-US"/>
        </w:rPr>
        <w:t xml:space="preserve">low EMIR CCT. </w:t>
      </w:r>
      <w:r w:rsidR="004D5054" w:rsidRPr="001D4230">
        <w:rPr>
          <w:rFonts w:eastAsia="Calibri"/>
          <w:sz w:val="22"/>
          <w:szCs w:val="22"/>
          <w:lang w:eastAsia="en-US"/>
        </w:rPr>
        <w:t>E</w:t>
      </w:r>
      <w:r w:rsidR="00152D0A" w:rsidRPr="001D4230">
        <w:rPr>
          <w:rFonts w:eastAsia="Calibri"/>
          <w:sz w:val="22"/>
          <w:szCs w:val="22"/>
          <w:lang w:eastAsia="en-US"/>
        </w:rPr>
        <w:t xml:space="preserve">xceeding </w:t>
      </w:r>
      <w:r w:rsidRPr="001D4230">
        <w:rPr>
          <w:rFonts w:eastAsia="Calibri"/>
          <w:sz w:val="22"/>
          <w:szCs w:val="22"/>
          <w:lang w:eastAsia="en-US"/>
        </w:rPr>
        <w:t>this threshold is too burdensome and costly and therefore, limiting the trading activities</w:t>
      </w:r>
      <w:r w:rsidR="00F17B57" w:rsidRPr="001D4230">
        <w:rPr>
          <w:rFonts w:eastAsia="Calibri"/>
          <w:sz w:val="22"/>
          <w:szCs w:val="22"/>
          <w:lang w:eastAsia="en-US"/>
        </w:rPr>
        <w:t>,</w:t>
      </w:r>
      <w:r w:rsidRPr="001D4230">
        <w:rPr>
          <w:rFonts w:eastAsia="Calibri"/>
          <w:sz w:val="22"/>
          <w:szCs w:val="22"/>
          <w:lang w:eastAsia="en-US"/>
        </w:rPr>
        <w:t xml:space="preserve"> to the disadvantage of the market</w:t>
      </w:r>
      <w:r w:rsidR="00F17B57" w:rsidRPr="001D4230">
        <w:rPr>
          <w:rFonts w:eastAsia="Calibri"/>
          <w:sz w:val="22"/>
          <w:szCs w:val="22"/>
          <w:lang w:eastAsia="en-US"/>
        </w:rPr>
        <w:t>,</w:t>
      </w:r>
      <w:r w:rsidRPr="001D4230">
        <w:rPr>
          <w:rFonts w:eastAsia="Calibri"/>
          <w:sz w:val="22"/>
          <w:szCs w:val="22"/>
          <w:lang w:eastAsia="en-US"/>
        </w:rPr>
        <w:t xml:space="preserve"> is</w:t>
      </w:r>
      <w:r w:rsidR="009260C9" w:rsidRPr="001D4230">
        <w:rPr>
          <w:rFonts w:eastAsia="Calibri"/>
          <w:sz w:val="22"/>
          <w:szCs w:val="22"/>
          <w:lang w:eastAsia="en-US"/>
        </w:rPr>
        <w:t xml:space="preserve"> </w:t>
      </w:r>
      <w:r w:rsidRPr="001D4230">
        <w:rPr>
          <w:rFonts w:eastAsia="Calibri"/>
          <w:sz w:val="22"/>
          <w:szCs w:val="22"/>
          <w:lang w:eastAsia="en-US"/>
        </w:rPr>
        <w:t>often the only option</w:t>
      </w:r>
      <w:r w:rsidR="00F17B57" w:rsidRPr="001D4230">
        <w:rPr>
          <w:rFonts w:eastAsia="Calibri"/>
          <w:sz w:val="22"/>
          <w:szCs w:val="22"/>
          <w:lang w:eastAsia="en-US"/>
        </w:rPr>
        <w:t xml:space="preserve"> available</w:t>
      </w:r>
      <w:r w:rsidRPr="001D4230">
        <w:rPr>
          <w:rFonts w:eastAsia="Calibri"/>
          <w:sz w:val="22"/>
          <w:szCs w:val="22"/>
          <w:lang w:eastAsia="en-US"/>
        </w:rPr>
        <w:t xml:space="preserve">. With exactly the same considerations, the U.S. CFTC found it appropriate to determine the threshold by the needs of commercial end users to still find a sufficient number of non-regulated counterparties which, if regulated, would cease such activities and </w:t>
      </w:r>
      <w:r w:rsidR="001D4230" w:rsidRPr="001D4230">
        <w:rPr>
          <w:rFonts w:eastAsia="Calibri"/>
          <w:sz w:val="22"/>
          <w:szCs w:val="22"/>
          <w:lang w:eastAsia="en-US"/>
        </w:rPr>
        <w:t xml:space="preserve">consequently </w:t>
      </w:r>
      <w:r w:rsidR="00F17B57" w:rsidRPr="001D4230">
        <w:rPr>
          <w:rFonts w:eastAsia="Calibri"/>
          <w:sz w:val="22"/>
          <w:szCs w:val="22"/>
          <w:lang w:eastAsia="en-US"/>
        </w:rPr>
        <w:t xml:space="preserve">liquidity, i.e., </w:t>
      </w:r>
      <w:r w:rsidRPr="001D4230">
        <w:rPr>
          <w:rFonts w:eastAsia="Calibri"/>
          <w:sz w:val="22"/>
          <w:szCs w:val="22"/>
          <w:lang w:eastAsia="en-US"/>
        </w:rPr>
        <w:t>offerings</w:t>
      </w:r>
      <w:r w:rsidR="00F17B57" w:rsidRPr="001D4230">
        <w:rPr>
          <w:rFonts w:eastAsia="Calibri"/>
          <w:sz w:val="22"/>
          <w:szCs w:val="22"/>
          <w:lang w:eastAsia="en-US"/>
        </w:rPr>
        <w:t xml:space="preserve"> of OTC hedging transactions,</w:t>
      </w:r>
      <w:r w:rsidRPr="001D4230">
        <w:rPr>
          <w:rFonts w:eastAsia="Calibri"/>
          <w:sz w:val="22"/>
          <w:szCs w:val="22"/>
          <w:lang w:eastAsia="en-US"/>
        </w:rPr>
        <w:t xml:space="preserve"> would </w:t>
      </w:r>
      <w:r w:rsidR="00F17B57" w:rsidRPr="001D4230">
        <w:rPr>
          <w:rFonts w:eastAsia="Calibri"/>
          <w:sz w:val="22"/>
          <w:szCs w:val="22"/>
          <w:lang w:eastAsia="en-US"/>
        </w:rPr>
        <w:t xml:space="preserve">reduce </w:t>
      </w:r>
      <w:r w:rsidRPr="001D4230">
        <w:rPr>
          <w:rFonts w:eastAsia="Calibri"/>
          <w:sz w:val="22"/>
          <w:szCs w:val="22"/>
          <w:lang w:eastAsia="en-US"/>
        </w:rPr>
        <w:t>accordingly.</w:t>
      </w:r>
    </w:p>
    <w:p w14:paraId="455DC350" w14:textId="3853C906" w:rsidR="009251B8" w:rsidRPr="007E571E" w:rsidRDefault="009251B8" w:rsidP="00975B77">
      <w:pPr>
        <w:spacing w:before="120" w:after="120"/>
        <w:jc w:val="both"/>
        <w:rPr>
          <w:rFonts w:eastAsia="Calibri"/>
          <w:sz w:val="22"/>
          <w:szCs w:val="22"/>
          <w:lang w:eastAsia="en-US"/>
        </w:rPr>
      </w:pPr>
      <w:r w:rsidRPr="007E571E">
        <w:rPr>
          <w:rFonts w:eastAsia="Calibri"/>
          <w:sz w:val="22"/>
          <w:szCs w:val="22"/>
          <w:lang w:eastAsia="en-US"/>
        </w:rPr>
        <w:t>This potential development represents a real and urgent threa</w:t>
      </w:r>
      <w:r w:rsidR="00152D0A" w:rsidRPr="007E571E">
        <w:rPr>
          <w:rFonts w:eastAsia="Calibri"/>
          <w:sz w:val="22"/>
          <w:szCs w:val="22"/>
          <w:lang w:eastAsia="en-US"/>
        </w:rPr>
        <w:t>t</w:t>
      </w:r>
      <w:r w:rsidR="005F5412" w:rsidRPr="007E571E">
        <w:rPr>
          <w:rFonts w:eastAsia="Calibri"/>
          <w:sz w:val="22"/>
          <w:szCs w:val="22"/>
          <w:lang w:eastAsia="en-US"/>
        </w:rPr>
        <w:t>:</w:t>
      </w:r>
      <w:r w:rsidRPr="007E571E">
        <w:rPr>
          <w:rFonts w:eastAsia="Calibri"/>
          <w:sz w:val="22"/>
          <w:szCs w:val="22"/>
          <w:lang w:eastAsia="en-US"/>
        </w:rPr>
        <w:t xml:space="preserve"> </w:t>
      </w:r>
      <w:r w:rsidR="005F5412" w:rsidRPr="007E571E">
        <w:rPr>
          <w:rFonts w:eastAsia="Calibri"/>
          <w:sz w:val="22"/>
          <w:szCs w:val="22"/>
          <w:lang w:eastAsia="en-US"/>
        </w:rPr>
        <w:t>T</w:t>
      </w:r>
      <w:r w:rsidRPr="007E571E">
        <w:rPr>
          <w:rFonts w:eastAsia="Calibri"/>
          <w:sz w:val="22"/>
          <w:szCs w:val="22"/>
          <w:lang w:eastAsia="en-US"/>
        </w:rPr>
        <w:t xml:space="preserve">he relatively </w:t>
      </w:r>
      <w:r w:rsidR="00152D0A" w:rsidRPr="007E571E">
        <w:rPr>
          <w:rFonts w:eastAsia="Calibri"/>
          <w:sz w:val="22"/>
          <w:szCs w:val="22"/>
          <w:lang w:eastAsia="en-US"/>
        </w:rPr>
        <w:t xml:space="preserve">small </w:t>
      </w:r>
      <w:r w:rsidRPr="007E571E">
        <w:rPr>
          <w:rFonts w:eastAsia="Calibri"/>
          <w:sz w:val="22"/>
          <w:szCs w:val="22"/>
          <w:lang w:eastAsia="en-US"/>
        </w:rPr>
        <w:t>number of non-financial</w:t>
      </w:r>
      <w:r w:rsidR="00824AA7" w:rsidRPr="007E571E">
        <w:rPr>
          <w:rFonts w:eastAsia="Calibri"/>
          <w:sz w:val="22"/>
          <w:szCs w:val="22"/>
          <w:lang w:eastAsia="en-US"/>
        </w:rPr>
        <w:t xml:space="preserve"> counterparties</w:t>
      </w:r>
      <w:r w:rsidRPr="007E571E">
        <w:rPr>
          <w:rFonts w:eastAsia="Calibri"/>
          <w:sz w:val="22"/>
          <w:szCs w:val="22"/>
          <w:lang w:eastAsia="en-US"/>
        </w:rPr>
        <w:t xml:space="preserve"> above the EMIR CCT (“NFC+s”) </w:t>
      </w:r>
      <w:r w:rsidR="00152D0A" w:rsidRPr="007E571E">
        <w:rPr>
          <w:rFonts w:eastAsia="Calibri"/>
          <w:sz w:val="22"/>
          <w:szCs w:val="22"/>
          <w:lang w:eastAsia="en-US"/>
        </w:rPr>
        <w:t>does not signify</w:t>
      </w:r>
      <w:r w:rsidRPr="007E571E">
        <w:rPr>
          <w:rFonts w:eastAsia="Calibri"/>
          <w:sz w:val="22"/>
          <w:szCs w:val="22"/>
          <w:lang w:eastAsia="en-US"/>
        </w:rPr>
        <w:t xml:space="preserve"> that this threshold is set at a high level</w:t>
      </w:r>
      <w:r w:rsidR="005F5412" w:rsidRPr="007E571E">
        <w:rPr>
          <w:rFonts w:eastAsia="Calibri"/>
          <w:sz w:val="22"/>
          <w:szCs w:val="22"/>
          <w:lang w:eastAsia="en-US"/>
        </w:rPr>
        <w:t>. It</w:t>
      </w:r>
      <w:r w:rsidRPr="007E571E">
        <w:rPr>
          <w:rFonts w:eastAsia="Calibri"/>
          <w:sz w:val="22"/>
          <w:szCs w:val="22"/>
          <w:lang w:eastAsia="en-US"/>
        </w:rPr>
        <w:t xml:space="preserve"> rather reflect</w:t>
      </w:r>
      <w:r w:rsidR="00152D0A" w:rsidRPr="007E571E">
        <w:rPr>
          <w:rFonts w:eastAsia="Calibri"/>
          <w:sz w:val="22"/>
          <w:szCs w:val="22"/>
          <w:lang w:eastAsia="en-US"/>
        </w:rPr>
        <w:t>s</w:t>
      </w:r>
      <w:r w:rsidRPr="007E571E">
        <w:rPr>
          <w:rFonts w:eastAsia="Calibri"/>
          <w:sz w:val="22"/>
          <w:szCs w:val="22"/>
          <w:lang w:eastAsia="en-US"/>
        </w:rPr>
        <w:t xml:space="preserve"> the fact that staying below is the </w:t>
      </w:r>
      <w:r w:rsidR="005F5412" w:rsidRPr="007E571E">
        <w:rPr>
          <w:rFonts w:eastAsia="Calibri"/>
          <w:sz w:val="22"/>
          <w:szCs w:val="22"/>
          <w:lang w:eastAsia="en-US"/>
        </w:rPr>
        <w:t xml:space="preserve">dominant </w:t>
      </w:r>
      <w:r w:rsidRPr="007E571E">
        <w:rPr>
          <w:rFonts w:eastAsia="Calibri"/>
          <w:sz w:val="22"/>
          <w:szCs w:val="22"/>
          <w:lang w:eastAsia="en-US"/>
        </w:rPr>
        <w:t xml:space="preserve">corporate strategy. </w:t>
      </w:r>
      <w:r w:rsidR="005F5412" w:rsidRPr="007E571E">
        <w:rPr>
          <w:rFonts w:eastAsia="Calibri"/>
          <w:sz w:val="22"/>
          <w:szCs w:val="22"/>
          <w:lang w:eastAsia="en-US"/>
        </w:rPr>
        <w:t xml:space="preserve">Therefore, the level at which the EMIR CCT is currently set has a very real and limiting impact on corporate activity. </w:t>
      </w:r>
      <w:r w:rsidRPr="007E571E">
        <w:rPr>
          <w:rFonts w:eastAsia="Calibri"/>
          <w:sz w:val="22"/>
          <w:szCs w:val="22"/>
          <w:lang w:eastAsia="en-US"/>
        </w:rPr>
        <w:t xml:space="preserve">With that, and keeping the threshold at the current level, no additional liquidity from non-financial firms will be provided </w:t>
      </w:r>
      <w:r w:rsidR="00152D0A" w:rsidRPr="007E571E">
        <w:rPr>
          <w:rFonts w:eastAsia="Calibri"/>
          <w:sz w:val="22"/>
          <w:szCs w:val="22"/>
          <w:lang w:eastAsia="en-US"/>
        </w:rPr>
        <w:t xml:space="preserve">because the </w:t>
      </w:r>
      <w:r w:rsidRPr="007E571E">
        <w:rPr>
          <w:rFonts w:eastAsia="Calibri"/>
          <w:sz w:val="22"/>
          <w:szCs w:val="22"/>
          <w:lang w:eastAsia="en-US"/>
        </w:rPr>
        <w:t>costs</w:t>
      </w:r>
      <w:r w:rsidR="00152D0A" w:rsidRPr="007E571E">
        <w:rPr>
          <w:rFonts w:eastAsia="Calibri"/>
          <w:sz w:val="22"/>
          <w:szCs w:val="22"/>
          <w:lang w:eastAsia="en-US"/>
        </w:rPr>
        <w:t xml:space="preserve"> incurred</w:t>
      </w:r>
      <w:r w:rsidRPr="007E571E">
        <w:rPr>
          <w:rFonts w:eastAsia="Calibri"/>
          <w:sz w:val="22"/>
          <w:szCs w:val="22"/>
          <w:lang w:eastAsia="en-US"/>
        </w:rPr>
        <w:t xml:space="preserve"> by </w:t>
      </w:r>
      <w:r w:rsidR="00152D0A" w:rsidRPr="007E571E">
        <w:rPr>
          <w:rFonts w:eastAsia="Calibri"/>
          <w:sz w:val="22"/>
          <w:szCs w:val="22"/>
          <w:lang w:eastAsia="en-US"/>
        </w:rPr>
        <w:t>exceeding</w:t>
      </w:r>
      <w:r w:rsidRPr="007E571E">
        <w:rPr>
          <w:rFonts w:eastAsia="Calibri"/>
          <w:sz w:val="22"/>
          <w:szCs w:val="22"/>
          <w:lang w:eastAsia="en-US"/>
        </w:rPr>
        <w:t xml:space="preserve"> the threshold outweigh any additional income. Given the fact, that such liquidity is needed to foster economic investments</w:t>
      </w:r>
      <w:r w:rsidR="009C01BA">
        <w:rPr>
          <w:rFonts w:eastAsia="Calibri"/>
          <w:color w:val="FF0000"/>
          <w:sz w:val="22"/>
          <w:szCs w:val="22"/>
          <w:lang w:eastAsia="en-US"/>
        </w:rPr>
        <w:t>,</w:t>
      </w:r>
      <w:r w:rsidRPr="007E571E">
        <w:rPr>
          <w:rFonts w:eastAsia="Calibri"/>
          <w:sz w:val="22"/>
          <w:szCs w:val="22"/>
          <w:lang w:eastAsia="en-US"/>
        </w:rPr>
        <w:t xml:space="preserve"> in particular regarding the energy transition, </w:t>
      </w:r>
      <w:r w:rsidR="00824AA7" w:rsidRPr="007E571E">
        <w:rPr>
          <w:rFonts w:eastAsia="Calibri"/>
          <w:sz w:val="22"/>
          <w:szCs w:val="22"/>
          <w:lang w:eastAsia="en-US"/>
        </w:rPr>
        <w:t xml:space="preserve">increasing </w:t>
      </w:r>
      <w:r w:rsidRPr="007E571E">
        <w:rPr>
          <w:rFonts w:eastAsia="Calibri"/>
          <w:sz w:val="22"/>
          <w:szCs w:val="22"/>
          <w:lang w:eastAsia="en-US"/>
        </w:rPr>
        <w:t>the EMIR CCT is the only</w:t>
      </w:r>
      <w:r w:rsidRPr="00F17B57">
        <w:rPr>
          <w:rFonts w:eastAsia="Calibri"/>
          <w:color w:val="FF0000"/>
          <w:sz w:val="22"/>
          <w:szCs w:val="22"/>
          <w:lang w:eastAsia="en-US"/>
        </w:rPr>
        <w:t xml:space="preserve"> </w:t>
      </w:r>
      <w:r w:rsidRPr="007E571E">
        <w:rPr>
          <w:rFonts w:eastAsia="Calibri"/>
          <w:sz w:val="22"/>
          <w:szCs w:val="22"/>
          <w:lang w:eastAsia="en-US"/>
        </w:rPr>
        <w:t>solution for the market.</w:t>
      </w:r>
    </w:p>
    <w:p w14:paraId="7B99D7C1" w14:textId="7F1C6C41" w:rsidR="009E6D9B" w:rsidRPr="007E571E" w:rsidRDefault="009E6D9B" w:rsidP="009E6D9B">
      <w:pPr>
        <w:spacing w:before="120" w:after="120"/>
        <w:jc w:val="both"/>
        <w:rPr>
          <w:rFonts w:eastAsia="Calibri"/>
          <w:sz w:val="22"/>
          <w:szCs w:val="22"/>
          <w:lang w:eastAsia="en-US"/>
        </w:rPr>
      </w:pPr>
      <w:r w:rsidRPr="007E571E">
        <w:rPr>
          <w:rFonts w:eastAsia="Calibri"/>
          <w:sz w:val="22"/>
          <w:szCs w:val="22"/>
          <w:lang w:eastAsia="en-US"/>
        </w:rPr>
        <w:t>The reason that</w:t>
      </w:r>
      <w:r w:rsidR="00152D0A" w:rsidRPr="007E571E">
        <w:rPr>
          <w:rFonts w:eastAsia="Calibri"/>
          <w:sz w:val="22"/>
          <w:szCs w:val="22"/>
          <w:lang w:eastAsia="en-US"/>
        </w:rPr>
        <w:t>, at this stage,</w:t>
      </w:r>
      <w:r w:rsidR="009251B8" w:rsidRPr="007E571E">
        <w:rPr>
          <w:rFonts w:eastAsia="Calibri"/>
          <w:sz w:val="22"/>
          <w:szCs w:val="22"/>
          <w:lang w:eastAsia="en-US"/>
        </w:rPr>
        <w:t xml:space="preserve"> </w:t>
      </w:r>
      <w:r w:rsidR="007D6715">
        <w:rPr>
          <w:rFonts w:eastAsia="Calibri"/>
          <w:sz w:val="22"/>
          <w:szCs w:val="22"/>
          <w:lang w:eastAsia="en-US"/>
        </w:rPr>
        <w:t xml:space="preserve">we </w:t>
      </w:r>
      <w:r w:rsidR="0054562F" w:rsidRPr="007E571E">
        <w:rPr>
          <w:rFonts w:eastAsia="Calibri"/>
          <w:sz w:val="22"/>
          <w:szCs w:val="22"/>
          <w:lang w:eastAsia="en-US"/>
        </w:rPr>
        <w:t>support</w:t>
      </w:r>
      <w:r w:rsidR="009251B8" w:rsidRPr="007E571E">
        <w:rPr>
          <w:rFonts w:eastAsia="Calibri"/>
          <w:sz w:val="22"/>
          <w:szCs w:val="22"/>
          <w:lang w:eastAsia="en-US"/>
        </w:rPr>
        <w:t xml:space="preserve"> not</w:t>
      </w:r>
      <w:r w:rsidR="00152D0A" w:rsidRPr="007E571E">
        <w:rPr>
          <w:rFonts w:eastAsia="Calibri"/>
          <w:sz w:val="22"/>
          <w:szCs w:val="22"/>
          <w:lang w:eastAsia="en-US"/>
        </w:rPr>
        <w:t xml:space="preserve"> conducting</w:t>
      </w:r>
      <w:r w:rsidRPr="007E571E">
        <w:rPr>
          <w:rFonts w:eastAsia="Calibri"/>
          <w:sz w:val="22"/>
          <w:szCs w:val="22"/>
          <w:lang w:eastAsia="en-US"/>
        </w:rPr>
        <w:t xml:space="preserve"> a more fundamental review of the Level 1 EMIR text to address the broader issues of the EMIR CCT</w:t>
      </w:r>
      <w:r w:rsidR="009251B8" w:rsidRPr="007E571E">
        <w:rPr>
          <w:rFonts w:eastAsia="Calibri"/>
          <w:sz w:val="22"/>
          <w:szCs w:val="22"/>
          <w:lang w:eastAsia="en-US"/>
        </w:rPr>
        <w:t xml:space="preserve"> is that it</w:t>
      </w:r>
      <w:r w:rsidRPr="007E571E">
        <w:rPr>
          <w:rFonts w:eastAsia="Calibri"/>
          <w:sz w:val="22"/>
          <w:szCs w:val="22"/>
          <w:lang w:eastAsia="en-US"/>
        </w:rPr>
        <w:t xml:space="preserve"> would come too late</w:t>
      </w:r>
      <w:r w:rsidR="0054562F" w:rsidRPr="007E571E">
        <w:rPr>
          <w:rFonts w:eastAsia="Calibri"/>
          <w:sz w:val="22"/>
          <w:szCs w:val="22"/>
          <w:lang w:eastAsia="en-US"/>
        </w:rPr>
        <w:t>.</w:t>
      </w:r>
      <w:r w:rsidRPr="007E571E">
        <w:rPr>
          <w:rFonts w:eastAsia="Calibri"/>
          <w:sz w:val="22"/>
          <w:szCs w:val="22"/>
          <w:lang w:eastAsia="en-US"/>
        </w:rPr>
        <w:t xml:space="preserve"> </w:t>
      </w:r>
      <w:r w:rsidR="0054562F" w:rsidRPr="007E571E">
        <w:rPr>
          <w:rFonts w:eastAsia="Calibri"/>
          <w:sz w:val="22"/>
          <w:szCs w:val="22"/>
          <w:lang w:eastAsia="en-US"/>
        </w:rPr>
        <w:t>Such</w:t>
      </w:r>
      <w:r w:rsidRPr="007E571E">
        <w:rPr>
          <w:rFonts w:eastAsia="Calibri"/>
          <w:sz w:val="22"/>
          <w:szCs w:val="22"/>
          <w:lang w:eastAsia="en-US"/>
        </w:rPr>
        <w:t xml:space="preserve"> changes – taking account of the given review timeline under EMIR (ESMA report in 2023 and EU Commission report in 2024) – would not be in force and applicable before 2026</w:t>
      </w:r>
      <w:r w:rsidR="00152D0A" w:rsidRPr="007E571E">
        <w:rPr>
          <w:rFonts w:eastAsia="Calibri"/>
          <w:sz w:val="22"/>
          <w:szCs w:val="22"/>
          <w:lang w:eastAsia="en-US"/>
        </w:rPr>
        <w:t xml:space="preserve"> or 20</w:t>
      </w:r>
      <w:r w:rsidRPr="007E571E">
        <w:rPr>
          <w:rFonts w:eastAsia="Calibri"/>
          <w:sz w:val="22"/>
          <w:szCs w:val="22"/>
          <w:lang w:eastAsia="en-US"/>
        </w:rPr>
        <w:t xml:space="preserve">27. We note </w:t>
      </w:r>
      <w:r w:rsidRPr="007E571E">
        <w:rPr>
          <w:rFonts w:eastAsia="Calibri"/>
          <w:sz w:val="22"/>
          <w:szCs w:val="22"/>
          <w:lang w:eastAsia="en-US"/>
        </w:rPr>
        <w:lastRenderedPageBreak/>
        <w:t xml:space="preserve">that the EU Commission’s previous EMIR Refit proposal took 2 years before it entered into force and applied (the EU Commission’s proposal of </w:t>
      </w:r>
      <w:r w:rsidR="00152D0A" w:rsidRPr="007E571E">
        <w:rPr>
          <w:rFonts w:eastAsia="Calibri"/>
          <w:sz w:val="22"/>
          <w:szCs w:val="22"/>
          <w:lang w:eastAsia="en-US"/>
        </w:rPr>
        <w:t xml:space="preserve">04 May </w:t>
      </w:r>
      <w:r w:rsidRPr="007E571E">
        <w:rPr>
          <w:rFonts w:eastAsia="Calibri"/>
          <w:sz w:val="22"/>
          <w:szCs w:val="22"/>
          <w:lang w:eastAsia="en-US"/>
        </w:rPr>
        <w:t xml:space="preserve">2017 was published in the OJ </w:t>
      </w:r>
      <w:r w:rsidR="00732ABA" w:rsidRPr="007E571E">
        <w:rPr>
          <w:rFonts w:eastAsia="Calibri"/>
          <w:sz w:val="22"/>
          <w:szCs w:val="22"/>
          <w:lang w:eastAsia="en-US"/>
        </w:rPr>
        <w:t xml:space="preserve">in </w:t>
      </w:r>
      <w:r w:rsidRPr="007E571E">
        <w:rPr>
          <w:rFonts w:eastAsia="Calibri"/>
          <w:sz w:val="22"/>
          <w:szCs w:val="22"/>
          <w:lang w:eastAsia="en-US"/>
        </w:rPr>
        <w:t>its adopted form on 2</w:t>
      </w:r>
      <w:r w:rsidR="00732ABA" w:rsidRPr="007E571E">
        <w:rPr>
          <w:rFonts w:eastAsia="Calibri"/>
          <w:sz w:val="22"/>
          <w:szCs w:val="22"/>
          <w:lang w:eastAsia="en-US"/>
        </w:rPr>
        <w:t xml:space="preserve">8 May </w:t>
      </w:r>
      <w:r w:rsidRPr="007E571E">
        <w:rPr>
          <w:rFonts w:eastAsia="Calibri"/>
          <w:sz w:val="22"/>
          <w:szCs w:val="22"/>
          <w:lang w:eastAsia="en-US"/>
        </w:rPr>
        <w:t>2019 and applied on 17 June 2019). This would be too late in light of the urgency to implement the EU’s Green Deal and to realise the energy transition by 2030</w:t>
      </w:r>
      <w:r w:rsidR="00976739" w:rsidRPr="007E571E">
        <w:rPr>
          <w:rFonts w:eastAsia="Calibri"/>
          <w:sz w:val="22"/>
          <w:szCs w:val="22"/>
          <w:lang w:eastAsia="en-US"/>
        </w:rPr>
        <w:t xml:space="preserve"> and that</w:t>
      </w:r>
      <w:r w:rsidR="00A609CC" w:rsidRPr="007E571E">
        <w:rPr>
          <w:rFonts w:eastAsia="Calibri"/>
          <w:sz w:val="22"/>
          <w:szCs w:val="22"/>
          <w:lang w:eastAsia="en-US"/>
        </w:rPr>
        <w:t xml:space="preserve"> otherwise</w:t>
      </w:r>
      <w:r w:rsidR="00976739" w:rsidRPr="007E571E">
        <w:rPr>
          <w:rFonts w:eastAsia="Calibri"/>
          <w:sz w:val="22"/>
          <w:szCs w:val="22"/>
          <w:lang w:eastAsia="en-US"/>
        </w:rPr>
        <w:t xml:space="preserve"> the competitive disadvantages</w:t>
      </w:r>
      <w:r w:rsidR="00732ABA" w:rsidRPr="007E571E">
        <w:rPr>
          <w:rFonts w:eastAsia="Calibri"/>
          <w:sz w:val="22"/>
          <w:szCs w:val="22"/>
          <w:lang w:eastAsia="en-US"/>
        </w:rPr>
        <w:t xml:space="preserve"> to</w:t>
      </w:r>
      <w:r w:rsidR="00976739" w:rsidRPr="007E571E">
        <w:rPr>
          <w:rFonts w:eastAsia="Calibri"/>
          <w:sz w:val="22"/>
          <w:szCs w:val="22"/>
          <w:lang w:eastAsia="en-US"/>
        </w:rPr>
        <w:t xml:space="preserve"> EU markets and firms will persist for </w:t>
      </w:r>
      <w:r w:rsidR="00732ABA" w:rsidRPr="007E571E">
        <w:rPr>
          <w:rFonts w:eastAsia="Calibri"/>
          <w:sz w:val="22"/>
          <w:szCs w:val="22"/>
          <w:lang w:eastAsia="en-US"/>
        </w:rPr>
        <w:t xml:space="preserve">a </w:t>
      </w:r>
      <w:r w:rsidR="00976739" w:rsidRPr="007E571E">
        <w:rPr>
          <w:rFonts w:eastAsia="Calibri"/>
          <w:sz w:val="22"/>
          <w:szCs w:val="22"/>
          <w:lang w:eastAsia="en-US"/>
        </w:rPr>
        <w:t>further 4-5 years.</w:t>
      </w:r>
    </w:p>
    <w:p w14:paraId="3A920A9D" w14:textId="4E7749F7" w:rsidR="00756758" w:rsidRPr="007E571E" w:rsidRDefault="00756758" w:rsidP="00216FDD">
      <w:pPr>
        <w:spacing w:before="120" w:after="120"/>
        <w:jc w:val="both"/>
        <w:rPr>
          <w:rFonts w:eastAsia="Calibri"/>
          <w:b/>
          <w:bCs/>
          <w:sz w:val="22"/>
          <w:szCs w:val="22"/>
          <w:lang w:eastAsia="en-US"/>
        </w:rPr>
      </w:pPr>
      <w:r w:rsidRPr="007E571E">
        <w:rPr>
          <w:rFonts w:eastAsia="Calibri"/>
          <w:b/>
          <w:bCs/>
          <w:sz w:val="22"/>
          <w:szCs w:val="22"/>
          <w:lang w:eastAsia="en-US"/>
        </w:rPr>
        <w:t>Structure of this response section</w:t>
      </w:r>
    </w:p>
    <w:p w14:paraId="6F55D662" w14:textId="6AEDA9A5" w:rsidR="0054562F" w:rsidRPr="007E571E" w:rsidRDefault="00976739" w:rsidP="00216FDD">
      <w:pPr>
        <w:spacing w:before="120" w:after="120"/>
        <w:jc w:val="both"/>
        <w:rPr>
          <w:rFonts w:eastAsia="Calibri"/>
          <w:sz w:val="22"/>
          <w:szCs w:val="22"/>
          <w:lang w:eastAsia="en-US"/>
        </w:rPr>
      </w:pPr>
      <w:r w:rsidRPr="007E571E">
        <w:rPr>
          <w:rFonts w:eastAsia="Calibri"/>
          <w:sz w:val="22"/>
          <w:szCs w:val="22"/>
          <w:lang w:eastAsia="en-US"/>
        </w:rPr>
        <w:t>In this context, we explain</w:t>
      </w:r>
      <w:r w:rsidR="005B2EB7" w:rsidRPr="007E571E">
        <w:rPr>
          <w:rFonts w:eastAsia="Calibri"/>
          <w:sz w:val="22"/>
          <w:szCs w:val="22"/>
          <w:lang w:eastAsia="en-US"/>
        </w:rPr>
        <w:t xml:space="preserve"> in the following sections</w:t>
      </w:r>
      <w:r w:rsidR="0054562F" w:rsidRPr="007E571E">
        <w:rPr>
          <w:rFonts w:eastAsia="Calibri"/>
          <w:sz w:val="22"/>
          <w:szCs w:val="22"/>
          <w:lang w:eastAsia="en-US"/>
        </w:rPr>
        <w:t>:</w:t>
      </w:r>
    </w:p>
    <w:p w14:paraId="6615FDA8" w14:textId="66F0FE35" w:rsidR="0054562F" w:rsidRPr="007E571E" w:rsidRDefault="00756758" w:rsidP="0019686D">
      <w:pPr>
        <w:pStyle w:val="ListParagraph"/>
        <w:numPr>
          <w:ilvl w:val="0"/>
          <w:numId w:val="38"/>
        </w:numPr>
        <w:spacing w:before="120" w:after="120"/>
        <w:jc w:val="both"/>
        <w:rPr>
          <w:rFonts w:eastAsia="Calibri"/>
          <w:sz w:val="22"/>
          <w:szCs w:val="22"/>
          <w:lang w:eastAsia="en-US"/>
        </w:rPr>
      </w:pPr>
      <w:r w:rsidRPr="007E571E">
        <w:rPr>
          <w:rFonts w:eastAsia="Calibri"/>
          <w:b/>
          <w:bCs/>
          <w:sz w:val="22"/>
          <w:szCs w:val="22"/>
          <w:lang w:eastAsia="en-US"/>
        </w:rPr>
        <w:t>Section 1</w:t>
      </w:r>
      <w:r w:rsidRPr="007E571E">
        <w:rPr>
          <w:rFonts w:eastAsia="Calibri"/>
          <w:sz w:val="22"/>
          <w:szCs w:val="22"/>
          <w:lang w:eastAsia="en-US"/>
        </w:rPr>
        <w:t xml:space="preserve">: </w:t>
      </w:r>
      <w:r w:rsidR="00976739" w:rsidRPr="007E571E">
        <w:rPr>
          <w:rFonts w:eastAsia="Calibri"/>
          <w:sz w:val="22"/>
          <w:szCs w:val="22"/>
          <w:lang w:eastAsia="en-US"/>
        </w:rPr>
        <w:t xml:space="preserve">the main results of an </w:t>
      </w:r>
      <w:r w:rsidR="00976739" w:rsidRPr="007E571E">
        <w:rPr>
          <w:rFonts w:eastAsia="Calibri"/>
          <w:b/>
          <w:bCs/>
          <w:sz w:val="22"/>
          <w:szCs w:val="22"/>
          <w:lang w:eastAsia="en-US"/>
        </w:rPr>
        <w:t>independent</w:t>
      </w:r>
      <w:r w:rsidRPr="007E571E">
        <w:rPr>
          <w:rFonts w:eastAsia="Calibri"/>
          <w:b/>
          <w:bCs/>
          <w:sz w:val="22"/>
          <w:szCs w:val="22"/>
          <w:lang w:eastAsia="en-US"/>
        </w:rPr>
        <w:t xml:space="preserve"> legal</w:t>
      </w:r>
      <w:r w:rsidR="00976739" w:rsidRPr="007E571E">
        <w:rPr>
          <w:rFonts w:eastAsia="Calibri"/>
          <w:b/>
          <w:bCs/>
          <w:sz w:val="22"/>
          <w:szCs w:val="22"/>
          <w:lang w:eastAsia="en-US"/>
        </w:rPr>
        <w:t xml:space="preserve"> benchmark study</w:t>
      </w:r>
      <w:r w:rsidR="00976739" w:rsidRPr="007E571E">
        <w:rPr>
          <w:rFonts w:eastAsia="Calibri"/>
          <w:sz w:val="22"/>
          <w:szCs w:val="22"/>
          <w:lang w:eastAsia="en-US"/>
        </w:rPr>
        <w:t>, which shows that the EU EMIR regime includes the lowest clearing threshold applicable to the largest set of entities, products and activities.</w:t>
      </w:r>
      <w:r w:rsidR="0054562F" w:rsidRPr="007E571E">
        <w:rPr>
          <w:rFonts w:eastAsia="Calibri"/>
          <w:sz w:val="22"/>
          <w:szCs w:val="22"/>
          <w:lang w:eastAsia="en-US"/>
        </w:rPr>
        <w:t xml:space="preserve"> This has </w:t>
      </w:r>
      <w:r w:rsidR="007148AF" w:rsidRPr="007E571E">
        <w:rPr>
          <w:rFonts w:eastAsia="Calibri"/>
          <w:sz w:val="22"/>
          <w:szCs w:val="22"/>
          <w:lang w:eastAsia="en-US"/>
        </w:rPr>
        <w:t xml:space="preserve">unintended </w:t>
      </w:r>
      <w:r w:rsidR="00A609CC" w:rsidRPr="007E571E">
        <w:rPr>
          <w:rFonts w:eastAsia="Calibri"/>
          <w:sz w:val="22"/>
          <w:szCs w:val="22"/>
          <w:lang w:eastAsia="en-US"/>
        </w:rPr>
        <w:t>material adverse consequences on the energy t</w:t>
      </w:r>
      <w:r w:rsidRPr="007E571E">
        <w:rPr>
          <w:rFonts w:eastAsia="Calibri"/>
          <w:sz w:val="22"/>
          <w:szCs w:val="22"/>
          <w:lang w:eastAsia="en-US"/>
        </w:rPr>
        <w:t>r</w:t>
      </w:r>
      <w:r w:rsidR="00A609CC" w:rsidRPr="007E571E">
        <w:rPr>
          <w:rFonts w:eastAsia="Calibri"/>
          <w:sz w:val="22"/>
          <w:szCs w:val="22"/>
          <w:lang w:eastAsia="en-US"/>
        </w:rPr>
        <w:t>ansition and</w:t>
      </w:r>
      <w:r w:rsidR="00732ABA" w:rsidRPr="007E571E">
        <w:rPr>
          <w:rFonts w:eastAsia="Calibri"/>
          <w:sz w:val="22"/>
          <w:szCs w:val="22"/>
          <w:lang w:eastAsia="en-US"/>
        </w:rPr>
        <w:t xml:space="preserve"> the</w:t>
      </w:r>
      <w:r w:rsidR="00A609CC" w:rsidRPr="007E571E">
        <w:rPr>
          <w:rFonts w:eastAsia="Calibri"/>
          <w:sz w:val="22"/>
          <w:szCs w:val="22"/>
          <w:lang w:eastAsia="en-US"/>
        </w:rPr>
        <w:t xml:space="preserve"> EU’s competitiveness.</w:t>
      </w:r>
    </w:p>
    <w:p w14:paraId="1873B7E7" w14:textId="5F79A1F2" w:rsidR="00C073EA" w:rsidRPr="007E571E" w:rsidRDefault="00756758" w:rsidP="0019686D">
      <w:pPr>
        <w:pStyle w:val="ListParagraph"/>
        <w:numPr>
          <w:ilvl w:val="0"/>
          <w:numId w:val="38"/>
        </w:numPr>
        <w:spacing w:before="120" w:after="120"/>
        <w:jc w:val="both"/>
        <w:rPr>
          <w:rFonts w:eastAsia="Calibri"/>
          <w:sz w:val="22"/>
          <w:szCs w:val="22"/>
          <w:lang w:eastAsia="en-US"/>
        </w:rPr>
      </w:pPr>
      <w:r w:rsidRPr="007E571E">
        <w:rPr>
          <w:rFonts w:eastAsia="Calibri"/>
          <w:b/>
          <w:bCs/>
          <w:sz w:val="22"/>
          <w:szCs w:val="22"/>
          <w:lang w:eastAsia="en-US"/>
        </w:rPr>
        <w:t>Section 2</w:t>
      </w:r>
      <w:r w:rsidRPr="007E571E">
        <w:rPr>
          <w:rFonts w:eastAsia="Calibri"/>
          <w:sz w:val="22"/>
          <w:szCs w:val="22"/>
          <w:lang w:eastAsia="en-US"/>
        </w:rPr>
        <w:t xml:space="preserve">: </w:t>
      </w:r>
      <w:r w:rsidR="00A609CC" w:rsidRPr="007E571E">
        <w:rPr>
          <w:rFonts w:eastAsia="Calibri"/>
          <w:sz w:val="22"/>
          <w:szCs w:val="22"/>
          <w:lang w:eastAsia="en-US"/>
        </w:rPr>
        <w:t xml:space="preserve">the </w:t>
      </w:r>
      <w:r w:rsidR="003C1810" w:rsidRPr="007E571E">
        <w:rPr>
          <w:rFonts w:eastAsia="Calibri"/>
          <w:b/>
          <w:bCs/>
          <w:sz w:val="22"/>
          <w:szCs w:val="22"/>
          <w:lang w:eastAsia="en-US"/>
        </w:rPr>
        <w:t xml:space="preserve">broader </w:t>
      </w:r>
      <w:r w:rsidR="00A609CC" w:rsidRPr="007E571E">
        <w:rPr>
          <w:rFonts w:eastAsia="Calibri"/>
          <w:b/>
          <w:bCs/>
          <w:sz w:val="22"/>
          <w:szCs w:val="22"/>
          <w:lang w:eastAsia="en-US"/>
        </w:rPr>
        <w:t>issues of the</w:t>
      </w:r>
      <w:r w:rsidRPr="007E571E">
        <w:rPr>
          <w:rFonts w:eastAsia="Calibri"/>
          <w:b/>
          <w:bCs/>
          <w:sz w:val="22"/>
          <w:szCs w:val="22"/>
          <w:lang w:eastAsia="en-US"/>
        </w:rPr>
        <w:t xml:space="preserve"> EMIR framework and of the</w:t>
      </w:r>
      <w:r w:rsidR="00A609CC" w:rsidRPr="007E571E">
        <w:rPr>
          <w:rFonts w:eastAsia="Calibri"/>
          <w:b/>
          <w:bCs/>
          <w:sz w:val="22"/>
          <w:szCs w:val="22"/>
          <w:lang w:eastAsia="en-US"/>
        </w:rPr>
        <w:t xml:space="preserve"> </w:t>
      </w:r>
      <w:r w:rsidR="006A5853" w:rsidRPr="007E571E">
        <w:rPr>
          <w:rFonts w:eastAsia="Calibri"/>
          <w:b/>
          <w:bCs/>
          <w:sz w:val="22"/>
          <w:szCs w:val="22"/>
          <w:lang w:eastAsia="en-US"/>
        </w:rPr>
        <w:t>EMIR CCT</w:t>
      </w:r>
      <w:r w:rsidRPr="007E571E">
        <w:rPr>
          <w:rFonts w:eastAsia="Calibri"/>
          <w:b/>
          <w:bCs/>
          <w:sz w:val="22"/>
          <w:szCs w:val="22"/>
          <w:lang w:eastAsia="en-US"/>
        </w:rPr>
        <w:t xml:space="preserve"> calculations</w:t>
      </w:r>
      <w:r w:rsidR="00702CD6" w:rsidRPr="007E571E">
        <w:rPr>
          <w:rFonts w:eastAsia="Calibri"/>
          <w:sz w:val="22"/>
          <w:szCs w:val="22"/>
          <w:lang w:eastAsia="en-US"/>
        </w:rPr>
        <w:t xml:space="preserve"> which </w:t>
      </w:r>
      <w:r w:rsidR="0054562F" w:rsidRPr="007E571E">
        <w:rPr>
          <w:rFonts w:eastAsia="Calibri"/>
          <w:sz w:val="22"/>
          <w:szCs w:val="22"/>
          <w:lang w:eastAsia="en-US"/>
        </w:rPr>
        <w:t xml:space="preserve">specifically NFCs face and </w:t>
      </w:r>
      <w:r w:rsidRPr="007E571E">
        <w:rPr>
          <w:rFonts w:eastAsia="Calibri"/>
          <w:sz w:val="22"/>
          <w:szCs w:val="22"/>
          <w:lang w:eastAsia="en-US"/>
        </w:rPr>
        <w:t xml:space="preserve">which </w:t>
      </w:r>
      <w:r w:rsidR="00702CD6" w:rsidRPr="007E571E">
        <w:rPr>
          <w:rFonts w:eastAsia="Calibri"/>
          <w:sz w:val="22"/>
          <w:szCs w:val="22"/>
          <w:lang w:eastAsia="en-US"/>
        </w:rPr>
        <w:t>emphasis</w:t>
      </w:r>
      <w:r w:rsidR="00732ABA" w:rsidRPr="007E571E">
        <w:rPr>
          <w:rFonts w:eastAsia="Calibri"/>
          <w:sz w:val="22"/>
          <w:szCs w:val="22"/>
          <w:lang w:eastAsia="en-US"/>
        </w:rPr>
        <w:t>e</w:t>
      </w:r>
      <w:r w:rsidR="00702CD6" w:rsidRPr="007E571E">
        <w:rPr>
          <w:rFonts w:eastAsia="Calibri"/>
          <w:sz w:val="22"/>
          <w:szCs w:val="22"/>
          <w:lang w:eastAsia="en-US"/>
        </w:rPr>
        <w:t xml:space="preserve"> the low level of the EMIR CCT</w:t>
      </w:r>
      <w:r w:rsidR="006A5853" w:rsidRPr="007E571E">
        <w:rPr>
          <w:rFonts w:eastAsia="Calibri"/>
          <w:sz w:val="22"/>
          <w:szCs w:val="22"/>
          <w:lang w:eastAsia="en-US"/>
        </w:rPr>
        <w:t>.</w:t>
      </w:r>
      <w:r w:rsidRPr="007E571E">
        <w:rPr>
          <w:rFonts w:eastAsia="Calibri"/>
          <w:sz w:val="22"/>
          <w:szCs w:val="22"/>
          <w:lang w:eastAsia="en-US"/>
        </w:rPr>
        <w:t xml:space="preserve"> In a nutshell, the current EMIR framework and underlying methodologies to calculate the EMIR CCT unduly inflate the gross notional values of OTC derivatives counting against the EMIR CCT</w:t>
      </w:r>
    </w:p>
    <w:p w14:paraId="5B69B1FA" w14:textId="71626BCC" w:rsidR="0045778F" w:rsidRPr="007E571E" w:rsidRDefault="0002664E" w:rsidP="00216FDD">
      <w:pPr>
        <w:spacing w:before="120" w:after="120"/>
        <w:jc w:val="both"/>
        <w:rPr>
          <w:rFonts w:eastAsia="Calibri"/>
          <w:b/>
          <w:bCs/>
          <w:sz w:val="22"/>
          <w:szCs w:val="22"/>
          <w:lang w:val="en-US" w:eastAsia="en-US"/>
        </w:rPr>
      </w:pPr>
      <w:r w:rsidRPr="007E571E">
        <w:rPr>
          <w:rFonts w:eastAsia="Calibri"/>
          <w:b/>
          <w:bCs/>
          <w:sz w:val="22"/>
          <w:szCs w:val="22"/>
          <w:lang w:val="en-US" w:eastAsia="en-US"/>
        </w:rPr>
        <w:t xml:space="preserve">1. </w:t>
      </w:r>
      <w:r w:rsidR="0045778F" w:rsidRPr="007E571E">
        <w:rPr>
          <w:rFonts w:eastAsia="Calibri"/>
          <w:b/>
          <w:bCs/>
          <w:sz w:val="22"/>
          <w:szCs w:val="22"/>
          <w:lang w:val="en-US" w:eastAsia="en-US"/>
        </w:rPr>
        <w:t xml:space="preserve">Independent benchmark study of </w:t>
      </w:r>
      <w:bookmarkStart w:id="12" w:name="_Hlk81563027"/>
      <w:r w:rsidR="0045778F" w:rsidRPr="007E571E">
        <w:rPr>
          <w:rFonts w:eastAsia="Calibri"/>
          <w:b/>
          <w:bCs/>
          <w:sz w:val="22"/>
          <w:szCs w:val="22"/>
          <w:lang w:val="en-US" w:eastAsia="en-US"/>
        </w:rPr>
        <w:t>international standards of OTC derivatives markets regulation</w:t>
      </w:r>
      <w:bookmarkEnd w:id="12"/>
    </w:p>
    <w:p w14:paraId="00DD986B" w14:textId="45272579" w:rsidR="0045778F" w:rsidRPr="007E571E" w:rsidRDefault="007D6715" w:rsidP="00216FDD">
      <w:pPr>
        <w:spacing w:before="120" w:after="120"/>
        <w:jc w:val="both"/>
        <w:rPr>
          <w:rFonts w:eastAsia="Calibri"/>
          <w:sz w:val="22"/>
          <w:szCs w:val="22"/>
          <w:lang w:val="en-US" w:eastAsia="en-US"/>
        </w:rPr>
      </w:pPr>
      <w:r>
        <w:rPr>
          <w:rFonts w:eastAsia="Calibri"/>
          <w:sz w:val="22"/>
          <w:szCs w:val="22"/>
          <w:lang w:val="en-US" w:eastAsia="en-US"/>
        </w:rPr>
        <w:t>We w</w:t>
      </w:r>
      <w:r w:rsidR="00F919C4">
        <w:rPr>
          <w:rFonts w:eastAsia="Calibri"/>
          <w:sz w:val="22"/>
          <w:szCs w:val="22"/>
          <w:lang w:val="en-US" w:eastAsia="en-US"/>
        </w:rPr>
        <w:t xml:space="preserve">ould like to highlight that </w:t>
      </w:r>
      <w:r w:rsidR="0045778F" w:rsidRPr="007E571E">
        <w:rPr>
          <w:rFonts w:eastAsia="Calibri"/>
          <w:sz w:val="22"/>
          <w:szCs w:val="22"/>
          <w:lang w:val="en-US" w:eastAsia="en-US"/>
        </w:rPr>
        <w:t>EFET has commissioned an independent assessment of international approaches to the regulation of OTC energy and commodity derivatives markets</w:t>
      </w:r>
      <w:r w:rsidR="00741BA1" w:rsidRPr="007E571E">
        <w:rPr>
          <w:rFonts w:eastAsia="Calibri"/>
          <w:sz w:val="22"/>
          <w:szCs w:val="22"/>
          <w:lang w:val="en-US" w:eastAsia="en-US"/>
        </w:rPr>
        <w:t xml:space="preserve"> (“Benchmark Study”)</w:t>
      </w:r>
      <w:r w:rsidR="0045778F" w:rsidRPr="007E571E">
        <w:rPr>
          <w:rFonts w:eastAsia="Calibri"/>
          <w:sz w:val="22"/>
          <w:szCs w:val="22"/>
          <w:lang w:val="en-US" w:eastAsia="en-US"/>
        </w:rPr>
        <w:t>. This</w:t>
      </w:r>
      <w:r w:rsidR="00AD7328" w:rsidRPr="007E571E">
        <w:rPr>
          <w:rFonts w:eastAsia="Calibri"/>
          <w:sz w:val="22"/>
          <w:szCs w:val="22"/>
          <w:lang w:val="en-US" w:eastAsia="en-US"/>
        </w:rPr>
        <w:t xml:space="preserve"> attached</w:t>
      </w:r>
      <w:r w:rsidR="0045778F" w:rsidRPr="007E571E">
        <w:rPr>
          <w:rFonts w:eastAsia="Calibri"/>
          <w:sz w:val="22"/>
          <w:szCs w:val="22"/>
          <w:lang w:val="en-US" w:eastAsia="en-US"/>
        </w:rPr>
        <w:t xml:space="preserve"> </w:t>
      </w:r>
      <w:r w:rsidR="00741BA1" w:rsidRPr="007E571E">
        <w:rPr>
          <w:rFonts w:eastAsia="Calibri"/>
          <w:sz w:val="22"/>
          <w:szCs w:val="22"/>
          <w:u w:val="single"/>
          <w:lang w:val="en-US" w:eastAsia="en-US"/>
        </w:rPr>
        <w:t xml:space="preserve">Benchmark Study </w:t>
      </w:r>
      <w:r w:rsidR="00AD7328" w:rsidRPr="007E571E">
        <w:rPr>
          <w:rFonts w:eastAsia="Calibri"/>
          <w:sz w:val="22"/>
          <w:szCs w:val="22"/>
          <w:u w:val="single"/>
          <w:lang w:val="en-US" w:eastAsia="en-US"/>
        </w:rPr>
        <w:t>of 4 October 2021</w:t>
      </w:r>
      <w:r w:rsidR="00AD7328" w:rsidRPr="007E571E">
        <w:rPr>
          <w:rFonts w:eastAsia="Calibri"/>
          <w:sz w:val="22"/>
          <w:szCs w:val="22"/>
          <w:lang w:val="en-US" w:eastAsia="en-US"/>
        </w:rPr>
        <w:t xml:space="preserve"> </w:t>
      </w:r>
      <w:r w:rsidR="0045778F" w:rsidRPr="007E571E">
        <w:rPr>
          <w:rFonts w:eastAsia="Calibri"/>
          <w:sz w:val="22"/>
          <w:szCs w:val="22"/>
          <w:lang w:val="en-US" w:eastAsia="en-US"/>
        </w:rPr>
        <w:t xml:space="preserve">compared the EU EMIR rules with international standards for the clearing and margining obligations of non-financial firms (NFCs). In this context, </w:t>
      </w:r>
      <w:r w:rsidR="00F919C4">
        <w:rPr>
          <w:rFonts w:eastAsia="Calibri"/>
          <w:sz w:val="22"/>
          <w:szCs w:val="22"/>
          <w:lang w:val="en-US" w:eastAsia="en-US"/>
        </w:rPr>
        <w:t>EFET</w:t>
      </w:r>
      <w:r w:rsidR="0045778F" w:rsidRPr="007E571E">
        <w:rPr>
          <w:rFonts w:eastAsia="Calibri"/>
          <w:sz w:val="22"/>
          <w:szCs w:val="22"/>
          <w:lang w:val="en-US" w:eastAsia="en-US"/>
        </w:rPr>
        <w:t xml:space="preserve"> paid particular attention to the fact that under the EU EMIR</w:t>
      </w:r>
      <w:r w:rsidR="00732ABA" w:rsidRPr="007E571E">
        <w:rPr>
          <w:rFonts w:eastAsia="Calibri"/>
          <w:sz w:val="22"/>
          <w:szCs w:val="22"/>
          <w:lang w:val="en-US" w:eastAsia="en-US"/>
        </w:rPr>
        <w:t xml:space="preserve"> rules</w:t>
      </w:r>
      <w:r w:rsidR="0045778F" w:rsidRPr="007E571E">
        <w:rPr>
          <w:rFonts w:eastAsia="Calibri"/>
          <w:sz w:val="22"/>
          <w:szCs w:val="22"/>
          <w:lang w:val="en-US" w:eastAsia="en-US"/>
        </w:rPr>
        <w:t xml:space="preserve"> non-</w:t>
      </w:r>
      <w:bookmarkStart w:id="13" w:name="_Hlk81838131"/>
      <w:r w:rsidR="0045778F" w:rsidRPr="007E571E">
        <w:rPr>
          <w:rFonts w:eastAsia="Calibri"/>
          <w:sz w:val="22"/>
          <w:szCs w:val="22"/>
          <w:lang w:val="en-US" w:eastAsia="en-US"/>
        </w:rPr>
        <w:t xml:space="preserve">financial firms’ whose annual transactions are above a defined EMIR clearing threshold (so-called </w:t>
      </w:r>
      <w:r w:rsidR="0019686D" w:rsidRPr="007E571E">
        <w:rPr>
          <w:rFonts w:eastAsia="Calibri"/>
          <w:sz w:val="22"/>
          <w:szCs w:val="22"/>
          <w:lang w:val="en-US" w:eastAsia="en-US"/>
        </w:rPr>
        <w:t>“</w:t>
      </w:r>
      <w:r w:rsidR="0045778F" w:rsidRPr="007E571E">
        <w:rPr>
          <w:rFonts w:eastAsia="Calibri"/>
          <w:sz w:val="22"/>
          <w:szCs w:val="22"/>
          <w:lang w:val="en-US" w:eastAsia="en-US"/>
        </w:rPr>
        <w:t>NFCs+</w:t>
      </w:r>
      <w:r w:rsidR="0019686D" w:rsidRPr="007E571E">
        <w:rPr>
          <w:rFonts w:eastAsia="Calibri"/>
          <w:sz w:val="22"/>
          <w:szCs w:val="22"/>
          <w:lang w:val="en-US" w:eastAsia="en-US"/>
        </w:rPr>
        <w:t>”</w:t>
      </w:r>
      <w:r w:rsidR="0045778F" w:rsidRPr="007E571E">
        <w:rPr>
          <w:rFonts w:eastAsia="Calibri"/>
          <w:sz w:val="22"/>
          <w:szCs w:val="22"/>
          <w:lang w:val="en-US" w:eastAsia="en-US"/>
        </w:rPr>
        <w:t>) become subject to mandatory central clearing and/or bilateral margining requirements</w:t>
      </w:r>
      <w:bookmarkEnd w:id="13"/>
      <w:r w:rsidR="0045778F" w:rsidRPr="007E571E">
        <w:rPr>
          <w:rFonts w:eastAsia="Calibri"/>
          <w:sz w:val="22"/>
          <w:szCs w:val="22"/>
          <w:lang w:val="en-US" w:eastAsia="en-US"/>
        </w:rPr>
        <w:t xml:space="preserve">. </w:t>
      </w:r>
    </w:p>
    <w:p w14:paraId="502CF71E" w14:textId="78B3B9CE" w:rsidR="0045778F" w:rsidRPr="007E571E" w:rsidRDefault="0045778F" w:rsidP="00216FDD">
      <w:pPr>
        <w:spacing w:before="120" w:after="120"/>
        <w:jc w:val="both"/>
        <w:rPr>
          <w:rFonts w:eastAsia="Calibri"/>
          <w:sz w:val="22"/>
          <w:szCs w:val="22"/>
          <w:lang w:eastAsia="en-US"/>
        </w:rPr>
      </w:pPr>
      <w:r w:rsidRPr="007E571E">
        <w:rPr>
          <w:rFonts w:eastAsia="Calibri"/>
          <w:sz w:val="22"/>
          <w:szCs w:val="22"/>
          <w:lang w:val="en-US" w:eastAsia="en-US"/>
        </w:rPr>
        <w:t xml:space="preserve">The </w:t>
      </w:r>
      <w:r w:rsidR="00AD7328" w:rsidRPr="007E571E">
        <w:rPr>
          <w:rFonts w:eastAsia="Calibri"/>
          <w:sz w:val="22"/>
          <w:szCs w:val="22"/>
          <w:lang w:eastAsia="en-US"/>
        </w:rPr>
        <w:t>Benchmark Study</w:t>
      </w:r>
      <w:r w:rsidRPr="007E571E">
        <w:rPr>
          <w:rFonts w:eastAsia="Calibri"/>
          <w:sz w:val="22"/>
          <w:szCs w:val="22"/>
          <w:lang w:eastAsia="en-US"/>
        </w:rPr>
        <w:t xml:space="preserve"> compares the international treatment of OTC commodity derivative transactions relating to the clearing and margining obligation with a particular focus on non-financial market participants and their regulatory obligations. The aim is to identify the regulatory objectives of OTC-derivatives regulation</w:t>
      </w:r>
      <w:r w:rsidR="00AD7328" w:rsidRPr="007E571E">
        <w:rPr>
          <w:rFonts w:eastAsia="Calibri"/>
          <w:sz w:val="22"/>
          <w:szCs w:val="22"/>
          <w:lang w:eastAsia="en-US"/>
        </w:rPr>
        <w:t>,</w:t>
      </w:r>
      <w:r w:rsidRPr="007E571E">
        <w:rPr>
          <w:rFonts w:eastAsia="Calibri"/>
          <w:sz w:val="22"/>
          <w:szCs w:val="22"/>
          <w:lang w:eastAsia="en-US"/>
        </w:rPr>
        <w:t xml:space="preserve"> to outline the different legal approaches taken to achieve </w:t>
      </w:r>
      <w:r w:rsidR="00732ABA" w:rsidRPr="007E571E">
        <w:rPr>
          <w:rFonts w:eastAsia="Calibri"/>
          <w:sz w:val="22"/>
          <w:szCs w:val="22"/>
          <w:lang w:eastAsia="en-US"/>
        </w:rPr>
        <w:t xml:space="preserve">them </w:t>
      </w:r>
      <w:r w:rsidRPr="007E571E">
        <w:rPr>
          <w:rFonts w:eastAsia="Calibri"/>
          <w:sz w:val="22"/>
          <w:szCs w:val="22"/>
          <w:lang w:eastAsia="en-US"/>
        </w:rPr>
        <w:t>and to determine the regulatory burden associated with these approaches.</w:t>
      </w:r>
      <w:r w:rsidRPr="007E571E">
        <w:rPr>
          <w:rFonts w:eastAsia="Calibri"/>
          <w:sz w:val="22"/>
          <w:szCs w:val="22"/>
          <w:lang w:val="en-US" w:eastAsia="en-US"/>
        </w:rPr>
        <w:t xml:space="preserve"> </w:t>
      </w:r>
      <w:r w:rsidRPr="007E571E">
        <w:rPr>
          <w:rFonts w:eastAsia="Calibri"/>
          <w:sz w:val="22"/>
          <w:szCs w:val="22"/>
          <w:lang w:eastAsia="en-US"/>
        </w:rPr>
        <w:t xml:space="preserve">We considered the </w:t>
      </w:r>
      <w:r w:rsidRPr="007E571E">
        <w:rPr>
          <w:rFonts w:eastAsia="Calibri"/>
          <w:bCs/>
          <w:sz w:val="22"/>
          <w:szCs w:val="22"/>
          <w:lang w:eastAsia="en-US"/>
        </w:rPr>
        <w:t>USA, Australia and Singapore as relevant</w:t>
      </w:r>
      <w:r w:rsidRPr="007E571E">
        <w:rPr>
          <w:rFonts w:eastAsia="Calibri"/>
          <w:sz w:val="22"/>
          <w:szCs w:val="22"/>
          <w:lang w:eastAsia="en-US"/>
        </w:rPr>
        <w:t xml:space="preserve"> competing jurisdictions because they have all satisfactorily implemented the goals of the (2009) G20 summit in Pittsburgh regarding OTC derivatives trading and are comparable markets regarding</w:t>
      </w:r>
      <w:r w:rsidR="003C1810" w:rsidRPr="007E571E">
        <w:rPr>
          <w:rFonts w:eastAsia="Calibri"/>
          <w:sz w:val="22"/>
          <w:szCs w:val="22"/>
          <w:lang w:eastAsia="en-US"/>
        </w:rPr>
        <w:t xml:space="preserve"> either</w:t>
      </w:r>
      <w:r w:rsidRPr="007E571E">
        <w:rPr>
          <w:rFonts w:eastAsia="Calibri"/>
          <w:sz w:val="22"/>
          <w:szCs w:val="22"/>
          <w:lang w:eastAsia="en-US"/>
        </w:rPr>
        <w:t xml:space="preserve"> the size of the underlying market</w:t>
      </w:r>
      <w:r w:rsidRPr="007E571E">
        <w:rPr>
          <w:rFonts w:eastAsia="Calibri"/>
          <w:b/>
          <w:sz w:val="22"/>
          <w:szCs w:val="22"/>
          <w:lang w:eastAsia="en-US"/>
        </w:rPr>
        <w:t xml:space="preserve"> </w:t>
      </w:r>
      <w:r w:rsidRPr="007E571E">
        <w:rPr>
          <w:rFonts w:eastAsia="Calibri"/>
          <w:sz w:val="22"/>
          <w:szCs w:val="22"/>
          <w:lang w:eastAsia="en-US"/>
        </w:rPr>
        <w:t>and</w:t>
      </w:r>
      <w:r w:rsidR="003C1810" w:rsidRPr="007E571E">
        <w:rPr>
          <w:rFonts w:eastAsia="Calibri"/>
          <w:sz w:val="22"/>
          <w:szCs w:val="22"/>
          <w:lang w:eastAsia="en-US"/>
        </w:rPr>
        <w:t>/or</w:t>
      </w:r>
      <w:r w:rsidRPr="007E571E">
        <w:rPr>
          <w:rFonts w:eastAsia="Calibri"/>
          <w:sz w:val="22"/>
          <w:szCs w:val="22"/>
          <w:lang w:eastAsia="en-US"/>
        </w:rPr>
        <w:t xml:space="preserve"> the number and variety of international market participants.</w:t>
      </w:r>
    </w:p>
    <w:p w14:paraId="0749229D" w14:textId="7667793B" w:rsidR="006D1B73" w:rsidRPr="007E571E" w:rsidRDefault="0002664E" w:rsidP="00216FDD">
      <w:pPr>
        <w:spacing w:before="120" w:after="120"/>
        <w:jc w:val="both"/>
        <w:rPr>
          <w:rFonts w:eastAsia="Calibri"/>
          <w:b/>
          <w:bCs/>
          <w:sz w:val="22"/>
          <w:szCs w:val="22"/>
          <w:lang w:eastAsia="en-US"/>
        </w:rPr>
      </w:pPr>
      <w:bookmarkStart w:id="14" w:name="_Hlk82099771"/>
      <w:r w:rsidRPr="007E571E">
        <w:rPr>
          <w:rFonts w:eastAsia="Calibri"/>
          <w:b/>
          <w:bCs/>
          <w:sz w:val="22"/>
          <w:szCs w:val="22"/>
          <w:lang w:eastAsia="en-US"/>
        </w:rPr>
        <w:t xml:space="preserve">a) </w:t>
      </w:r>
      <w:r w:rsidR="006D1B73" w:rsidRPr="007E571E">
        <w:rPr>
          <w:rFonts w:eastAsia="Calibri"/>
          <w:b/>
          <w:bCs/>
          <w:sz w:val="22"/>
          <w:szCs w:val="22"/>
          <w:lang w:eastAsia="en-US"/>
        </w:rPr>
        <w:t xml:space="preserve">EU EMIR rules have the most restrictive approach of all the jurisdictions </w:t>
      </w:r>
      <w:bookmarkEnd w:id="14"/>
      <w:r w:rsidR="006D1B73" w:rsidRPr="007E571E">
        <w:rPr>
          <w:rFonts w:eastAsia="Calibri"/>
          <w:b/>
          <w:bCs/>
          <w:sz w:val="22"/>
          <w:szCs w:val="22"/>
          <w:lang w:eastAsia="en-US"/>
        </w:rPr>
        <w:t>considered</w:t>
      </w:r>
    </w:p>
    <w:p w14:paraId="1BC193C4" w14:textId="77777777" w:rsidR="006D1B73" w:rsidRPr="007E571E" w:rsidRDefault="006D1B73" w:rsidP="00216FDD">
      <w:pPr>
        <w:spacing w:before="120" w:after="120"/>
        <w:jc w:val="both"/>
        <w:rPr>
          <w:rFonts w:eastAsia="Calibri"/>
          <w:sz w:val="22"/>
          <w:szCs w:val="22"/>
          <w:lang w:eastAsia="en-US"/>
        </w:rPr>
      </w:pPr>
      <w:r w:rsidRPr="007E571E">
        <w:rPr>
          <w:rFonts w:eastAsia="Calibri"/>
          <w:sz w:val="22"/>
          <w:szCs w:val="22"/>
          <w:lang w:eastAsia="en-US"/>
        </w:rPr>
        <w:t xml:space="preserve">In general, </w:t>
      </w:r>
      <w:bookmarkStart w:id="15" w:name="_Hlk82188517"/>
      <w:r w:rsidRPr="007E571E">
        <w:rPr>
          <w:rFonts w:eastAsia="Calibri"/>
          <w:sz w:val="22"/>
          <w:szCs w:val="22"/>
          <w:lang w:eastAsia="en-US"/>
        </w:rPr>
        <w:t xml:space="preserve">we adhere to the main aims of EMIR to make derivatives markets more transparent, to mitigate credit risk and to reduce operational risks. </w:t>
      </w:r>
      <w:bookmarkEnd w:id="15"/>
      <w:r w:rsidRPr="007E571E">
        <w:rPr>
          <w:rFonts w:eastAsia="Calibri"/>
          <w:sz w:val="22"/>
          <w:szCs w:val="22"/>
          <w:lang w:eastAsia="en-US"/>
        </w:rPr>
        <w:t>However, as a result of the comparison</w:t>
      </w:r>
      <w:r w:rsidRPr="007E571E">
        <w:rPr>
          <w:rFonts w:eastAsia="Calibri"/>
          <w:sz w:val="22"/>
          <w:szCs w:val="22"/>
          <w:lang w:val="en-US" w:eastAsia="en-US"/>
        </w:rPr>
        <w:t xml:space="preserve"> between</w:t>
      </w:r>
      <w:r w:rsidRPr="007E571E">
        <w:rPr>
          <w:rFonts w:eastAsia="Calibri"/>
          <w:sz w:val="22"/>
          <w:szCs w:val="22"/>
          <w:lang w:eastAsia="en-US"/>
        </w:rPr>
        <w:t xml:space="preserve"> international standards of OTC derivatives markets regulation, we conclude that the </w:t>
      </w:r>
      <w:bookmarkStart w:id="16" w:name="_Hlk79571414"/>
      <w:r w:rsidRPr="007E571E">
        <w:rPr>
          <w:rFonts w:eastAsia="Calibri"/>
          <w:sz w:val="22"/>
          <w:szCs w:val="22"/>
          <w:lang w:eastAsia="en-US"/>
        </w:rPr>
        <w:t xml:space="preserve">approach used by the EU under EMIR is the most restrictive of all approaches. </w:t>
      </w:r>
      <w:bookmarkEnd w:id="16"/>
    </w:p>
    <w:p w14:paraId="6C4E788D" w14:textId="443C6BDF" w:rsidR="006D1B73" w:rsidRPr="00146962" w:rsidRDefault="006D1B73" w:rsidP="00216FDD">
      <w:pPr>
        <w:spacing w:before="120" w:after="120"/>
        <w:jc w:val="both"/>
        <w:rPr>
          <w:rFonts w:eastAsia="Calibri"/>
          <w:b/>
          <w:bCs/>
          <w:sz w:val="22"/>
          <w:szCs w:val="22"/>
          <w:lang w:eastAsia="en-US"/>
        </w:rPr>
      </w:pPr>
      <w:r w:rsidRPr="00146962">
        <w:rPr>
          <w:rFonts w:eastAsia="Calibri"/>
          <w:b/>
          <w:bCs/>
          <w:sz w:val="22"/>
          <w:szCs w:val="22"/>
          <w:lang w:eastAsia="en-US"/>
        </w:rPr>
        <w:t xml:space="preserve">The headline conclusion of the </w:t>
      </w:r>
      <w:r w:rsidR="00FA40BE" w:rsidRPr="00146962">
        <w:rPr>
          <w:rFonts w:eastAsia="Calibri"/>
          <w:b/>
          <w:bCs/>
          <w:sz w:val="22"/>
          <w:szCs w:val="22"/>
          <w:lang w:eastAsia="en-US"/>
        </w:rPr>
        <w:t>B</w:t>
      </w:r>
      <w:r w:rsidR="00FF5459" w:rsidRPr="00146962">
        <w:rPr>
          <w:rFonts w:eastAsia="Calibri"/>
          <w:b/>
          <w:bCs/>
          <w:sz w:val="22"/>
          <w:szCs w:val="22"/>
          <w:lang w:eastAsia="en-US"/>
        </w:rPr>
        <w:t xml:space="preserve">enchmark </w:t>
      </w:r>
      <w:r w:rsidR="00FA40BE" w:rsidRPr="00146962">
        <w:rPr>
          <w:rFonts w:eastAsia="Calibri"/>
          <w:b/>
          <w:bCs/>
          <w:sz w:val="22"/>
          <w:szCs w:val="22"/>
          <w:lang w:eastAsia="en-US"/>
        </w:rPr>
        <w:t>Study</w:t>
      </w:r>
      <w:r w:rsidRPr="00146962">
        <w:rPr>
          <w:rFonts w:eastAsia="Calibri"/>
          <w:b/>
          <w:bCs/>
          <w:sz w:val="22"/>
          <w:szCs w:val="22"/>
          <w:lang w:eastAsia="en-US"/>
        </w:rPr>
        <w:t xml:space="preserve"> is that the EU EMIR regime includes the lowest clearing threshold </w:t>
      </w:r>
      <w:bookmarkStart w:id="17" w:name="_Hlk82005079"/>
      <w:r w:rsidRPr="00146962">
        <w:rPr>
          <w:rFonts w:eastAsia="Calibri"/>
          <w:b/>
          <w:bCs/>
          <w:sz w:val="22"/>
          <w:szCs w:val="22"/>
          <w:lang w:eastAsia="en-US"/>
        </w:rPr>
        <w:t>applicable to the largest set of entities, products and activities</w:t>
      </w:r>
      <w:bookmarkEnd w:id="17"/>
      <w:r w:rsidRPr="00146962">
        <w:rPr>
          <w:rFonts w:eastAsia="Calibri"/>
          <w:b/>
          <w:bCs/>
          <w:sz w:val="22"/>
          <w:szCs w:val="22"/>
          <w:lang w:eastAsia="en-US"/>
        </w:rPr>
        <w:t>:</w:t>
      </w:r>
    </w:p>
    <w:p w14:paraId="1973BBD3" w14:textId="03F2E02A" w:rsidR="006D1B73" w:rsidRPr="007E571E" w:rsidRDefault="006D1B73" w:rsidP="006F2628">
      <w:pPr>
        <w:numPr>
          <w:ilvl w:val="0"/>
          <w:numId w:val="46"/>
        </w:numPr>
        <w:spacing w:before="120" w:after="120"/>
        <w:jc w:val="both"/>
        <w:rPr>
          <w:rFonts w:eastAsia="Calibri"/>
          <w:sz w:val="22"/>
          <w:szCs w:val="22"/>
          <w:lang w:eastAsia="en-US"/>
        </w:rPr>
      </w:pPr>
      <w:r w:rsidRPr="007E571E">
        <w:rPr>
          <w:rFonts w:eastAsia="Calibri"/>
          <w:sz w:val="22"/>
          <w:szCs w:val="22"/>
          <w:lang w:eastAsia="en-US"/>
        </w:rPr>
        <w:t>Only the EU applies its regime to all trading activities around the globe without restriction, i.e.</w:t>
      </w:r>
      <w:r w:rsidR="007E571E" w:rsidRPr="007E571E">
        <w:rPr>
          <w:rFonts w:eastAsia="Calibri"/>
          <w:sz w:val="22"/>
          <w:szCs w:val="22"/>
          <w:lang w:eastAsia="en-US"/>
        </w:rPr>
        <w:t>,</w:t>
      </w:r>
      <w:r w:rsidRPr="007E571E">
        <w:rPr>
          <w:rFonts w:eastAsia="Calibri"/>
          <w:sz w:val="22"/>
          <w:szCs w:val="22"/>
          <w:lang w:eastAsia="en-US"/>
        </w:rPr>
        <w:t xml:space="preserve"> all world-wide energy and commodity derivatives activities count against EMIR</w:t>
      </w:r>
      <w:r w:rsidR="00732ABA" w:rsidRPr="007E571E">
        <w:rPr>
          <w:rFonts w:eastAsia="Calibri"/>
          <w:sz w:val="22"/>
          <w:szCs w:val="22"/>
          <w:lang w:eastAsia="en-US"/>
        </w:rPr>
        <w:t>’s</w:t>
      </w:r>
      <w:r w:rsidRPr="007E571E">
        <w:rPr>
          <w:rFonts w:eastAsia="Calibri"/>
          <w:sz w:val="22"/>
          <w:szCs w:val="22"/>
          <w:lang w:eastAsia="en-US"/>
        </w:rPr>
        <w:t xml:space="preserve"> clearing threshold, even if</w:t>
      </w:r>
      <w:r w:rsidR="00732ABA" w:rsidRPr="007E571E">
        <w:rPr>
          <w:rFonts w:eastAsia="Calibri"/>
          <w:sz w:val="22"/>
          <w:szCs w:val="22"/>
          <w:lang w:eastAsia="en-US"/>
        </w:rPr>
        <w:t xml:space="preserve"> there is</w:t>
      </w:r>
      <w:r w:rsidRPr="007E571E">
        <w:rPr>
          <w:rFonts w:eastAsia="Calibri"/>
          <w:sz w:val="22"/>
          <w:szCs w:val="22"/>
          <w:lang w:eastAsia="en-US"/>
        </w:rPr>
        <w:t xml:space="preserve"> no EU-product, EU-venue or EU-entity involved;</w:t>
      </w:r>
    </w:p>
    <w:p w14:paraId="07F95836" w14:textId="4604F25C" w:rsidR="006D1B73" w:rsidRPr="007E571E" w:rsidRDefault="006D1B73" w:rsidP="006F2628">
      <w:pPr>
        <w:numPr>
          <w:ilvl w:val="0"/>
          <w:numId w:val="46"/>
        </w:numPr>
        <w:spacing w:before="120" w:after="120"/>
        <w:jc w:val="both"/>
        <w:rPr>
          <w:rFonts w:eastAsia="Calibri"/>
          <w:sz w:val="22"/>
          <w:szCs w:val="22"/>
          <w:lang w:eastAsia="en-US"/>
        </w:rPr>
      </w:pPr>
      <w:r w:rsidRPr="007E571E">
        <w:rPr>
          <w:rFonts w:eastAsia="Calibri"/>
          <w:sz w:val="22"/>
          <w:szCs w:val="22"/>
          <w:lang w:eastAsia="en-US"/>
        </w:rPr>
        <w:lastRenderedPageBreak/>
        <w:t xml:space="preserve">Only the EU includes any centrally cleared OTC derivatives as well as </w:t>
      </w:r>
      <w:r w:rsidR="00893E57" w:rsidRPr="007E571E">
        <w:rPr>
          <w:rFonts w:eastAsia="Calibri"/>
          <w:sz w:val="22"/>
          <w:szCs w:val="22"/>
          <w:lang w:eastAsia="en-US"/>
        </w:rPr>
        <w:t xml:space="preserve">some </w:t>
      </w:r>
      <w:r w:rsidRPr="007E571E">
        <w:rPr>
          <w:rFonts w:eastAsia="Calibri"/>
          <w:sz w:val="22"/>
          <w:szCs w:val="22"/>
          <w:lang w:eastAsia="en-US"/>
        </w:rPr>
        <w:t>physically settled exchange traded derivatives into the threshold calculation;</w:t>
      </w:r>
    </w:p>
    <w:p w14:paraId="03B9B8D5" w14:textId="1B624B89" w:rsidR="006D1B73" w:rsidRPr="007E571E" w:rsidRDefault="006D1B73" w:rsidP="006F2628">
      <w:pPr>
        <w:numPr>
          <w:ilvl w:val="0"/>
          <w:numId w:val="46"/>
        </w:numPr>
        <w:spacing w:before="120" w:after="120"/>
        <w:jc w:val="both"/>
        <w:rPr>
          <w:rFonts w:eastAsia="Calibri"/>
          <w:sz w:val="22"/>
          <w:szCs w:val="22"/>
          <w:lang w:eastAsia="en-US"/>
        </w:rPr>
      </w:pPr>
      <w:r w:rsidRPr="007E571E">
        <w:rPr>
          <w:rFonts w:eastAsia="Calibri"/>
          <w:sz w:val="22"/>
          <w:szCs w:val="22"/>
          <w:lang w:eastAsia="en-US"/>
        </w:rPr>
        <w:t>Several jurisdictions, including Australia and Singapore, limit the application of OTC-clearing regulations solely to financial institutions and, consequently, non-financial market participants are not limited to trade</w:t>
      </w:r>
      <w:r w:rsidR="00732ABA" w:rsidRPr="007E571E">
        <w:rPr>
          <w:rFonts w:eastAsia="Calibri"/>
          <w:sz w:val="22"/>
          <w:szCs w:val="22"/>
          <w:lang w:eastAsia="en-US"/>
        </w:rPr>
        <w:t xml:space="preserve"> on</w:t>
      </w:r>
      <w:r w:rsidRPr="007E571E">
        <w:rPr>
          <w:rFonts w:eastAsia="Calibri"/>
          <w:sz w:val="22"/>
          <w:szCs w:val="22"/>
          <w:lang w:eastAsia="en-US"/>
        </w:rPr>
        <w:t xml:space="preserve"> OTC markets as they are not subject to any clearing threshold test (hence, there is no hedging exemption for non-financial firms either); and</w:t>
      </w:r>
    </w:p>
    <w:p w14:paraId="06F4731D" w14:textId="77777777" w:rsidR="006D1B73" w:rsidRPr="007E571E" w:rsidRDefault="006D1B73" w:rsidP="006F2628">
      <w:pPr>
        <w:numPr>
          <w:ilvl w:val="0"/>
          <w:numId w:val="46"/>
        </w:numPr>
        <w:spacing w:before="120" w:after="120"/>
        <w:jc w:val="both"/>
        <w:rPr>
          <w:rFonts w:eastAsia="Calibri"/>
          <w:sz w:val="22"/>
          <w:szCs w:val="22"/>
          <w:lang w:eastAsia="en-US"/>
        </w:rPr>
      </w:pPr>
      <w:r w:rsidRPr="007E571E">
        <w:rPr>
          <w:rFonts w:eastAsia="Calibri"/>
          <w:sz w:val="22"/>
          <w:szCs w:val="22"/>
          <w:lang w:eastAsia="en-US"/>
        </w:rPr>
        <w:t>Those jurisdictions which include non-financial market participants, including the U.S. and the EU, offer privileges for hedging transactions which are not considered for the clearing threshold. However, the definition of eligible commercial risks for hedging under EU EMIR is rather restrictive and the privilege correspondingly narrow.</w:t>
      </w:r>
    </w:p>
    <w:p w14:paraId="07A45525" w14:textId="10BE6B2C" w:rsidR="006D1B73" w:rsidRPr="007E571E" w:rsidRDefault="006D1B73" w:rsidP="00216FDD">
      <w:pPr>
        <w:spacing w:before="120" w:after="120"/>
        <w:jc w:val="both"/>
        <w:rPr>
          <w:rFonts w:cs="Calibri"/>
          <w:sz w:val="22"/>
          <w:szCs w:val="22"/>
          <w:shd w:val="clear" w:color="auto" w:fill="FFFFFF"/>
        </w:rPr>
      </w:pPr>
      <w:r w:rsidRPr="007E571E">
        <w:rPr>
          <w:rFonts w:cs="Calibri"/>
          <w:sz w:val="22"/>
          <w:szCs w:val="22"/>
          <w:shd w:val="clear" w:color="auto" w:fill="FFFFFF"/>
        </w:rPr>
        <w:t xml:space="preserve">Please note that the above-mentioned findings are explained in more </w:t>
      </w:r>
      <w:r w:rsidR="00732ABA" w:rsidRPr="007E571E">
        <w:rPr>
          <w:rFonts w:cs="Calibri"/>
          <w:sz w:val="22"/>
          <w:szCs w:val="22"/>
          <w:shd w:val="clear" w:color="auto" w:fill="FFFFFF"/>
        </w:rPr>
        <w:t xml:space="preserve">depth </w:t>
      </w:r>
      <w:r w:rsidRPr="007E571E">
        <w:rPr>
          <w:rFonts w:cs="Calibri"/>
          <w:sz w:val="22"/>
          <w:szCs w:val="22"/>
          <w:shd w:val="clear" w:color="auto" w:fill="FFFFFF"/>
        </w:rPr>
        <w:t xml:space="preserve">in the attached </w:t>
      </w:r>
      <w:r w:rsidRPr="007E571E">
        <w:rPr>
          <w:rFonts w:cs="Calibri"/>
          <w:sz w:val="22"/>
          <w:szCs w:val="22"/>
          <w:u w:val="single"/>
          <w:shd w:val="clear" w:color="auto" w:fill="FFFFFF"/>
        </w:rPr>
        <w:t>Benchmark Study of 4 October 2021</w:t>
      </w:r>
      <w:r w:rsidRPr="007E571E">
        <w:rPr>
          <w:rFonts w:cs="Calibri"/>
          <w:sz w:val="22"/>
          <w:szCs w:val="22"/>
          <w:shd w:val="clear" w:color="auto" w:fill="FFFFFF"/>
        </w:rPr>
        <w:t>. To explain the above-mentioned finding</w:t>
      </w:r>
      <w:r w:rsidR="000A0E55" w:rsidRPr="007E571E">
        <w:rPr>
          <w:rFonts w:cs="Calibri"/>
          <w:sz w:val="22"/>
          <w:szCs w:val="22"/>
          <w:shd w:val="clear" w:color="auto" w:fill="FFFFFF"/>
        </w:rPr>
        <w:t>s</w:t>
      </w:r>
      <w:r w:rsidRPr="007E571E">
        <w:rPr>
          <w:rFonts w:cs="Calibri"/>
          <w:sz w:val="22"/>
          <w:szCs w:val="22"/>
          <w:shd w:val="clear" w:color="auto" w:fill="FFFFFF"/>
        </w:rPr>
        <w:t xml:space="preserve"> in more detail, we have copied </w:t>
      </w:r>
      <w:r w:rsidR="00FF5459" w:rsidRPr="007E571E">
        <w:rPr>
          <w:rFonts w:cs="Calibri"/>
          <w:sz w:val="22"/>
          <w:szCs w:val="22"/>
          <w:shd w:val="clear" w:color="auto" w:fill="FFFFFF"/>
        </w:rPr>
        <w:t>an overview of this study into the section</w:t>
      </w:r>
      <w:r w:rsidR="00D94998" w:rsidRPr="007E571E">
        <w:rPr>
          <w:rFonts w:cs="Calibri"/>
          <w:sz w:val="22"/>
          <w:szCs w:val="22"/>
          <w:shd w:val="clear" w:color="auto" w:fill="FFFFFF"/>
        </w:rPr>
        <w:t xml:space="preserve"> below</w:t>
      </w:r>
      <w:r w:rsidR="00FF5459" w:rsidRPr="007E571E">
        <w:rPr>
          <w:rFonts w:cs="Calibri"/>
          <w:sz w:val="22"/>
          <w:szCs w:val="22"/>
          <w:shd w:val="clear" w:color="auto" w:fill="FFFFFF"/>
        </w:rPr>
        <w:t xml:space="preserve"> </w:t>
      </w:r>
      <w:r w:rsidR="00FF5459" w:rsidRPr="007E571E">
        <w:rPr>
          <w:rFonts w:cs="Calibri"/>
          <w:b/>
          <w:bCs/>
          <w:sz w:val="22"/>
          <w:szCs w:val="22"/>
          <w:shd w:val="clear" w:color="auto" w:fill="FFFFFF"/>
        </w:rPr>
        <w:t>“</w:t>
      </w:r>
      <w:r w:rsidR="00D94998" w:rsidRPr="007E571E">
        <w:rPr>
          <w:rFonts w:cs="Calibri"/>
          <w:b/>
          <w:bCs/>
          <w:sz w:val="22"/>
          <w:szCs w:val="22"/>
          <w:shd w:val="clear" w:color="auto" w:fill="FFFFFF"/>
        </w:rPr>
        <w:t>Benchmark Study: Table</w:t>
      </w:r>
      <w:r w:rsidR="00FF5459" w:rsidRPr="007E571E">
        <w:rPr>
          <w:rFonts w:cs="Calibri"/>
          <w:b/>
          <w:bCs/>
          <w:sz w:val="22"/>
          <w:szCs w:val="22"/>
          <w:shd w:val="clear" w:color="auto" w:fill="FFFFFF"/>
        </w:rPr>
        <w:t xml:space="preserve"> commodity trading and the clearing obligation (global)”</w:t>
      </w:r>
      <w:r w:rsidRPr="007E571E">
        <w:rPr>
          <w:rFonts w:cs="Calibri"/>
          <w:b/>
          <w:bCs/>
          <w:sz w:val="22"/>
          <w:szCs w:val="22"/>
          <w:shd w:val="clear" w:color="auto" w:fill="FFFFFF"/>
        </w:rPr>
        <w:t>.</w:t>
      </w:r>
    </w:p>
    <w:p w14:paraId="75C6ED00" w14:textId="675CDFC9" w:rsidR="006D1B73" w:rsidRPr="007E571E" w:rsidRDefault="006D1B73" w:rsidP="00216FDD">
      <w:pPr>
        <w:spacing w:before="120" w:after="120"/>
        <w:jc w:val="both"/>
        <w:rPr>
          <w:rFonts w:cs="Calibri"/>
          <w:sz w:val="22"/>
          <w:lang w:val="en-US"/>
        </w:rPr>
      </w:pPr>
      <w:r w:rsidRPr="007E571E">
        <w:rPr>
          <w:rFonts w:cs="Calibri"/>
          <w:sz w:val="22"/>
          <w:szCs w:val="22"/>
          <w:shd w:val="clear" w:color="auto" w:fill="FFFFFF"/>
        </w:rPr>
        <w:t>Here we want to highlight that this study</w:t>
      </w:r>
      <w:r w:rsidRPr="007E571E">
        <w:rPr>
          <w:rFonts w:cs="Calibri"/>
          <w:sz w:val="22"/>
          <w:szCs w:val="22"/>
          <w:shd w:val="clear" w:color="auto" w:fill="FFFFFF"/>
          <w:lang w:val="en-US"/>
        </w:rPr>
        <w:t xml:space="preserve"> also finds that the EU offers a commodity derivative clearing threshold of </w:t>
      </w:r>
      <w:r w:rsidRPr="007E571E">
        <w:rPr>
          <w:rFonts w:cs="Calibri"/>
          <w:b/>
          <w:bCs/>
          <w:sz w:val="22"/>
          <w:szCs w:val="22"/>
          <w:lang w:val="en-US"/>
        </w:rPr>
        <w:t>3 bn EUR</w:t>
      </w:r>
      <w:r w:rsidRPr="007E571E">
        <w:rPr>
          <w:rFonts w:cs="Calibri"/>
          <w:sz w:val="22"/>
          <w:szCs w:val="22"/>
          <w:shd w:val="clear" w:color="auto" w:fill="FFFFFF"/>
          <w:lang w:val="en-US"/>
        </w:rPr>
        <w:t> per group</w:t>
      </w:r>
      <w:r w:rsidR="00A73256" w:rsidRPr="007E571E">
        <w:rPr>
          <w:rFonts w:cs="Calibri"/>
          <w:sz w:val="22"/>
          <w:szCs w:val="22"/>
          <w:shd w:val="clear" w:color="auto" w:fill="FFFFFF"/>
          <w:lang w:val="en-US"/>
        </w:rPr>
        <w:t xml:space="preserve"> (“EMIR CCT”)</w:t>
      </w:r>
      <w:r w:rsidRPr="007E571E">
        <w:rPr>
          <w:rFonts w:cs="Calibri"/>
          <w:sz w:val="22"/>
          <w:szCs w:val="22"/>
          <w:shd w:val="clear" w:color="auto" w:fill="FFFFFF"/>
          <w:lang w:val="en-US"/>
        </w:rPr>
        <w:t xml:space="preserve"> against </w:t>
      </w:r>
      <w:r w:rsidRPr="007E571E">
        <w:rPr>
          <w:rFonts w:cs="Calibri"/>
          <w:b/>
          <w:bCs/>
          <w:sz w:val="22"/>
          <w:szCs w:val="22"/>
          <w:lang w:val="en-US"/>
        </w:rPr>
        <w:t>8 bn USD</w:t>
      </w:r>
      <w:r w:rsidRPr="007E571E">
        <w:rPr>
          <w:rFonts w:cs="Calibri"/>
          <w:sz w:val="22"/>
          <w:szCs w:val="22"/>
          <w:shd w:val="clear" w:color="auto" w:fill="FFFFFF"/>
          <w:lang w:val="en-US"/>
        </w:rPr>
        <w:t> per group in the US, </w:t>
      </w:r>
      <w:r w:rsidRPr="007E571E">
        <w:rPr>
          <w:rFonts w:cs="Calibri"/>
          <w:b/>
          <w:bCs/>
          <w:sz w:val="22"/>
          <w:szCs w:val="22"/>
          <w:lang w:val="en-US"/>
        </w:rPr>
        <w:t>20 bn SGD</w:t>
      </w:r>
      <w:r w:rsidRPr="007E571E">
        <w:rPr>
          <w:rFonts w:cs="Calibri"/>
          <w:sz w:val="22"/>
          <w:szCs w:val="22"/>
          <w:shd w:val="clear" w:color="auto" w:fill="FFFFFF"/>
          <w:lang w:val="en-US"/>
        </w:rPr>
        <w:t> per entity in Singapore and </w:t>
      </w:r>
      <w:r w:rsidRPr="007E571E">
        <w:rPr>
          <w:rFonts w:cs="Calibri"/>
          <w:b/>
          <w:bCs/>
          <w:sz w:val="22"/>
          <w:szCs w:val="22"/>
          <w:lang w:val="en-US"/>
        </w:rPr>
        <w:t>100 bn AUD</w:t>
      </w:r>
      <w:r w:rsidRPr="007E571E">
        <w:rPr>
          <w:rFonts w:cs="Calibri"/>
          <w:sz w:val="22"/>
          <w:szCs w:val="22"/>
          <w:shd w:val="clear" w:color="auto" w:fill="FFFFFF"/>
          <w:lang w:val="en-US"/>
        </w:rPr>
        <w:t xml:space="preserve"> per </w:t>
      </w:r>
      <w:r w:rsidRPr="007E571E">
        <w:rPr>
          <w:rFonts w:eastAsia="Calibri" w:cs="Calibri"/>
          <w:sz w:val="22"/>
          <w:szCs w:val="22"/>
          <w:lang w:eastAsia="en-US"/>
        </w:rPr>
        <w:t>entity</w:t>
      </w:r>
      <w:r w:rsidRPr="007E571E">
        <w:rPr>
          <w:rFonts w:cs="Calibri"/>
          <w:sz w:val="22"/>
          <w:szCs w:val="22"/>
          <w:shd w:val="clear" w:color="auto" w:fill="FFFFFF"/>
          <w:lang w:val="en-US"/>
        </w:rPr>
        <w:t xml:space="preserve"> in Australia (see table below).</w:t>
      </w:r>
      <w:r w:rsidRPr="007E571E">
        <w:rPr>
          <w:rFonts w:eastAsia="Calibri"/>
          <w:sz w:val="22"/>
          <w:szCs w:val="22"/>
          <w:lang w:eastAsia="en-US"/>
        </w:rPr>
        <w:t xml:space="preserve"> </w:t>
      </w:r>
    </w:p>
    <w:p w14:paraId="6B7F205B" w14:textId="77777777" w:rsidR="006D1B73" w:rsidRPr="006D1B73" w:rsidRDefault="006D1B73" w:rsidP="00216FDD">
      <w:pPr>
        <w:spacing w:before="120" w:after="120"/>
        <w:jc w:val="both"/>
        <w:rPr>
          <w:rFonts w:eastAsia="Calibri"/>
          <w:sz w:val="22"/>
          <w:szCs w:val="22"/>
          <w:lang w:eastAsia="en-US"/>
        </w:rPr>
      </w:pPr>
      <w:r w:rsidRPr="006D1B73">
        <w:rPr>
          <w:rFonts w:eastAsia="Calibri"/>
          <w:noProof/>
          <w:sz w:val="22"/>
          <w:szCs w:val="22"/>
          <w:lang w:val="de-DE"/>
        </w:rPr>
        <w:drawing>
          <wp:inline distT="0" distB="0" distL="0" distR="0" wp14:anchorId="75F7BCBE" wp14:editId="3C10BC4F">
            <wp:extent cx="5664200" cy="3010395"/>
            <wp:effectExtent l="0" t="0" r="12700" b="0"/>
            <wp:docPr id="5"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E0EA30B" w14:textId="23111976" w:rsidR="00FF5459" w:rsidRPr="00216FDD" w:rsidRDefault="00FF5459" w:rsidP="00216FDD">
      <w:pPr>
        <w:spacing w:before="120" w:after="120"/>
        <w:contextualSpacing/>
        <w:jc w:val="both"/>
        <w:rPr>
          <w:rFonts w:eastAsia="Calibri"/>
          <w:sz w:val="22"/>
          <w:szCs w:val="22"/>
          <w:lang w:val="en-US" w:eastAsia="en-US"/>
        </w:rPr>
      </w:pPr>
    </w:p>
    <w:p w14:paraId="21413C02" w14:textId="124121D6" w:rsidR="00FF5459" w:rsidRDefault="00FC1226" w:rsidP="00216FDD">
      <w:pPr>
        <w:spacing w:before="120" w:after="120"/>
        <w:contextualSpacing/>
        <w:jc w:val="both"/>
        <w:rPr>
          <w:rFonts w:eastAsia="Calibri"/>
          <w:b/>
          <w:bCs/>
          <w:sz w:val="22"/>
          <w:szCs w:val="22"/>
          <w:lang w:val="en-US" w:eastAsia="en-US"/>
        </w:rPr>
      </w:pPr>
      <w:r w:rsidRPr="00216FDD">
        <w:rPr>
          <w:rFonts w:eastAsia="Calibri"/>
          <w:b/>
          <w:bCs/>
          <w:sz w:val="22"/>
          <w:szCs w:val="22"/>
          <w:lang w:val="en-US" w:eastAsia="en-US"/>
        </w:rPr>
        <w:t>Benchmark</w:t>
      </w:r>
      <w:r w:rsidR="00216FDD">
        <w:rPr>
          <w:rFonts w:eastAsia="Calibri"/>
          <w:b/>
          <w:bCs/>
          <w:sz w:val="22"/>
          <w:szCs w:val="22"/>
          <w:lang w:val="en-US" w:eastAsia="en-US"/>
        </w:rPr>
        <w:t xml:space="preserve"> </w:t>
      </w:r>
      <w:r w:rsidR="00C81CF9">
        <w:rPr>
          <w:rFonts w:eastAsia="Calibri"/>
          <w:b/>
          <w:bCs/>
          <w:sz w:val="22"/>
          <w:szCs w:val="22"/>
          <w:lang w:val="en-US" w:eastAsia="en-US"/>
        </w:rPr>
        <w:t>Study</w:t>
      </w:r>
      <w:r w:rsidR="00216FDD">
        <w:rPr>
          <w:rFonts w:eastAsia="Calibri"/>
          <w:b/>
          <w:bCs/>
          <w:sz w:val="22"/>
          <w:szCs w:val="22"/>
          <w:lang w:val="en-US" w:eastAsia="en-US"/>
        </w:rPr>
        <w:t>:</w:t>
      </w:r>
      <w:r w:rsidRPr="00216FDD">
        <w:rPr>
          <w:rFonts w:eastAsia="Calibri"/>
          <w:b/>
          <w:bCs/>
          <w:sz w:val="22"/>
          <w:szCs w:val="22"/>
          <w:lang w:val="en-US" w:eastAsia="en-US"/>
        </w:rPr>
        <w:t xml:space="preserve"> </w:t>
      </w:r>
      <w:r w:rsidR="00C81CF9">
        <w:rPr>
          <w:rFonts w:eastAsia="Calibri"/>
          <w:b/>
          <w:bCs/>
          <w:sz w:val="22"/>
          <w:szCs w:val="22"/>
          <w:lang w:val="en-US" w:eastAsia="en-US"/>
        </w:rPr>
        <w:t>Table c</w:t>
      </w:r>
      <w:r w:rsidRPr="00216FDD">
        <w:rPr>
          <w:rFonts w:eastAsia="Calibri"/>
          <w:b/>
          <w:bCs/>
          <w:sz w:val="22"/>
          <w:szCs w:val="22"/>
          <w:lang w:val="en-US" w:eastAsia="en-US"/>
        </w:rPr>
        <w:t>ommodity trading and the clearing obligation (global)</w:t>
      </w:r>
    </w:p>
    <w:p w14:paraId="67BBBA0C" w14:textId="77777777" w:rsidR="00C81CF9" w:rsidRPr="00216FDD" w:rsidRDefault="00C81CF9" w:rsidP="00216FDD">
      <w:pPr>
        <w:spacing w:before="120" w:after="120"/>
        <w:contextualSpacing/>
        <w:jc w:val="both"/>
        <w:rPr>
          <w:rFonts w:eastAsia="Calibri"/>
          <w:b/>
          <w:bCs/>
          <w:sz w:val="22"/>
          <w:szCs w:val="22"/>
          <w:lang w:val="en-US" w:eastAsia="en-US"/>
        </w:rPr>
      </w:pPr>
    </w:p>
    <w:tbl>
      <w:tblPr>
        <w:tblStyle w:val="TableGrid"/>
        <w:tblW w:w="9120" w:type="dxa"/>
        <w:tblInd w:w="567" w:type="dxa"/>
        <w:tblLayout w:type="fixed"/>
        <w:tblLook w:val="04A0" w:firstRow="1" w:lastRow="0" w:firstColumn="1" w:lastColumn="0" w:noHBand="0" w:noVBand="1"/>
      </w:tblPr>
      <w:tblGrid>
        <w:gridCol w:w="1184"/>
        <w:gridCol w:w="1984"/>
        <w:gridCol w:w="1984"/>
        <w:gridCol w:w="1984"/>
        <w:gridCol w:w="1984"/>
      </w:tblGrid>
      <w:tr w:rsidR="00FF5459" w:rsidRPr="0022308A" w14:paraId="7BFA5F89" w14:textId="77777777" w:rsidTr="00BA2E74">
        <w:trPr>
          <w:tblHeader/>
        </w:trPr>
        <w:tc>
          <w:tcPr>
            <w:tcW w:w="1184" w:type="dxa"/>
            <w:shd w:val="clear" w:color="auto" w:fill="F4F3EC" w:themeFill="background2" w:themeFillTint="99"/>
          </w:tcPr>
          <w:p w14:paraId="5EA7E933" w14:textId="77777777" w:rsidR="00FF5459" w:rsidRPr="00DA70F1" w:rsidRDefault="00FF5459" w:rsidP="00BA2E74">
            <w:pPr>
              <w:spacing w:after="100"/>
              <w:rPr>
                <w:b/>
                <w:sz w:val="16"/>
                <w:szCs w:val="16"/>
              </w:rPr>
            </w:pPr>
          </w:p>
        </w:tc>
        <w:tc>
          <w:tcPr>
            <w:tcW w:w="1984" w:type="dxa"/>
            <w:shd w:val="clear" w:color="auto" w:fill="F4F3EC" w:themeFill="background2" w:themeFillTint="99"/>
          </w:tcPr>
          <w:p w14:paraId="6AAA2683" w14:textId="77777777" w:rsidR="00FF5459" w:rsidRDefault="00FF5459" w:rsidP="00BA2E74">
            <w:pPr>
              <w:spacing w:after="100" w:line="276" w:lineRule="auto"/>
              <w:rPr>
                <w:b/>
                <w:sz w:val="16"/>
                <w:szCs w:val="16"/>
              </w:rPr>
            </w:pPr>
            <w:r w:rsidRPr="00D750DC">
              <w:rPr>
                <w:b/>
                <w:noProof/>
                <w:sz w:val="16"/>
                <w:szCs w:val="16"/>
              </w:rPr>
              <w:drawing>
                <wp:anchor distT="0" distB="0" distL="114300" distR="114300" simplePos="0" relativeHeight="251661312" behindDoc="0" locked="0" layoutInCell="1" allowOverlap="1" wp14:anchorId="665C1E9C" wp14:editId="770F33D7">
                  <wp:simplePos x="0" y="0"/>
                  <wp:positionH relativeFrom="column">
                    <wp:posOffset>613410</wp:posOffset>
                  </wp:positionH>
                  <wp:positionV relativeFrom="paragraph">
                    <wp:posOffset>1905</wp:posOffset>
                  </wp:positionV>
                  <wp:extent cx="567690" cy="408305"/>
                  <wp:effectExtent l="0" t="0" r="3810" b="0"/>
                  <wp:wrapSquare wrapText="bothSides"/>
                  <wp:docPr id="8"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7"/>
                          <pic:cNvPicPr>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7690" cy="408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16"/>
                <w:szCs w:val="16"/>
              </w:rPr>
              <w:t xml:space="preserve">EU </w:t>
            </w:r>
          </w:p>
          <w:p w14:paraId="1C945964" w14:textId="77777777" w:rsidR="00FF5459" w:rsidRPr="00DA70F1" w:rsidRDefault="00FF5459" w:rsidP="00BA2E74">
            <w:pPr>
              <w:spacing w:after="100" w:line="276" w:lineRule="auto"/>
              <w:rPr>
                <w:b/>
                <w:sz w:val="16"/>
                <w:szCs w:val="16"/>
              </w:rPr>
            </w:pPr>
            <w:r>
              <w:rPr>
                <w:b/>
                <w:sz w:val="16"/>
                <w:szCs w:val="16"/>
              </w:rPr>
              <w:t>(EMIR)</w:t>
            </w:r>
            <w:r w:rsidRPr="00D750DC">
              <w:rPr>
                <w:noProof/>
              </w:rPr>
              <w:t xml:space="preserve"> </w:t>
            </w:r>
          </w:p>
        </w:tc>
        <w:tc>
          <w:tcPr>
            <w:tcW w:w="1984" w:type="dxa"/>
            <w:shd w:val="clear" w:color="auto" w:fill="F4F3EC" w:themeFill="background2" w:themeFillTint="99"/>
          </w:tcPr>
          <w:p w14:paraId="02361717" w14:textId="77777777" w:rsidR="00FF5459" w:rsidRDefault="00FF5459" w:rsidP="00BA2E74">
            <w:pPr>
              <w:spacing w:after="100" w:line="276" w:lineRule="auto"/>
              <w:ind w:right="418"/>
              <w:rPr>
                <w:b/>
                <w:sz w:val="16"/>
                <w:szCs w:val="16"/>
              </w:rPr>
            </w:pPr>
            <w:r w:rsidRPr="00B2053B">
              <w:rPr>
                <w:b/>
                <w:noProof/>
                <w:sz w:val="16"/>
                <w:szCs w:val="16"/>
              </w:rPr>
              <w:drawing>
                <wp:anchor distT="0" distB="0" distL="114300" distR="114300" simplePos="0" relativeHeight="251662336" behindDoc="0" locked="0" layoutInCell="1" allowOverlap="1" wp14:anchorId="1D44B1E6" wp14:editId="6F698285">
                  <wp:simplePos x="0" y="0"/>
                  <wp:positionH relativeFrom="column">
                    <wp:posOffset>668020</wp:posOffset>
                  </wp:positionH>
                  <wp:positionV relativeFrom="paragraph">
                    <wp:posOffset>1905</wp:posOffset>
                  </wp:positionV>
                  <wp:extent cx="506730" cy="408940"/>
                  <wp:effectExtent l="0" t="0" r="7620" b="0"/>
                  <wp:wrapSquare wrapText="left"/>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4"/>
                          <pic:cNvPicPr>
                            <a:picLocks/>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06730" cy="408940"/>
                          </a:xfrm>
                          <a:prstGeom prst="rect">
                            <a:avLst/>
                          </a:prstGeom>
                        </pic:spPr>
                      </pic:pic>
                    </a:graphicData>
                  </a:graphic>
                  <wp14:sizeRelH relativeFrom="page">
                    <wp14:pctWidth>0</wp14:pctWidth>
                  </wp14:sizeRelH>
                  <wp14:sizeRelV relativeFrom="page">
                    <wp14:pctHeight>0</wp14:pctHeight>
                  </wp14:sizeRelV>
                </wp:anchor>
              </w:drawing>
            </w:r>
            <w:r>
              <w:rPr>
                <w:b/>
                <w:sz w:val="16"/>
                <w:szCs w:val="16"/>
              </w:rPr>
              <w:t>US</w:t>
            </w:r>
          </w:p>
          <w:p w14:paraId="702084F3" w14:textId="77777777" w:rsidR="00FF5459" w:rsidRPr="00DA70F1" w:rsidRDefault="00FF5459" w:rsidP="00BA2E74">
            <w:pPr>
              <w:spacing w:after="100" w:line="276" w:lineRule="auto"/>
              <w:ind w:right="418"/>
              <w:rPr>
                <w:b/>
                <w:sz w:val="16"/>
                <w:szCs w:val="16"/>
              </w:rPr>
            </w:pPr>
            <w:r>
              <w:rPr>
                <w:b/>
                <w:sz w:val="16"/>
                <w:szCs w:val="16"/>
              </w:rPr>
              <w:t>(DFA)</w:t>
            </w:r>
            <w:r w:rsidRPr="00B2053B">
              <w:rPr>
                <w:noProof/>
              </w:rPr>
              <w:t xml:space="preserve"> </w:t>
            </w:r>
          </w:p>
        </w:tc>
        <w:tc>
          <w:tcPr>
            <w:tcW w:w="1984" w:type="dxa"/>
            <w:shd w:val="clear" w:color="auto" w:fill="F4F3EC" w:themeFill="background2" w:themeFillTint="99"/>
          </w:tcPr>
          <w:p w14:paraId="2A9955F1" w14:textId="77777777" w:rsidR="00FF5459" w:rsidRDefault="00FF5459" w:rsidP="00BA2E74">
            <w:pPr>
              <w:spacing w:after="100" w:line="276" w:lineRule="auto"/>
              <w:rPr>
                <w:b/>
                <w:sz w:val="16"/>
                <w:szCs w:val="16"/>
              </w:rPr>
            </w:pPr>
            <w:r w:rsidRPr="008163A2">
              <w:rPr>
                <w:b/>
                <w:noProof/>
                <w:sz w:val="16"/>
                <w:szCs w:val="16"/>
              </w:rPr>
              <w:drawing>
                <wp:anchor distT="0" distB="0" distL="114300" distR="114300" simplePos="0" relativeHeight="251659264" behindDoc="0" locked="0" layoutInCell="1" allowOverlap="1" wp14:anchorId="3DC10A79" wp14:editId="31BB9C00">
                  <wp:simplePos x="0" y="0"/>
                  <wp:positionH relativeFrom="column">
                    <wp:posOffset>652780</wp:posOffset>
                  </wp:positionH>
                  <wp:positionV relativeFrom="paragraph">
                    <wp:posOffset>1905</wp:posOffset>
                  </wp:positionV>
                  <wp:extent cx="528955" cy="368300"/>
                  <wp:effectExtent l="0" t="0" r="4445" b="0"/>
                  <wp:wrapSquare wrapText="left"/>
                  <wp:docPr id="13"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12"/>
                          <pic:cNvPicPr>
                            <a:picLocks/>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8955" cy="368300"/>
                          </a:xfrm>
                          <a:prstGeom prst="rect">
                            <a:avLst/>
                          </a:prstGeom>
                        </pic:spPr>
                      </pic:pic>
                    </a:graphicData>
                  </a:graphic>
                  <wp14:sizeRelH relativeFrom="margin">
                    <wp14:pctWidth>0</wp14:pctWidth>
                  </wp14:sizeRelH>
                  <wp14:sizeRelV relativeFrom="margin">
                    <wp14:pctHeight>0</wp14:pctHeight>
                  </wp14:sizeRelV>
                </wp:anchor>
              </w:drawing>
            </w:r>
            <w:r>
              <w:rPr>
                <w:b/>
                <w:sz w:val="16"/>
                <w:szCs w:val="16"/>
              </w:rPr>
              <w:t>AUS</w:t>
            </w:r>
          </w:p>
          <w:p w14:paraId="5782CC1A" w14:textId="77777777" w:rsidR="00FF5459" w:rsidRDefault="00FF5459" w:rsidP="00BA2E74">
            <w:pPr>
              <w:spacing w:after="100" w:line="276" w:lineRule="auto"/>
              <w:rPr>
                <w:b/>
                <w:sz w:val="16"/>
                <w:szCs w:val="16"/>
              </w:rPr>
            </w:pPr>
            <w:r>
              <w:rPr>
                <w:b/>
                <w:sz w:val="16"/>
                <w:szCs w:val="16"/>
              </w:rPr>
              <w:t>ASIC</w:t>
            </w:r>
          </w:p>
          <w:p w14:paraId="4FDCDB35" w14:textId="77777777" w:rsidR="00FF5459" w:rsidRDefault="00FF5459" w:rsidP="00BA2E74">
            <w:pPr>
              <w:spacing w:after="100" w:line="276" w:lineRule="auto"/>
              <w:rPr>
                <w:b/>
                <w:sz w:val="16"/>
                <w:szCs w:val="16"/>
              </w:rPr>
            </w:pPr>
            <w:r>
              <w:rPr>
                <w:b/>
                <w:sz w:val="16"/>
                <w:szCs w:val="16"/>
              </w:rPr>
              <w:t xml:space="preserve">(Derivative </w:t>
            </w:r>
          </w:p>
          <w:p w14:paraId="66D27152" w14:textId="77777777" w:rsidR="00FF5459" w:rsidRDefault="00FF5459" w:rsidP="00BA2E74">
            <w:pPr>
              <w:spacing w:after="100" w:line="276" w:lineRule="auto"/>
              <w:rPr>
                <w:b/>
                <w:sz w:val="16"/>
                <w:szCs w:val="16"/>
              </w:rPr>
            </w:pPr>
            <w:r>
              <w:rPr>
                <w:b/>
                <w:sz w:val="16"/>
                <w:szCs w:val="16"/>
              </w:rPr>
              <w:t>Transaction</w:t>
            </w:r>
          </w:p>
          <w:p w14:paraId="3252344D" w14:textId="77777777" w:rsidR="00FF5459" w:rsidRPr="00DA70F1" w:rsidRDefault="00FF5459" w:rsidP="00BA2E74">
            <w:pPr>
              <w:spacing w:after="100" w:line="276" w:lineRule="auto"/>
              <w:rPr>
                <w:b/>
                <w:sz w:val="16"/>
                <w:szCs w:val="16"/>
              </w:rPr>
            </w:pPr>
            <w:r>
              <w:rPr>
                <w:b/>
                <w:sz w:val="16"/>
                <w:szCs w:val="16"/>
              </w:rPr>
              <w:t>Rules)</w:t>
            </w:r>
            <w:r w:rsidRPr="00B2053B">
              <w:rPr>
                <w:noProof/>
                <w:lang w:val="en-US"/>
              </w:rPr>
              <w:t xml:space="preserve"> </w:t>
            </w:r>
          </w:p>
        </w:tc>
        <w:tc>
          <w:tcPr>
            <w:tcW w:w="1984" w:type="dxa"/>
            <w:shd w:val="clear" w:color="auto" w:fill="F4F3EC" w:themeFill="background2" w:themeFillTint="99"/>
          </w:tcPr>
          <w:p w14:paraId="16AD3BD3" w14:textId="77777777" w:rsidR="00FF5459" w:rsidRDefault="00FF5459" w:rsidP="00BA2E74">
            <w:pPr>
              <w:spacing w:after="100" w:line="276" w:lineRule="auto"/>
              <w:rPr>
                <w:b/>
                <w:sz w:val="16"/>
                <w:szCs w:val="16"/>
                <w:lang w:val="en-US"/>
              </w:rPr>
            </w:pPr>
            <w:r w:rsidRPr="007C04E2">
              <w:rPr>
                <w:b/>
                <w:noProof/>
                <w:sz w:val="16"/>
                <w:szCs w:val="16"/>
              </w:rPr>
              <w:drawing>
                <wp:anchor distT="0" distB="0" distL="114300" distR="114300" simplePos="0" relativeHeight="251660288" behindDoc="0" locked="0" layoutInCell="1" allowOverlap="1" wp14:anchorId="055C6FE4" wp14:editId="463D20AB">
                  <wp:simplePos x="0" y="0"/>
                  <wp:positionH relativeFrom="column">
                    <wp:posOffset>637540</wp:posOffset>
                  </wp:positionH>
                  <wp:positionV relativeFrom="paragraph">
                    <wp:posOffset>1905</wp:posOffset>
                  </wp:positionV>
                  <wp:extent cx="529590" cy="368300"/>
                  <wp:effectExtent l="0" t="0" r="3810" b="0"/>
                  <wp:wrapSquare wrapText="left"/>
                  <wp:docPr id="12"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1"/>
                          <pic:cNvPicPr>
                            <a:picLocks/>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9590" cy="368300"/>
                          </a:xfrm>
                          <a:prstGeom prst="rect">
                            <a:avLst/>
                          </a:prstGeom>
                        </pic:spPr>
                      </pic:pic>
                    </a:graphicData>
                  </a:graphic>
                  <wp14:sizeRelH relativeFrom="margin">
                    <wp14:pctWidth>0</wp14:pctWidth>
                  </wp14:sizeRelH>
                  <wp14:sizeRelV relativeFrom="margin">
                    <wp14:pctHeight>0</wp14:pctHeight>
                  </wp14:sizeRelV>
                </wp:anchor>
              </w:drawing>
            </w:r>
            <w:r>
              <w:rPr>
                <w:b/>
                <w:sz w:val="16"/>
                <w:szCs w:val="16"/>
                <w:lang w:val="en-US"/>
              </w:rPr>
              <w:t>SG</w:t>
            </w:r>
          </w:p>
          <w:p w14:paraId="0EDCDCEE" w14:textId="77777777" w:rsidR="00FF5459" w:rsidRDefault="00FF5459" w:rsidP="00BA2E74">
            <w:pPr>
              <w:spacing w:after="100" w:line="276" w:lineRule="auto"/>
              <w:rPr>
                <w:b/>
                <w:sz w:val="16"/>
                <w:szCs w:val="16"/>
                <w:lang w:val="en-US"/>
              </w:rPr>
            </w:pPr>
            <w:r>
              <w:rPr>
                <w:b/>
                <w:sz w:val="16"/>
                <w:szCs w:val="16"/>
                <w:lang w:val="en-US"/>
              </w:rPr>
              <w:t>(</w:t>
            </w:r>
            <w:r w:rsidRPr="00624EBB">
              <w:rPr>
                <w:b/>
                <w:sz w:val="16"/>
                <w:szCs w:val="16"/>
                <w:lang w:val="en-US"/>
              </w:rPr>
              <w:t xml:space="preserve">Clearing </w:t>
            </w:r>
          </w:p>
          <w:p w14:paraId="4A1450AE" w14:textId="77777777" w:rsidR="00FF5459" w:rsidRDefault="00FF5459" w:rsidP="00BA2E74">
            <w:pPr>
              <w:spacing w:after="100" w:line="276" w:lineRule="auto"/>
              <w:rPr>
                <w:b/>
                <w:sz w:val="16"/>
                <w:szCs w:val="16"/>
                <w:lang w:val="en-US"/>
              </w:rPr>
            </w:pPr>
            <w:r w:rsidRPr="00624EBB">
              <w:rPr>
                <w:b/>
                <w:sz w:val="16"/>
                <w:szCs w:val="16"/>
                <w:lang w:val="en-US"/>
              </w:rPr>
              <w:t>of Deriv</w:t>
            </w:r>
            <w:r>
              <w:rPr>
                <w:b/>
                <w:sz w:val="16"/>
                <w:szCs w:val="16"/>
                <w:lang w:val="en-US"/>
              </w:rPr>
              <w:t>a</w:t>
            </w:r>
            <w:r w:rsidRPr="00624EBB">
              <w:rPr>
                <w:b/>
                <w:sz w:val="16"/>
                <w:szCs w:val="16"/>
                <w:lang w:val="en-US"/>
              </w:rPr>
              <w:t xml:space="preserve">tives </w:t>
            </w:r>
          </w:p>
          <w:p w14:paraId="08680239" w14:textId="77777777" w:rsidR="00FF5459" w:rsidRPr="00624EBB" w:rsidRDefault="00FF5459" w:rsidP="00BA2E74">
            <w:pPr>
              <w:spacing w:after="100" w:line="276" w:lineRule="auto"/>
              <w:rPr>
                <w:b/>
                <w:sz w:val="16"/>
                <w:szCs w:val="16"/>
                <w:lang w:val="en-US"/>
              </w:rPr>
            </w:pPr>
            <w:r w:rsidRPr="00624EBB">
              <w:rPr>
                <w:b/>
                <w:sz w:val="16"/>
                <w:szCs w:val="16"/>
                <w:lang w:val="en-US"/>
              </w:rPr>
              <w:t>Contracts Regula-</w:t>
            </w:r>
          </w:p>
          <w:p w14:paraId="192A0479" w14:textId="77777777" w:rsidR="00FF5459" w:rsidRDefault="00FF5459" w:rsidP="00BA2E74">
            <w:pPr>
              <w:spacing w:after="100" w:line="276" w:lineRule="auto"/>
              <w:rPr>
                <w:b/>
                <w:sz w:val="16"/>
                <w:szCs w:val="16"/>
              </w:rPr>
            </w:pPr>
            <w:proofErr w:type="spellStart"/>
            <w:r>
              <w:rPr>
                <w:b/>
                <w:sz w:val="16"/>
                <w:szCs w:val="16"/>
                <w:lang w:val="en-US"/>
              </w:rPr>
              <w:t>t</w:t>
            </w:r>
            <w:r w:rsidRPr="00624EBB">
              <w:rPr>
                <w:b/>
                <w:sz w:val="16"/>
                <w:szCs w:val="16"/>
                <w:lang w:val="en-US"/>
              </w:rPr>
              <w:t>ions</w:t>
            </w:r>
            <w:proofErr w:type="spellEnd"/>
            <w:r>
              <w:rPr>
                <w:b/>
                <w:sz w:val="16"/>
                <w:szCs w:val="16"/>
                <w:lang w:val="en-US"/>
              </w:rPr>
              <w:t>)</w:t>
            </w:r>
          </w:p>
        </w:tc>
      </w:tr>
      <w:tr w:rsidR="00FF5459" w:rsidRPr="00251342" w14:paraId="032A3E30" w14:textId="77777777" w:rsidTr="00BA2E74">
        <w:tc>
          <w:tcPr>
            <w:tcW w:w="1184" w:type="dxa"/>
            <w:shd w:val="clear" w:color="auto" w:fill="F4F3EC" w:themeFill="background2" w:themeFillTint="99"/>
          </w:tcPr>
          <w:p w14:paraId="4F2FF2D8" w14:textId="77777777" w:rsidR="00FF5459" w:rsidRPr="00DA70F1" w:rsidRDefault="00FF5459" w:rsidP="00BA2E74">
            <w:pPr>
              <w:spacing w:after="100"/>
              <w:rPr>
                <w:b/>
                <w:sz w:val="16"/>
                <w:szCs w:val="16"/>
              </w:rPr>
            </w:pPr>
            <w:r w:rsidRPr="00DA70F1">
              <w:rPr>
                <w:b/>
                <w:sz w:val="16"/>
                <w:szCs w:val="16"/>
              </w:rPr>
              <w:t>I. Purpose and scope</w:t>
            </w:r>
          </w:p>
        </w:tc>
        <w:tc>
          <w:tcPr>
            <w:tcW w:w="1984" w:type="dxa"/>
            <w:shd w:val="clear" w:color="auto" w:fill="00FF00"/>
          </w:tcPr>
          <w:p w14:paraId="7D842DD8" w14:textId="77777777" w:rsidR="00FF5459" w:rsidRDefault="00FF5459" w:rsidP="00BA2E74">
            <w:pPr>
              <w:spacing w:after="100" w:line="276" w:lineRule="auto"/>
              <w:rPr>
                <w:b/>
                <w:sz w:val="16"/>
                <w:szCs w:val="16"/>
              </w:rPr>
            </w:pPr>
            <w:r>
              <w:rPr>
                <w:b/>
                <w:sz w:val="16"/>
                <w:szCs w:val="16"/>
              </w:rPr>
              <w:t xml:space="preserve">Reducing of systemic risk by mandatory clearing. </w:t>
            </w:r>
          </w:p>
          <w:p w14:paraId="52DFAE74" w14:textId="77777777" w:rsidR="00FF5459" w:rsidRDefault="00FF5459" w:rsidP="00BA2E74">
            <w:pPr>
              <w:spacing w:after="100" w:line="276" w:lineRule="auto"/>
              <w:rPr>
                <w:b/>
                <w:sz w:val="16"/>
                <w:szCs w:val="16"/>
              </w:rPr>
            </w:pPr>
            <w:r>
              <w:rPr>
                <w:b/>
                <w:sz w:val="16"/>
                <w:szCs w:val="16"/>
              </w:rPr>
              <w:lastRenderedPageBreak/>
              <w:t>Determination of market participants relevant for the clearing mandate</w:t>
            </w:r>
          </w:p>
          <w:p w14:paraId="6A348310" w14:textId="77777777" w:rsidR="00FF5459" w:rsidRPr="00DA70F1" w:rsidRDefault="00FF5459" w:rsidP="00BA2E74">
            <w:pPr>
              <w:spacing w:after="100" w:line="276" w:lineRule="auto"/>
              <w:rPr>
                <w:b/>
                <w:sz w:val="16"/>
                <w:szCs w:val="16"/>
              </w:rPr>
            </w:pPr>
            <w:r>
              <w:rPr>
                <w:b/>
                <w:sz w:val="16"/>
                <w:szCs w:val="16"/>
              </w:rPr>
              <w:t>(Pittsburgh commitments)</w:t>
            </w:r>
          </w:p>
        </w:tc>
        <w:tc>
          <w:tcPr>
            <w:tcW w:w="1984" w:type="dxa"/>
            <w:shd w:val="clear" w:color="auto" w:fill="00FF00"/>
          </w:tcPr>
          <w:p w14:paraId="7B94DE5E" w14:textId="77777777" w:rsidR="00FF5459" w:rsidRDefault="00FF5459" w:rsidP="00BA2E74">
            <w:pPr>
              <w:spacing w:after="100" w:line="276" w:lineRule="auto"/>
              <w:rPr>
                <w:b/>
                <w:sz w:val="16"/>
                <w:szCs w:val="16"/>
              </w:rPr>
            </w:pPr>
            <w:r>
              <w:rPr>
                <w:b/>
                <w:sz w:val="16"/>
                <w:szCs w:val="16"/>
              </w:rPr>
              <w:lastRenderedPageBreak/>
              <w:t xml:space="preserve">Reducing of systemic risk by mandatory clearing. </w:t>
            </w:r>
          </w:p>
          <w:p w14:paraId="1923A906" w14:textId="77777777" w:rsidR="00FF5459" w:rsidRDefault="00FF5459" w:rsidP="00BA2E74">
            <w:pPr>
              <w:spacing w:after="100" w:line="276" w:lineRule="auto"/>
              <w:rPr>
                <w:b/>
                <w:sz w:val="16"/>
                <w:szCs w:val="16"/>
              </w:rPr>
            </w:pPr>
            <w:r>
              <w:rPr>
                <w:b/>
                <w:sz w:val="16"/>
                <w:szCs w:val="16"/>
              </w:rPr>
              <w:lastRenderedPageBreak/>
              <w:t>Determination of market participants relevant for the clearing mandate</w:t>
            </w:r>
          </w:p>
          <w:p w14:paraId="0817FBD0" w14:textId="77777777" w:rsidR="00FF5459" w:rsidRPr="00DA70F1" w:rsidRDefault="00FF5459" w:rsidP="00BA2E74">
            <w:pPr>
              <w:spacing w:after="100" w:line="276" w:lineRule="auto"/>
              <w:rPr>
                <w:b/>
                <w:sz w:val="16"/>
                <w:szCs w:val="16"/>
              </w:rPr>
            </w:pPr>
            <w:r>
              <w:rPr>
                <w:b/>
                <w:sz w:val="16"/>
                <w:szCs w:val="16"/>
              </w:rPr>
              <w:t>(Pittsburgh commitments)</w:t>
            </w:r>
          </w:p>
        </w:tc>
        <w:tc>
          <w:tcPr>
            <w:tcW w:w="1984" w:type="dxa"/>
            <w:shd w:val="clear" w:color="auto" w:fill="00FF00"/>
          </w:tcPr>
          <w:p w14:paraId="1B24099F" w14:textId="77777777" w:rsidR="00FF5459" w:rsidRDefault="00FF5459" w:rsidP="00BA2E74">
            <w:pPr>
              <w:spacing w:after="100" w:line="276" w:lineRule="auto"/>
              <w:rPr>
                <w:b/>
                <w:sz w:val="16"/>
                <w:szCs w:val="16"/>
              </w:rPr>
            </w:pPr>
            <w:r>
              <w:rPr>
                <w:b/>
                <w:sz w:val="16"/>
                <w:szCs w:val="16"/>
              </w:rPr>
              <w:lastRenderedPageBreak/>
              <w:t xml:space="preserve">Reducing of systemic risk by mandatory clearing. </w:t>
            </w:r>
          </w:p>
          <w:p w14:paraId="5091CEEF" w14:textId="77777777" w:rsidR="00FF5459" w:rsidRDefault="00FF5459" w:rsidP="00BA2E74">
            <w:pPr>
              <w:spacing w:after="100" w:line="276" w:lineRule="auto"/>
              <w:rPr>
                <w:b/>
                <w:sz w:val="16"/>
                <w:szCs w:val="16"/>
              </w:rPr>
            </w:pPr>
            <w:r>
              <w:rPr>
                <w:b/>
                <w:sz w:val="16"/>
                <w:szCs w:val="16"/>
              </w:rPr>
              <w:lastRenderedPageBreak/>
              <w:t>Determination of market participants relevant for the clearing mandate</w:t>
            </w:r>
          </w:p>
          <w:p w14:paraId="04BC8D2E" w14:textId="77777777" w:rsidR="00FF5459" w:rsidRDefault="00FF5459" w:rsidP="00BA2E74">
            <w:pPr>
              <w:spacing w:after="100" w:line="276" w:lineRule="auto"/>
              <w:rPr>
                <w:b/>
                <w:sz w:val="16"/>
                <w:szCs w:val="16"/>
              </w:rPr>
            </w:pPr>
            <w:r>
              <w:rPr>
                <w:b/>
                <w:sz w:val="16"/>
                <w:szCs w:val="16"/>
              </w:rPr>
              <w:t>(Pittsburgh commitments)</w:t>
            </w:r>
          </w:p>
        </w:tc>
        <w:tc>
          <w:tcPr>
            <w:tcW w:w="1984" w:type="dxa"/>
            <w:shd w:val="clear" w:color="auto" w:fill="00FF00"/>
          </w:tcPr>
          <w:p w14:paraId="5080D5D5" w14:textId="77777777" w:rsidR="00FF5459" w:rsidRDefault="00FF5459" w:rsidP="00BA2E74">
            <w:pPr>
              <w:spacing w:after="100" w:line="276" w:lineRule="auto"/>
              <w:rPr>
                <w:b/>
                <w:sz w:val="16"/>
                <w:szCs w:val="16"/>
              </w:rPr>
            </w:pPr>
            <w:r>
              <w:rPr>
                <w:b/>
                <w:sz w:val="16"/>
                <w:szCs w:val="16"/>
              </w:rPr>
              <w:lastRenderedPageBreak/>
              <w:t xml:space="preserve">Reducing of systemic risk by mandatory clearing. </w:t>
            </w:r>
          </w:p>
          <w:p w14:paraId="79982817" w14:textId="77777777" w:rsidR="00FF5459" w:rsidRDefault="00FF5459" w:rsidP="00BA2E74">
            <w:pPr>
              <w:spacing w:after="100" w:line="276" w:lineRule="auto"/>
              <w:rPr>
                <w:b/>
                <w:sz w:val="16"/>
                <w:szCs w:val="16"/>
              </w:rPr>
            </w:pPr>
            <w:r>
              <w:rPr>
                <w:b/>
                <w:sz w:val="16"/>
                <w:szCs w:val="16"/>
              </w:rPr>
              <w:lastRenderedPageBreak/>
              <w:t>Determination of market participants relevant for the clearing mandate</w:t>
            </w:r>
          </w:p>
          <w:p w14:paraId="5D46E0C8" w14:textId="77777777" w:rsidR="00FF5459" w:rsidRDefault="00FF5459" w:rsidP="00BA2E74">
            <w:pPr>
              <w:spacing w:after="100" w:line="276" w:lineRule="auto"/>
              <w:rPr>
                <w:b/>
                <w:sz w:val="16"/>
                <w:szCs w:val="16"/>
              </w:rPr>
            </w:pPr>
            <w:r>
              <w:rPr>
                <w:b/>
                <w:sz w:val="16"/>
                <w:szCs w:val="16"/>
              </w:rPr>
              <w:t>(Pittsburgh commitments)</w:t>
            </w:r>
          </w:p>
        </w:tc>
      </w:tr>
      <w:tr w:rsidR="00FF5459" w14:paraId="0BA1F26C" w14:textId="77777777" w:rsidTr="00BA2E74">
        <w:tc>
          <w:tcPr>
            <w:tcW w:w="1184" w:type="dxa"/>
            <w:shd w:val="clear" w:color="auto" w:fill="F4F3EC" w:themeFill="background2" w:themeFillTint="99"/>
          </w:tcPr>
          <w:p w14:paraId="06A06FA3" w14:textId="77777777" w:rsidR="00FF5459" w:rsidRPr="00DA70F1" w:rsidRDefault="00FF5459" w:rsidP="00BA2E74">
            <w:pPr>
              <w:spacing w:after="100" w:line="360" w:lineRule="auto"/>
              <w:rPr>
                <w:b/>
                <w:sz w:val="16"/>
                <w:szCs w:val="16"/>
              </w:rPr>
            </w:pPr>
            <w:r>
              <w:rPr>
                <w:b/>
                <w:sz w:val="16"/>
                <w:szCs w:val="16"/>
              </w:rPr>
              <w:lastRenderedPageBreak/>
              <w:t>1. Threshold Amount</w:t>
            </w:r>
          </w:p>
        </w:tc>
        <w:tc>
          <w:tcPr>
            <w:tcW w:w="1984" w:type="dxa"/>
            <w:shd w:val="clear" w:color="auto" w:fill="FF0000"/>
          </w:tcPr>
          <w:p w14:paraId="53E77C89" w14:textId="77777777" w:rsidR="00FF5459" w:rsidRDefault="00FF5459" w:rsidP="00BA2E74">
            <w:pPr>
              <w:spacing w:after="100" w:line="360" w:lineRule="auto"/>
              <w:rPr>
                <w:b/>
                <w:sz w:val="16"/>
                <w:szCs w:val="16"/>
              </w:rPr>
            </w:pPr>
            <w:r>
              <w:rPr>
                <w:b/>
                <w:sz w:val="16"/>
                <w:szCs w:val="16"/>
              </w:rPr>
              <w:t>3 bn EUR</w:t>
            </w:r>
          </w:p>
          <w:p w14:paraId="72A166B4" w14:textId="77777777" w:rsidR="00FF5459" w:rsidRDefault="00FF5459" w:rsidP="00BA2E74">
            <w:pPr>
              <w:spacing w:after="100" w:line="360" w:lineRule="auto"/>
              <w:rPr>
                <w:b/>
                <w:sz w:val="16"/>
                <w:szCs w:val="16"/>
              </w:rPr>
            </w:pPr>
            <w:r>
              <w:rPr>
                <w:b/>
                <w:sz w:val="16"/>
                <w:szCs w:val="16"/>
              </w:rPr>
              <w:t>- per group</w:t>
            </w:r>
            <w:r w:rsidRPr="00E30293">
              <w:rPr>
                <w:b/>
                <w:sz w:val="16"/>
                <w:szCs w:val="16"/>
              </w:rPr>
              <w:t xml:space="preserve"> -</w:t>
            </w:r>
          </w:p>
        </w:tc>
        <w:tc>
          <w:tcPr>
            <w:tcW w:w="1984" w:type="dxa"/>
            <w:shd w:val="clear" w:color="auto" w:fill="FFFF00"/>
          </w:tcPr>
          <w:p w14:paraId="34EDFB3B" w14:textId="77777777" w:rsidR="00FF5459" w:rsidRDefault="00FF5459" w:rsidP="00BA2E74">
            <w:pPr>
              <w:spacing w:after="100" w:line="360" w:lineRule="auto"/>
              <w:rPr>
                <w:b/>
                <w:sz w:val="16"/>
                <w:szCs w:val="16"/>
              </w:rPr>
            </w:pPr>
            <w:r>
              <w:rPr>
                <w:b/>
                <w:sz w:val="16"/>
                <w:szCs w:val="16"/>
              </w:rPr>
              <w:t>8 bn USD</w:t>
            </w:r>
          </w:p>
          <w:p w14:paraId="28CBD962" w14:textId="77777777" w:rsidR="00FF5459" w:rsidRDefault="00FF5459" w:rsidP="00BA2E74">
            <w:pPr>
              <w:spacing w:after="100" w:line="360" w:lineRule="auto"/>
              <w:rPr>
                <w:b/>
                <w:sz w:val="16"/>
                <w:szCs w:val="16"/>
              </w:rPr>
            </w:pPr>
            <w:r>
              <w:rPr>
                <w:b/>
                <w:sz w:val="16"/>
                <w:szCs w:val="16"/>
              </w:rPr>
              <w:t>- per group</w:t>
            </w:r>
            <w:r w:rsidRPr="00E30293">
              <w:rPr>
                <w:b/>
                <w:sz w:val="16"/>
                <w:szCs w:val="16"/>
              </w:rPr>
              <w:t xml:space="preserve"> -</w:t>
            </w:r>
          </w:p>
        </w:tc>
        <w:tc>
          <w:tcPr>
            <w:tcW w:w="1984" w:type="dxa"/>
            <w:shd w:val="clear" w:color="auto" w:fill="00FF00"/>
          </w:tcPr>
          <w:p w14:paraId="2F5F3B00" w14:textId="77777777" w:rsidR="00FF5459" w:rsidRDefault="00FF5459" w:rsidP="00BA2E74">
            <w:pPr>
              <w:spacing w:after="100" w:line="360" w:lineRule="auto"/>
              <w:rPr>
                <w:b/>
                <w:sz w:val="16"/>
                <w:szCs w:val="16"/>
              </w:rPr>
            </w:pPr>
            <w:r>
              <w:rPr>
                <w:b/>
                <w:sz w:val="16"/>
                <w:szCs w:val="16"/>
              </w:rPr>
              <w:t>100 bn AUD</w:t>
            </w:r>
          </w:p>
          <w:p w14:paraId="736743E4" w14:textId="77777777" w:rsidR="00FF5459" w:rsidRDefault="00FF5459" w:rsidP="00BA2E74">
            <w:pPr>
              <w:spacing w:after="100" w:line="360" w:lineRule="auto"/>
              <w:rPr>
                <w:b/>
                <w:sz w:val="16"/>
                <w:szCs w:val="16"/>
              </w:rPr>
            </w:pPr>
            <w:r>
              <w:rPr>
                <w:b/>
                <w:sz w:val="16"/>
                <w:szCs w:val="16"/>
              </w:rPr>
              <w:t>- per entity</w:t>
            </w:r>
            <w:r w:rsidRPr="00E30293">
              <w:rPr>
                <w:b/>
                <w:sz w:val="16"/>
                <w:szCs w:val="16"/>
              </w:rPr>
              <w:t xml:space="preserve"> -</w:t>
            </w:r>
          </w:p>
        </w:tc>
        <w:tc>
          <w:tcPr>
            <w:tcW w:w="1984" w:type="dxa"/>
            <w:shd w:val="clear" w:color="auto" w:fill="00FF00"/>
          </w:tcPr>
          <w:p w14:paraId="5BA47A50" w14:textId="77777777" w:rsidR="00FF5459" w:rsidRDefault="00FF5459" w:rsidP="00BA2E74">
            <w:pPr>
              <w:spacing w:after="100" w:line="360" w:lineRule="auto"/>
              <w:rPr>
                <w:b/>
                <w:color w:val="000000" w:themeColor="text1"/>
                <w:sz w:val="16"/>
                <w:szCs w:val="16"/>
              </w:rPr>
            </w:pPr>
            <w:r>
              <w:rPr>
                <w:b/>
                <w:color w:val="000000" w:themeColor="text1"/>
                <w:sz w:val="16"/>
                <w:szCs w:val="16"/>
              </w:rPr>
              <w:t>20 bn SGD</w:t>
            </w:r>
          </w:p>
          <w:p w14:paraId="4FF52BE6" w14:textId="77777777" w:rsidR="00FF5459" w:rsidRDefault="00FF5459" w:rsidP="00BA2E74">
            <w:pPr>
              <w:spacing w:after="100" w:line="360" w:lineRule="auto"/>
              <w:rPr>
                <w:b/>
                <w:sz w:val="16"/>
                <w:szCs w:val="16"/>
              </w:rPr>
            </w:pPr>
            <w:r>
              <w:rPr>
                <w:b/>
                <w:sz w:val="16"/>
                <w:szCs w:val="16"/>
              </w:rPr>
              <w:t>- per entity</w:t>
            </w:r>
            <w:r w:rsidRPr="00E30293">
              <w:rPr>
                <w:b/>
                <w:sz w:val="16"/>
                <w:szCs w:val="16"/>
              </w:rPr>
              <w:t xml:space="preserve"> -</w:t>
            </w:r>
          </w:p>
        </w:tc>
      </w:tr>
      <w:tr w:rsidR="00FF5459" w:rsidRPr="000D486A" w14:paraId="14DB9DD2" w14:textId="77777777" w:rsidTr="00BA2E74">
        <w:tc>
          <w:tcPr>
            <w:tcW w:w="1184" w:type="dxa"/>
            <w:shd w:val="clear" w:color="auto" w:fill="F4F3EC" w:themeFill="background2" w:themeFillTint="99"/>
          </w:tcPr>
          <w:p w14:paraId="5EDDC0DF" w14:textId="77777777" w:rsidR="00FF5459" w:rsidRPr="00DA70F1" w:rsidRDefault="00FF5459" w:rsidP="00BA2E74">
            <w:pPr>
              <w:spacing w:after="100" w:line="360" w:lineRule="auto"/>
              <w:rPr>
                <w:b/>
                <w:sz w:val="16"/>
                <w:szCs w:val="16"/>
              </w:rPr>
            </w:pPr>
            <w:r>
              <w:rPr>
                <w:b/>
                <w:sz w:val="16"/>
                <w:szCs w:val="16"/>
              </w:rPr>
              <w:t>2. In-scope entities</w:t>
            </w:r>
          </w:p>
        </w:tc>
        <w:tc>
          <w:tcPr>
            <w:tcW w:w="1984" w:type="dxa"/>
            <w:shd w:val="clear" w:color="auto" w:fill="FF0000"/>
          </w:tcPr>
          <w:p w14:paraId="7C3D0838" w14:textId="77777777" w:rsidR="00FF5459" w:rsidRPr="00DA70F1" w:rsidRDefault="00FF5459" w:rsidP="00BA2E74">
            <w:pPr>
              <w:spacing w:after="100" w:line="360" w:lineRule="auto"/>
              <w:rPr>
                <w:b/>
                <w:sz w:val="16"/>
                <w:szCs w:val="16"/>
              </w:rPr>
            </w:pPr>
            <w:r w:rsidRPr="00DA70F1">
              <w:rPr>
                <w:b/>
                <w:sz w:val="16"/>
                <w:szCs w:val="16"/>
              </w:rPr>
              <w:t>All entities, including non-financial entities</w:t>
            </w:r>
            <w:r>
              <w:rPr>
                <w:b/>
                <w:sz w:val="16"/>
                <w:szCs w:val="16"/>
              </w:rPr>
              <w:t xml:space="preserve"> and end-users</w:t>
            </w:r>
          </w:p>
        </w:tc>
        <w:tc>
          <w:tcPr>
            <w:tcW w:w="1984" w:type="dxa"/>
            <w:shd w:val="clear" w:color="auto" w:fill="FFFF00"/>
          </w:tcPr>
          <w:p w14:paraId="4C714B0C" w14:textId="77777777" w:rsidR="00FF5459" w:rsidRPr="00DA70F1" w:rsidRDefault="00FF5459" w:rsidP="00BA2E74">
            <w:pPr>
              <w:spacing w:after="100" w:line="360" w:lineRule="auto"/>
              <w:rPr>
                <w:b/>
                <w:sz w:val="16"/>
                <w:szCs w:val="16"/>
              </w:rPr>
            </w:pPr>
            <w:r>
              <w:rPr>
                <w:b/>
                <w:sz w:val="16"/>
                <w:szCs w:val="16"/>
              </w:rPr>
              <w:t xml:space="preserve">“Dealers”: </w:t>
            </w:r>
            <w:r w:rsidRPr="00DA70F1">
              <w:rPr>
                <w:b/>
                <w:sz w:val="16"/>
                <w:szCs w:val="16"/>
              </w:rPr>
              <w:t>Swap Dealers and Major Swap Participants; no commercial end users</w:t>
            </w:r>
          </w:p>
        </w:tc>
        <w:tc>
          <w:tcPr>
            <w:tcW w:w="1984" w:type="dxa"/>
            <w:shd w:val="clear" w:color="auto" w:fill="00FF00"/>
          </w:tcPr>
          <w:p w14:paraId="3158EB32" w14:textId="77777777" w:rsidR="00FF5459" w:rsidRDefault="00FF5459" w:rsidP="00BA2E74">
            <w:pPr>
              <w:spacing w:after="100" w:line="360" w:lineRule="auto"/>
              <w:rPr>
                <w:b/>
                <w:sz w:val="16"/>
                <w:szCs w:val="16"/>
              </w:rPr>
            </w:pPr>
            <w:r>
              <w:rPr>
                <w:b/>
                <w:sz w:val="16"/>
                <w:szCs w:val="16"/>
              </w:rPr>
              <w:t>Only financial entities</w:t>
            </w:r>
          </w:p>
          <w:p w14:paraId="3B439CDB" w14:textId="77777777" w:rsidR="00FF5459" w:rsidRPr="00DA70F1" w:rsidRDefault="00FF5459" w:rsidP="00BA2E74">
            <w:pPr>
              <w:spacing w:after="100" w:line="360" w:lineRule="auto"/>
              <w:rPr>
                <w:b/>
                <w:sz w:val="16"/>
                <w:szCs w:val="16"/>
              </w:rPr>
            </w:pPr>
            <w:r>
              <w:rPr>
                <w:b/>
                <w:sz w:val="16"/>
                <w:szCs w:val="16"/>
              </w:rPr>
              <w:t>(clearing entities)</w:t>
            </w:r>
          </w:p>
        </w:tc>
        <w:tc>
          <w:tcPr>
            <w:tcW w:w="1984" w:type="dxa"/>
            <w:shd w:val="clear" w:color="auto" w:fill="00FF00"/>
          </w:tcPr>
          <w:p w14:paraId="2BE5402C" w14:textId="77777777" w:rsidR="00FF5459" w:rsidRPr="0074531A" w:rsidRDefault="00FF5459" w:rsidP="00BA2E74">
            <w:pPr>
              <w:spacing w:after="100" w:line="360" w:lineRule="auto"/>
              <w:rPr>
                <w:b/>
                <w:sz w:val="16"/>
                <w:szCs w:val="16"/>
                <w:highlight w:val="green"/>
              </w:rPr>
            </w:pPr>
            <w:r w:rsidRPr="0074531A">
              <w:rPr>
                <w:b/>
                <w:sz w:val="16"/>
                <w:szCs w:val="16"/>
                <w:highlight w:val="green"/>
              </w:rPr>
              <w:t>Only banks</w:t>
            </w:r>
          </w:p>
        </w:tc>
      </w:tr>
      <w:tr w:rsidR="00FF5459" w:rsidRPr="00A14FD6" w14:paraId="5DBD6C9C" w14:textId="77777777" w:rsidTr="00BA2E74">
        <w:tc>
          <w:tcPr>
            <w:tcW w:w="1184" w:type="dxa"/>
            <w:shd w:val="clear" w:color="auto" w:fill="F4F3EC" w:themeFill="background2" w:themeFillTint="99"/>
          </w:tcPr>
          <w:p w14:paraId="48423FDB" w14:textId="77777777" w:rsidR="00FF5459" w:rsidRPr="00DA70F1" w:rsidRDefault="00FF5459" w:rsidP="00BA2E74">
            <w:pPr>
              <w:spacing w:after="100" w:line="360" w:lineRule="auto"/>
              <w:rPr>
                <w:b/>
                <w:sz w:val="16"/>
                <w:szCs w:val="16"/>
              </w:rPr>
            </w:pPr>
            <w:r>
              <w:rPr>
                <w:b/>
                <w:sz w:val="16"/>
                <w:szCs w:val="16"/>
              </w:rPr>
              <w:t>3.</w:t>
            </w:r>
            <w:r w:rsidRPr="00DA70F1">
              <w:rPr>
                <w:b/>
                <w:sz w:val="16"/>
                <w:szCs w:val="16"/>
              </w:rPr>
              <w:t xml:space="preserve"> In-scope activities</w:t>
            </w:r>
          </w:p>
        </w:tc>
        <w:tc>
          <w:tcPr>
            <w:tcW w:w="1984" w:type="dxa"/>
            <w:shd w:val="clear" w:color="auto" w:fill="FF0000"/>
          </w:tcPr>
          <w:p w14:paraId="309881BC" w14:textId="77777777" w:rsidR="00FF5459" w:rsidRPr="00DA70F1" w:rsidRDefault="00FF5459" w:rsidP="00BA2E74">
            <w:pPr>
              <w:spacing w:after="100" w:line="360" w:lineRule="auto"/>
              <w:rPr>
                <w:b/>
                <w:sz w:val="16"/>
                <w:szCs w:val="16"/>
              </w:rPr>
            </w:pPr>
            <w:r>
              <w:rPr>
                <w:b/>
                <w:sz w:val="16"/>
                <w:szCs w:val="16"/>
              </w:rPr>
              <w:t>Any trading activity</w:t>
            </w:r>
          </w:p>
        </w:tc>
        <w:tc>
          <w:tcPr>
            <w:tcW w:w="1984" w:type="dxa"/>
            <w:shd w:val="clear" w:color="auto" w:fill="00FF00"/>
          </w:tcPr>
          <w:p w14:paraId="65B5E695" w14:textId="77777777" w:rsidR="00FF5459" w:rsidRPr="00DA70F1" w:rsidRDefault="00FF5459" w:rsidP="00BA2E74">
            <w:pPr>
              <w:spacing w:after="100" w:line="360" w:lineRule="auto"/>
              <w:rPr>
                <w:b/>
                <w:sz w:val="16"/>
                <w:szCs w:val="16"/>
              </w:rPr>
            </w:pPr>
            <w:r>
              <w:rPr>
                <w:b/>
                <w:sz w:val="16"/>
                <w:szCs w:val="16"/>
              </w:rPr>
              <w:t>“dealing activities”</w:t>
            </w:r>
          </w:p>
        </w:tc>
        <w:tc>
          <w:tcPr>
            <w:tcW w:w="1984" w:type="dxa"/>
            <w:shd w:val="clear" w:color="auto" w:fill="FFFF00"/>
          </w:tcPr>
          <w:p w14:paraId="0E5BC171" w14:textId="77777777" w:rsidR="00FF5459" w:rsidRPr="00DA70F1" w:rsidRDefault="00FF5459" w:rsidP="00BA2E74">
            <w:pPr>
              <w:spacing w:after="100" w:line="360" w:lineRule="auto"/>
              <w:rPr>
                <w:b/>
                <w:sz w:val="16"/>
                <w:szCs w:val="16"/>
              </w:rPr>
            </w:pPr>
            <w:r>
              <w:rPr>
                <w:b/>
                <w:sz w:val="16"/>
                <w:szCs w:val="16"/>
              </w:rPr>
              <w:t>Trading in representing capacity and personal capacity</w:t>
            </w:r>
          </w:p>
        </w:tc>
        <w:tc>
          <w:tcPr>
            <w:tcW w:w="1984" w:type="dxa"/>
            <w:shd w:val="clear" w:color="auto" w:fill="FF0000"/>
          </w:tcPr>
          <w:p w14:paraId="7118C152" w14:textId="77777777" w:rsidR="00FF5459" w:rsidRPr="00364221" w:rsidRDefault="00FF5459" w:rsidP="00BA2E74">
            <w:pPr>
              <w:spacing w:after="100" w:line="360" w:lineRule="auto"/>
              <w:rPr>
                <w:b/>
                <w:sz w:val="16"/>
                <w:szCs w:val="16"/>
              </w:rPr>
            </w:pPr>
            <w:r w:rsidRPr="00364221">
              <w:rPr>
                <w:b/>
                <w:sz w:val="16"/>
                <w:szCs w:val="16"/>
              </w:rPr>
              <w:t>Any trading activity</w:t>
            </w:r>
          </w:p>
        </w:tc>
      </w:tr>
      <w:tr w:rsidR="00FF5459" w:rsidRPr="008B2A45" w14:paraId="40D74873" w14:textId="77777777" w:rsidTr="00BA2E74">
        <w:tc>
          <w:tcPr>
            <w:tcW w:w="1184" w:type="dxa"/>
            <w:shd w:val="clear" w:color="auto" w:fill="F4F3EC" w:themeFill="background2" w:themeFillTint="99"/>
          </w:tcPr>
          <w:p w14:paraId="46FC8665" w14:textId="77777777" w:rsidR="00FF5459" w:rsidRPr="00DA70F1" w:rsidRDefault="00FF5459" w:rsidP="00BA2E74">
            <w:pPr>
              <w:spacing w:after="100" w:line="360" w:lineRule="auto"/>
              <w:rPr>
                <w:b/>
                <w:sz w:val="16"/>
                <w:szCs w:val="16"/>
              </w:rPr>
            </w:pPr>
            <w:r>
              <w:rPr>
                <w:b/>
                <w:sz w:val="16"/>
                <w:szCs w:val="16"/>
              </w:rPr>
              <w:t>a</w:t>
            </w:r>
            <w:r w:rsidRPr="00DA70F1">
              <w:rPr>
                <w:b/>
                <w:sz w:val="16"/>
                <w:szCs w:val="16"/>
              </w:rPr>
              <w:t>) third party dealing</w:t>
            </w:r>
          </w:p>
        </w:tc>
        <w:tc>
          <w:tcPr>
            <w:tcW w:w="1984" w:type="dxa"/>
            <w:shd w:val="clear" w:color="auto" w:fill="00FF00"/>
          </w:tcPr>
          <w:p w14:paraId="60BCB5D8" w14:textId="77777777" w:rsidR="00FF5459" w:rsidRPr="00DA70F1" w:rsidRDefault="00FF5459" w:rsidP="00BA2E74">
            <w:pPr>
              <w:spacing w:after="100" w:line="360" w:lineRule="auto"/>
              <w:rPr>
                <w:b/>
                <w:sz w:val="16"/>
                <w:szCs w:val="16"/>
              </w:rPr>
            </w:pPr>
            <w:r w:rsidRPr="00DA70F1">
              <w:rPr>
                <w:b/>
                <w:sz w:val="16"/>
                <w:szCs w:val="16"/>
              </w:rPr>
              <w:t>Yes</w:t>
            </w:r>
          </w:p>
        </w:tc>
        <w:tc>
          <w:tcPr>
            <w:tcW w:w="1984" w:type="dxa"/>
            <w:shd w:val="clear" w:color="auto" w:fill="00FF00"/>
          </w:tcPr>
          <w:p w14:paraId="4299018D" w14:textId="77777777" w:rsidR="00FF5459" w:rsidRPr="00DA70F1" w:rsidRDefault="00FF5459" w:rsidP="00BA2E74">
            <w:pPr>
              <w:spacing w:after="100" w:line="360" w:lineRule="auto"/>
              <w:rPr>
                <w:b/>
                <w:sz w:val="16"/>
                <w:szCs w:val="16"/>
              </w:rPr>
            </w:pPr>
            <w:r w:rsidRPr="00DA70F1">
              <w:rPr>
                <w:b/>
                <w:sz w:val="16"/>
                <w:szCs w:val="16"/>
              </w:rPr>
              <w:t>Yes</w:t>
            </w:r>
          </w:p>
        </w:tc>
        <w:tc>
          <w:tcPr>
            <w:tcW w:w="1984" w:type="dxa"/>
            <w:shd w:val="clear" w:color="auto" w:fill="00FF00"/>
          </w:tcPr>
          <w:p w14:paraId="02DD4F26" w14:textId="77777777" w:rsidR="00FF5459" w:rsidRPr="00DA70F1" w:rsidRDefault="00FF5459" w:rsidP="00BA2E74">
            <w:pPr>
              <w:spacing w:after="100" w:line="360" w:lineRule="auto"/>
              <w:rPr>
                <w:b/>
                <w:sz w:val="16"/>
                <w:szCs w:val="16"/>
              </w:rPr>
            </w:pPr>
            <w:r>
              <w:rPr>
                <w:b/>
                <w:sz w:val="16"/>
                <w:szCs w:val="16"/>
              </w:rPr>
              <w:t>Yes</w:t>
            </w:r>
          </w:p>
        </w:tc>
        <w:tc>
          <w:tcPr>
            <w:tcW w:w="1984" w:type="dxa"/>
            <w:shd w:val="clear" w:color="auto" w:fill="00FF00"/>
          </w:tcPr>
          <w:p w14:paraId="7F321EDF" w14:textId="77777777" w:rsidR="00FF5459" w:rsidRDefault="00FF5459" w:rsidP="00BA2E74">
            <w:pPr>
              <w:spacing w:after="100" w:line="360" w:lineRule="auto"/>
              <w:rPr>
                <w:b/>
                <w:sz w:val="16"/>
                <w:szCs w:val="16"/>
              </w:rPr>
            </w:pPr>
            <w:r>
              <w:rPr>
                <w:b/>
                <w:sz w:val="16"/>
                <w:szCs w:val="16"/>
              </w:rPr>
              <w:t>Yes</w:t>
            </w:r>
          </w:p>
        </w:tc>
      </w:tr>
      <w:tr w:rsidR="00FF5459" w:rsidRPr="008B2A45" w14:paraId="413CC91F" w14:textId="77777777" w:rsidTr="00BA2E74">
        <w:tc>
          <w:tcPr>
            <w:tcW w:w="1184" w:type="dxa"/>
            <w:shd w:val="clear" w:color="auto" w:fill="F4F3EC" w:themeFill="background2" w:themeFillTint="99"/>
          </w:tcPr>
          <w:p w14:paraId="1E0342DD" w14:textId="77777777" w:rsidR="00FF5459" w:rsidRPr="00DA70F1" w:rsidRDefault="00FF5459" w:rsidP="00BA2E74">
            <w:pPr>
              <w:spacing w:after="100" w:line="360" w:lineRule="auto"/>
              <w:rPr>
                <w:b/>
                <w:sz w:val="16"/>
                <w:szCs w:val="16"/>
              </w:rPr>
            </w:pPr>
            <w:r>
              <w:rPr>
                <w:b/>
                <w:sz w:val="16"/>
                <w:szCs w:val="16"/>
              </w:rPr>
              <w:t>b</w:t>
            </w:r>
            <w:r w:rsidRPr="00DA70F1">
              <w:rPr>
                <w:b/>
                <w:sz w:val="16"/>
                <w:szCs w:val="16"/>
              </w:rPr>
              <w:t>) own account dealing</w:t>
            </w:r>
          </w:p>
        </w:tc>
        <w:tc>
          <w:tcPr>
            <w:tcW w:w="1984" w:type="dxa"/>
            <w:shd w:val="clear" w:color="auto" w:fill="FF0000"/>
          </w:tcPr>
          <w:p w14:paraId="7E28DF04" w14:textId="77777777" w:rsidR="00FF5459" w:rsidRPr="00DA70F1" w:rsidRDefault="00FF5459" w:rsidP="00BA2E74">
            <w:pPr>
              <w:spacing w:after="100" w:line="360" w:lineRule="auto"/>
              <w:rPr>
                <w:b/>
                <w:sz w:val="16"/>
                <w:szCs w:val="16"/>
              </w:rPr>
            </w:pPr>
            <w:r w:rsidRPr="00DA70F1">
              <w:rPr>
                <w:b/>
                <w:sz w:val="16"/>
                <w:szCs w:val="16"/>
              </w:rPr>
              <w:t>Yes</w:t>
            </w:r>
          </w:p>
        </w:tc>
        <w:tc>
          <w:tcPr>
            <w:tcW w:w="1984" w:type="dxa"/>
            <w:shd w:val="clear" w:color="auto" w:fill="00FF00"/>
          </w:tcPr>
          <w:p w14:paraId="01008847" w14:textId="77777777" w:rsidR="00FF5459" w:rsidRPr="00DA70F1" w:rsidRDefault="00FF5459" w:rsidP="00BA2E74">
            <w:pPr>
              <w:spacing w:after="100" w:line="360" w:lineRule="auto"/>
              <w:rPr>
                <w:b/>
                <w:sz w:val="16"/>
                <w:szCs w:val="16"/>
              </w:rPr>
            </w:pPr>
            <w:r>
              <w:rPr>
                <w:b/>
                <w:sz w:val="16"/>
                <w:szCs w:val="16"/>
              </w:rPr>
              <w:t xml:space="preserve">Only if separate P&amp;L </w:t>
            </w:r>
            <w:r w:rsidRPr="00B358C7">
              <w:rPr>
                <w:b/>
                <w:sz w:val="16"/>
                <w:szCs w:val="16"/>
                <w:lang w:val="en-US"/>
              </w:rPr>
              <w:t>center</w:t>
            </w:r>
            <w:r>
              <w:rPr>
                <w:b/>
                <w:sz w:val="16"/>
                <w:szCs w:val="16"/>
              </w:rPr>
              <w:t xml:space="preserve"> or resources specifically allocated to such business</w:t>
            </w:r>
          </w:p>
        </w:tc>
        <w:tc>
          <w:tcPr>
            <w:tcW w:w="1984" w:type="dxa"/>
            <w:shd w:val="clear" w:color="auto" w:fill="FF0000"/>
          </w:tcPr>
          <w:p w14:paraId="0C78CDF5" w14:textId="77777777" w:rsidR="00FF5459" w:rsidRPr="00DA70F1" w:rsidRDefault="00FF5459" w:rsidP="00BA2E74">
            <w:pPr>
              <w:spacing w:after="100" w:line="360" w:lineRule="auto"/>
              <w:rPr>
                <w:b/>
                <w:sz w:val="16"/>
                <w:szCs w:val="16"/>
              </w:rPr>
            </w:pPr>
            <w:r>
              <w:rPr>
                <w:b/>
                <w:sz w:val="16"/>
                <w:szCs w:val="16"/>
              </w:rPr>
              <w:t>Yes</w:t>
            </w:r>
          </w:p>
        </w:tc>
        <w:tc>
          <w:tcPr>
            <w:tcW w:w="1984" w:type="dxa"/>
            <w:shd w:val="clear" w:color="auto" w:fill="FF0000"/>
          </w:tcPr>
          <w:p w14:paraId="1181F265" w14:textId="77777777" w:rsidR="00FF5459" w:rsidRDefault="00FF5459" w:rsidP="00BA2E74">
            <w:pPr>
              <w:spacing w:after="100" w:line="360" w:lineRule="auto"/>
              <w:rPr>
                <w:b/>
                <w:sz w:val="16"/>
                <w:szCs w:val="16"/>
              </w:rPr>
            </w:pPr>
            <w:r>
              <w:rPr>
                <w:b/>
                <w:sz w:val="16"/>
                <w:szCs w:val="16"/>
              </w:rPr>
              <w:t>Yes</w:t>
            </w:r>
          </w:p>
        </w:tc>
      </w:tr>
      <w:tr w:rsidR="00FF5459" w:rsidRPr="00A427B0" w14:paraId="721B0337" w14:textId="77777777" w:rsidTr="00BA2E74">
        <w:tc>
          <w:tcPr>
            <w:tcW w:w="1184" w:type="dxa"/>
            <w:shd w:val="clear" w:color="auto" w:fill="F4F3EC" w:themeFill="background2" w:themeFillTint="99"/>
          </w:tcPr>
          <w:p w14:paraId="53FC83D6" w14:textId="77777777" w:rsidR="00FF5459" w:rsidRPr="00DA70F1" w:rsidRDefault="00FF5459" w:rsidP="00BA2E74">
            <w:pPr>
              <w:spacing w:after="100" w:line="360" w:lineRule="auto"/>
              <w:rPr>
                <w:b/>
                <w:sz w:val="16"/>
                <w:szCs w:val="16"/>
              </w:rPr>
            </w:pPr>
            <w:r>
              <w:rPr>
                <w:b/>
                <w:sz w:val="16"/>
                <w:szCs w:val="16"/>
              </w:rPr>
              <w:t>4</w:t>
            </w:r>
            <w:r w:rsidRPr="00DA70F1">
              <w:rPr>
                <w:b/>
                <w:sz w:val="16"/>
                <w:szCs w:val="16"/>
              </w:rPr>
              <w:t>. In-scope products</w:t>
            </w:r>
          </w:p>
        </w:tc>
        <w:tc>
          <w:tcPr>
            <w:tcW w:w="1984" w:type="dxa"/>
            <w:shd w:val="clear" w:color="auto" w:fill="FF0000"/>
          </w:tcPr>
          <w:p w14:paraId="195A9B89" w14:textId="77777777" w:rsidR="00FF5459" w:rsidRPr="00DA70F1" w:rsidRDefault="00FF5459" w:rsidP="00BA2E74">
            <w:pPr>
              <w:spacing w:after="100" w:line="360" w:lineRule="auto"/>
              <w:rPr>
                <w:b/>
                <w:sz w:val="16"/>
                <w:szCs w:val="16"/>
              </w:rPr>
            </w:pPr>
            <w:r>
              <w:rPr>
                <w:b/>
                <w:sz w:val="16"/>
                <w:szCs w:val="16"/>
              </w:rPr>
              <w:t>“</w:t>
            </w:r>
            <w:r w:rsidRPr="00DA70F1">
              <w:rPr>
                <w:b/>
                <w:sz w:val="16"/>
                <w:szCs w:val="16"/>
              </w:rPr>
              <w:t>OTC-Derivatives</w:t>
            </w:r>
            <w:r>
              <w:rPr>
                <w:b/>
                <w:sz w:val="16"/>
                <w:szCs w:val="16"/>
              </w:rPr>
              <w:t>”</w:t>
            </w:r>
          </w:p>
        </w:tc>
        <w:tc>
          <w:tcPr>
            <w:tcW w:w="1984" w:type="dxa"/>
            <w:shd w:val="clear" w:color="auto" w:fill="00FF00"/>
          </w:tcPr>
          <w:p w14:paraId="440D94BC" w14:textId="77777777" w:rsidR="00FF5459" w:rsidRPr="00DA70F1" w:rsidRDefault="00FF5459" w:rsidP="00BA2E74">
            <w:pPr>
              <w:spacing w:after="100" w:line="360" w:lineRule="auto"/>
              <w:rPr>
                <w:b/>
                <w:sz w:val="16"/>
                <w:szCs w:val="16"/>
              </w:rPr>
            </w:pPr>
            <w:r>
              <w:rPr>
                <w:b/>
                <w:sz w:val="16"/>
                <w:szCs w:val="16"/>
              </w:rPr>
              <w:t>“</w:t>
            </w:r>
            <w:r w:rsidRPr="00DA70F1">
              <w:rPr>
                <w:b/>
                <w:sz w:val="16"/>
                <w:szCs w:val="16"/>
              </w:rPr>
              <w:t>Swaps</w:t>
            </w:r>
            <w:r>
              <w:rPr>
                <w:b/>
                <w:sz w:val="16"/>
                <w:szCs w:val="16"/>
              </w:rPr>
              <w:t>”</w:t>
            </w:r>
          </w:p>
        </w:tc>
        <w:tc>
          <w:tcPr>
            <w:tcW w:w="1984" w:type="dxa"/>
            <w:shd w:val="clear" w:color="auto" w:fill="00FF00"/>
          </w:tcPr>
          <w:p w14:paraId="580FD274" w14:textId="77777777" w:rsidR="00FF5459" w:rsidRPr="00DA70F1" w:rsidRDefault="00FF5459" w:rsidP="00BA2E74">
            <w:pPr>
              <w:spacing w:after="100" w:line="360" w:lineRule="auto"/>
              <w:rPr>
                <w:b/>
                <w:sz w:val="16"/>
                <w:szCs w:val="16"/>
              </w:rPr>
            </w:pPr>
            <w:r>
              <w:rPr>
                <w:b/>
                <w:sz w:val="16"/>
                <w:szCs w:val="16"/>
              </w:rPr>
              <w:t>“OTC-Derivatives” for financial settlement, excluding venue traded instruments</w:t>
            </w:r>
          </w:p>
        </w:tc>
        <w:tc>
          <w:tcPr>
            <w:tcW w:w="1984" w:type="dxa"/>
            <w:shd w:val="clear" w:color="auto" w:fill="FFFF00"/>
          </w:tcPr>
          <w:p w14:paraId="72098407" w14:textId="77777777" w:rsidR="00FF5459" w:rsidRDefault="00FF5459" w:rsidP="00BA2E74">
            <w:pPr>
              <w:spacing w:after="100" w:line="360" w:lineRule="auto"/>
              <w:rPr>
                <w:b/>
                <w:sz w:val="16"/>
                <w:szCs w:val="16"/>
              </w:rPr>
            </w:pPr>
            <w:r>
              <w:rPr>
                <w:b/>
                <w:sz w:val="16"/>
                <w:szCs w:val="16"/>
              </w:rPr>
              <w:t>“OTC-Derivatives”, excluding venue traded instruments</w:t>
            </w:r>
          </w:p>
        </w:tc>
      </w:tr>
      <w:tr w:rsidR="00FF5459" w14:paraId="3C99E75D" w14:textId="77777777" w:rsidTr="00BA2E74">
        <w:tc>
          <w:tcPr>
            <w:tcW w:w="1184" w:type="dxa"/>
            <w:shd w:val="clear" w:color="auto" w:fill="F4F3EC" w:themeFill="background2" w:themeFillTint="99"/>
          </w:tcPr>
          <w:p w14:paraId="11574CCB" w14:textId="77777777" w:rsidR="00FF5459" w:rsidRPr="00DA70F1" w:rsidRDefault="00FF5459" w:rsidP="00BA2E74">
            <w:pPr>
              <w:spacing w:after="100" w:line="360" w:lineRule="auto"/>
              <w:rPr>
                <w:b/>
                <w:sz w:val="16"/>
                <w:szCs w:val="16"/>
              </w:rPr>
            </w:pPr>
            <w:r w:rsidRPr="00DA70F1">
              <w:rPr>
                <w:b/>
                <w:sz w:val="16"/>
                <w:szCs w:val="16"/>
              </w:rPr>
              <w:t>a) includes physically settled products</w:t>
            </w:r>
          </w:p>
        </w:tc>
        <w:tc>
          <w:tcPr>
            <w:tcW w:w="1984" w:type="dxa"/>
            <w:shd w:val="clear" w:color="auto" w:fill="FF0000"/>
          </w:tcPr>
          <w:p w14:paraId="5D29CC4E" w14:textId="77777777" w:rsidR="00FF5459" w:rsidRPr="00DA70F1" w:rsidRDefault="00FF5459" w:rsidP="00BA2E74">
            <w:pPr>
              <w:tabs>
                <w:tab w:val="left" w:pos="914"/>
              </w:tabs>
              <w:spacing w:after="100" w:line="360" w:lineRule="auto"/>
              <w:rPr>
                <w:b/>
                <w:sz w:val="16"/>
                <w:szCs w:val="16"/>
              </w:rPr>
            </w:pPr>
            <w:r w:rsidRPr="00DA70F1">
              <w:rPr>
                <w:b/>
                <w:sz w:val="16"/>
                <w:szCs w:val="16"/>
              </w:rPr>
              <w:t>Yes</w:t>
            </w:r>
          </w:p>
        </w:tc>
        <w:tc>
          <w:tcPr>
            <w:tcW w:w="1984" w:type="dxa"/>
            <w:shd w:val="clear" w:color="auto" w:fill="00FF00"/>
          </w:tcPr>
          <w:p w14:paraId="278FADE5" w14:textId="77777777" w:rsidR="00FF5459" w:rsidRPr="00DA70F1" w:rsidRDefault="00FF5459" w:rsidP="00BA2E74">
            <w:pPr>
              <w:spacing w:after="100" w:line="360" w:lineRule="auto"/>
              <w:rPr>
                <w:b/>
                <w:sz w:val="16"/>
                <w:szCs w:val="16"/>
              </w:rPr>
            </w:pPr>
            <w:r w:rsidRPr="00DA70F1">
              <w:rPr>
                <w:b/>
                <w:sz w:val="16"/>
                <w:szCs w:val="16"/>
              </w:rPr>
              <w:t>No</w:t>
            </w:r>
            <w:r>
              <w:rPr>
                <w:b/>
                <w:sz w:val="16"/>
                <w:szCs w:val="16"/>
              </w:rPr>
              <w:t>, with limited practically irrelevant exemptions</w:t>
            </w:r>
          </w:p>
        </w:tc>
        <w:tc>
          <w:tcPr>
            <w:tcW w:w="1984" w:type="dxa"/>
            <w:shd w:val="clear" w:color="auto" w:fill="00FF00"/>
          </w:tcPr>
          <w:p w14:paraId="4E0EF0B3" w14:textId="77777777" w:rsidR="00FF5459" w:rsidRPr="00DA70F1" w:rsidRDefault="00FF5459" w:rsidP="00BA2E74">
            <w:pPr>
              <w:spacing w:after="100" w:line="360" w:lineRule="auto"/>
              <w:rPr>
                <w:b/>
                <w:sz w:val="16"/>
                <w:szCs w:val="16"/>
              </w:rPr>
            </w:pPr>
            <w:r>
              <w:rPr>
                <w:b/>
                <w:sz w:val="16"/>
                <w:szCs w:val="16"/>
              </w:rPr>
              <w:t>No</w:t>
            </w:r>
          </w:p>
        </w:tc>
        <w:tc>
          <w:tcPr>
            <w:tcW w:w="1984" w:type="dxa"/>
            <w:shd w:val="clear" w:color="auto" w:fill="FF0000"/>
          </w:tcPr>
          <w:p w14:paraId="2E34D9F2" w14:textId="77777777" w:rsidR="00FF5459" w:rsidRDefault="00FF5459" w:rsidP="00BA2E74">
            <w:pPr>
              <w:spacing w:after="100" w:line="360" w:lineRule="auto"/>
              <w:rPr>
                <w:b/>
                <w:sz w:val="16"/>
                <w:szCs w:val="16"/>
              </w:rPr>
            </w:pPr>
            <w:r>
              <w:rPr>
                <w:b/>
                <w:sz w:val="16"/>
                <w:szCs w:val="16"/>
              </w:rPr>
              <w:t>Yes</w:t>
            </w:r>
          </w:p>
        </w:tc>
      </w:tr>
      <w:tr w:rsidR="00FF5459" w:rsidRPr="008365E6" w14:paraId="73A10FA7" w14:textId="77777777" w:rsidTr="00BA2E74">
        <w:tc>
          <w:tcPr>
            <w:tcW w:w="1184" w:type="dxa"/>
            <w:shd w:val="clear" w:color="auto" w:fill="F4F3EC" w:themeFill="background2" w:themeFillTint="99"/>
          </w:tcPr>
          <w:p w14:paraId="774DBB71" w14:textId="77777777" w:rsidR="00FF5459" w:rsidRPr="00DA70F1" w:rsidRDefault="00FF5459" w:rsidP="00BA2E74">
            <w:pPr>
              <w:spacing w:after="100" w:line="360" w:lineRule="auto"/>
              <w:rPr>
                <w:b/>
                <w:sz w:val="16"/>
                <w:szCs w:val="16"/>
              </w:rPr>
            </w:pPr>
            <w:r w:rsidRPr="008365E6">
              <w:rPr>
                <w:b/>
                <w:sz w:val="16"/>
                <w:szCs w:val="16"/>
              </w:rPr>
              <w:t>b) includes physically settled ETD on third country venues</w:t>
            </w:r>
          </w:p>
        </w:tc>
        <w:tc>
          <w:tcPr>
            <w:tcW w:w="1984" w:type="dxa"/>
            <w:shd w:val="clear" w:color="auto" w:fill="FF0000"/>
          </w:tcPr>
          <w:p w14:paraId="7C1CC406" w14:textId="1C8E928F" w:rsidR="00FF5459" w:rsidRPr="008365E6" w:rsidRDefault="00FF5459" w:rsidP="00BA2E74">
            <w:pPr>
              <w:tabs>
                <w:tab w:val="left" w:pos="914"/>
              </w:tabs>
              <w:spacing w:after="100" w:line="360" w:lineRule="auto"/>
              <w:rPr>
                <w:b/>
                <w:sz w:val="16"/>
                <w:szCs w:val="16"/>
              </w:rPr>
            </w:pPr>
            <w:r w:rsidRPr="008365E6">
              <w:rPr>
                <w:b/>
                <w:sz w:val="16"/>
                <w:szCs w:val="16"/>
              </w:rPr>
              <w:t>Yes</w:t>
            </w:r>
            <w:r w:rsidR="00732ABA">
              <w:rPr>
                <w:b/>
                <w:sz w:val="16"/>
                <w:szCs w:val="16"/>
              </w:rPr>
              <w:t>,</w:t>
            </w:r>
            <w:r w:rsidRPr="008365E6">
              <w:rPr>
                <w:b/>
                <w:sz w:val="16"/>
                <w:szCs w:val="16"/>
              </w:rPr>
              <w:t xml:space="preserve"> if venue not individually recognized as equivalent</w:t>
            </w:r>
          </w:p>
        </w:tc>
        <w:tc>
          <w:tcPr>
            <w:tcW w:w="1984" w:type="dxa"/>
            <w:shd w:val="clear" w:color="auto" w:fill="00FF00"/>
          </w:tcPr>
          <w:p w14:paraId="7699229F" w14:textId="77777777" w:rsidR="00FF5459" w:rsidRPr="008365E6" w:rsidRDefault="00FF5459" w:rsidP="00BA2E74">
            <w:pPr>
              <w:spacing w:after="100" w:line="360" w:lineRule="auto"/>
              <w:rPr>
                <w:b/>
                <w:sz w:val="16"/>
                <w:szCs w:val="16"/>
              </w:rPr>
            </w:pPr>
            <w:r w:rsidRPr="008365E6">
              <w:rPr>
                <w:b/>
                <w:sz w:val="16"/>
                <w:szCs w:val="16"/>
              </w:rPr>
              <w:t>No, excluded due to physical settlement</w:t>
            </w:r>
            <w:r>
              <w:rPr>
                <w:b/>
                <w:sz w:val="16"/>
                <w:szCs w:val="16"/>
              </w:rPr>
              <w:t xml:space="preserve"> and in most cases not considered Swaps</w:t>
            </w:r>
          </w:p>
        </w:tc>
        <w:tc>
          <w:tcPr>
            <w:tcW w:w="1984" w:type="dxa"/>
            <w:shd w:val="clear" w:color="auto" w:fill="00FF00"/>
          </w:tcPr>
          <w:p w14:paraId="6BD2251F" w14:textId="77777777" w:rsidR="00FF5459" w:rsidRPr="008365E6" w:rsidRDefault="00FF5459" w:rsidP="00BA2E74">
            <w:pPr>
              <w:spacing w:after="100" w:line="360" w:lineRule="auto"/>
              <w:rPr>
                <w:b/>
                <w:sz w:val="16"/>
                <w:szCs w:val="16"/>
              </w:rPr>
            </w:pPr>
            <w:r w:rsidRPr="008365E6">
              <w:rPr>
                <w:b/>
                <w:sz w:val="16"/>
                <w:szCs w:val="16"/>
              </w:rPr>
              <w:t>No, excluded due to physical settlement</w:t>
            </w:r>
            <w:r>
              <w:rPr>
                <w:b/>
                <w:sz w:val="16"/>
                <w:szCs w:val="16"/>
              </w:rPr>
              <w:t xml:space="preserve"> and not considered OTC</w:t>
            </w:r>
          </w:p>
        </w:tc>
        <w:tc>
          <w:tcPr>
            <w:tcW w:w="1984" w:type="dxa"/>
            <w:shd w:val="clear" w:color="auto" w:fill="00FF00"/>
          </w:tcPr>
          <w:p w14:paraId="77E6FDBC" w14:textId="77777777" w:rsidR="00FF5459" w:rsidRPr="002F5B0C" w:rsidRDefault="00FF5459" w:rsidP="00BA2E74">
            <w:pPr>
              <w:spacing w:after="100" w:line="360" w:lineRule="auto"/>
              <w:rPr>
                <w:b/>
                <w:sz w:val="16"/>
                <w:szCs w:val="16"/>
              </w:rPr>
            </w:pPr>
            <w:r w:rsidRPr="008365E6">
              <w:rPr>
                <w:b/>
                <w:sz w:val="16"/>
                <w:szCs w:val="16"/>
              </w:rPr>
              <w:t>No, not considered OTC</w:t>
            </w:r>
          </w:p>
        </w:tc>
      </w:tr>
      <w:tr w:rsidR="00FF5459" w:rsidRPr="00EC474A" w14:paraId="523AAFF9" w14:textId="77777777" w:rsidTr="00BA2E74">
        <w:tc>
          <w:tcPr>
            <w:tcW w:w="1184" w:type="dxa"/>
            <w:shd w:val="clear" w:color="auto" w:fill="F4F3EC" w:themeFill="background2" w:themeFillTint="99"/>
          </w:tcPr>
          <w:p w14:paraId="04E26B57" w14:textId="77777777" w:rsidR="00FF5459" w:rsidRPr="00DA70F1" w:rsidRDefault="00FF5459" w:rsidP="00BA2E74">
            <w:pPr>
              <w:spacing w:after="100" w:line="360" w:lineRule="auto"/>
              <w:rPr>
                <w:b/>
                <w:sz w:val="16"/>
                <w:szCs w:val="16"/>
              </w:rPr>
            </w:pPr>
            <w:r>
              <w:rPr>
                <w:b/>
                <w:sz w:val="16"/>
                <w:szCs w:val="16"/>
              </w:rPr>
              <w:lastRenderedPageBreak/>
              <w:t>c) includes financially settled ETD on third country venues</w:t>
            </w:r>
          </w:p>
        </w:tc>
        <w:tc>
          <w:tcPr>
            <w:tcW w:w="1984" w:type="dxa"/>
            <w:shd w:val="clear" w:color="auto" w:fill="FF0000"/>
          </w:tcPr>
          <w:p w14:paraId="7D3C8AD8" w14:textId="77777777" w:rsidR="00FF5459" w:rsidRPr="00B24455" w:rsidRDefault="00FF5459" w:rsidP="00BA2E74">
            <w:pPr>
              <w:spacing w:after="100" w:line="360" w:lineRule="auto"/>
              <w:rPr>
                <w:b/>
                <w:sz w:val="16"/>
                <w:szCs w:val="16"/>
              </w:rPr>
            </w:pPr>
            <w:r w:rsidRPr="00DA70F1">
              <w:rPr>
                <w:b/>
                <w:sz w:val="16"/>
                <w:szCs w:val="16"/>
              </w:rPr>
              <w:t xml:space="preserve">Yes, if venue not </w:t>
            </w:r>
            <w:r>
              <w:rPr>
                <w:b/>
                <w:sz w:val="16"/>
                <w:szCs w:val="16"/>
              </w:rPr>
              <w:t xml:space="preserve">individually </w:t>
            </w:r>
            <w:r w:rsidRPr="00DA70F1">
              <w:rPr>
                <w:b/>
                <w:sz w:val="16"/>
                <w:szCs w:val="16"/>
              </w:rPr>
              <w:t>recognized as equivalent</w:t>
            </w:r>
          </w:p>
        </w:tc>
        <w:tc>
          <w:tcPr>
            <w:tcW w:w="1984" w:type="dxa"/>
            <w:shd w:val="clear" w:color="auto" w:fill="00FF00"/>
          </w:tcPr>
          <w:p w14:paraId="16A7810C" w14:textId="77777777" w:rsidR="00FF5459" w:rsidRPr="00B24455" w:rsidRDefault="00FF5459" w:rsidP="00BA2E74">
            <w:pPr>
              <w:spacing w:after="100" w:line="360" w:lineRule="auto"/>
              <w:rPr>
                <w:b/>
                <w:sz w:val="16"/>
                <w:szCs w:val="16"/>
              </w:rPr>
            </w:pPr>
            <w:r>
              <w:rPr>
                <w:b/>
                <w:sz w:val="16"/>
                <w:szCs w:val="16"/>
              </w:rPr>
              <w:t>Practically not</w:t>
            </w:r>
            <w:r w:rsidRPr="00DA70F1">
              <w:rPr>
                <w:b/>
                <w:sz w:val="16"/>
                <w:szCs w:val="16"/>
              </w:rPr>
              <w:t>,</w:t>
            </w:r>
            <w:r>
              <w:rPr>
                <w:b/>
                <w:sz w:val="16"/>
                <w:szCs w:val="16"/>
              </w:rPr>
              <w:t xml:space="preserve"> products usually not considered Swaps,</w:t>
            </w:r>
            <w:r w:rsidRPr="00DA70F1">
              <w:rPr>
                <w:b/>
                <w:sz w:val="16"/>
                <w:szCs w:val="16"/>
              </w:rPr>
              <w:t xml:space="preserve"> inclusion</w:t>
            </w:r>
            <w:r>
              <w:rPr>
                <w:b/>
                <w:sz w:val="16"/>
                <w:szCs w:val="16"/>
              </w:rPr>
              <w:t xml:space="preserve"> would</w:t>
            </w:r>
            <w:r w:rsidRPr="00DA70F1">
              <w:rPr>
                <w:b/>
                <w:sz w:val="16"/>
                <w:szCs w:val="16"/>
              </w:rPr>
              <w:t xml:space="preserve"> </w:t>
            </w:r>
            <w:r>
              <w:rPr>
                <w:b/>
                <w:sz w:val="16"/>
                <w:szCs w:val="16"/>
              </w:rPr>
              <w:t>further depend</w:t>
            </w:r>
            <w:r w:rsidRPr="00DA70F1">
              <w:rPr>
                <w:b/>
                <w:sz w:val="16"/>
                <w:szCs w:val="16"/>
              </w:rPr>
              <w:t xml:space="preserve"> on </w:t>
            </w:r>
            <w:r>
              <w:rPr>
                <w:b/>
                <w:sz w:val="16"/>
                <w:szCs w:val="16"/>
              </w:rPr>
              <w:t xml:space="preserve">US-impact, indicated by </w:t>
            </w:r>
            <w:r w:rsidRPr="00DA70F1">
              <w:rPr>
                <w:b/>
                <w:sz w:val="16"/>
                <w:szCs w:val="16"/>
              </w:rPr>
              <w:t xml:space="preserve">involvement of a US person, </w:t>
            </w:r>
            <w:r>
              <w:rPr>
                <w:b/>
                <w:color w:val="000000" w:themeColor="text1"/>
                <w:sz w:val="16"/>
                <w:szCs w:val="16"/>
              </w:rPr>
              <w:t>guaranteed e</w:t>
            </w:r>
            <w:r w:rsidRPr="00DA70F1">
              <w:rPr>
                <w:b/>
                <w:color w:val="000000" w:themeColor="text1"/>
                <w:sz w:val="16"/>
                <w:szCs w:val="16"/>
              </w:rPr>
              <w:t xml:space="preserve">ntity or significant risk subsidiary; </w:t>
            </w:r>
            <w:r>
              <w:rPr>
                <w:b/>
                <w:color w:val="000000" w:themeColor="text1"/>
                <w:sz w:val="16"/>
                <w:szCs w:val="16"/>
              </w:rPr>
              <w:t xml:space="preserve">general </w:t>
            </w:r>
            <w:r w:rsidRPr="00DA70F1">
              <w:rPr>
                <w:b/>
                <w:color w:val="000000" w:themeColor="text1"/>
                <w:sz w:val="16"/>
                <w:szCs w:val="16"/>
              </w:rPr>
              <w:t>exclusion of certain foreign boards of trade</w:t>
            </w:r>
          </w:p>
        </w:tc>
        <w:tc>
          <w:tcPr>
            <w:tcW w:w="1984" w:type="dxa"/>
            <w:shd w:val="clear" w:color="auto" w:fill="FFFF00"/>
          </w:tcPr>
          <w:p w14:paraId="330E7783" w14:textId="77777777" w:rsidR="00FF5459" w:rsidRPr="00DA70F1" w:rsidRDefault="00FF5459" w:rsidP="00BA2E74">
            <w:pPr>
              <w:spacing w:after="100" w:line="360" w:lineRule="auto"/>
              <w:rPr>
                <w:b/>
                <w:sz w:val="16"/>
                <w:szCs w:val="16"/>
              </w:rPr>
            </w:pPr>
            <w:r>
              <w:rPr>
                <w:b/>
                <w:sz w:val="16"/>
                <w:szCs w:val="16"/>
              </w:rPr>
              <w:t>No, not considered OTC due to general recognition of major third country venues in the law</w:t>
            </w:r>
          </w:p>
        </w:tc>
        <w:tc>
          <w:tcPr>
            <w:tcW w:w="1984" w:type="dxa"/>
            <w:shd w:val="clear" w:color="auto" w:fill="00FF00"/>
          </w:tcPr>
          <w:p w14:paraId="4D0BA160" w14:textId="77777777" w:rsidR="00FF5459" w:rsidRDefault="00FF5459" w:rsidP="00BA2E74">
            <w:pPr>
              <w:spacing w:after="100" w:line="360" w:lineRule="auto"/>
              <w:rPr>
                <w:b/>
                <w:sz w:val="16"/>
                <w:szCs w:val="16"/>
              </w:rPr>
            </w:pPr>
            <w:r>
              <w:rPr>
                <w:b/>
                <w:sz w:val="16"/>
                <w:szCs w:val="16"/>
              </w:rPr>
              <w:t>No, not considered OTC</w:t>
            </w:r>
          </w:p>
        </w:tc>
      </w:tr>
      <w:tr w:rsidR="00FF5459" w:rsidRPr="00A427B0" w14:paraId="39FD470A" w14:textId="77777777" w:rsidTr="00BA2E74">
        <w:tc>
          <w:tcPr>
            <w:tcW w:w="1184" w:type="dxa"/>
            <w:shd w:val="clear" w:color="auto" w:fill="F4F3EC" w:themeFill="background2" w:themeFillTint="99"/>
          </w:tcPr>
          <w:p w14:paraId="307DC3F7" w14:textId="77777777" w:rsidR="00FF5459" w:rsidRPr="00DA70F1" w:rsidRDefault="00FF5459" w:rsidP="00BA2E74">
            <w:pPr>
              <w:spacing w:after="80"/>
              <w:rPr>
                <w:b/>
                <w:sz w:val="16"/>
                <w:szCs w:val="16"/>
              </w:rPr>
            </w:pPr>
            <w:r>
              <w:rPr>
                <w:b/>
                <w:sz w:val="16"/>
                <w:szCs w:val="16"/>
              </w:rPr>
              <w:t>5</w:t>
            </w:r>
            <w:r w:rsidRPr="00DA70F1">
              <w:rPr>
                <w:b/>
                <w:sz w:val="16"/>
                <w:szCs w:val="16"/>
              </w:rPr>
              <w:t>. Geo</w:t>
            </w:r>
            <w:r>
              <w:rPr>
                <w:b/>
                <w:sz w:val="16"/>
                <w:szCs w:val="16"/>
              </w:rPr>
              <w:t>-</w:t>
            </w:r>
            <w:r w:rsidRPr="00DA70F1">
              <w:rPr>
                <w:b/>
                <w:sz w:val="16"/>
                <w:szCs w:val="16"/>
              </w:rPr>
              <w:t>graphical coverage</w:t>
            </w:r>
          </w:p>
        </w:tc>
        <w:tc>
          <w:tcPr>
            <w:tcW w:w="1984" w:type="dxa"/>
            <w:shd w:val="clear" w:color="auto" w:fill="FF0000"/>
          </w:tcPr>
          <w:p w14:paraId="63D3B2C5" w14:textId="77777777" w:rsidR="00FF5459" w:rsidRPr="00DA70F1" w:rsidRDefault="00FF5459" w:rsidP="00BA2E74">
            <w:pPr>
              <w:spacing w:after="80"/>
              <w:rPr>
                <w:b/>
                <w:sz w:val="16"/>
                <w:szCs w:val="16"/>
              </w:rPr>
            </w:pPr>
            <w:r w:rsidRPr="00DA70F1">
              <w:rPr>
                <w:b/>
                <w:sz w:val="16"/>
                <w:szCs w:val="16"/>
              </w:rPr>
              <w:t>Global reach</w:t>
            </w:r>
            <w:r>
              <w:rPr>
                <w:b/>
                <w:sz w:val="16"/>
                <w:szCs w:val="16"/>
              </w:rPr>
              <w:t xml:space="preserve"> for all in-scope instruments and activities</w:t>
            </w:r>
          </w:p>
        </w:tc>
        <w:tc>
          <w:tcPr>
            <w:tcW w:w="1984" w:type="dxa"/>
            <w:shd w:val="clear" w:color="auto" w:fill="FFFF00"/>
          </w:tcPr>
          <w:p w14:paraId="4B7E19D0" w14:textId="77777777" w:rsidR="00FF5459" w:rsidRPr="00DA70F1" w:rsidRDefault="00FF5459" w:rsidP="00BA2E74">
            <w:pPr>
              <w:spacing w:after="80"/>
              <w:rPr>
                <w:b/>
                <w:sz w:val="16"/>
                <w:szCs w:val="16"/>
              </w:rPr>
            </w:pPr>
            <w:r>
              <w:rPr>
                <w:b/>
                <w:sz w:val="16"/>
                <w:szCs w:val="16"/>
              </w:rPr>
              <w:t xml:space="preserve">All activities of US persons. Activities of affiliated non US-persons only if guaranteed entities or </w:t>
            </w:r>
            <w:r w:rsidRPr="00DA70F1">
              <w:rPr>
                <w:b/>
                <w:color w:val="000000" w:themeColor="text1"/>
                <w:sz w:val="16"/>
                <w:szCs w:val="16"/>
              </w:rPr>
              <w:t>significant risk subsidiaries</w:t>
            </w:r>
            <w:r>
              <w:rPr>
                <w:b/>
                <w:color w:val="000000" w:themeColor="text1"/>
                <w:sz w:val="16"/>
                <w:szCs w:val="16"/>
              </w:rPr>
              <w:t xml:space="preserve"> or with US persons or guaranteed entities</w:t>
            </w:r>
          </w:p>
        </w:tc>
        <w:tc>
          <w:tcPr>
            <w:tcW w:w="1984" w:type="dxa"/>
            <w:shd w:val="clear" w:color="auto" w:fill="00FF00"/>
          </w:tcPr>
          <w:p w14:paraId="3FB13022" w14:textId="24994115" w:rsidR="00FF5459" w:rsidRPr="00DA70F1" w:rsidRDefault="00FF5459" w:rsidP="00BA2E74">
            <w:pPr>
              <w:spacing w:after="80"/>
              <w:rPr>
                <w:b/>
                <w:sz w:val="16"/>
                <w:szCs w:val="16"/>
              </w:rPr>
            </w:pPr>
            <w:r>
              <w:rPr>
                <w:b/>
                <w:sz w:val="16"/>
                <w:szCs w:val="16"/>
              </w:rPr>
              <w:t xml:space="preserve">Only Australian incorporated entities, entities representing Australian schemes or transactions booked in Australian branches or entered into in Australia </w:t>
            </w:r>
          </w:p>
        </w:tc>
        <w:tc>
          <w:tcPr>
            <w:tcW w:w="1984" w:type="dxa"/>
            <w:shd w:val="clear" w:color="auto" w:fill="00FF00"/>
          </w:tcPr>
          <w:p w14:paraId="0B904D97" w14:textId="77777777" w:rsidR="00FF5459" w:rsidRDefault="00FF5459" w:rsidP="00BA2E74">
            <w:pPr>
              <w:spacing w:after="80"/>
              <w:rPr>
                <w:b/>
                <w:sz w:val="16"/>
                <w:szCs w:val="16"/>
              </w:rPr>
            </w:pPr>
            <w:r>
              <w:rPr>
                <w:b/>
                <w:sz w:val="16"/>
                <w:szCs w:val="16"/>
              </w:rPr>
              <w:t>Only Singaporean entities and instruments “booked in Singapore”</w:t>
            </w:r>
          </w:p>
        </w:tc>
      </w:tr>
      <w:tr w:rsidR="00FF5459" w:rsidRPr="00DA70F1" w14:paraId="2ABEA413" w14:textId="77777777" w:rsidTr="00BA2E74">
        <w:tc>
          <w:tcPr>
            <w:tcW w:w="1184" w:type="dxa"/>
            <w:shd w:val="clear" w:color="auto" w:fill="F4F3EC" w:themeFill="background2" w:themeFillTint="99"/>
          </w:tcPr>
          <w:p w14:paraId="449B126A" w14:textId="77777777" w:rsidR="00FF5459" w:rsidRPr="00DA70F1" w:rsidRDefault="00FF5459" w:rsidP="00BA2E74">
            <w:pPr>
              <w:spacing w:after="80" w:line="360" w:lineRule="auto"/>
              <w:rPr>
                <w:b/>
                <w:sz w:val="16"/>
                <w:szCs w:val="16"/>
              </w:rPr>
            </w:pPr>
            <w:r w:rsidRPr="00DA70F1">
              <w:rPr>
                <w:b/>
                <w:sz w:val="16"/>
                <w:szCs w:val="16"/>
              </w:rPr>
              <w:t>a) third country business of affiliates in scope</w:t>
            </w:r>
          </w:p>
        </w:tc>
        <w:tc>
          <w:tcPr>
            <w:tcW w:w="1984" w:type="dxa"/>
            <w:shd w:val="clear" w:color="auto" w:fill="FF0000"/>
          </w:tcPr>
          <w:p w14:paraId="0C1E46CD" w14:textId="77777777" w:rsidR="00FF5459" w:rsidRPr="00DA70F1" w:rsidRDefault="00FF5459" w:rsidP="00BA2E74">
            <w:pPr>
              <w:spacing w:after="80" w:line="360" w:lineRule="auto"/>
              <w:rPr>
                <w:b/>
                <w:sz w:val="16"/>
                <w:szCs w:val="16"/>
              </w:rPr>
            </w:pPr>
            <w:r w:rsidRPr="00DA70F1">
              <w:rPr>
                <w:b/>
                <w:sz w:val="16"/>
                <w:szCs w:val="16"/>
              </w:rPr>
              <w:t>Yes</w:t>
            </w:r>
          </w:p>
        </w:tc>
        <w:tc>
          <w:tcPr>
            <w:tcW w:w="1984" w:type="dxa"/>
            <w:shd w:val="clear" w:color="auto" w:fill="FFFF00"/>
          </w:tcPr>
          <w:p w14:paraId="008ED53B" w14:textId="77777777" w:rsidR="00FF5459" w:rsidRPr="00DA70F1" w:rsidRDefault="00FF5459" w:rsidP="00BA2E74">
            <w:pPr>
              <w:spacing w:after="80" w:line="360" w:lineRule="auto"/>
              <w:rPr>
                <w:b/>
                <w:sz w:val="16"/>
                <w:szCs w:val="16"/>
              </w:rPr>
            </w:pPr>
            <w:r w:rsidRPr="00DA70F1">
              <w:rPr>
                <w:b/>
                <w:sz w:val="16"/>
                <w:szCs w:val="16"/>
              </w:rPr>
              <w:t>No, if not</w:t>
            </w:r>
            <w:r>
              <w:rPr>
                <w:b/>
                <w:sz w:val="16"/>
                <w:szCs w:val="16"/>
              </w:rPr>
              <w:t xml:space="preserve"> itself a guaranteed entity or significant risk subsidiary or with US persons or guaranteed entity counterparties</w:t>
            </w:r>
          </w:p>
        </w:tc>
        <w:tc>
          <w:tcPr>
            <w:tcW w:w="1984" w:type="dxa"/>
            <w:shd w:val="clear" w:color="auto" w:fill="00FF00"/>
          </w:tcPr>
          <w:p w14:paraId="0296F91A" w14:textId="77777777" w:rsidR="00FF5459" w:rsidRPr="00DA70F1" w:rsidRDefault="00FF5459" w:rsidP="00BA2E74">
            <w:pPr>
              <w:spacing w:after="80" w:line="360" w:lineRule="auto"/>
              <w:rPr>
                <w:b/>
                <w:sz w:val="16"/>
                <w:szCs w:val="16"/>
              </w:rPr>
            </w:pPr>
            <w:r>
              <w:rPr>
                <w:b/>
                <w:sz w:val="16"/>
                <w:szCs w:val="16"/>
              </w:rPr>
              <w:t>No</w:t>
            </w:r>
          </w:p>
        </w:tc>
        <w:tc>
          <w:tcPr>
            <w:tcW w:w="1984" w:type="dxa"/>
            <w:shd w:val="clear" w:color="auto" w:fill="00FF00"/>
          </w:tcPr>
          <w:p w14:paraId="74DF048E" w14:textId="77777777" w:rsidR="00FF5459" w:rsidRDefault="00FF5459" w:rsidP="00BA2E74">
            <w:pPr>
              <w:spacing w:after="80" w:line="360" w:lineRule="auto"/>
              <w:rPr>
                <w:b/>
                <w:sz w:val="16"/>
                <w:szCs w:val="16"/>
              </w:rPr>
            </w:pPr>
            <w:r>
              <w:rPr>
                <w:b/>
                <w:sz w:val="16"/>
                <w:szCs w:val="16"/>
              </w:rPr>
              <w:t>No</w:t>
            </w:r>
          </w:p>
        </w:tc>
      </w:tr>
      <w:tr w:rsidR="00FF5459" w:rsidRPr="00DA70F1" w14:paraId="7F62D342" w14:textId="77777777" w:rsidTr="00BA2E74">
        <w:tc>
          <w:tcPr>
            <w:tcW w:w="1184" w:type="dxa"/>
            <w:shd w:val="clear" w:color="auto" w:fill="F4F3EC" w:themeFill="background2" w:themeFillTint="99"/>
          </w:tcPr>
          <w:p w14:paraId="6EA92805" w14:textId="77777777" w:rsidR="00FF5459" w:rsidRPr="00DA70F1" w:rsidRDefault="00FF5459" w:rsidP="00BA2E74">
            <w:pPr>
              <w:spacing w:after="80" w:line="360" w:lineRule="auto"/>
              <w:rPr>
                <w:b/>
                <w:sz w:val="16"/>
                <w:szCs w:val="16"/>
              </w:rPr>
            </w:pPr>
            <w:r>
              <w:rPr>
                <w:b/>
                <w:sz w:val="16"/>
                <w:szCs w:val="16"/>
              </w:rPr>
              <w:t>6</w:t>
            </w:r>
            <w:r w:rsidRPr="00DA70F1">
              <w:rPr>
                <w:b/>
                <w:sz w:val="16"/>
                <w:szCs w:val="16"/>
              </w:rPr>
              <w:t>. Includes intra-group transactions</w:t>
            </w:r>
          </w:p>
        </w:tc>
        <w:tc>
          <w:tcPr>
            <w:tcW w:w="1984" w:type="dxa"/>
            <w:shd w:val="clear" w:color="auto" w:fill="FF0000"/>
          </w:tcPr>
          <w:p w14:paraId="6A712DB7" w14:textId="77777777" w:rsidR="00FF5459" w:rsidRPr="00DA70F1" w:rsidRDefault="00FF5459" w:rsidP="00BA2E74">
            <w:pPr>
              <w:spacing w:after="80" w:line="360" w:lineRule="auto"/>
              <w:rPr>
                <w:b/>
                <w:sz w:val="16"/>
                <w:szCs w:val="16"/>
              </w:rPr>
            </w:pPr>
            <w:r w:rsidRPr="00DA70F1">
              <w:rPr>
                <w:b/>
                <w:sz w:val="16"/>
                <w:szCs w:val="16"/>
              </w:rPr>
              <w:t>Yes</w:t>
            </w:r>
          </w:p>
        </w:tc>
        <w:tc>
          <w:tcPr>
            <w:tcW w:w="1984" w:type="dxa"/>
            <w:shd w:val="clear" w:color="auto" w:fill="00FF00"/>
          </w:tcPr>
          <w:p w14:paraId="12F3C6E2" w14:textId="77777777" w:rsidR="00FF5459" w:rsidRPr="00DA70F1" w:rsidRDefault="00FF5459" w:rsidP="00BA2E74">
            <w:pPr>
              <w:spacing w:after="80" w:line="360" w:lineRule="auto"/>
              <w:rPr>
                <w:b/>
                <w:sz w:val="16"/>
                <w:szCs w:val="16"/>
              </w:rPr>
            </w:pPr>
            <w:r w:rsidRPr="00DA70F1">
              <w:rPr>
                <w:b/>
                <w:sz w:val="16"/>
                <w:szCs w:val="16"/>
              </w:rPr>
              <w:t>No</w:t>
            </w:r>
          </w:p>
        </w:tc>
        <w:tc>
          <w:tcPr>
            <w:tcW w:w="1984" w:type="dxa"/>
            <w:shd w:val="clear" w:color="auto" w:fill="00FF00"/>
          </w:tcPr>
          <w:p w14:paraId="2D219A2E" w14:textId="77777777" w:rsidR="00FF5459" w:rsidRPr="00DA70F1" w:rsidRDefault="00FF5459" w:rsidP="00BA2E74">
            <w:pPr>
              <w:spacing w:after="80" w:line="360" w:lineRule="auto"/>
              <w:rPr>
                <w:b/>
                <w:sz w:val="16"/>
                <w:szCs w:val="16"/>
              </w:rPr>
            </w:pPr>
            <w:r>
              <w:rPr>
                <w:b/>
                <w:sz w:val="16"/>
                <w:szCs w:val="16"/>
              </w:rPr>
              <w:t>No</w:t>
            </w:r>
          </w:p>
        </w:tc>
        <w:tc>
          <w:tcPr>
            <w:tcW w:w="1984" w:type="dxa"/>
            <w:shd w:val="clear" w:color="auto" w:fill="FF0000"/>
          </w:tcPr>
          <w:p w14:paraId="7D249486" w14:textId="77777777" w:rsidR="00FF5459" w:rsidRDefault="00FF5459" w:rsidP="00BA2E74">
            <w:pPr>
              <w:spacing w:after="80" w:line="360" w:lineRule="auto"/>
              <w:rPr>
                <w:b/>
                <w:sz w:val="16"/>
                <w:szCs w:val="16"/>
              </w:rPr>
            </w:pPr>
            <w:r>
              <w:rPr>
                <w:b/>
                <w:sz w:val="16"/>
                <w:szCs w:val="16"/>
              </w:rPr>
              <w:t>Yes</w:t>
            </w:r>
          </w:p>
        </w:tc>
      </w:tr>
      <w:tr w:rsidR="00FF5459" w:rsidRPr="00DA70F1" w14:paraId="29AB41F9" w14:textId="77777777" w:rsidTr="00BA2E74">
        <w:tc>
          <w:tcPr>
            <w:tcW w:w="1184" w:type="dxa"/>
            <w:shd w:val="clear" w:color="auto" w:fill="F4F3EC" w:themeFill="background2" w:themeFillTint="99"/>
          </w:tcPr>
          <w:p w14:paraId="0D4F917A" w14:textId="77777777" w:rsidR="00FF5459" w:rsidRPr="00DA70F1" w:rsidRDefault="00FF5459" w:rsidP="00BA2E74">
            <w:pPr>
              <w:spacing w:after="80" w:line="360" w:lineRule="auto"/>
              <w:rPr>
                <w:b/>
                <w:sz w:val="16"/>
                <w:szCs w:val="16"/>
              </w:rPr>
            </w:pPr>
            <w:r>
              <w:rPr>
                <w:b/>
                <w:sz w:val="16"/>
                <w:szCs w:val="16"/>
              </w:rPr>
              <w:t>7</w:t>
            </w:r>
            <w:r w:rsidRPr="00DA70F1">
              <w:rPr>
                <w:b/>
                <w:sz w:val="16"/>
                <w:szCs w:val="16"/>
              </w:rPr>
              <w:t>. Privileged transactions not counting against threshold</w:t>
            </w:r>
          </w:p>
        </w:tc>
        <w:tc>
          <w:tcPr>
            <w:tcW w:w="1984" w:type="dxa"/>
            <w:shd w:val="clear" w:color="auto" w:fill="00FF00"/>
          </w:tcPr>
          <w:p w14:paraId="408CAA98" w14:textId="77777777" w:rsidR="00FF5459" w:rsidRPr="00DA70F1" w:rsidRDefault="00FF5459" w:rsidP="00BA2E74">
            <w:pPr>
              <w:spacing w:after="80" w:line="360" w:lineRule="auto"/>
              <w:rPr>
                <w:b/>
                <w:sz w:val="16"/>
                <w:szCs w:val="16"/>
              </w:rPr>
            </w:pPr>
            <w:r w:rsidRPr="00DA70F1">
              <w:rPr>
                <w:b/>
                <w:sz w:val="16"/>
                <w:szCs w:val="16"/>
              </w:rPr>
              <w:t>Yes</w:t>
            </w:r>
          </w:p>
        </w:tc>
        <w:tc>
          <w:tcPr>
            <w:tcW w:w="1984" w:type="dxa"/>
            <w:shd w:val="clear" w:color="auto" w:fill="00FF00"/>
          </w:tcPr>
          <w:p w14:paraId="6F7968AD" w14:textId="77777777" w:rsidR="00FF5459" w:rsidRPr="00DA70F1" w:rsidRDefault="00FF5459" w:rsidP="00BA2E74">
            <w:pPr>
              <w:spacing w:after="80" w:line="360" w:lineRule="auto"/>
              <w:rPr>
                <w:b/>
                <w:sz w:val="16"/>
                <w:szCs w:val="16"/>
              </w:rPr>
            </w:pPr>
            <w:r w:rsidRPr="00DA70F1">
              <w:rPr>
                <w:b/>
                <w:sz w:val="16"/>
                <w:szCs w:val="16"/>
              </w:rPr>
              <w:t>Yes</w:t>
            </w:r>
          </w:p>
        </w:tc>
        <w:tc>
          <w:tcPr>
            <w:tcW w:w="1984" w:type="dxa"/>
            <w:shd w:val="clear" w:color="auto" w:fill="FFFF00"/>
          </w:tcPr>
          <w:p w14:paraId="1FB19E6D" w14:textId="77777777" w:rsidR="00FF5459" w:rsidRPr="00DA70F1" w:rsidRDefault="00FF5459" w:rsidP="00BA2E74">
            <w:pPr>
              <w:spacing w:after="80" w:line="360" w:lineRule="auto"/>
              <w:rPr>
                <w:b/>
                <w:sz w:val="16"/>
                <w:szCs w:val="16"/>
              </w:rPr>
            </w:pPr>
            <w:r>
              <w:rPr>
                <w:b/>
                <w:sz w:val="16"/>
                <w:szCs w:val="16"/>
              </w:rPr>
              <w:t>No, concept not applied</w:t>
            </w:r>
          </w:p>
        </w:tc>
        <w:tc>
          <w:tcPr>
            <w:tcW w:w="1984" w:type="dxa"/>
            <w:shd w:val="clear" w:color="auto" w:fill="FFFF00"/>
          </w:tcPr>
          <w:p w14:paraId="7C176C86" w14:textId="77777777" w:rsidR="00FF5459" w:rsidRDefault="00FF5459" w:rsidP="00BA2E74">
            <w:pPr>
              <w:spacing w:after="80" w:line="360" w:lineRule="auto"/>
              <w:rPr>
                <w:b/>
                <w:sz w:val="16"/>
                <w:szCs w:val="16"/>
              </w:rPr>
            </w:pPr>
            <w:r>
              <w:rPr>
                <w:b/>
                <w:sz w:val="16"/>
                <w:szCs w:val="16"/>
              </w:rPr>
              <w:t>No, concept not applied</w:t>
            </w:r>
          </w:p>
        </w:tc>
      </w:tr>
      <w:tr w:rsidR="00FF5459" w:rsidRPr="000D486A" w14:paraId="5F8E2F94" w14:textId="77777777" w:rsidTr="00BA2E74">
        <w:tc>
          <w:tcPr>
            <w:tcW w:w="1184" w:type="dxa"/>
            <w:shd w:val="clear" w:color="auto" w:fill="F4F3EC" w:themeFill="background2" w:themeFillTint="99"/>
          </w:tcPr>
          <w:p w14:paraId="2A0EB983" w14:textId="77777777" w:rsidR="00FF5459" w:rsidRPr="00DA70F1" w:rsidRDefault="00FF5459" w:rsidP="00BA2E74">
            <w:pPr>
              <w:spacing w:after="80" w:line="360" w:lineRule="auto"/>
              <w:rPr>
                <w:b/>
                <w:sz w:val="16"/>
                <w:szCs w:val="16"/>
              </w:rPr>
            </w:pPr>
            <w:r w:rsidRPr="00DA70F1">
              <w:rPr>
                <w:b/>
                <w:sz w:val="16"/>
                <w:szCs w:val="16"/>
              </w:rPr>
              <w:t>a) Hedging</w:t>
            </w:r>
          </w:p>
        </w:tc>
        <w:tc>
          <w:tcPr>
            <w:tcW w:w="1984" w:type="dxa"/>
            <w:shd w:val="clear" w:color="auto" w:fill="FFFF00"/>
          </w:tcPr>
          <w:p w14:paraId="11EF9815" w14:textId="77777777" w:rsidR="00FF5459" w:rsidRPr="00DA70F1" w:rsidRDefault="00FF5459" w:rsidP="00BA2E74">
            <w:pPr>
              <w:spacing w:after="80" w:line="360" w:lineRule="auto"/>
              <w:rPr>
                <w:b/>
                <w:sz w:val="16"/>
                <w:szCs w:val="16"/>
              </w:rPr>
            </w:pPr>
            <w:r w:rsidRPr="00DA70F1">
              <w:rPr>
                <w:b/>
                <w:sz w:val="16"/>
                <w:szCs w:val="16"/>
              </w:rPr>
              <w:t xml:space="preserve">Yes, if </w:t>
            </w:r>
            <w:r w:rsidRPr="00DA70F1">
              <w:rPr>
                <w:rFonts w:cs="Arial"/>
                <w:b/>
                <w:color w:val="000000"/>
                <w:sz w:val="16"/>
                <w:szCs w:val="16"/>
              </w:rPr>
              <w:t>objectively measurable as reducing risks relating to entity’s commercial activity</w:t>
            </w:r>
          </w:p>
        </w:tc>
        <w:tc>
          <w:tcPr>
            <w:tcW w:w="1984" w:type="dxa"/>
            <w:shd w:val="clear" w:color="auto" w:fill="FFFF00"/>
          </w:tcPr>
          <w:p w14:paraId="2FAA07AA" w14:textId="77777777" w:rsidR="00FF5459" w:rsidRPr="00DA70F1" w:rsidRDefault="00FF5459" w:rsidP="00BA2E74">
            <w:pPr>
              <w:spacing w:after="80" w:line="360" w:lineRule="auto"/>
              <w:rPr>
                <w:b/>
                <w:sz w:val="16"/>
                <w:szCs w:val="16"/>
              </w:rPr>
            </w:pPr>
            <w:r w:rsidRPr="00DA70F1">
              <w:rPr>
                <w:b/>
                <w:sz w:val="16"/>
                <w:szCs w:val="16"/>
              </w:rPr>
              <w:t>Yes, if hedging physical positions or ‘‘relevant facts and circumstances’’ test fulfilled</w:t>
            </w:r>
          </w:p>
        </w:tc>
        <w:tc>
          <w:tcPr>
            <w:tcW w:w="1984" w:type="dxa"/>
            <w:shd w:val="clear" w:color="auto" w:fill="FFFF00"/>
          </w:tcPr>
          <w:p w14:paraId="28F4DAC7" w14:textId="77777777" w:rsidR="00FF5459" w:rsidRPr="00DA70F1" w:rsidRDefault="00FF5459" w:rsidP="00BA2E74">
            <w:pPr>
              <w:spacing w:after="80" w:line="360" w:lineRule="auto"/>
              <w:rPr>
                <w:b/>
                <w:sz w:val="16"/>
                <w:szCs w:val="16"/>
              </w:rPr>
            </w:pPr>
            <w:r>
              <w:rPr>
                <w:b/>
                <w:sz w:val="16"/>
                <w:szCs w:val="16"/>
              </w:rPr>
              <w:t>No, concept not applied</w:t>
            </w:r>
          </w:p>
        </w:tc>
        <w:tc>
          <w:tcPr>
            <w:tcW w:w="1984" w:type="dxa"/>
            <w:shd w:val="clear" w:color="auto" w:fill="FFFF00"/>
          </w:tcPr>
          <w:p w14:paraId="5479CBD9" w14:textId="77777777" w:rsidR="00FF5459" w:rsidRDefault="00FF5459" w:rsidP="00BA2E74">
            <w:pPr>
              <w:spacing w:after="80" w:line="360" w:lineRule="auto"/>
              <w:rPr>
                <w:b/>
                <w:sz w:val="16"/>
                <w:szCs w:val="16"/>
              </w:rPr>
            </w:pPr>
            <w:r>
              <w:rPr>
                <w:b/>
                <w:sz w:val="16"/>
                <w:szCs w:val="16"/>
              </w:rPr>
              <w:t>No, concept not applied</w:t>
            </w:r>
          </w:p>
        </w:tc>
      </w:tr>
      <w:tr w:rsidR="00FF5459" w:rsidRPr="00DA70F1" w14:paraId="5B8B12F5" w14:textId="77777777" w:rsidTr="00BA2E74">
        <w:tc>
          <w:tcPr>
            <w:tcW w:w="1184" w:type="dxa"/>
            <w:shd w:val="clear" w:color="auto" w:fill="F4F3EC" w:themeFill="background2" w:themeFillTint="99"/>
          </w:tcPr>
          <w:p w14:paraId="6CC4223F" w14:textId="77777777" w:rsidR="00FF5459" w:rsidRPr="00DA70F1" w:rsidRDefault="00FF5459" w:rsidP="00BA2E74">
            <w:pPr>
              <w:spacing w:after="80" w:line="360" w:lineRule="auto"/>
              <w:rPr>
                <w:b/>
                <w:sz w:val="16"/>
                <w:szCs w:val="16"/>
              </w:rPr>
            </w:pPr>
            <w:proofErr w:type="spellStart"/>
            <w:r>
              <w:rPr>
                <w:b/>
                <w:sz w:val="16"/>
                <w:szCs w:val="16"/>
              </w:rPr>
              <w:t>i</w:t>
            </w:r>
            <w:proofErr w:type="spellEnd"/>
            <w:r>
              <w:rPr>
                <w:b/>
                <w:sz w:val="16"/>
                <w:szCs w:val="16"/>
              </w:rPr>
              <w:t>) third party commercial</w:t>
            </w:r>
            <w:r w:rsidRPr="00DA70F1">
              <w:rPr>
                <w:b/>
                <w:sz w:val="16"/>
                <w:szCs w:val="16"/>
              </w:rPr>
              <w:t xml:space="preserve"> </w:t>
            </w:r>
            <w:r w:rsidRPr="00DA70F1">
              <w:rPr>
                <w:b/>
                <w:sz w:val="16"/>
                <w:szCs w:val="16"/>
              </w:rPr>
              <w:lastRenderedPageBreak/>
              <w:t>positions eligible for hedging</w:t>
            </w:r>
          </w:p>
        </w:tc>
        <w:tc>
          <w:tcPr>
            <w:tcW w:w="1984" w:type="dxa"/>
            <w:shd w:val="clear" w:color="auto" w:fill="FF0000"/>
          </w:tcPr>
          <w:p w14:paraId="3B62B0CA" w14:textId="77777777" w:rsidR="00FF5459" w:rsidRPr="00DA70F1" w:rsidRDefault="00FF5459" w:rsidP="00BA2E74">
            <w:pPr>
              <w:spacing w:after="80" w:line="360" w:lineRule="auto"/>
              <w:rPr>
                <w:b/>
                <w:sz w:val="16"/>
                <w:szCs w:val="16"/>
              </w:rPr>
            </w:pPr>
            <w:r w:rsidRPr="00DA70F1">
              <w:rPr>
                <w:b/>
                <w:sz w:val="16"/>
                <w:szCs w:val="16"/>
              </w:rPr>
              <w:lastRenderedPageBreak/>
              <w:t>No</w:t>
            </w:r>
          </w:p>
        </w:tc>
        <w:tc>
          <w:tcPr>
            <w:tcW w:w="1984" w:type="dxa"/>
            <w:shd w:val="clear" w:color="auto" w:fill="FFFF00"/>
          </w:tcPr>
          <w:p w14:paraId="5425106B" w14:textId="77777777" w:rsidR="00FF5459" w:rsidRPr="00DA70F1" w:rsidRDefault="00FF5459" w:rsidP="00BA2E74">
            <w:pPr>
              <w:spacing w:after="80" w:line="360" w:lineRule="auto"/>
              <w:rPr>
                <w:b/>
                <w:sz w:val="16"/>
                <w:szCs w:val="16"/>
              </w:rPr>
            </w:pPr>
            <w:r w:rsidRPr="00DA70F1">
              <w:rPr>
                <w:b/>
                <w:sz w:val="16"/>
                <w:szCs w:val="16"/>
              </w:rPr>
              <w:t>Generally no</w:t>
            </w:r>
            <w:r>
              <w:rPr>
                <w:b/>
                <w:sz w:val="16"/>
                <w:szCs w:val="16"/>
              </w:rPr>
              <w:t>t but case-by-case analysis required</w:t>
            </w:r>
          </w:p>
        </w:tc>
        <w:tc>
          <w:tcPr>
            <w:tcW w:w="1984" w:type="dxa"/>
            <w:shd w:val="clear" w:color="auto" w:fill="FFFF00"/>
          </w:tcPr>
          <w:p w14:paraId="2CF3CD50" w14:textId="77777777" w:rsidR="00FF5459" w:rsidRPr="00DA70F1" w:rsidRDefault="00FF5459" w:rsidP="00BA2E74">
            <w:pPr>
              <w:spacing w:after="80" w:line="360" w:lineRule="auto"/>
              <w:rPr>
                <w:b/>
                <w:sz w:val="16"/>
                <w:szCs w:val="16"/>
              </w:rPr>
            </w:pPr>
            <w:r>
              <w:rPr>
                <w:b/>
                <w:sz w:val="16"/>
                <w:szCs w:val="16"/>
              </w:rPr>
              <w:t>No, concept not applied</w:t>
            </w:r>
          </w:p>
        </w:tc>
        <w:tc>
          <w:tcPr>
            <w:tcW w:w="1984" w:type="dxa"/>
            <w:shd w:val="clear" w:color="auto" w:fill="FFFF00"/>
          </w:tcPr>
          <w:p w14:paraId="201833E1" w14:textId="77777777" w:rsidR="00FF5459" w:rsidRDefault="00FF5459" w:rsidP="00BA2E74">
            <w:pPr>
              <w:spacing w:after="80" w:line="360" w:lineRule="auto"/>
              <w:rPr>
                <w:b/>
                <w:sz w:val="16"/>
                <w:szCs w:val="16"/>
              </w:rPr>
            </w:pPr>
            <w:r>
              <w:rPr>
                <w:b/>
                <w:sz w:val="16"/>
                <w:szCs w:val="16"/>
              </w:rPr>
              <w:t>No, concept not applied</w:t>
            </w:r>
          </w:p>
        </w:tc>
      </w:tr>
      <w:tr w:rsidR="00FF5459" w:rsidRPr="000D486A" w14:paraId="2E45AC63" w14:textId="77777777" w:rsidTr="00BA2E74">
        <w:tc>
          <w:tcPr>
            <w:tcW w:w="1184" w:type="dxa"/>
            <w:shd w:val="clear" w:color="auto" w:fill="F4F3EC" w:themeFill="background2" w:themeFillTint="99"/>
          </w:tcPr>
          <w:p w14:paraId="01632124" w14:textId="77777777" w:rsidR="00FF5459" w:rsidRPr="00DA70F1" w:rsidRDefault="00FF5459" w:rsidP="00BA2E74">
            <w:pPr>
              <w:spacing w:after="80" w:line="360" w:lineRule="auto"/>
              <w:rPr>
                <w:b/>
                <w:sz w:val="16"/>
                <w:szCs w:val="16"/>
              </w:rPr>
            </w:pPr>
            <w:r>
              <w:rPr>
                <w:b/>
                <w:sz w:val="16"/>
                <w:szCs w:val="16"/>
              </w:rPr>
              <w:t>ii</w:t>
            </w:r>
            <w:r w:rsidRPr="00DA70F1">
              <w:rPr>
                <w:b/>
                <w:sz w:val="16"/>
                <w:szCs w:val="16"/>
              </w:rPr>
              <w:t>) financial positions eligible for hedging</w:t>
            </w:r>
          </w:p>
        </w:tc>
        <w:tc>
          <w:tcPr>
            <w:tcW w:w="1984" w:type="dxa"/>
            <w:shd w:val="clear" w:color="auto" w:fill="FFFF00"/>
          </w:tcPr>
          <w:p w14:paraId="52FB1747" w14:textId="77777777" w:rsidR="00FF5459" w:rsidRPr="00DA70F1" w:rsidRDefault="00FF5459" w:rsidP="00BA2E74">
            <w:pPr>
              <w:spacing w:after="80" w:line="360" w:lineRule="auto"/>
              <w:rPr>
                <w:b/>
                <w:sz w:val="16"/>
                <w:szCs w:val="16"/>
              </w:rPr>
            </w:pPr>
            <w:r>
              <w:rPr>
                <w:b/>
                <w:sz w:val="16"/>
                <w:szCs w:val="16"/>
              </w:rPr>
              <w:t>In general y</w:t>
            </w:r>
            <w:r w:rsidRPr="00DA70F1">
              <w:rPr>
                <w:b/>
                <w:sz w:val="16"/>
                <w:szCs w:val="16"/>
              </w:rPr>
              <w:t>es, depending on underlying risk</w:t>
            </w:r>
          </w:p>
        </w:tc>
        <w:tc>
          <w:tcPr>
            <w:tcW w:w="1984" w:type="dxa"/>
            <w:shd w:val="clear" w:color="auto" w:fill="FFFF00"/>
          </w:tcPr>
          <w:p w14:paraId="05B8D74A" w14:textId="77777777" w:rsidR="00FF5459" w:rsidRPr="00DA70F1" w:rsidRDefault="00FF5459" w:rsidP="00BA2E74">
            <w:pPr>
              <w:spacing w:after="80" w:line="360" w:lineRule="auto"/>
              <w:rPr>
                <w:b/>
                <w:sz w:val="16"/>
                <w:szCs w:val="16"/>
              </w:rPr>
            </w:pPr>
            <w:r>
              <w:rPr>
                <w:b/>
                <w:sz w:val="16"/>
                <w:szCs w:val="16"/>
              </w:rPr>
              <w:t>In general y</w:t>
            </w:r>
            <w:r w:rsidRPr="00DA70F1">
              <w:rPr>
                <w:b/>
                <w:sz w:val="16"/>
                <w:szCs w:val="16"/>
              </w:rPr>
              <w:t>es, depending on underlying risk</w:t>
            </w:r>
          </w:p>
        </w:tc>
        <w:tc>
          <w:tcPr>
            <w:tcW w:w="1984" w:type="dxa"/>
            <w:shd w:val="clear" w:color="auto" w:fill="FFFF00"/>
          </w:tcPr>
          <w:p w14:paraId="1F27DE51" w14:textId="77777777" w:rsidR="00FF5459" w:rsidRDefault="00FF5459" w:rsidP="00BA2E74">
            <w:pPr>
              <w:spacing w:after="80" w:line="360" w:lineRule="auto"/>
              <w:rPr>
                <w:b/>
                <w:sz w:val="16"/>
                <w:szCs w:val="16"/>
              </w:rPr>
            </w:pPr>
            <w:r>
              <w:rPr>
                <w:b/>
                <w:sz w:val="16"/>
                <w:szCs w:val="16"/>
              </w:rPr>
              <w:t>No, concept not applied</w:t>
            </w:r>
          </w:p>
        </w:tc>
        <w:tc>
          <w:tcPr>
            <w:tcW w:w="1984" w:type="dxa"/>
            <w:shd w:val="clear" w:color="auto" w:fill="FFFF00"/>
          </w:tcPr>
          <w:p w14:paraId="57889840" w14:textId="77777777" w:rsidR="00FF5459" w:rsidRDefault="00FF5459" w:rsidP="00BA2E74">
            <w:pPr>
              <w:spacing w:after="80" w:line="360" w:lineRule="auto"/>
              <w:rPr>
                <w:b/>
                <w:sz w:val="16"/>
                <w:szCs w:val="16"/>
              </w:rPr>
            </w:pPr>
            <w:r>
              <w:rPr>
                <w:b/>
                <w:sz w:val="16"/>
                <w:szCs w:val="16"/>
              </w:rPr>
              <w:t>No, concept not applied</w:t>
            </w:r>
          </w:p>
        </w:tc>
      </w:tr>
      <w:tr w:rsidR="00FF5459" w:rsidRPr="00DA70F1" w14:paraId="1E87424A" w14:textId="77777777" w:rsidTr="00BA2E74">
        <w:tc>
          <w:tcPr>
            <w:tcW w:w="1184" w:type="dxa"/>
            <w:shd w:val="clear" w:color="auto" w:fill="F4F3EC" w:themeFill="background2" w:themeFillTint="99"/>
          </w:tcPr>
          <w:p w14:paraId="41F32356" w14:textId="77777777" w:rsidR="00FF5459" w:rsidRPr="00DA70F1" w:rsidRDefault="00FF5459" w:rsidP="00BA2E74">
            <w:pPr>
              <w:spacing w:after="80" w:line="360" w:lineRule="auto"/>
              <w:rPr>
                <w:b/>
                <w:sz w:val="16"/>
                <w:szCs w:val="16"/>
              </w:rPr>
            </w:pPr>
            <w:r>
              <w:rPr>
                <w:b/>
                <w:sz w:val="16"/>
                <w:szCs w:val="16"/>
              </w:rPr>
              <w:t>b</w:t>
            </w:r>
            <w:r w:rsidRPr="00DA70F1">
              <w:rPr>
                <w:b/>
                <w:sz w:val="16"/>
                <w:szCs w:val="16"/>
              </w:rPr>
              <w:t>) netting effects recognized</w:t>
            </w:r>
          </w:p>
        </w:tc>
        <w:tc>
          <w:tcPr>
            <w:tcW w:w="1984" w:type="dxa"/>
            <w:shd w:val="clear" w:color="auto" w:fill="FFFF00"/>
          </w:tcPr>
          <w:p w14:paraId="279F7E20" w14:textId="77777777" w:rsidR="00FF5459" w:rsidRPr="00DA70F1" w:rsidRDefault="00FF5459" w:rsidP="00BA2E74">
            <w:pPr>
              <w:spacing w:after="80" w:line="360" w:lineRule="auto"/>
              <w:rPr>
                <w:b/>
                <w:sz w:val="16"/>
                <w:szCs w:val="16"/>
              </w:rPr>
            </w:pPr>
            <w:r w:rsidRPr="00DA70F1">
              <w:rPr>
                <w:b/>
                <w:sz w:val="16"/>
                <w:szCs w:val="16"/>
              </w:rPr>
              <w:t>Yes, limited</w:t>
            </w:r>
          </w:p>
        </w:tc>
        <w:tc>
          <w:tcPr>
            <w:tcW w:w="1984" w:type="dxa"/>
            <w:shd w:val="clear" w:color="auto" w:fill="FF0000"/>
          </w:tcPr>
          <w:p w14:paraId="2CB649F9" w14:textId="77777777" w:rsidR="00FF5459" w:rsidRPr="00DA70F1" w:rsidRDefault="00FF5459" w:rsidP="00BA2E74">
            <w:pPr>
              <w:spacing w:after="80" w:line="360" w:lineRule="auto"/>
              <w:rPr>
                <w:b/>
                <w:sz w:val="16"/>
                <w:szCs w:val="16"/>
              </w:rPr>
            </w:pPr>
            <w:r w:rsidRPr="00DA70F1">
              <w:rPr>
                <w:b/>
                <w:sz w:val="16"/>
                <w:szCs w:val="16"/>
              </w:rPr>
              <w:t>No</w:t>
            </w:r>
          </w:p>
        </w:tc>
        <w:tc>
          <w:tcPr>
            <w:tcW w:w="1984" w:type="dxa"/>
            <w:shd w:val="clear" w:color="auto" w:fill="FF0000"/>
          </w:tcPr>
          <w:p w14:paraId="68409FB5" w14:textId="77777777" w:rsidR="00FF5459" w:rsidRPr="00DA70F1" w:rsidRDefault="00FF5459" w:rsidP="00BA2E74">
            <w:pPr>
              <w:spacing w:after="80" w:line="360" w:lineRule="auto"/>
              <w:rPr>
                <w:b/>
                <w:sz w:val="16"/>
                <w:szCs w:val="16"/>
              </w:rPr>
            </w:pPr>
            <w:r>
              <w:rPr>
                <w:b/>
                <w:sz w:val="16"/>
                <w:szCs w:val="16"/>
              </w:rPr>
              <w:t>No</w:t>
            </w:r>
          </w:p>
        </w:tc>
        <w:tc>
          <w:tcPr>
            <w:tcW w:w="1984" w:type="dxa"/>
            <w:shd w:val="clear" w:color="auto" w:fill="FF0000"/>
          </w:tcPr>
          <w:p w14:paraId="123BE32F" w14:textId="77777777" w:rsidR="00FF5459" w:rsidRDefault="00FF5459" w:rsidP="00BA2E74">
            <w:pPr>
              <w:spacing w:after="80" w:line="360" w:lineRule="auto"/>
              <w:rPr>
                <w:b/>
                <w:sz w:val="16"/>
                <w:szCs w:val="16"/>
              </w:rPr>
            </w:pPr>
            <w:r>
              <w:rPr>
                <w:b/>
                <w:sz w:val="16"/>
                <w:szCs w:val="16"/>
              </w:rPr>
              <w:t>No</w:t>
            </w:r>
          </w:p>
        </w:tc>
      </w:tr>
      <w:tr w:rsidR="00FF5459" w:rsidRPr="00A427B0" w14:paraId="1C60EDA6" w14:textId="77777777" w:rsidTr="00BA2E74">
        <w:tc>
          <w:tcPr>
            <w:tcW w:w="1184" w:type="dxa"/>
            <w:shd w:val="clear" w:color="auto" w:fill="F4F3EC" w:themeFill="background2" w:themeFillTint="99"/>
          </w:tcPr>
          <w:p w14:paraId="4606DDE9" w14:textId="77777777" w:rsidR="00FF5459" w:rsidRPr="00DA70F1" w:rsidRDefault="00FF5459" w:rsidP="00BA2E74">
            <w:pPr>
              <w:spacing w:after="100" w:line="360" w:lineRule="auto"/>
              <w:rPr>
                <w:b/>
                <w:sz w:val="16"/>
                <w:szCs w:val="16"/>
              </w:rPr>
            </w:pPr>
            <w:r>
              <w:rPr>
                <w:b/>
                <w:sz w:val="16"/>
                <w:szCs w:val="16"/>
              </w:rPr>
              <w:t xml:space="preserve">II. </w:t>
            </w:r>
            <w:r w:rsidRPr="00DA70F1">
              <w:rPr>
                <w:b/>
                <w:sz w:val="16"/>
                <w:szCs w:val="16"/>
              </w:rPr>
              <w:t xml:space="preserve">Threshold </w:t>
            </w:r>
            <w:r>
              <w:rPr>
                <w:b/>
                <w:sz w:val="16"/>
                <w:szCs w:val="16"/>
              </w:rPr>
              <w:t xml:space="preserve">1. </w:t>
            </w:r>
            <w:r w:rsidRPr="00DA70F1">
              <w:rPr>
                <w:b/>
                <w:sz w:val="16"/>
                <w:szCs w:val="16"/>
              </w:rPr>
              <w:t xml:space="preserve">amount </w:t>
            </w:r>
            <w:r>
              <w:rPr>
                <w:b/>
                <w:sz w:val="16"/>
                <w:szCs w:val="16"/>
              </w:rPr>
              <w:t>and reference</w:t>
            </w:r>
          </w:p>
        </w:tc>
        <w:tc>
          <w:tcPr>
            <w:tcW w:w="1984" w:type="dxa"/>
            <w:shd w:val="clear" w:color="auto" w:fill="FF0000"/>
          </w:tcPr>
          <w:p w14:paraId="107C02FF" w14:textId="77777777" w:rsidR="00FF5459" w:rsidRDefault="00FF5459" w:rsidP="00BA2E74">
            <w:pPr>
              <w:spacing w:after="100" w:line="360" w:lineRule="auto"/>
              <w:rPr>
                <w:b/>
                <w:color w:val="000000" w:themeColor="text1"/>
                <w:sz w:val="16"/>
                <w:szCs w:val="16"/>
              </w:rPr>
            </w:pPr>
            <w:r>
              <w:rPr>
                <w:b/>
                <w:color w:val="000000" w:themeColor="text1"/>
                <w:sz w:val="16"/>
                <w:szCs w:val="16"/>
              </w:rPr>
              <w:t xml:space="preserve">3 bn EUR </w:t>
            </w:r>
          </w:p>
          <w:p w14:paraId="008BB1D4" w14:textId="77777777" w:rsidR="00FF5459" w:rsidRDefault="00FF5459" w:rsidP="00BA2E74">
            <w:pPr>
              <w:spacing w:after="100" w:line="360" w:lineRule="auto"/>
              <w:rPr>
                <w:b/>
                <w:color w:val="000000" w:themeColor="text1"/>
                <w:sz w:val="16"/>
                <w:szCs w:val="16"/>
              </w:rPr>
            </w:pPr>
            <w:r>
              <w:rPr>
                <w:b/>
                <w:color w:val="000000" w:themeColor="text1"/>
                <w:sz w:val="16"/>
                <w:szCs w:val="16"/>
              </w:rPr>
              <w:t>Commodity threshold</w:t>
            </w:r>
          </w:p>
          <w:p w14:paraId="0A31C68B" w14:textId="77777777" w:rsidR="00FF5459" w:rsidRPr="0041219B" w:rsidRDefault="00FF5459" w:rsidP="00BA2E74">
            <w:pPr>
              <w:spacing w:after="100" w:line="360" w:lineRule="auto"/>
              <w:rPr>
                <w:b/>
                <w:color w:val="000000" w:themeColor="text1"/>
                <w:sz w:val="16"/>
                <w:szCs w:val="16"/>
              </w:rPr>
            </w:pPr>
            <w:r>
              <w:rPr>
                <w:b/>
                <w:color w:val="000000" w:themeColor="text1"/>
                <w:sz w:val="16"/>
                <w:szCs w:val="16"/>
              </w:rPr>
              <w:t xml:space="preserve"> - </w:t>
            </w:r>
            <w:r w:rsidRPr="0041219B">
              <w:rPr>
                <w:b/>
                <w:color w:val="000000" w:themeColor="text1"/>
                <w:sz w:val="16"/>
                <w:szCs w:val="16"/>
              </w:rPr>
              <w:t>pe</w:t>
            </w:r>
            <w:r w:rsidRPr="0041219B">
              <w:rPr>
                <w:b/>
                <w:sz w:val="16"/>
                <w:szCs w:val="16"/>
              </w:rPr>
              <w:t>r group -</w:t>
            </w:r>
          </w:p>
        </w:tc>
        <w:tc>
          <w:tcPr>
            <w:tcW w:w="1984" w:type="dxa"/>
            <w:shd w:val="clear" w:color="auto" w:fill="FFFF00"/>
          </w:tcPr>
          <w:p w14:paraId="329A82A3" w14:textId="77777777" w:rsidR="00FF5459" w:rsidRDefault="00FF5459" w:rsidP="00BA2E74">
            <w:pPr>
              <w:spacing w:after="100" w:line="360" w:lineRule="auto"/>
              <w:rPr>
                <w:b/>
                <w:sz w:val="16"/>
                <w:szCs w:val="16"/>
              </w:rPr>
            </w:pPr>
            <w:r>
              <w:rPr>
                <w:b/>
                <w:sz w:val="16"/>
                <w:szCs w:val="16"/>
              </w:rPr>
              <w:t>8 bn USD</w:t>
            </w:r>
          </w:p>
          <w:p w14:paraId="6C9278C6" w14:textId="77777777" w:rsidR="00FF5459" w:rsidRDefault="00FF5459" w:rsidP="00BA2E74">
            <w:pPr>
              <w:spacing w:after="100" w:line="360" w:lineRule="auto"/>
              <w:rPr>
                <w:b/>
                <w:sz w:val="16"/>
                <w:szCs w:val="16"/>
              </w:rPr>
            </w:pPr>
            <w:r>
              <w:rPr>
                <w:b/>
                <w:sz w:val="16"/>
                <w:szCs w:val="16"/>
              </w:rPr>
              <w:t>Single threshold</w:t>
            </w:r>
          </w:p>
          <w:p w14:paraId="4A30260C" w14:textId="77777777" w:rsidR="00FF5459" w:rsidRPr="00E30293" w:rsidRDefault="00FF5459" w:rsidP="00BA2E74">
            <w:pPr>
              <w:spacing w:after="100" w:line="360" w:lineRule="auto"/>
              <w:rPr>
                <w:b/>
                <w:color w:val="000000" w:themeColor="text1"/>
                <w:sz w:val="16"/>
                <w:szCs w:val="16"/>
              </w:rPr>
            </w:pPr>
            <w:r>
              <w:rPr>
                <w:b/>
                <w:sz w:val="16"/>
                <w:szCs w:val="16"/>
              </w:rPr>
              <w:t xml:space="preserve">- </w:t>
            </w:r>
            <w:r w:rsidRPr="00E30293">
              <w:rPr>
                <w:b/>
                <w:sz w:val="16"/>
                <w:szCs w:val="16"/>
              </w:rPr>
              <w:t>per group -</w:t>
            </w:r>
          </w:p>
        </w:tc>
        <w:tc>
          <w:tcPr>
            <w:tcW w:w="1984" w:type="dxa"/>
            <w:shd w:val="clear" w:color="auto" w:fill="00FF00"/>
          </w:tcPr>
          <w:p w14:paraId="343081FC" w14:textId="77777777" w:rsidR="00FF5459" w:rsidRDefault="00FF5459" w:rsidP="00BA2E74">
            <w:pPr>
              <w:spacing w:after="100" w:line="360" w:lineRule="auto"/>
              <w:rPr>
                <w:b/>
                <w:color w:val="000000" w:themeColor="text1"/>
                <w:sz w:val="16"/>
                <w:szCs w:val="16"/>
              </w:rPr>
            </w:pPr>
            <w:r>
              <w:rPr>
                <w:b/>
                <w:color w:val="000000" w:themeColor="text1"/>
                <w:sz w:val="16"/>
                <w:szCs w:val="16"/>
              </w:rPr>
              <w:t>100 bn AUD</w:t>
            </w:r>
          </w:p>
          <w:p w14:paraId="43F78267" w14:textId="77777777" w:rsidR="00FF5459" w:rsidRDefault="00FF5459" w:rsidP="00BA2E74">
            <w:pPr>
              <w:spacing w:after="100" w:line="360" w:lineRule="auto"/>
              <w:rPr>
                <w:b/>
                <w:color w:val="000000" w:themeColor="text1"/>
                <w:sz w:val="16"/>
                <w:szCs w:val="16"/>
              </w:rPr>
            </w:pPr>
            <w:r>
              <w:rPr>
                <w:b/>
                <w:color w:val="000000" w:themeColor="text1"/>
                <w:sz w:val="16"/>
                <w:szCs w:val="16"/>
              </w:rPr>
              <w:t>Single threshold</w:t>
            </w:r>
          </w:p>
          <w:p w14:paraId="09528BCD" w14:textId="77777777" w:rsidR="00FF5459" w:rsidRPr="00E30293" w:rsidRDefault="00FF5459" w:rsidP="00BA2E74">
            <w:pPr>
              <w:spacing w:after="100" w:line="360" w:lineRule="auto"/>
              <w:rPr>
                <w:b/>
                <w:color w:val="000000" w:themeColor="text1"/>
                <w:sz w:val="16"/>
                <w:szCs w:val="16"/>
              </w:rPr>
            </w:pPr>
            <w:r>
              <w:rPr>
                <w:b/>
                <w:sz w:val="16"/>
                <w:szCs w:val="16"/>
              </w:rPr>
              <w:t>- per entity</w:t>
            </w:r>
            <w:r w:rsidRPr="00E30293">
              <w:rPr>
                <w:b/>
                <w:sz w:val="16"/>
                <w:szCs w:val="16"/>
              </w:rPr>
              <w:t xml:space="preserve"> -</w:t>
            </w:r>
          </w:p>
        </w:tc>
        <w:tc>
          <w:tcPr>
            <w:tcW w:w="1984" w:type="dxa"/>
            <w:shd w:val="clear" w:color="auto" w:fill="00FF00"/>
          </w:tcPr>
          <w:p w14:paraId="3EC9FDE8" w14:textId="77777777" w:rsidR="00FF5459" w:rsidRDefault="00FF5459" w:rsidP="00BA2E74">
            <w:pPr>
              <w:spacing w:after="100" w:line="360" w:lineRule="auto"/>
              <w:rPr>
                <w:b/>
                <w:color w:val="000000" w:themeColor="text1"/>
                <w:sz w:val="16"/>
                <w:szCs w:val="16"/>
              </w:rPr>
            </w:pPr>
            <w:r>
              <w:rPr>
                <w:b/>
                <w:color w:val="000000" w:themeColor="text1"/>
                <w:sz w:val="16"/>
                <w:szCs w:val="16"/>
              </w:rPr>
              <w:t>20 bn SGD</w:t>
            </w:r>
          </w:p>
          <w:p w14:paraId="661E7D3A" w14:textId="77777777" w:rsidR="00FF5459" w:rsidRDefault="00FF5459" w:rsidP="00BA2E74">
            <w:pPr>
              <w:spacing w:after="100" w:line="360" w:lineRule="auto"/>
              <w:rPr>
                <w:b/>
                <w:sz w:val="16"/>
                <w:szCs w:val="16"/>
              </w:rPr>
            </w:pPr>
            <w:r>
              <w:rPr>
                <w:b/>
                <w:sz w:val="16"/>
                <w:szCs w:val="16"/>
              </w:rPr>
              <w:t xml:space="preserve">Single threshold </w:t>
            </w:r>
          </w:p>
          <w:p w14:paraId="3AB71301" w14:textId="77777777" w:rsidR="00FF5459" w:rsidRPr="00AD020D" w:rsidRDefault="00FF5459" w:rsidP="00BA2E74">
            <w:pPr>
              <w:spacing w:after="100" w:line="360" w:lineRule="auto"/>
              <w:rPr>
                <w:b/>
                <w:color w:val="000000" w:themeColor="text1"/>
                <w:sz w:val="16"/>
                <w:szCs w:val="16"/>
              </w:rPr>
            </w:pPr>
            <w:r>
              <w:rPr>
                <w:b/>
                <w:sz w:val="16"/>
                <w:szCs w:val="16"/>
              </w:rPr>
              <w:t>- per entity</w:t>
            </w:r>
            <w:r w:rsidRPr="00E30293">
              <w:rPr>
                <w:b/>
                <w:sz w:val="16"/>
                <w:szCs w:val="16"/>
              </w:rPr>
              <w:t xml:space="preserve"> -</w:t>
            </w:r>
          </w:p>
        </w:tc>
      </w:tr>
      <w:tr w:rsidR="00FF5459" w:rsidRPr="00A427B0" w14:paraId="1420699C" w14:textId="77777777" w:rsidTr="00BA2E74">
        <w:trPr>
          <w:trHeight w:val="1401"/>
        </w:trPr>
        <w:tc>
          <w:tcPr>
            <w:tcW w:w="1184" w:type="dxa"/>
            <w:shd w:val="clear" w:color="auto" w:fill="F4F3EC" w:themeFill="background2" w:themeFillTint="99"/>
          </w:tcPr>
          <w:p w14:paraId="4D89BC71" w14:textId="77777777" w:rsidR="00FF5459" w:rsidRPr="00DA70F1" w:rsidRDefault="00FF5459" w:rsidP="00BA2E74">
            <w:pPr>
              <w:spacing w:after="80" w:line="360" w:lineRule="auto"/>
              <w:rPr>
                <w:b/>
                <w:sz w:val="16"/>
                <w:szCs w:val="16"/>
              </w:rPr>
            </w:pPr>
            <w:r>
              <w:rPr>
                <w:b/>
                <w:sz w:val="16"/>
                <w:szCs w:val="16"/>
              </w:rPr>
              <w:t>2. Reference</w:t>
            </w:r>
            <w:r w:rsidRPr="00DA70F1">
              <w:rPr>
                <w:b/>
                <w:sz w:val="16"/>
                <w:szCs w:val="16"/>
              </w:rPr>
              <w:t xml:space="preserve"> period for calculation</w:t>
            </w:r>
          </w:p>
        </w:tc>
        <w:tc>
          <w:tcPr>
            <w:tcW w:w="1984" w:type="dxa"/>
            <w:shd w:val="clear" w:color="auto" w:fill="FFFF00"/>
          </w:tcPr>
          <w:p w14:paraId="380F0B4D" w14:textId="77777777" w:rsidR="00FF5459" w:rsidRPr="00DA70F1" w:rsidRDefault="00FF5459" w:rsidP="00BA2E74">
            <w:pPr>
              <w:spacing w:after="80" w:line="360" w:lineRule="auto"/>
              <w:rPr>
                <w:b/>
                <w:sz w:val="16"/>
                <w:szCs w:val="16"/>
              </w:rPr>
            </w:pPr>
            <w:r w:rsidRPr="00DA70F1">
              <w:rPr>
                <w:b/>
                <w:color w:val="000000" w:themeColor="text1"/>
                <w:sz w:val="16"/>
                <w:szCs w:val="16"/>
              </w:rPr>
              <w:t xml:space="preserve">Every 12 months as aggregate month-end </w:t>
            </w:r>
            <w:r w:rsidRPr="0041219B">
              <w:rPr>
                <w:b/>
                <w:color w:val="000000" w:themeColor="text1"/>
                <w:sz w:val="16"/>
                <w:szCs w:val="16"/>
              </w:rPr>
              <w:t>average position</w:t>
            </w:r>
            <w:r w:rsidRPr="00DA70F1">
              <w:rPr>
                <w:b/>
                <w:color w:val="000000" w:themeColor="text1"/>
                <w:sz w:val="16"/>
                <w:szCs w:val="16"/>
              </w:rPr>
              <w:t xml:space="preserve"> for the previous 12 months</w:t>
            </w:r>
          </w:p>
        </w:tc>
        <w:tc>
          <w:tcPr>
            <w:tcW w:w="1984" w:type="dxa"/>
            <w:shd w:val="clear" w:color="auto" w:fill="00FF00"/>
          </w:tcPr>
          <w:p w14:paraId="3431510E" w14:textId="77777777" w:rsidR="00FF5459" w:rsidRPr="00DA70F1" w:rsidRDefault="00FF5459" w:rsidP="00BA2E74">
            <w:pPr>
              <w:spacing w:after="80" w:line="360" w:lineRule="auto"/>
              <w:rPr>
                <w:b/>
                <w:sz w:val="16"/>
                <w:szCs w:val="16"/>
              </w:rPr>
            </w:pPr>
            <w:r>
              <w:rPr>
                <w:b/>
                <w:sz w:val="16"/>
                <w:szCs w:val="16"/>
              </w:rPr>
              <w:t xml:space="preserve">12 months </w:t>
            </w:r>
            <w:r w:rsidRPr="00DA70F1">
              <w:rPr>
                <w:b/>
                <w:sz w:val="16"/>
                <w:szCs w:val="16"/>
              </w:rPr>
              <w:t>rolling average</w:t>
            </w:r>
            <w:r>
              <w:rPr>
                <w:b/>
                <w:sz w:val="16"/>
                <w:szCs w:val="16"/>
              </w:rPr>
              <w:t xml:space="preserve"> of deals concluded</w:t>
            </w:r>
          </w:p>
        </w:tc>
        <w:tc>
          <w:tcPr>
            <w:tcW w:w="1984" w:type="dxa"/>
            <w:shd w:val="clear" w:color="auto" w:fill="FFFF00"/>
          </w:tcPr>
          <w:p w14:paraId="62FF55E2" w14:textId="77777777" w:rsidR="00FF5459" w:rsidRPr="00DA70F1" w:rsidRDefault="00FF5459" w:rsidP="00BA2E74">
            <w:pPr>
              <w:spacing w:after="100" w:line="360" w:lineRule="auto"/>
              <w:rPr>
                <w:b/>
                <w:color w:val="000000" w:themeColor="text1"/>
                <w:sz w:val="16"/>
                <w:szCs w:val="16"/>
              </w:rPr>
            </w:pPr>
            <w:r>
              <w:rPr>
                <w:b/>
                <w:color w:val="000000" w:themeColor="text1"/>
                <w:sz w:val="16"/>
                <w:szCs w:val="16"/>
              </w:rPr>
              <w:t>Position crossing at two consecutive calculation dates (one calculation date per quarter)</w:t>
            </w:r>
          </w:p>
        </w:tc>
        <w:tc>
          <w:tcPr>
            <w:tcW w:w="1984" w:type="dxa"/>
            <w:shd w:val="clear" w:color="auto" w:fill="FFFF00"/>
          </w:tcPr>
          <w:p w14:paraId="788EAA19" w14:textId="77777777" w:rsidR="00FF5459" w:rsidRDefault="00FF5459" w:rsidP="00BA2E74">
            <w:pPr>
              <w:spacing w:after="100" w:line="360" w:lineRule="auto"/>
              <w:rPr>
                <w:b/>
                <w:color w:val="000000" w:themeColor="text1"/>
                <w:sz w:val="16"/>
                <w:szCs w:val="16"/>
              </w:rPr>
            </w:pPr>
            <w:r>
              <w:rPr>
                <w:b/>
                <w:color w:val="000000" w:themeColor="text1"/>
                <w:sz w:val="16"/>
                <w:szCs w:val="16"/>
                <w:lang w:val="en-US"/>
              </w:rPr>
              <w:t>Position at l</w:t>
            </w:r>
            <w:r w:rsidRPr="00941043">
              <w:rPr>
                <w:b/>
                <w:color w:val="000000" w:themeColor="text1"/>
                <w:sz w:val="16"/>
                <w:szCs w:val="16"/>
                <w:lang w:val="en-US"/>
              </w:rPr>
              <w:t>ast day of each of the last 4 quarters</w:t>
            </w:r>
          </w:p>
        </w:tc>
      </w:tr>
    </w:tbl>
    <w:p w14:paraId="3A804822" w14:textId="373F52CE" w:rsidR="00FF5459" w:rsidRDefault="00FF5459" w:rsidP="00FF5459"/>
    <w:p w14:paraId="17A00AB4" w14:textId="3F00D449" w:rsidR="00702CD6" w:rsidRPr="007E571E" w:rsidRDefault="0002664E" w:rsidP="00702CD6">
      <w:pPr>
        <w:spacing w:before="120" w:after="120"/>
        <w:jc w:val="both"/>
        <w:rPr>
          <w:b/>
          <w:bCs/>
          <w:sz w:val="22"/>
        </w:rPr>
      </w:pPr>
      <w:r w:rsidRPr="007E571E">
        <w:rPr>
          <w:b/>
          <w:bCs/>
          <w:sz w:val="22"/>
        </w:rPr>
        <w:t xml:space="preserve">b) </w:t>
      </w:r>
      <w:r w:rsidR="00702CD6" w:rsidRPr="007E571E">
        <w:rPr>
          <w:b/>
          <w:bCs/>
          <w:sz w:val="22"/>
        </w:rPr>
        <w:t>Potential adverse consequences for the energy transition</w:t>
      </w:r>
    </w:p>
    <w:p w14:paraId="5C877C12" w14:textId="69C1C59A" w:rsidR="009E5E0A" w:rsidRPr="00146962" w:rsidRDefault="00702CD6" w:rsidP="009F0A21">
      <w:pPr>
        <w:spacing w:before="120" w:after="120"/>
        <w:jc w:val="both"/>
        <w:rPr>
          <w:rFonts w:eastAsia="Calibri"/>
          <w:b/>
          <w:bCs/>
          <w:sz w:val="22"/>
          <w:szCs w:val="22"/>
          <w:lang w:eastAsia="en-US"/>
        </w:rPr>
      </w:pPr>
      <w:r w:rsidRPr="00146962">
        <w:rPr>
          <w:b/>
          <w:bCs/>
          <w:sz w:val="22"/>
        </w:rPr>
        <w:t xml:space="preserve">As a result of this comparison, we conclude that the restrictive nature of the EU EMIR framework provides EU energy firms with limited headroom to offer suitable OTC hedging transactions to renewable energy producers in the EU and elsewhere in the world. This has direct adverse effects on the liquidity of OTC derivatives markets, the energy transition and </w:t>
      </w:r>
      <w:r w:rsidR="008D42F4" w:rsidRPr="00146962">
        <w:rPr>
          <w:b/>
          <w:bCs/>
          <w:sz w:val="22"/>
        </w:rPr>
        <w:t>European</w:t>
      </w:r>
      <w:r w:rsidRPr="00146962">
        <w:rPr>
          <w:b/>
          <w:bCs/>
          <w:sz w:val="22"/>
        </w:rPr>
        <w:t xml:space="preserve"> competitiveness.</w:t>
      </w:r>
    </w:p>
    <w:p w14:paraId="5DB687FE" w14:textId="77777777" w:rsidR="009E5E0A" w:rsidRPr="007E571E" w:rsidRDefault="009E5E0A" w:rsidP="009F0A21">
      <w:pPr>
        <w:spacing w:before="120" w:after="120"/>
        <w:jc w:val="both"/>
        <w:rPr>
          <w:rFonts w:eastAsia="Calibri"/>
          <w:sz w:val="22"/>
          <w:szCs w:val="22"/>
          <w:lang w:val="en-US" w:eastAsia="en-US"/>
        </w:rPr>
      </w:pPr>
      <w:r w:rsidRPr="007E571E">
        <w:rPr>
          <w:rFonts w:eastAsia="Calibri"/>
          <w:sz w:val="22"/>
          <w:szCs w:val="22"/>
          <w:lang w:eastAsia="en-US"/>
        </w:rPr>
        <w:t>In particular we note:</w:t>
      </w:r>
    </w:p>
    <w:p w14:paraId="3E8BFBA2" w14:textId="77B15A70" w:rsidR="009E5E0A" w:rsidRPr="007E571E" w:rsidRDefault="009E5E0A" w:rsidP="009F0A21">
      <w:pPr>
        <w:numPr>
          <w:ilvl w:val="0"/>
          <w:numId w:val="47"/>
        </w:numPr>
        <w:spacing w:before="120" w:after="120"/>
        <w:jc w:val="both"/>
        <w:rPr>
          <w:rFonts w:eastAsia="Calibri"/>
          <w:sz w:val="22"/>
          <w:szCs w:val="22"/>
          <w:lang w:val="en-US" w:eastAsia="en-US"/>
        </w:rPr>
      </w:pPr>
      <w:r w:rsidRPr="007E571E">
        <w:rPr>
          <w:rFonts w:eastAsia="Calibri"/>
          <w:sz w:val="22"/>
          <w:szCs w:val="22"/>
          <w:lang w:eastAsia="en-US"/>
        </w:rPr>
        <w:t xml:space="preserve">The EU EMIR framework provides EU non-financial firms with very limited headroom to offer suitable OTC hedging products to renewable energy producers in the EU. When looking internationally it can be seen that the relatively low level of the EMIR clearing threshold of EUR 3bn for commodities creates a strong incentive for EU energy firms to reduce their OTC trading derivatives activities, including the provision of hedges to renewable energy producers. </w:t>
      </w:r>
    </w:p>
    <w:p w14:paraId="1B413FF5" w14:textId="5DE2ED91" w:rsidR="009E5E0A" w:rsidRPr="001D4230" w:rsidRDefault="009E5E0A" w:rsidP="009F0A21">
      <w:pPr>
        <w:numPr>
          <w:ilvl w:val="0"/>
          <w:numId w:val="47"/>
        </w:numPr>
        <w:spacing w:before="120" w:after="120"/>
        <w:jc w:val="both"/>
        <w:rPr>
          <w:rFonts w:eastAsia="Calibri"/>
          <w:sz w:val="22"/>
          <w:szCs w:val="22"/>
          <w:lang w:val="en-US" w:eastAsia="en-US"/>
        </w:rPr>
      </w:pPr>
      <w:r w:rsidRPr="001D4230">
        <w:rPr>
          <w:rFonts w:eastAsia="Calibri"/>
          <w:sz w:val="22"/>
          <w:szCs w:val="22"/>
          <w:lang w:eastAsia="en-US"/>
        </w:rPr>
        <w:t xml:space="preserve">The reason is that for an energy firm providing hedges to renewable energy producers, these transactions will usually not be a hedge </w:t>
      </w:r>
      <w:r w:rsidR="00732ABA" w:rsidRPr="001D4230">
        <w:rPr>
          <w:rFonts w:eastAsia="Calibri"/>
          <w:sz w:val="22"/>
          <w:szCs w:val="22"/>
          <w:lang w:eastAsia="en-US"/>
        </w:rPr>
        <w:t>by itself</w:t>
      </w:r>
      <w:r w:rsidRPr="001D4230">
        <w:rPr>
          <w:rFonts w:eastAsia="Calibri"/>
          <w:sz w:val="22"/>
          <w:szCs w:val="22"/>
          <w:lang w:eastAsia="en-US"/>
        </w:rPr>
        <w:t xml:space="preserve"> and count against the EMIR clearing threshold. This is because energy firms which enter into</w:t>
      </w:r>
      <w:r w:rsidR="0061551F" w:rsidRPr="001D4230">
        <w:rPr>
          <w:rFonts w:eastAsia="Calibri"/>
          <w:sz w:val="22"/>
          <w:szCs w:val="22"/>
          <w:lang w:eastAsia="en-US"/>
        </w:rPr>
        <w:t xml:space="preserve"> these</w:t>
      </w:r>
      <w:r w:rsidRPr="001D4230">
        <w:rPr>
          <w:rFonts w:eastAsia="Calibri"/>
          <w:sz w:val="22"/>
          <w:szCs w:val="22"/>
          <w:lang w:eastAsia="en-US"/>
        </w:rPr>
        <w:t xml:space="preserve"> type</w:t>
      </w:r>
      <w:r w:rsidR="0061551F" w:rsidRPr="001D4230">
        <w:rPr>
          <w:rFonts w:eastAsia="Calibri"/>
          <w:sz w:val="22"/>
          <w:szCs w:val="22"/>
          <w:lang w:eastAsia="en-US"/>
        </w:rPr>
        <w:t>s</w:t>
      </w:r>
      <w:r w:rsidRPr="001D4230">
        <w:rPr>
          <w:rFonts w:eastAsia="Calibri"/>
          <w:sz w:val="22"/>
          <w:szCs w:val="22"/>
          <w:lang w:eastAsia="en-US"/>
        </w:rPr>
        <w:t xml:space="preserve"> of hed</w:t>
      </w:r>
      <w:r w:rsidR="0061551F" w:rsidRPr="001D4230">
        <w:rPr>
          <w:rFonts w:eastAsia="Calibri"/>
          <w:sz w:val="22"/>
          <w:szCs w:val="22"/>
          <w:lang w:eastAsia="en-US"/>
        </w:rPr>
        <w:t>ge</w:t>
      </w:r>
      <w:r w:rsidRPr="001D4230">
        <w:rPr>
          <w:rFonts w:eastAsia="Calibri"/>
          <w:sz w:val="22"/>
          <w:szCs w:val="22"/>
          <w:lang w:eastAsia="en-US"/>
        </w:rPr>
        <w:t xml:space="preserve"> transactions do not usually hedge the commercial risks of their business but rather those of the renewable energy producers. The current </w:t>
      </w:r>
      <w:r w:rsidR="00A5131C" w:rsidRPr="001D4230">
        <w:rPr>
          <w:rFonts w:eastAsia="Calibri"/>
          <w:sz w:val="22"/>
          <w:szCs w:val="22"/>
          <w:lang w:eastAsia="en-US"/>
        </w:rPr>
        <w:t xml:space="preserve">restrictive understanding of the </w:t>
      </w:r>
      <w:r w:rsidRPr="001D4230">
        <w:rPr>
          <w:rFonts w:eastAsia="Calibri"/>
          <w:sz w:val="22"/>
          <w:szCs w:val="22"/>
          <w:lang w:eastAsia="en-US"/>
        </w:rPr>
        <w:t xml:space="preserve">hedging definition of Article 10(1) CDR 149/2013 and the applicable interpretation of ESMA QAs do limit the ability of energy firms to categorise such transactions as reducing risk related to their own business. </w:t>
      </w:r>
    </w:p>
    <w:p w14:paraId="313F6622" w14:textId="72ED2E1E" w:rsidR="009E5E0A" w:rsidRPr="001D4230" w:rsidRDefault="009E5E0A" w:rsidP="009F0A21">
      <w:pPr>
        <w:numPr>
          <w:ilvl w:val="0"/>
          <w:numId w:val="47"/>
        </w:numPr>
        <w:spacing w:before="120" w:after="120"/>
        <w:jc w:val="both"/>
        <w:rPr>
          <w:rFonts w:eastAsia="Calibri"/>
          <w:sz w:val="22"/>
          <w:szCs w:val="22"/>
          <w:lang w:val="en-US" w:eastAsia="en-US"/>
        </w:rPr>
      </w:pPr>
      <w:r w:rsidRPr="001D4230">
        <w:rPr>
          <w:rFonts w:eastAsia="Calibri"/>
          <w:sz w:val="22"/>
          <w:szCs w:val="22"/>
          <w:lang w:eastAsia="en-US"/>
        </w:rPr>
        <w:lastRenderedPageBreak/>
        <w:t>The consequence is that e</w:t>
      </w:r>
      <w:proofErr w:type="spellStart"/>
      <w:r w:rsidRPr="001D4230">
        <w:rPr>
          <w:rFonts w:eastAsia="Calibri"/>
          <w:sz w:val="22"/>
          <w:szCs w:val="22"/>
          <w:lang w:val="en-US" w:eastAsia="en-US"/>
        </w:rPr>
        <w:t>nergy</w:t>
      </w:r>
      <w:proofErr w:type="spellEnd"/>
      <w:r w:rsidRPr="001D4230">
        <w:rPr>
          <w:rFonts w:eastAsia="Calibri"/>
          <w:sz w:val="22"/>
          <w:szCs w:val="22"/>
          <w:lang w:val="en-US" w:eastAsia="en-US"/>
        </w:rPr>
        <w:t xml:space="preserve"> firms are </w:t>
      </w:r>
      <w:proofErr w:type="spellStart"/>
      <w:r w:rsidRPr="001D4230">
        <w:rPr>
          <w:rFonts w:eastAsia="Calibri"/>
          <w:sz w:val="22"/>
          <w:szCs w:val="22"/>
          <w:lang w:val="en-US" w:eastAsia="en-US"/>
        </w:rPr>
        <w:t>incentivised</w:t>
      </w:r>
      <w:proofErr w:type="spellEnd"/>
      <w:r w:rsidRPr="001D4230">
        <w:rPr>
          <w:rFonts w:eastAsia="Calibri"/>
          <w:sz w:val="22"/>
          <w:szCs w:val="22"/>
          <w:lang w:val="en-US" w:eastAsia="en-US"/>
        </w:rPr>
        <w:t xml:space="preserve"> to reduce the</w:t>
      </w:r>
      <w:r w:rsidRPr="001D4230">
        <w:rPr>
          <w:rFonts w:eastAsia="Calibri"/>
          <w:sz w:val="22"/>
          <w:szCs w:val="22"/>
          <w:lang w:eastAsia="en-US"/>
        </w:rPr>
        <w:t xml:space="preserve">se hedging activities to avoid the risk </w:t>
      </w:r>
      <w:r w:rsidR="00732ABA" w:rsidRPr="001D4230">
        <w:rPr>
          <w:rFonts w:eastAsia="Calibri"/>
          <w:sz w:val="22"/>
          <w:szCs w:val="22"/>
          <w:lang w:eastAsia="en-US"/>
        </w:rPr>
        <w:t>of</w:t>
      </w:r>
      <w:r w:rsidRPr="001D4230">
        <w:rPr>
          <w:rFonts w:eastAsia="Calibri"/>
          <w:sz w:val="22"/>
          <w:szCs w:val="22"/>
          <w:lang w:eastAsia="en-US"/>
        </w:rPr>
        <w:t xml:space="preserve"> breach</w:t>
      </w:r>
      <w:r w:rsidR="00732ABA" w:rsidRPr="001D4230">
        <w:rPr>
          <w:rFonts w:eastAsia="Calibri"/>
          <w:sz w:val="22"/>
          <w:szCs w:val="22"/>
          <w:lang w:eastAsia="en-US"/>
        </w:rPr>
        <w:t>ing</w:t>
      </w:r>
      <w:r w:rsidRPr="001D4230">
        <w:rPr>
          <w:rFonts w:eastAsia="Calibri"/>
          <w:sz w:val="22"/>
          <w:szCs w:val="22"/>
          <w:lang w:eastAsia="en-US"/>
        </w:rPr>
        <w:t xml:space="preserve"> the current EMIR clearing threshold. This is because non-financial firms above the EMIR clearing threshold, so-called NFC+</w:t>
      </w:r>
      <w:r w:rsidR="006A6B20" w:rsidRPr="001D4230">
        <w:rPr>
          <w:rFonts w:eastAsia="Calibri"/>
          <w:sz w:val="22"/>
          <w:szCs w:val="22"/>
          <w:lang w:eastAsia="en-US"/>
        </w:rPr>
        <w:t>s</w:t>
      </w:r>
      <w:r w:rsidRPr="001D4230">
        <w:rPr>
          <w:rFonts w:eastAsia="Calibri"/>
          <w:sz w:val="22"/>
          <w:szCs w:val="22"/>
          <w:lang w:eastAsia="en-US"/>
        </w:rPr>
        <w:t>, must comply with prohibitive costly and burdensome regulatory obligations, including clearing and margining obligations</w:t>
      </w:r>
      <w:r w:rsidR="007A337B" w:rsidRPr="001D4230">
        <w:rPr>
          <w:rFonts w:eastAsia="Calibri"/>
          <w:sz w:val="22"/>
          <w:szCs w:val="22"/>
          <w:lang w:eastAsia="en-US"/>
        </w:rPr>
        <w:t xml:space="preserve"> (see our explanations under </w:t>
      </w:r>
      <w:r w:rsidR="00DD6481" w:rsidRPr="001D4230">
        <w:rPr>
          <w:rFonts w:eastAsia="Calibri"/>
          <w:sz w:val="22"/>
          <w:szCs w:val="22"/>
          <w:lang w:eastAsia="en-US"/>
        </w:rPr>
        <w:t>Section</w:t>
      </w:r>
      <w:r w:rsidR="00410770" w:rsidRPr="001D4230">
        <w:rPr>
          <w:rFonts w:eastAsia="Calibri"/>
          <w:sz w:val="22"/>
          <w:szCs w:val="22"/>
          <w:lang w:eastAsia="en-US"/>
        </w:rPr>
        <w:t xml:space="preserve"> 2 a below</w:t>
      </w:r>
      <w:r w:rsidR="007A337B" w:rsidRPr="001D4230">
        <w:rPr>
          <w:rFonts w:eastAsia="Calibri"/>
          <w:sz w:val="22"/>
          <w:szCs w:val="22"/>
          <w:lang w:eastAsia="en-US"/>
        </w:rPr>
        <w:t>)</w:t>
      </w:r>
      <w:r w:rsidRPr="001D4230">
        <w:rPr>
          <w:rFonts w:eastAsia="Calibri"/>
          <w:sz w:val="22"/>
          <w:szCs w:val="22"/>
          <w:lang w:eastAsia="en-US"/>
        </w:rPr>
        <w:t>.</w:t>
      </w:r>
    </w:p>
    <w:p w14:paraId="683DEECE" w14:textId="776E7922" w:rsidR="009E5E0A" w:rsidRPr="007E571E" w:rsidRDefault="009E5E0A" w:rsidP="009F0A21">
      <w:pPr>
        <w:numPr>
          <w:ilvl w:val="0"/>
          <w:numId w:val="47"/>
        </w:numPr>
        <w:spacing w:before="120" w:after="120"/>
        <w:jc w:val="both"/>
        <w:rPr>
          <w:rFonts w:eastAsia="Calibri"/>
          <w:sz w:val="22"/>
          <w:szCs w:val="22"/>
          <w:lang w:val="en-US" w:eastAsia="en-US"/>
        </w:rPr>
      </w:pPr>
      <w:r w:rsidRPr="007E571E">
        <w:rPr>
          <w:rFonts w:eastAsia="Calibri"/>
          <w:sz w:val="22"/>
          <w:szCs w:val="22"/>
          <w:lang w:val="en-US" w:eastAsia="en-US"/>
        </w:rPr>
        <w:t xml:space="preserve">In practice, </w:t>
      </w:r>
      <w:r w:rsidRPr="007E571E">
        <w:rPr>
          <w:rFonts w:eastAsia="Calibri"/>
          <w:sz w:val="22"/>
          <w:szCs w:val="22"/>
          <w:lang w:eastAsia="en-US"/>
        </w:rPr>
        <w:t>this means that energy firms will offer a relatively limited number of hedging transactions to renewable energy producers. This is because the hedge transactions with renewable energy producers usually reduce a commercial risk of a long duration and great size</w:t>
      </w:r>
      <w:r w:rsidR="007A337B" w:rsidRPr="007E571E">
        <w:rPr>
          <w:rFonts w:eastAsia="Calibri"/>
          <w:sz w:val="22"/>
          <w:szCs w:val="22"/>
          <w:lang w:eastAsia="en-US"/>
        </w:rPr>
        <w:t xml:space="preserve"> as the following example shows</w:t>
      </w:r>
      <w:r w:rsidRPr="007E571E">
        <w:rPr>
          <w:rFonts w:eastAsia="Calibri"/>
          <w:sz w:val="22"/>
          <w:szCs w:val="22"/>
          <w:lang w:eastAsia="en-US"/>
        </w:rPr>
        <w:t>.</w:t>
      </w:r>
    </w:p>
    <w:p w14:paraId="29781AF9" w14:textId="78069A4E" w:rsidR="009F0A21" w:rsidRPr="001D4230" w:rsidRDefault="005E5F51" w:rsidP="009F0A21">
      <w:pPr>
        <w:numPr>
          <w:ilvl w:val="0"/>
          <w:numId w:val="47"/>
        </w:numPr>
        <w:spacing w:before="120" w:after="120"/>
        <w:jc w:val="both"/>
        <w:rPr>
          <w:rFonts w:eastAsia="Calibri"/>
          <w:sz w:val="22"/>
          <w:szCs w:val="22"/>
          <w:lang w:val="en-US" w:eastAsia="en-US"/>
        </w:rPr>
      </w:pPr>
      <w:r w:rsidRPr="001D4230">
        <w:rPr>
          <w:rFonts w:eastAsia="Calibri"/>
          <w:sz w:val="22"/>
          <w:szCs w:val="22"/>
          <w:lang w:val="en-US" w:eastAsia="en-US"/>
        </w:rPr>
        <w:t>It</w:t>
      </w:r>
      <w:r w:rsidR="009E5E0A" w:rsidRPr="001D4230">
        <w:rPr>
          <w:rFonts w:eastAsia="Calibri"/>
          <w:sz w:val="22"/>
          <w:szCs w:val="22"/>
          <w:lang w:eastAsia="en-US"/>
        </w:rPr>
        <w:t xml:space="preserve"> only</w:t>
      </w:r>
      <w:r w:rsidRPr="001D4230">
        <w:rPr>
          <w:rFonts w:eastAsia="Calibri"/>
          <w:sz w:val="22"/>
          <w:szCs w:val="22"/>
          <w:lang w:eastAsia="en-US"/>
        </w:rPr>
        <w:t xml:space="preserve"> takes</w:t>
      </w:r>
      <w:r w:rsidR="009E5E0A" w:rsidRPr="001D4230">
        <w:rPr>
          <w:rFonts w:eastAsia="Calibri"/>
          <w:sz w:val="22"/>
          <w:szCs w:val="22"/>
          <w:lang w:eastAsia="en-US"/>
        </w:rPr>
        <w:t xml:space="preserve"> a few hedging transactions</w:t>
      </w:r>
      <w:r w:rsidRPr="001D4230">
        <w:rPr>
          <w:rFonts w:eastAsia="Calibri"/>
          <w:sz w:val="22"/>
          <w:szCs w:val="22"/>
          <w:lang w:eastAsia="en-US"/>
        </w:rPr>
        <w:t xml:space="preserve"> </w:t>
      </w:r>
      <w:r w:rsidR="00FA1C3D" w:rsidRPr="001D4230">
        <w:rPr>
          <w:rFonts w:eastAsia="Calibri"/>
          <w:sz w:val="22"/>
          <w:szCs w:val="22"/>
          <w:lang w:eastAsia="en-US"/>
        </w:rPr>
        <w:t xml:space="preserve">to </w:t>
      </w:r>
      <w:r w:rsidR="009E5E0A" w:rsidRPr="001D4230">
        <w:rPr>
          <w:rFonts w:eastAsia="Calibri"/>
          <w:sz w:val="22"/>
          <w:szCs w:val="22"/>
          <w:lang w:eastAsia="en-US"/>
        </w:rPr>
        <w:t>consume the entire EMIR clearing threshold of EUR 3bn for commodities.</w:t>
      </w:r>
      <w:r w:rsidR="00D15F96" w:rsidRPr="001D4230">
        <w:rPr>
          <w:rFonts w:eastAsia="Calibri"/>
          <w:sz w:val="22"/>
          <w:szCs w:val="22"/>
          <w:lang w:eastAsia="en-US"/>
        </w:rPr>
        <w:t xml:space="preserve"> We illustrate this impact based on a wind farm park with a total </w:t>
      </w:r>
      <w:r w:rsidR="009F0A21" w:rsidRPr="001D4230">
        <w:rPr>
          <w:rFonts w:eastAsia="Calibri"/>
          <w:sz w:val="22"/>
          <w:szCs w:val="22"/>
          <w:lang w:eastAsia="en-US"/>
        </w:rPr>
        <w:t xml:space="preserve">installed </w:t>
      </w:r>
      <w:r w:rsidR="00D15F96" w:rsidRPr="001D4230">
        <w:rPr>
          <w:rFonts w:eastAsia="Calibri"/>
          <w:sz w:val="22"/>
          <w:szCs w:val="22"/>
          <w:lang w:eastAsia="en-US"/>
        </w:rPr>
        <w:t xml:space="preserve">capacity of </w:t>
      </w:r>
      <w:r w:rsidR="009F0A21" w:rsidRPr="001D4230">
        <w:rPr>
          <w:rFonts w:eastAsia="Calibri"/>
          <w:sz w:val="22"/>
          <w:szCs w:val="22"/>
          <w:lang w:eastAsia="en-US"/>
        </w:rPr>
        <w:t xml:space="preserve">1000 MW. </w:t>
      </w:r>
      <w:r w:rsidR="0061551F" w:rsidRPr="001D4230">
        <w:rPr>
          <w:rFonts w:eastAsia="Calibri"/>
          <w:sz w:val="22"/>
          <w:szCs w:val="22"/>
          <w:lang w:eastAsia="en-US"/>
        </w:rPr>
        <w:t xml:space="preserve">We </w:t>
      </w:r>
      <w:r w:rsidR="009F0A21" w:rsidRPr="001D4230">
        <w:rPr>
          <w:rFonts w:eastAsia="Calibri"/>
          <w:sz w:val="22"/>
          <w:szCs w:val="22"/>
          <w:lang w:eastAsia="en-US"/>
        </w:rPr>
        <w:t>describe 3 scenarios where 250 MW, 500 MW and 1000 MW are hedged under a single virtual PPA:</w:t>
      </w:r>
    </w:p>
    <w:p w14:paraId="2AFF477A" w14:textId="1FD67958" w:rsidR="009E5E0A" w:rsidRPr="001D4230" w:rsidRDefault="009F0A21" w:rsidP="009F0A21">
      <w:pPr>
        <w:numPr>
          <w:ilvl w:val="1"/>
          <w:numId w:val="47"/>
        </w:numPr>
        <w:spacing w:before="120" w:after="120"/>
        <w:jc w:val="both"/>
        <w:rPr>
          <w:rFonts w:eastAsia="Calibri"/>
          <w:sz w:val="22"/>
          <w:szCs w:val="22"/>
          <w:lang w:val="en-US" w:eastAsia="en-US"/>
        </w:rPr>
      </w:pPr>
      <w:r w:rsidRPr="001D4230">
        <w:rPr>
          <w:rFonts w:eastAsia="Calibri"/>
          <w:sz w:val="22"/>
          <w:szCs w:val="22"/>
          <w:lang w:val="en-US" w:eastAsia="en-US"/>
        </w:rPr>
        <w:t>250 MW capacity hedged</w:t>
      </w:r>
      <w:r w:rsidR="009E5E0A" w:rsidRPr="001D4230">
        <w:rPr>
          <w:rFonts w:eastAsia="Calibri"/>
          <w:sz w:val="22"/>
          <w:szCs w:val="22"/>
          <w:lang w:val="en-US" w:eastAsia="en-US"/>
        </w:rPr>
        <w:t>: An operator of an offshore wind farm sells its produced power at a floating price but wants to secure a minimum fix</w:t>
      </w:r>
      <w:r w:rsidR="0061551F" w:rsidRPr="001D4230">
        <w:rPr>
          <w:rFonts w:eastAsia="Calibri"/>
          <w:sz w:val="22"/>
          <w:szCs w:val="22"/>
          <w:lang w:val="en-US" w:eastAsia="en-US"/>
        </w:rPr>
        <w:t>ed</w:t>
      </w:r>
      <w:r w:rsidR="009E5E0A" w:rsidRPr="001D4230">
        <w:rPr>
          <w:rFonts w:eastAsia="Calibri"/>
          <w:sz w:val="22"/>
          <w:szCs w:val="22"/>
          <w:lang w:val="en-US" w:eastAsia="en-US"/>
        </w:rPr>
        <w:t xml:space="preserve"> cash inflow via an OTC power swap where </w:t>
      </w:r>
      <w:r w:rsidR="0061551F" w:rsidRPr="001D4230">
        <w:rPr>
          <w:rFonts w:eastAsia="Calibri"/>
          <w:sz w:val="22"/>
          <w:szCs w:val="22"/>
          <w:lang w:val="en-US" w:eastAsia="en-US"/>
        </w:rPr>
        <w:t xml:space="preserve">the operator </w:t>
      </w:r>
      <w:r w:rsidR="009E5E0A" w:rsidRPr="001D4230">
        <w:rPr>
          <w:rFonts w:eastAsia="Calibri"/>
          <w:sz w:val="22"/>
          <w:szCs w:val="22"/>
          <w:lang w:val="en-US" w:eastAsia="en-US"/>
        </w:rPr>
        <w:t>receives fix and pays indexed price for an agreed amount of power. The transaction parameters are (a) 10-year tenor, (b) 250 MW capacity, (c) 40% load factor (runs 40% of all times with full capacity) and (d) 70 EUR/MWh agreed fix price. This single hedge transaction leads to a consumption of the EMIR clearing threshold by the hedging provider of 613,200,000 EURO ( (10 year x 8760 h/year x 40% x 250 MW) x 70 EUR/MWh = 8,760,000 MWh x 70 EUR/MWh) ).</w:t>
      </w:r>
    </w:p>
    <w:p w14:paraId="3007EDA8" w14:textId="4AAD6E6F" w:rsidR="009F0A21" w:rsidRPr="007E571E" w:rsidRDefault="009F0A21" w:rsidP="009F0A21">
      <w:pPr>
        <w:numPr>
          <w:ilvl w:val="1"/>
          <w:numId w:val="47"/>
        </w:numPr>
        <w:spacing w:before="120" w:after="120"/>
        <w:jc w:val="both"/>
        <w:rPr>
          <w:rFonts w:eastAsia="Calibri"/>
          <w:sz w:val="22"/>
          <w:szCs w:val="22"/>
          <w:lang w:val="en-US" w:eastAsia="en-US"/>
        </w:rPr>
      </w:pPr>
      <w:r w:rsidRPr="007E571E">
        <w:rPr>
          <w:rFonts w:eastAsia="Calibri"/>
          <w:sz w:val="22"/>
          <w:szCs w:val="22"/>
          <w:lang w:val="en-US" w:eastAsia="en-US"/>
        </w:rPr>
        <w:t xml:space="preserve">Same example, but 500 MW hedged: This single hedge transaction leads to a consumption of the EMIR clearing threshold by the hedging provider of 1,226,400,000 EURO ( (10 year x 8760 h/year x 40% x 500 MW) x 70 EUR/MWh = </w:t>
      </w:r>
      <w:r w:rsidR="005803F9" w:rsidRPr="007E571E">
        <w:rPr>
          <w:rFonts w:eastAsia="Calibri"/>
          <w:sz w:val="22"/>
          <w:szCs w:val="22"/>
          <w:lang w:val="en-US" w:eastAsia="en-US"/>
        </w:rPr>
        <w:t>17</w:t>
      </w:r>
      <w:r w:rsidRPr="007E571E">
        <w:rPr>
          <w:rFonts w:eastAsia="Calibri"/>
          <w:sz w:val="22"/>
          <w:szCs w:val="22"/>
          <w:lang w:val="en-US" w:eastAsia="en-US"/>
        </w:rPr>
        <w:t>,</w:t>
      </w:r>
      <w:r w:rsidR="005803F9" w:rsidRPr="007E571E">
        <w:rPr>
          <w:rFonts w:eastAsia="Calibri"/>
          <w:sz w:val="22"/>
          <w:szCs w:val="22"/>
          <w:lang w:val="en-US" w:eastAsia="en-US"/>
        </w:rPr>
        <w:t>520</w:t>
      </w:r>
      <w:r w:rsidRPr="007E571E">
        <w:rPr>
          <w:rFonts w:eastAsia="Calibri"/>
          <w:sz w:val="22"/>
          <w:szCs w:val="22"/>
          <w:lang w:val="en-US" w:eastAsia="en-US"/>
        </w:rPr>
        <w:t>,000 MWh x 70 EUR/MWh) ).</w:t>
      </w:r>
    </w:p>
    <w:p w14:paraId="4D2671C8" w14:textId="4CACCF9F" w:rsidR="009F0A21" w:rsidRPr="007E571E" w:rsidRDefault="009F0A21" w:rsidP="009F0A21">
      <w:pPr>
        <w:numPr>
          <w:ilvl w:val="1"/>
          <w:numId w:val="47"/>
        </w:numPr>
        <w:spacing w:before="120" w:after="120"/>
        <w:jc w:val="both"/>
        <w:rPr>
          <w:rFonts w:eastAsia="Calibri"/>
          <w:sz w:val="22"/>
          <w:szCs w:val="22"/>
          <w:lang w:val="en-US" w:eastAsia="en-US"/>
        </w:rPr>
      </w:pPr>
      <w:r w:rsidRPr="007E571E">
        <w:rPr>
          <w:rFonts w:eastAsia="Calibri"/>
          <w:sz w:val="22"/>
          <w:szCs w:val="22"/>
          <w:lang w:val="en-US" w:eastAsia="en-US"/>
        </w:rPr>
        <w:t>Same example, but 1000 MW hedge</w:t>
      </w:r>
      <w:r w:rsidR="00C13DE2" w:rsidRPr="007E571E">
        <w:rPr>
          <w:rFonts w:eastAsia="Calibri"/>
          <w:sz w:val="22"/>
          <w:szCs w:val="22"/>
          <w:lang w:val="en-US" w:eastAsia="en-US"/>
        </w:rPr>
        <w:t>d</w:t>
      </w:r>
      <w:r w:rsidRPr="007E571E">
        <w:rPr>
          <w:rFonts w:eastAsia="Calibri"/>
          <w:sz w:val="22"/>
          <w:szCs w:val="22"/>
          <w:lang w:val="en-US" w:eastAsia="en-US"/>
        </w:rPr>
        <w:t xml:space="preserve">: This single hedge transaction leads to a consumption of the EMIR clearing threshold by the hedging provider of </w:t>
      </w:r>
      <w:r w:rsidR="005803F9" w:rsidRPr="007E571E">
        <w:rPr>
          <w:rFonts w:eastAsia="Calibri"/>
          <w:sz w:val="22"/>
          <w:szCs w:val="22"/>
          <w:lang w:val="en-US" w:eastAsia="en-US"/>
        </w:rPr>
        <w:t>2,452</w:t>
      </w:r>
      <w:r w:rsidRPr="007E571E">
        <w:rPr>
          <w:rFonts w:eastAsia="Calibri"/>
          <w:sz w:val="22"/>
          <w:szCs w:val="22"/>
          <w:lang w:val="en-US" w:eastAsia="en-US"/>
        </w:rPr>
        <w:t>,</w:t>
      </w:r>
      <w:r w:rsidR="005803F9" w:rsidRPr="007E571E">
        <w:rPr>
          <w:rFonts w:eastAsia="Calibri"/>
          <w:sz w:val="22"/>
          <w:szCs w:val="22"/>
          <w:lang w:val="en-US" w:eastAsia="en-US"/>
        </w:rPr>
        <w:t>800</w:t>
      </w:r>
      <w:r w:rsidRPr="007E571E">
        <w:rPr>
          <w:rFonts w:eastAsia="Calibri"/>
          <w:sz w:val="22"/>
          <w:szCs w:val="22"/>
          <w:lang w:val="en-US" w:eastAsia="en-US"/>
        </w:rPr>
        <w:t xml:space="preserve">,000 EURO ( (10 year x 8760 h/year x 40% x </w:t>
      </w:r>
      <w:r w:rsidR="005803F9" w:rsidRPr="007E571E">
        <w:rPr>
          <w:rFonts w:eastAsia="Calibri"/>
          <w:sz w:val="22"/>
          <w:szCs w:val="22"/>
          <w:lang w:val="en-US" w:eastAsia="en-US"/>
        </w:rPr>
        <w:t>1,000</w:t>
      </w:r>
      <w:r w:rsidRPr="007E571E">
        <w:rPr>
          <w:rFonts w:eastAsia="Calibri"/>
          <w:sz w:val="22"/>
          <w:szCs w:val="22"/>
          <w:lang w:val="en-US" w:eastAsia="en-US"/>
        </w:rPr>
        <w:t xml:space="preserve"> MW) x 70 EUR/MWh = </w:t>
      </w:r>
      <w:r w:rsidR="005803F9" w:rsidRPr="007E571E">
        <w:rPr>
          <w:rFonts w:eastAsia="Calibri"/>
          <w:sz w:val="22"/>
          <w:szCs w:val="22"/>
          <w:lang w:val="en-US" w:eastAsia="en-US"/>
        </w:rPr>
        <w:t>35</w:t>
      </w:r>
      <w:r w:rsidRPr="007E571E">
        <w:rPr>
          <w:rFonts w:eastAsia="Calibri"/>
          <w:sz w:val="22"/>
          <w:szCs w:val="22"/>
          <w:lang w:val="en-US" w:eastAsia="en-US"/>
        </w:rPr>
        <w:t>,</w:t>
      </w:r>
      <w:r w:rsidR="005803F9" w:rsidRPr="007E571E">
        <w:rPr>
          <w:rFonts w:eastAsia="Calibri"/>
          <w:sz w:val="22"/>
          <w:szCs w:val="22"/>
          <w:lang w:val="en-US" w:eastAsia="en-US"/>
        </w:rPr>
        <w:t>040</w:t>
      </w:r>
      <w:r w:rsidRPr="007E571E">
        <w:rPr>
          <w:rFonts w:eastAsia="Calibri"/>
          <w:sz w:val="22"/>
          <w:szCs w:val="22"/>
          <w:lang w:val="en-US" w:eastAsia="en-US"/>
        </w:rPr>
        <w:t>,000 MWh x 70 EUR/MWh) ).</w:t>
      </w:r>
    </w:p>
    <w:p w14:paraId="1E65E9B7" w14:textId="0AFE7C07" w:rsidR="009E5E0A" w:rsidRPr="007E571E" w:rsidRDefault="009E5E0A" w:rsidP="009F0A21">
      <w:pPr>
        <w:numPr>
          <w:ilvl w:val="0"/>
          <w:numId w:val="47"/>
        </w:numPr>
        <w:spacing w:before="120" w:after="120"/>
        <w:jc w:val="both"/>
        <w:rPr>
          <w:rFonts w:eastAsia="Calibri"/>
          <w:sz w:val="22"/>
          <w:szCs w:val="22"/>
          <w:lang w:val="en-US" w:eastAsia="en-US"/>
        </w:rPr>
      </w:pPr>
      <w:r w:rsidRPr="007E571E">
        <w:rPr>
          <w:rFonts w:eastAsia="Calibri"/>
          <w:sz w:val="22"/>
          <w:szCs w:val="22"/>
          <w:lang w:eastAsia="en-US"/>
        </w:rPr>
        <w:t>Additionally, t</w:t>
      </w:r>
      <w:r w:rsidRPr="007E571E">
        <w:rPr>
          <w:rFonts w:eastAsia="Calibri"/>
          <w:sz w:val="22"/>
          <w:szCs w:val="22"/>
          <w:lang w:val="en-US" w:eastAsia="en-US"/>
        </w:rPr>
        <w:t>his will limit renewable energy producers</w:t>
      </w:r>
      <w:r w:rsidR="004A5BE3" w:rsidRPr="007E571E">
        <w:rPr>
          <w:rFonts w:eastAsia="Calibri"/>
          <w:sz w:val="22"/>
          <w:szCs w:val="22"/>
          <w:lang w:val="en-US" w:eastAsia="en-US"/>
        </w:rPr>
        <w:t>’</w:t>
      </w:r>
      <w:r w:rsidRPr="007E571E">
        <w:rPr>
          <w:rFonts w:eastAsia="Calibri"/>
          <w:sz w:val="22"/>
          <w:szCs w:val="22"/>
          <w:lang w:val="en-US" w:eastAsia="en-US"/>
        </w:rPr>
        <w:t xml:space="preserve"> entry into so-called virtual power purchase agreements</w:t>
      </w:r>
      <w:r w:rsidR="00893E57" w:rsidRPr="007E571E">
        <w:rPr>
          <w:rFonts w:eastAsia="Calibri"/>
          <w:sz w:val="22"/>
          <w:szCs w:val="22"/>
          <w:lang w:val="en-US" w:eastAsia="en-US"/>
        </w:rPr>
        <w:t xml:space="preserve"> (virtual PPAs)</w:t>
      </w:r>
      <w:r w:rsidRPr="007E571E">
        <w:rPr>
          <w:rFonts w:eastAsia="Calibri"/>
          <w:sz w:val="22"/>
          <w:szCs w:val="22"/>
          <w:lang w:val="en-US" w:eastAsia="en-US"/>
        </w:rPr>
        <w:t xml:space="preserve"> with industrial customers. These agreements are used as a means of investment financing as they secure the renewable energy producers a fixed margin for their power quantities (hedging) and are combined with the delivery of the Guarantees of Origin (</w:t>
      </w:r>
      <w:proofErr w:type="spellStart"/>
      <w:r w:rsidRPr="007E571E">
        <w:rPr>
          <w:rFonts w:eastAsia="Calibri"/>
          <w:sz w:val="22"/>
          <w:szCs w:val="22"/>
          <w:lang w:val="en-US" w:eastAsia="en-US"/>
        </w:rPr>
        <w:t>GoOs</w:t>
      </w:r>
      <w:proofErr w:type="spellEnd"/>
      <w:r w:rsidRPr="007E571E">
        <w:rPr>
          <w:rFonts w:eastAsia="Calibri"/>
          <w:sz w:val="22"/>
          <w:szCs w:val="22"/>
          <w:lang w:val="en-US" w:eastAsia="en-US"/>
        </w:rPr>
        <w:t>) to the industrial customers for their de-</w:t>
      </w:r>
      <w:proofErr w:type="spellStart"/>
      <w:r w:rsidRPr="007E571E">
        <w:rPr>
          <w:rFonts w:eastAsia="Calibri"/>
          <w:sz w:val="22"/>
          <w:szCs w:val="22"/>
          <w:lang w:val="en-US" w:eastAsia="en-US"/>
        </w:rPr>
        <w:t>carbonisation</w:t>
      </w:r>
      <w:proofErr w:type="spellEnd"/>
      <w:r w:rsidRPr="007E571E">
        <w:rPr>
          <w:rFonts w:eastAsia="Calibri"/>
          <w:sz w:val="22"/>
          <w:szCs w:val="22"/>
          <w:lang w:val="en-US" w:eastAsia="en-US"/>
        </w:rPr>
        <w:t xml:space="preserve"> purposes. These OTC derivative transactions count against the EMIR clearing threshold insofar as the restrictive hedging definition of EMIR prevents the industrial customer from classifying them as a hedge.</w:t>
      </w:r>
    </w:p>
    <w:p w14:paraId="4B22BDB4" w14:textId="7EFF0378" w:rsidR="00893E57" w:rsidRPr="007E571E" w:rsidRDefault="00893E57" w:rsidP="009F0A21">
      <w:pPr>
        <w:numPr>
          <w:ilvl w:val="0"/>
          <w:numId w:val="47"/>
        </w:numPr>
        <w:spacing w:before="120" w:after="120"/>
        <w:jc w:val="both"/>
        <w:rPr>
          <w:rFonts w:eastAsia="Calibri"/>
          <w:sz w:val="22"/>
          <w:szCs w:val="22"/>
          <w:lang w:val="en-US" w:eastAsia="en-US"/>
        </w:rPr>
      </w:pPr>
      <w:r w:rsidRPr="007E571E">
        <w:rPr>
          <w:rFonts w:eastAsia="Calibri"/>
          <w:sz w:val="22"/>
          <w:szCs w:val="22"/>
          <w:lang w:val="en-US" w:eastAsia="en-US"/>
        </w:rPr>
        <w:t xml:space="preserve">Lenders to renewable energy projects do as a rule require the producer to conclude a bankable long term PPA with an </w:t>
      </w:r>
      <w:proofErr w:type="spellStart"/>
      <w:r w:rsidRPr="007E571E">
        <w:rPr>
          <w:rFonts w:eastAsia="Calibri"/>
          <w:sz w:val="22"/>
          <w:szCs w:val="22"/>
          <w:lang w:val="en-US" w:eastAsia="en-US"/>
        </w:rPr>
        <w:t>offtaker</w:t>
      </w:r>
      <w:proofErr w:type="spellEnd"/>
      <w:r w:rsidRPr="007E571E">
        <w:rPr>
          <w:rFonts w:eastAsia="Calibri"/>
          <w:sz w:val="22"/>
          <w:szCs w:val="22"/>
          <w:lang w:val="en-US" w:eastAsia="en-US"/>
        </w:rPr>
        <w:t xml:space="preserve"> to guarantee secure cash flows as prerequisite for such lending. If such</w:t>
      </w:r>
      <w:r w:rsidR="004A5BE3" w:rsidRPr="007E571E">
        <w:rPr>
          <w:rFonts w:eastAsia="Calibri"/>
          <w:sz w:val="22"/>
          <w:szCs w:val="22"/>
          <w:lang w:val="en-US" w:eastAsia="en-US"/>
        </w:rPr>
        <w:t xml:space="preserve"> a</w:t>
      </w:r>
      <w:r w:rsidRPr="007E571E">
        <w:rPr>
          <w:rFonts w:eastAsia="Calibri"/>
          <w:sz w:val="22"/>
          <w:szCs w:val="22"/>
          <w:lang w:val="en-US" w:eastAsia="en-US"/>
        </w:rPr>
        <w:t xml:space="preserve"> PPA counts against the clearing threshold for the </w:t>
      </w:r>
      <w:proofErr w:type="spellStart"/>
      <w:r w:rsidRPr="007E571E">
        <w:rPr>
          <w:rFonts w:eastAsia="Calibri"/>
          <w:sz w:val="22"/>
          <w:szCs w:val="22"/>
          <w:lang w:val="en-US" w:eastAsia="en-US"/>
        </w:rPr>
        <w:t>offtaker</w:t>
      </w:r>
      <w:proofErr w:type="spellEnd"/>
      <w:r w:rsidRPr="007E571E">
        <w:rPr>
          <w:rFonts w:eastAsia="Calibri"/>
          <w:sz w:val="22"/>
          <w:szCs w:val="22"/>
          <w:lang w:val="en-US" w:eastAsia="en-US"/>
        </w:rPr>
        <w:t>, it will either not be provided at all or at shorter tenure and at higher costs.</w:t>
      </w:r>
    </w:p>
    <w:p w14:paraId="66BAED0B" w14:textId="2E1B042F" w:rsidR="00893E57" w:rsidRPr="007E571E" w:rsidRDefault="00893E57" w:rsidP="009F0A21">
      <w:pPr>
        <w:numPr>
          <w:ilvl w:val="0"/>
          <w:numId w:val="47"/>
        </w:numPr>
        <w:spacing w:before="120" w:after="120"/>
        <w:jc w:val="both"/>
        <w:rPr>
          <w:rFonts w:eastAsia="Calibri"/>
          <w:sz w:val="22"/>
          <w:szCs w:val="22"/>
          <w:lang w:val="en-US" w:eastAsia="en-US"/>
        </w:rPr>
      </w:pPr>
      <w:r w:rsidRPr="007E571E">
        <w:rPr>
          <w:rFonts w:eastAsia="Calibri"/>
          <w:sz w:val="22"/>
          <w:szCs w:val="22"/>
          <w:lang w:val="en-US" w:eastAsia="en-US"/>
        </w:rPr>
        <w:t xml:space="preserve">In addition, the current extreme volatility of market prices for power, EUAs and natural gas </w:t>
      </w:r>
      <w:r w:rsidR="004A5BE3" w:rsidRPr="007E571E">
        <w:rPr>
          <w:rFonts w:eastAsia="Calibri"/>
          <w:sz w:val="22"/>
          <w:szCs w:val="22"/>
          <w:lang w:val="en-US" w:eastAsia="en-US"/>
        </w:rPr>
        <w:t>fully underlines</w:t>
      </w:r>
      <w:r w:rsidRPr="007E571E">
        <w:rPr>
          <w:rFonts w:eastAsia="Calibri"/>
          <w:sz w:val="22"/>
          <w:szCs w:val="22"/>
          <w:lang w:val="en-US" w:eastAsia="en-US"/>
        </w:rPr>
        <w:t xml:space="preserve"> the need for such long</w:t>
      </w:r>
      <w:r w:rsidR="004A5BE3" w:rsidRPr="007E571E">
        <w:rPr>
          <w:rFonts w:eastAsia="Calibri"/>
          <w:sz w:val="22"/>
          <w:szCs w:val="22"/>
          <w:lang w:val="en-US" w:eastAsia="en-US"/>
        </w:rPr>
        <w:t>-</w:t>
      </w:r>
      <w:r w:rsidRPr="007E571E">
        <w:rPr>
          <w:rFonts w:eastAsia="Calibri"/>
          <w:sz w:val="22"/>
          <w:szCs w:val="22"/>
          <w:lang w:val="en-US" w:eastAsia="en-US"/>
        </w:rPr>
        <w:t>term supply arrangements, secured and collateralized against market developments as any marketing or procurement on a short</w:t>
      </w:r>
      <w:r w:rsidR="004A5BE3" w:rsidRPr="007E571E">
        <w:rPr>
          <w:rFonts w:eastAsia="Calibri"/>
          <w:sz w:val="22"/>
          <w:szCs w:val="22"/>
          <w:lang w:val="en-US" w:eastAsia="en-US"/>
        </w:rPr>
        <w:t>-</w:t>
      </w:r>
      <w:r w:rsidRPr="007E571E">
        <w:rPr>
          <w:rFonts w:eastAsia="Calibri"/>
          <w:sz w:val="22"/>
          <w:szCs w:val="22"/>
          <w:lang w:val="en-US" w:eastAsia="en-US"/>
        </w:rPr>
        <w:t>term spot price basis would entail unbearable commercial risk to any party to such contract.</w:t>
      </w:r>
    </w:p>
    <w:p w14:paraId="59BF4E02" w14:textId="5CC3DCF5" w:rsidR="00FA5372" w:rsidRPr="007E571E" w:rsidRDefault="009E5E0A" w:rsidP="009F0A21">
      <w:pPr>
        <w:numPr>
          <w:ilvl w:val="0"/>
          <w:numId w:val="48"/>
        </w:numPr>
        <w:spacing w:before="120" w:after="120"/>
        <w:jc w:val="both"/>
        <w:rPr>
          <w:rFonts w:eastAsia="Calibri"/>
          <w:sz w:val="22"/>
          <w:szCs w:val="22"/>
          <w:lang w:val="en-US" w:eastAsia="en-US"/>
        </w:rPr>
      </w:pPr>
      <w:bookmarkStart w:id="18" w:name="_Hlk91061271"/>
      <w:r w:rsidRPr="007E571E">
        <w:rPr>
          <w:rFonts w:eastAsia="Calibri"/>
          <w:sz w:val="22"/>
          <w:szCs w:val="22"/>
          <w:lang w:val="en-US" w:eastAsia="en-US"/>
        </w:rPr>
        <w:t xml:space="preserve">Therefore, it is important that energy market participants are encouraged to further </w:t>
      </w:r>
      <w:r w:rsidRPr="007E571E">
        <w:rPr>
          <w:rFonts w:eastAsia="Calibri"/>
          <w:sz w:val="22"/>
          <w:szCs w:val="22"/>
          <w:lang w:eastAsia="en-US"/>
        </w:rPr>
        <w:t>develop the OTC</w:t>
      </w:r>
      <w:r w:rsidRPr="007E571E">
        <w:rPr>
          <w:rFonts w:eastAsia="Calibri"/>
          <w:sz w:val="22"/>
          <w:szCs w:val="22"/>
          <w:lang w:val="en-US" w:eastAsia="en-US"/>
        </w:rPr>
        <w:t xml:space="preserve"> energy and commodity derivatives markets so that market liquidity and consequently hedge opportunities for renewable energy producers are increased. This aim can be best </w:t>
      </w:r>
      <w:r w:rsidRPr="007E571E">
        <w:rPr>
          <w:rFonts w:eastAsia="Calibri"/>
          <w:sz w:val="22"/>
          <w:szCs w:val="22"/>
          <w:lang w:val="en-US" w:eastAsia="en-US"/>
        </w:rPr>
        <w:lastRenderedPageBreak/>
        <w:t>achieved through an increase of the EMIR clearing threshold for commodities to a level comparable to the threshold level of the above-mentioned jurisdictions.</w:t>
      </w:r>
      <w:bookmarkStart w:id="19" w:name="_Hlk82099871"/>
      <w:bookmarkStart w:id="20" w:name="_Hlk81485929"/>
      <w:bookmarkEnd w:id="18"/>
    </w:p>
    <w:p w14:paraId="7599802D" w14:textId="3CC1B12E" w:rsidR="00DD6325" w:rsidRPr="007E571E" w:rsidRDefault="0002664E" w:rsidP="00B008F4">
      <w:pPr>
        <w:spacing w:before="120" w:after="120"/>
        <w:jc w:val="both"/>
        <w:rPr>
          <w:rFonts w:eastAsia="Calibri"/>
          <w:b/>
          <w:bCs/>
          <w:sz w:val="22"/>
          <w:szCs w:val="22"/>
          <w:lang w:eastAsia="en-US"/>
        </w:rPr>
      </w:pPr>
      <w:r w:rsidRPr="007E571E">
        <w:rPr>
          <w:rFonts w:eastAsia="Calibri"/>
          <w:b/>
          <w:bCs/>
          <w:sz w:val="22"/>
          <w:szCs w:val="22"/>
          <w:lang w:eastAsia="en-US"/>
        </w:rPr>
        <w:t xml:space="preserve">2. </w:t>
      </w:r>
      <w:r w:rsidR="00DD6325" w:rsidRPr="007E571E">
        <w:rPr>
          <w:rFonts w:eastAsia="Calibri"/>
          <w:b/>
          <w:bCs/>
          <w:sz w:val="22"/>
          <w:szCs w:val="22"/>
          <w:lang w:eastAsia="en-US"/>
        </w:rPr>
        <w:t>Broader</w:t>
      </w:r>
      <w:r w:rsidR="00632F21" w:rsidRPr="007E571E">
        <w:rPr>
          <w:rFonts w:eastAsia="Calibri"/>
          <w:b/>
          <w:bCs/>
          <w:sz w:val="22"/>
          <w:szCs w:val="22"/>
          <w:lang w:eastAsia="en-US"/>
        </w:rPr>
        <w:t xml:space="preserve"> issues of the</w:t>
      </w:r>
      <w:r w:rsidR="00DD6325" w:rsidRPr="007E571E">
        <w:rPr>
          <w:rFonts w:eastAsia="Calibri"/>
          <w:b/>
          <w:bCs/>
          <w:sz w:val="22"/>
          <w:szCs w:val="22"/>
          <w:lang w:eastAsia="en-US"/>
        </w:rPr>
        <w:t xml:space="preserve"> EMIR</w:t>
      </w:r>
      <w:r w:rsidR="00632F21" w:rsidRPr="007E571E">
        <w:rPr>
          <w:rFonts w:eastAsia="Calibri"/>
          <w:b/>
          <w:bCs/>
          <w:sz w:val="22"/>
          <w:szCs w:val="22"/>
          <w:lang w:eastAsia="en-US"/>
        </w:rPr>
        <w:t xml:space="preserve"> framework</w:t>
      </w:r>
    </w:p>
    <w:p w14:paraId="0454AA30" w14:textId="26C5A4D5" w:rsidR="0041137B" w:rsidRPr="007E571E" w:rsidRDefault="0041137B" w:rsidP="00B008F4">
      <w:pPr>
        <w:spacing w:before="120" w:after="120"/>
        <w:jc w:val="both"/>
        <w:rPr>
          <w:rFonts w:eastAsia="Calibri"/>
          <w:sz w:val="22"/>
          <w:szCs w:val="22"/>
          <w:lang w:eastAsia="en-US"/>
        </w:rPr>
      </w:pPr>
      <w:r w:rsidRPr="007E571E">
        <w:rPr>
          <w:rFonts w:eastAsia="Calibri"/>
          <w:sz w:val="22"/>
          <w:szCs w:val="22"/>
          <w:lang w:eastAsia="en-US"/>
        </w:rPr>
        <w:t xml:space="preserve">Again, we </w:t>
      </w:r>
      <w:r w:rsidR="00EC0A61">
        <w:rPr>
          <w:rFonts w:eastAsia="Calibri"/>
          <w:sz w:val="22"/>
          <w:szCs w:val="22"/>
          <w:lang w:eastAsia="en-US"/>
        </w:rPr>
        <w:t>request</w:t>
      </w:r>
      <w:r w:rsidRPr="007E571E">
        <w:rPr>
          <w:rFonts w:eastAsia="Calibri"/>
          <w:sz w:val="22"/>
          <w:szCs w:val="22"/>
          <w:lang w:eastAsia="en-US"/>
        </w:rPr>
        <w:t xml:space="preserve"> a quick</w:t>
      </w:r>
      <w:r w:rsidR="006A6B20">
        <w:rPr>
          <w:rFonts w:eastAsia="Calibri"/>
          <w:sz w:val="22"/>
          <w:szCs w:val="22"/>
          <w:lang w:eastAsia="en-US"/>
        </w:rPr>
        <w:t xml:space="preserve"> </w:t>
      </w:r>
      <w:r w:rsidRPr="007E571E">
        <w:rPr>
          <w:rFonts w:eastAsia="Calibri"/>
          <w:sz w:val="22"/>
          <w:szCs w:val="22"/>
          <w:lang w:eastAsia="en-US"/>
        </w:rPr>
        <w:t>fix increase</w:t>
      </w:r>
      <w:r w:rsidR="004A5BE3" w:rsidRPr="007E571E">
        <w:rPr>
          <w:rFonts w:eastAsia="Calibri"/>
          <w:sz w:val="22"/>
          <w:szCs w:val="22"/>
          <w:lang w:eastAsia="en-US"/>
        </w:rPr>
        <w:t xml:space="preserve"> to</w:t>
      </w:r>
      <w:r w:rsidRPr="007E571E">
        <w:rPr>
          <w:rFonts w:eastAsia="Calibri"/>
          <w:sz w:val="22"/>
          <w:szCs w:val="22"/>
          <w:lang w:eastAsia="en-US"/>
        </w:rPr>
        <w:t xml:space="preserve"> the EMIR CCT to address the urgent need to mitigate the adverse impacts on the energy transition and competitiveness of the EU markets as a more fundamental review of the EMIR Level 1 Text won’t be in place before 2026/27 (see our explanations above in the</w:t>
      </w:r>
      <w:r w:rsidR="005B2EB7" w:rsidRPr="007E571E">
        <w:rPr>
          <w:rFonts w:eastAsia="Calibri"/>
          <w:sz w:val="22"/>
          <w:szCs w:val="22"/>
          <w:lang w:eastAsia="en-US"/>
        </w:rPr>
        <w:t xml:space="preserve"> section</w:t>
      </w:r>
      <w:r w:rsidRPr="007E571E">
        <w:rPr>
          <w:rFonts w:eastAsia="Calibri"/>
          <w:sz w:val="22"/>
          <w:szCs w:val="22"/>
          <w:lang w:eastAsia="en-US"/>
        </w:rPr>
        <w:t xml:space="preserve"> </w:t>
      </w:r>
      <w:r w:rsidR="005B2EB7" w:rsidRPr="007E571E">
        <w:rPr>
          <w:rFonts w:eastAsia="Calibri"/>
          <w:sz w:val="22"/>
          <w:szCs w:val="22"/>
          <w:lang w:eastAsia="en-US"/>
        </w:rPr>
        <w:t>“</w:t>
      </w:r>
      <w:r w:rsidRPr="007E571E">
        <w:rPr>
          <w:rFonts w:eastAsia="Calibri"/>
          <w:sz w:val="22"/>
          <w:szCs w:val="22"/>
          <w:lang w:eastAsia="en-US"/>
        </w:rPr>
        <w:t>Introduction</w:t>
      </w:r>
      <w:r w:rsidR="005B2EB7" w:rsidRPr="007E571E">
        <w:rPr>
          <w:rFonts w:eastAsia="Calibri"/>
          <w:sz w:val="22"/>
          <w:szCs w:val="22"/>
          <w:lang w:eastAsia="en-US"/>
        </w:rPr>
        <w:t>”</w:t>
      </w:r>
      <w:r w:rsidRPr="007E571E">
        <w:rPr>
          <w:rFonts w:eastAsia="Calibri"/>
          <w:sz w:val="22"/>
          <w:szCs w:val="22"/>
          <w:lang w:eastAsia="en-US"/>
        </w:rPr>
        <w:t>).</w:t>
      </w:r>
    </w:p>
    <w:p w14:paraId="24D016A7" w14:textId="59266514" w:rsidR="00756758" w:rsidRPr="007E571E" w:rsidRDefault="00756758" w:rsidP="00B008F4">
      <w:pPr>
        <w:spacing w:before="120" w:after="120"/>
        <w:jc w:val="both"/>
        <w:rPr>
          <w:rFonts w:eastAsia="Calibri"/>
          <w:b/>
          <w:bCs/>
          <w:sz w:val="22"/>
          <w:szCs w:val="22"/>
          <w:lang w:eastAsia="en-US"/>
        </w:rPr>
      </w:pPr>
      <w:r w:rsidRPr="007E571E">
        <w:rPr>
          <w:rFonts w:eastAsia="Calibri"/>
          <w:b/>
          <w:bCs/>
          <w:sz w:val="22"/>
          <w:szCs w:val="22"/>
          <w:lang w:eastAsia="en-US"/>
        </w:rPr>
        <w:t>Structure of this response section</w:t>
      </w:r>
    </w:p>
    <w:p w14:paraId="2FEB71A9" w14:textId="59BF38B0" w:rsidR="00F7063D" w:rsidRPr="007E571E" w:rsidRDefault="0041137B" w:rsidP="00D97FF6">
      <w:pPr>
        <w:spacing w:before="120" w:after="120"/>
        <w:jc w:val="both"/>
        <w:rPr>
          <w:rFonts w:eastAsia="Calibri"/>
          <w:sz w:val="22"/>
          <w:szCs w:val="22"/>
          <w:lang w:eastAsia="en-US"/>
        </w:rPr>
      </w:pPr>
      <w:r w:rsidRPr="007E571E">
        <w:rPr>
          <w:rFonts w:eastAsia="Calibri"/>
          <w:sz w:val="22"/>
          <w:szCs w:val="22"/>
          <w:lang w:eastAsia="en-US"/>
        </w:rPr>
        <w:t xml:space="preserve">In this context, </w:t>
      </w:r>
      <w:r w:rsidR="007D6715">
        <w:rPr>
          <w:rFonts w:eastAsia="Calibri"/>
          <w:sz w:val="22"/>
          <w:szCs w:val="22"/>
          <w:lang w:eastAsia="en-US"/>
        </w:rPr>
        <w:t xml:space="preserve">we </w:t>
      </w:r>
      <w:r w:rsidR="005C7A18" w:rsidRPr="007E571E">
        <w:rPr>
          <w:rFonts w:eastAsia="Calibri"/>
          <w:sz w:val="22"/>
          <w:szCs w:val="22"/>
          <w:lang w:eastAsia="en-US"/>
        </w:rPr>
        <w:t xml:space="preserve">would like to raise the following broader issues </w:t>
      </w:r>
      <w:r w:rsidR="00DC1CC9" w:rsidRPr="007E571E">
        <w:rPr>
          <w:rFonts w:eastAsia="Calibri"/>
          <w:sz w:val="22"/>
          <w:szCs w:val="22"/>
          <w:lang w:eastAsia="en-US"/>
        </w:rPr>
        <w:t>with regard to the</w:t>
      </w:r>
      <w:r w:rsidR="002A7396" w:rsidRPr="007E571E">
        <w:rPr>
          <w:rFonts w:eastAsia="Calibri"/>
          <w:sz w:val="22"/>
          <w:szCs w:val="22"/>
          <w:lang w:eastAsia="en-US"/>
        </w:rPr>
        <w:t xml:space="preserve"> EMIR </w:t>
      </w:r>
      <w:r w:rsidR="008857AB" w:rsidRPr="007E571E">
        <w:rPr>
          <w:rFonts w:eastAsia="Calibri"/>
          <w:sz w:val="22"/>
          <w:szCs w:val="22"/>
          <w:lang w:eastAsia="en-US"/>
        </w:rPr>
        <w:t>framework</w:t>
      </w:r>
      <w:r w:rsidR="002A7396" w:rsidRPr="007E571E">
        <w:rPr>
          <w:rFonts w:eastAsia="Calibri"/>
          <w:sz w:val="22"/>
          <w:szCs w:val="22"/>
          <w:lang w:eastAsia="en-US"/>
        </w:rPr>
        <w:t xml:space="preserve"> for NFC+</w:t>
      </w:r>
      <w:r w:rsidR="00EE26F6" w:rsidRPr="007E571E">
        <w:rPr>
          <w:rFonts w:eastAsia="Calibri"/>
          <w:sz w:val="22"/>
          <w:szCs w:val="22"/>
          <w:lang w:eastAsia="en-US"/>
        </w:rPr>
        <w:t xml:space="preserve"> and of the EMIR CCT </w:t>
      </w:r>
      <w:r w:rsidR="008857AB" w:rsidRPr="007E571E">
        <w:rPr>
          <w:rFonts w:eastAsia="Calibri"/>
          <w:sz w:val="22"/>
          <w:szCs w:val="22"/>
          <w:lang w:eastAsia="en-US"/>
        </w:rPr>
        <w:t>calculations</w:t>
      </w:r>
      <w:r w:rsidR="00FC7651" w:rsidRPr="007E571E">
        <w:rPr>
          <w:rFonts w:eastAsia="Calibri"/>
          <w:sz w:val="22"/>
          <w:szCs w:val="22"/>
          <w:lang w:eastAsia="en-US"/>
        </w:rPr>
        <w:t>, which emphasi</w:t>
      </w:r>
      <w:r w:rsidR="00C0505C" w:rsidRPr="007E571E">
        <w:rPr>
          <w:rFonts w:eastAsia="Calibri"/>
          <w:sz w:val="22"/>
          <w:szCs w:val="22"/>
          <w:lang w:eastAsia="en-US"/>
        </w:rPr>
        <w:t>se</w:t>
      </w:r>
      <w:r w:rsidR="00FC7651" w:rsidRPr="007E571E">
        <w:rPr>
          <w:rFonts w:eastAsia="Calibri"/>
          <w:sz w:val="22"/>
          <w:szCs w:val="22"/>
          <w:lang w:eastAsia="en-US"/>
        </w:rPr>
        <w:t xml:space="preserve"> the </w:t>
      </w:r>
      <w:r w:rsidR="00F7063D" w:rsidRPr="007E571E">
        <w:rPr>
          <w:rFonts w:eastAsia="Calibri"/>
          <w:sz w:val="22"/>
          <w:szCs w:val="22"/>
          <w:lang w:eastAsia="en-US"/>
        </w:rPr>
        <w:t>problems triggered by the</w:t>
      </w:r>
      <w:r w:rsidR="003C3C8D" w:rsidRPr="007E571E">
        <w:rPr>
          <w:rFonts w:eastAsia="Calibri"/>
          <w:sz w:val="22"/>
          <w:szCs w:val="22"/>
          <w:lang w:eastAsia="en-US"/>
        </w:rPr>
        <w:t xml:space="preserve"> low EMIR CCT</w:t>
      </w:r>
      <w:r w:rsidRPr="007E571E">
        <w:rPr>
          <w:rFonts w:eastAsia="Calibri"/>
          <w:sz w:val="22"/>
          <w:szCs w:val="22"/>
          <w:lang w:eastAsia="en-US"/>
        </w:rPr>
        <w:t>:</w:t>
      </w:r>
    </w:p>
    <w:p w14:paraId="5914D427" w14:textId="77777777" w:rsidR="00D97FF6" w:rsidRPr="007E571E" w:rsidRDefault="00756758" w:rsidP="00D97FF6">
      <w:pPr>
        <w:numPr>
          <w:ilvl w:val="0"/>
          <w:numId w:val="48"/>
        </w:numPr>
        <w:spacing w:before="120" w:after="120"/>
        <w:jc w:val="both"/>
        <w:rPr>
          <w:rFonts w:eastAsia="Calibri"/>
          <w:sz w:val="22"/>
          <w:szCs w:val="22"/>
          <w:lang w:val="en-US" w:eastAsia="en-US"/>
        </w:rPr>
      </w:pPr>
      <w:r w:rsidRPr="007E571E">
        <w:rPr>
          <w:rFonts w:eastAsia="Calibri"/>
          <w:b/>
          <w:bCs/>
          <w:sz w:val="22"/>
          <w:szCs w:val="22"/>
          <w:lang w:val="en-US" w:eastAsia="en-US"/>
        </w:rPr>
        <w:t>Section a)</w:t>
      </w:r>
      <w:r w:rsidRPr="007E571E">
        <w:rPr>
          <w:rFonts w:eastAsia="Calibri"/>
          <w:sz w:val="22"/>
          <w:szCs w:val="22"/>
          <w:lang w:val="en-US" w:eastAsia="en-US"/>
        </w:rPr>
        <w:t>:</w:t>
      </w:r>
    </w:p>
    <w:p w14:paraId="6F213DCF" w14:textId="77777777" w:rsidR="00AC2245" w:rsidRPr="007E571E" w:rsidRDefault="0041137B" w:rsidP="00D97FF6">
      <w:pPr>
        <w:spacing w:before="120" w:after="120"/>
        <w:ind w:left="360"/>
        <w:jc w:val="both"/>
        <w:rPr>
          <w:rFonts w:eastAsia="Calibri"/>
          <w:sz w:val="22"/>
          <w:szCs w:val="22"/>
          <w:lang w:val="en-US" w:eastAsia="en-US"/>
        </w:rPr>
      </w:pPr>
      <w:r w:rsidRPr="007E571E">
        <w:rPr>
          <w:rFonts w:eastAsia="Calibri"/>
          <w:sz w:val="22"/>
          <w:szCs w:val="22"/>
          <w:lang w:val="en-US" w:eastAsia="en-US"/>
        </w:rPr>
        <w:t xml:space="preserve">At first, we explain </w:t>
      </w:r>
      <w:bookmarkStart w:id="21" w:name="_Hlk91067539"/>
      <w:r w:rsidRPr="007E571E">
        <w:rPr>
          <w:rFonts w:eastAsia="Calibri"/>
          <w:sz w:val="22"/>
          <w:szCs w:val="22"/>
          <w:lang w:val="en-US" w:eastAsia="en-US"/>
        </w:rPr>
        <w:t xml:space="preserve">under </w:t>
      </w:r>
      <w:r w:rsidRPr="007E571E">
        <w:rPr>
          <w:rFonts w:eastAsia="Calibri"/>
          <w:b/>
          <w:bCs/>
          <w:sz w:val="22"/>
          <w:szCs w:val="22"/>
          <w:lang w:val="en-US" w:eastAsia="en-US"/>
        </w:rPr>
        <w:t>a)</w:t>
      </w:r>
      <w:r w:rsidRPr="007E571E">
        <w:rPr>
          <w:rFonts w:eastAsia="Calibri"/>
          <w:sz w:val="22"/>
          <w:szCs w:val="22"/>
          <w:lang w:val="en-US" w:eastAsia="en-US"/>
        </w:rPr>
        <w:t xml:space="preserve"> below the </w:t>
      </w:r>
      <w:r w:rsidRPr="007E571E">
        <w:rPr>
          <w:rFonts w:eastAsia="Calibri"/>
          <w:b/>
          <w:bCs/>
          <w:sz w:val="22"/>
          <w:szCs w:val="22"/>
          <w:lang w:val="en-US" w:eastAsia="en-US"/>
        </w:rPr>
        <w:t xml:space="preserve">broader issues for NFCs under the EMIR rules which are triggered by the </w:t>
      </w:r>
      <w:r w:rsidR="00647190" w:rsidRPr="007E571E">
        <w:rPr>
          <w:rFonts w:eastAsia="Calibri"/>
          <w:b/>
          <w:bCs/>
          <w:sz w:val="22"/>
          <w:szCs w:val="22"/>
          <w:lang w:val="en-US" w:eastAsia="en-US"/>
        </w:rPr>
        <w:t xml:space="preserve">implementation of </w:t>
      </w:r>
      <w:r w:rsidR="001A2985" w:rsidRPr="007E571E">
        <w:rPr>
          <w:rFonts w:eastAsia="Calibri"/>
          <w:b/>
          <w:bCs/>
          <w:sz w:val="22"/>
          <w:szCs w:val="22"/>
          <w:lang w:val="en-US" w:eastAsia="en-US"/>
        </w:rPr>
        <w:t>a</w:t>
      </w:r>
      <w:r w:rsidR="00647190" w:rsidRPr="007E571E">
        <w:rPr>
          <w:rFonts w:eastAsia="Calibri"/>
          <w:b/>
          <w:bCs/>
          <w:sz w:val="22"/>
          <w:szCs w:val="22"/>
          <w:lang w:val="en-US" w:eastAsia="en-US"/>
        </w:rPr>
        <w:t xml:space="preserve">nd </w:t>
      </w:r>
      <w:r w:rsidRPr="007E571E">
        <w:rPr>
          <w:rFonts w:eastAsia="Calibri"/>
          <w:b/>
          <w:bCs/>
          <w:sz w:val="22"/>
          <w:szCs w:val="22"/>
          <w:lang w:val="en-US" w:eastAsia="en-US"/>
        </w:rPr>
        <w:t>compliance with a</w:t>
      </w:r>
      <w:r w:rsidR="004A5BE3" w:rsidRPr="007E571E">
        <w:rPr>
          <w:rFonts w:eastAsia="Calibri"/>
          <w:b/>
          <w:bCs/>
          <w:sz w:val="22"/>
          <w:szCs w:val="22"/>
          <w:lang w:val="en-US" w:eastAsia="en-US"/>
        </w:rPr>
        <w:t>n</w:t>
      </w:r>
      <w:r w:rsidRPr="007E571E">
        <w:rPr>
          <w:rFonts w:eastAsia="Calibri"/>
          <w:b/>
          <w:bCs/>
          <w:sz w:val="22"/>
          <w:szCs w:val="22"/>
          <w:lang w:val="en-US" w:eastAsia="en-US"/>
        </w:rPr>
        <w:t xml:space="preserve"> NFC+ status</w:t>
      </w:r>
      <w:r w:rsidRPr="007E571E">
        <w:rPr>
          <w:rFonts w:eastAsia="Calibri"/>
          <w:sz w:val="22"/>
          <w:szCs w:val="22"/>
          <w:lang w:val="en-US" w:eastAsia="en-US"/>
        </w:rPr>
        <w:t>.</w:t>
      </w:r>
    </w:p>
    <w:p w14:paraId="76E42FCB" w14:textId="77777777" w:rsidR="00AC2245" w:rsidRPr="007E571E" w:rsidRDefault="0041137B" w:rsidP="00AC2245">
      <w:pPr>
        <w:spacing w:before="120" w:after="120"/>
        <w:ind w:left="360"/>
        <w:jc w:val="both"/>
        <w:rPr>
          <w:rFonts w:eastAsia="Calibri"/>
          <w:sz w:val="22"/>
          <w:szCs w:val="22"/>
          <w:lang w:val="en-US" w:eastAsia="en-US"/>
        </w:rPr>
      </w:pPr>
      <w:r w:rsidRPr="007E571E">
        <w:rPr>
          <w:rFonts w:eastAsia="Calibri"/>
          <w:sz w:val="22"/>
          <w:szCs w:val="22"/>
          <w:lang w:val="en-US" w:eastAsia="en-US"/>
        </w:rPr>
        <w:t>In this context, we differentiate between</w:t>
      </w:r>
      <w:r w:rsidR="00AC2245" w:rsidRPr="007E571E">
        <w:rPr>
          <w:rFonts w:eastAsia="Calibri"/>
          <w:sz w:val="22"/>
          <w:szCs w:val="22"/>
          <w:lang w:val="en-US" w:eastAsia="en-US"/>
        </w:rPr>
        <w:t>:</w:t>
      </w:r>
    </w:p>
    <w:p w14:paraId="0206808B" w14:textId="6BAE6996" w:rsidR="00AC2245" w:rsidRPr="007E571E" w:rsidRDefault="0041137B" w:rsidP="00AC2245">
      <w:pPr>
        <w:pStyle w:val="ListParagraph"/>
        <w:numPr>
          <w:ilvl w:val="1"/>
          <w:numId w:val="48"/>
        </w:numPr>
        <w:spacing w:before="120" w:after="120"/>
        <w:contextualSpacing w:val="0"/>
        <w:jc w:val="both"/>
        <w:rPr>
          <w:rFonts w:eastAsia="Calibri"/>
          <w:sz w:val="22"/>
          <w:szCs w:val="22"/>
          <w:lang w:val="en-US" w:eastAsia="en-US"/>
        </w:rPr>
      </w:pPr>
      <w:r w:rsidRPr="007E571E">
        <w:rPr>
          <w:rFonts w:eastAsia="Calibri"/>
          <w:sz w:val="22"/>
          <w:szCs w:val="22"/>
          <w:lang w:val="en-US" w:eastAsia="en-US"/>
        </w:rPr>
        <w:t>the</w:t>
      </w:r>
      <w:r w:rsidR="00647190" w:rsidRPr="007E571E">
        <w:rPr>
          <w:rFonts w:eastAsia="Calibri"/>
          <w:sz w:val="22"/>
          <w:szCs w:val="22"/>
          <w:lang w:val="en-US" w:eastAsia="en-US"/>
        </w:rPr>
        <w:t xml:space="preserve"> important</w:t>
      </w:r>
      <w:r w:rsidRPr="007E571E">
        <w:rPr>
          <w:rFonts w:eastAsia="Calibri"/>
          <w:sz w:val="22"/>
          <w:szCs w:val="22"/>
          <w:lang w:val="en-US" w:eastAsia="en-US"/>
        </w:rPr>
        <w:t xml:space="preserve"> transformation</w:t>
      </w:r>
      <w:r w:rsidR="00647190" w:rsidRPr="007E571E">
        <w:rPr>
          <w:rFonts w:eastAsia="Calibri"/>
          <w:sz w:val="22"/>
          <w:szCs w:val="22"/>
          <w:lang w:val="en-US" w:eastAsia="en-US"/>
        </w:rPr>
        <w:t xml:space="preserve"> (implementation)</w:t>
      </w:r>
      <w:r w:rsidRPr="007E571E">
        <w:rPr>
          <w:rFonts w:eastAsia="Calibri"/>
          <w:sz w:val="22"/>
          <w:szCs w:val="22"/>
          <w:lang w:val="en-US" w:eastAsia="en-US"/>
        </w:rPr>
        <w:t xml:space="preserve"> efforts to become a compliant NFC+ </w:t>
      </w:r>
      <w:r w:rsidR="00AC2245" w:rsidRPr="007E571E">
        <w:rPr>
          <w:rFonts w:eastAsia="Calibri"/>
          <w:sz w:val="22"/>
          <w:szCs w:val="22"/>
          <w:lang w:val="en-US" w:eastAsia="en-US"/>
        </w:rPr>
        <w:t xml:space="preserve">on one side </w:t>
      </w:r>
      <w:r w:rsidRPr="007E571E">
        <w:rPr>
          <w:rFonts w:eastAsia="Calibri"/>
          <w:sz w:val="22"/>
          <w:szCs w:val="22"/>
          <w:lang w:val="en-US" w:eastAsia="en-US"/>
        </w:rPr>
        <w:t>(see a) (1) below)</w:t>
      </w:r>
      <w:r w:rsidR="00AC2245" w:rsidRPr="007E571E">
        <w:rPr>
          <w:rFonts w:eastAsia="Calibri"/>
          <w:sz w:val="22"/>
          <w:szCs w:val="22"/>
          <w:lang w:val="en-US" w:eastAsia="en-US"/>
        </w:rPr>
        <w:t>;</w:t>
      </w:r>
      <w:r w:rsidRPr="007E571E">
        <w:rPr>
          <w:rFonts w:eastAsia="Calibri"/>
          <w:sz w:val="22"/>
          <w:szCs w:val="22"/>
          <w:lang w:val="en-US" w:eastAsia="en-US"/>
        </w:rPr>
        <w:t xml:space="preserve"> and</w:t>
      </w:r>
    </w:p>
    <w:p w14:paraId="52539E46" w14:textId="4117CFEE" w:rsidR="00AC2245" w:rsidRPr="001D4230" w:rsidRDefault="00647190" w:rsidP="00AC2245">
      <w:pPr>
        <w:pStyle w:val="ListParagraph"/>
        <w:numPr>
          <w:ilvl w:val="1"/>
          <w:numId w:val="48"/>
        </w:numPr>
        <w:spacing w:before="120" w:after="120"/>
        <w:contextualSpacing w:val="0"/>
        <w:jc w:val="both"/>
        <w:rPr>
          <w:rFonts w:eastAsia="Calibri"/>
          <w:sz w:val="22"/>
          <w:szCs w:val="22"/>
          <w:lang w:val="en-US" w:eastAsia="en-US"/>
        </w:rPr>
      </w:pPr>
      <w:r w:rsidRPr="001D4230">
        <w:rPr>
          <w:rFonts w:eastAsia="Calibri"/>
          <w:sz w:val="22"/>
          <w:szCs w:val="22"/>
          <w:lang w:val="en-US" w:eastAsia="en-US"/>
        </w:rPr>
        <w:t xml:space="preserve">the </w:t>
      </w:r>
      <w:r w:rsidR="00AC2245" w:rsidRPr="001D4230">
        <w:rPr>
          <w:rFonts w:eastAsia="Calibri"/>
          <w:sz w:val="22"/>
          <w:szCs w:val="22"/>
          <w:lang w:val="en-US" w:eastAsia="en-US"/>
        </w:rPr>
        <w:t>challenges</w:t>
      </w:r>
      <w:r w:rsidR="0041137B" w:rsidRPr="001D4230">
        <w:rPr>
          <w:rFonts w:eastAsia="Calibri"/>
          <w:sz w:val="22"/>
          <w:szCs w:val="22"/>
          <w:lang w:val="en-US" w:eastAsia="en-US"/>
        </w:rPr>
        <w:t xml:space="preserve"> for the</w:t>
      </w:r>
      <w:r w:rsidR="0061551F" w:rsidRPr="001D4230">
        <w:rPr>
          <w:rFonts w:eastAsia="Calibri"/>
          <w:sz w:val="22"/>
          <w:szCs w:val="22"/>
          <w:lang w:val="en-US" w:eastAsia="en-US"/>
        </w:rPr>
        <w:t xml:space="preserve"> normal</w:t>
      </w:r>
      <w:r w:rsidR="0041137B" w:rsidRPr="001D4230">
        <w:rPr>
          <w:rFonts w:eastAsia="Calibri"/>
          <w:sz w:val="22"/>
          <w:szCs w:val="22"/>
          <w:lang w:val="en-US" w:eastAsia="en-US"/>
        </w:rPr>
        <w:t xml:space="preserve"> business </w:t>
      </w:r>
      <w:r w:rsidR="00FA5B0E" w:rsidRPr="001D4230">
        <w:rPr>
          <w:rFonts w:eastAsia="Calibri"/>
          <w:sz w:val="22"/>
          <w:szCs w:val="22"/>
          <w:lang w:val="en-US" w:eastAsia="en-US"/>
        </w:rPr>
        <w:t xml:space="preserve">conduct and </w:t>
      </w:r>
      <w:r w:rsidR="0041137B" w:rsidRPr="001D4230">
        <w:rPr>
          <w:rFonts w:eastAsia="Calibri"/>
          <w:sz w:val="22"/>
          <w:szCs w:val="22"/>
          <w:lang w:val="en-US" w:eastAsia="en-US"/>
        </w:rPr>
        <w:t xml:space="preserve">development of NFC+s </w:t>
      </w:r>
      <w:r w:rsidR="008857AB" w:rsidRPr="001D4230">
        <w:rPr>
          <w:rFonts w:eastAsia="Calibri"/>
          <w:sz w:val="22"/>
          <w:szCs w:val="22"/>
          <w:lang w:val="en-US" w:eastAsia="en-US"/>
        </w:rPr>
        <w:t xml:space="preserve">on the other side </w:t>
      </w:r>
      <w:r w:rsidR="0041137B" w:rsidRPr="001D4230">
        <w:rPr>
          <w:rFonts w:eastAsia="Calibri"/>
          <w:sz w:val="22"/>
          <w:szCs w:val="22"/>
          <w:lang w:val="en-US" w:eastAsia="en-US"/>
        </w:rPr>
        <w:t>(see a) (2) below)</w:t>
      </w:r>
      <w:r w:rsidR="001A2985" w:rsidRPr="001D4230">
        <w:rPr>
          <w:rFonts w:eastAsia="Calibri"/>
          <w:sz w:val="22"/>
          <w:szCs w:val="22"/>
          <w:lang w:val="en-US" w:eastAsia="en-US"/>
        </w:rPr>
        <w:t>.</w:t>
      </w:r>
    </w:p>
    <w:p w14:paraId="51861E28" w14:textId="4F854392" w:rsidR="0041137B" w:rsidRPr="001D4230" w:rsidRDefault="0061551F" w:rsidP="00AC2245">
      <w:pPr>
        <w:spacing w:before="120" w:after="120"/>
        <w:ind w:left="360"/>
        <w:jc w:val="both"/>
        <w:rPr>
          <w:rFonts w:eastAsia="Calibri"/>
          <w:sz w:val="22"/>
          <w:szCs w:val="22"/>
          <w:lang w:val="en-US" w:eastAsia="en-US"/>
        </w:rPr>
      </w:pPr>
      <w:r w:rsidRPr="001D4230">
        <w:rPr>
          <w:rFonts w:eastAsia="Calibri"/>
          <w:sz w:val="22"/>
          <w:szCs w:val="22"/>
          <w:lang w:val="en-US" w:eastAsia="en-US"/>
        </w:rPr>
        <w:t>T</w:t>
      </w:r>
      <w:r w:rsidR="001A2985" w:rsidRPr="001D4230">
        <w:rPr>
          <w:rFonts w:eastAsia="Calibri"/>
          <w:sz w:val="22"/>
          <w:szCs w:val="22"/>
          <w:lang w:val="en-US" w:eastAsia="en-US"/>
        </w:rPr>
        <w:t>he current EMIR framework exposes NFCs to the stark choice</w:t>
      </w:r>
      <w:r w:rsidR="00D81F18" w:rsidRPr="001D4230">
        <w:rPr>
          <w:rFonts w:eastAsia="Calibri"/>
          <w:sz w:val="22"/>
          <w:szCs w:val="22"/>
          <w:lang w:val="en-US" w:eastAsia="en-US"/>
        </w:rPr>
        <w:t xml:space="preserve"> to either restrict or even stop their trading activities or to implement a very burdensome and costly NFC+ status</w:t>
      </w:r>
      <w:r w:rsidR="00EF4723" w:rsidRPr="001D4230">
        <w:rPr>
          <w:rFonts w:eastAsia="Calibri"/>
          <w:sz w:val="22"/>
          <w:szCs w:val="22"/>
          <w:lang w:val="en-US" w:eastAsia="en-US"/>
        </w:rPr>
        <w:t>;</w:t>
      </w:r>
      <w:bookmarkEnd w:id="21"/>
      <w:r w:rsidR="00EF4723" w:rsidRPr="001D4230">
        <w:rPr>
          <w:rFonts w:eastAsia="Calibri"/>
          <w:sz w:val="22"/>
          <w:szCs w:val="22"/>
          <w:lang w:val="en-US" w:eastAsia="en-US"/>
        </w:rPr>
        <w:t xml:space="preserve"> and</w:t>
      </w:r>
    </w:p>
    <w:p w14:paraId="49EFD5F7" w14:textId="77777777" w:rsidR="00D97FF6" w:rsidRPr="001D4230" w:rsidRDefault="00756758" w:rsidP="00D97FF6">
      <w:pPr>
        <w:numPr>
          <w:ilvl w:val="0"/>
          <w:numId w:val="48"/>
        </w:numPr>
        <w:spacing w:before="120" w:after="120"/>
        <w:jc w:val="both"/>
        <w:rPr>
          <w:rFonts w:eastAsia="Calibri"/>
          <w:sz w:val="22"/>
          <w:szCs w:val="22"/>
          <w:lang w:val="en-US" w:eastAsia="en-US"/>
        </w:rPr>
      </w:pPr>
      <w:bookmarkStart w:id="22" w:name="_Hlk91062432"/>
      <w:r w:rsidRPr="001D4230">
        <w:rPr>
          <w:rFonts w:eastAsia="Calibri"/>
          <w:b/>
          <w:bCs/>
          <w:sz w:val="22"/>
          <w:szCs w:val="22"/>
          <w:lang w:val="en-US" w:eastAsia="en-US"/>
        </w:rPr>
        <w:t>Section b):</w:t>
      </w:r>
    </w:p>
    <w:p w14:paraId="77D218EF" w14:textId="77777777" w:rsidR="00AC2245" w:rsidRPr="001D4230" w:rsidRDefault="0041137B" w:rsidP="00D97FF6">
      <w:pPr>
        <w:spacing w:before="120" w:after="120"/>
        <w:ind w:left="360"/>
        <w:jc w:val="both"/>
        <w:rPr>
          <w:rFonts w:eastAsia="Calibri"/>
          <w:sz w:val="22"/>
          <w:szCs w:val="22"/>
          <w:lang w:val="en-US" w:eastAsia="en-US"/>
        </w:rPr>
      </w:pPr>
      <w:r w:rsidRPr="001D4230">
        <w:rPr>
          <w:rFonts w:eastAsia="Calibri"/>
          <w:sz w:val="22"/>
          <w:szCs w:val="22"/>
          <w:lang w:val="en-US" w:eastAsia="en-US"/>
        </w:rPr>
        <w:t xml:space="preserve">Secondly, we explain under </w:t>
      </w:r>
      <w:r w:rsidRPr="001D4230">
        <w:rPr>
          <w:rFonts w:eastAsia="Calibri"/>
          <w:b/>
          <w:bCs/>
          <w:sz w:val="22"/>
          <w:szCs w:val="22"/>
          <w:lang w:val="en-US" w:eastAsia="en-US"/>
        </w:rPr>
        <w:t>b)</w:t>
      </w:r>
      <w:r w:rsidRPr="001D4230">
        <w:rPr>
          <w:rFonts w:eastAsia="Calibri"/>
          <w:sz w:val="22"/>
          <w:szCs w:val="22"/>
          <w:lang w:val="en-US" w:eastAsia="en-US"/>
        </w:rPr>
        <w:t xml:space="preserve"> below the </w:t>
      </w:r>
      <w:r w:rsidRPr="001D4230">
        <w:rPr>
          <w:rFonts w:eastAsia="Calibri"/>
          <w:b/>
          <w:bCs/>
          <w:sz w:val="22"/>
          <w:szCs w:val="22"/>
          <w:lang w:val="en-US" w:eastAsia="en-US"/>
        </w:rPr>
        <w:t xml:space="preserve">specific issues </w:t>
      </w:r>
      <w:r w:rsidR="004A5BE3" w:rsidRPr="001D4230">
        <w:rPr>
          <w:rFonts w:eastAsia="Calibri"/>
          <w:b/>
          <w:bCs/>
          <w:sz w:val="22"/>
          <w:szCs w:val="22"/>
          <w:lang w:val="en-US" w:eastAsia="en-US"/>
        </w:rPr>
        <w:t xml:space="preserve">that </w:t>
      </w:r>
      <w:r w:rsidRPr="001D4230">
        <w:rPr>
          <w:rFonts w:eastAsia="Calibri"/>
          <w:b/>
          <w:bCs/>
          <w:sz w:val="22"/>
          <w:szCs w:val="22"/>
          <w:lang w:val="en-US" w:eastAsia="en-US"/>
        </w:rPr>
        <w:t>NFC+</w:t>
      </w:r>
      <w:r w:rsidR="004A5BE3" w:rsidRPr="001D4230">
        <w:rPr>
          <w:rFonts w:eastAsia="Calibri"/>
          <w:b/>
          <w:bCs/>
          <w:sz w:val="22"/>
          <w:szCs w:val="22"/>
          <w:lang w:val="en-US" w:eastAsia="en-US"/>
        </w:rPr>
        <w:t>s</w:t>
      </w:r>
      <w:r w:rsidRPr="001D4230">
        <w:rPr>
          <w:rFonts w:eastAsia="Calibri"/>
          <w:b/>
          <w:bCs/>
          <w:sz w:val="22"/>
          <w:szCs w:val="22"/>
          <w:lang w:val="en-US" w:eastAsia="en-US"/>
        </w:rPr>
        <w:t xml:space="preserve"> encounter when they calculate the</w:t>
      </w:r>
      <w:r w:rsidR="005045EA" w:rsidRPr="001D4230">
        <w:rPr>
          <w:rFonts w:eastAsia="Calibri"/>
          <w:b/>
          <w:bCs/>
          <w:sz w:val="22"/>
          <w:szCs w:val="22"/>
          <w:lang w:val="en-US" w:eastAsia="en-US"/>
        </w:rPr>
        <w:t xml:space="preserve">ir exposure to </w:t>
      </w:r>
      <w:r w:rsidR="00EF4723" w:rsidRPr="001D4230">
        <w:rPr>
          <w:rFonts w:eastAsia="Calibri"/>
          <w:b/>
          <w:bCs/>
          <w:sz w:val="22"/>
          <w:szCs w:val="22"/>
          <w:lang w:val="en-US" w:eastAsia="en-US"/>
        </w:rPr>
        <w:t>the</w:t>
      </w:r>
      <w:r w:rsidRPr="001D4230">
        <w:rPr>
          <w:rFonts w:eastAsia="Calibri"/>
          <w:b/>
          <w:bCs/>
          <w:sz w:val="22"/>
          <w:szCs w:val="22"/>
          <w:lang w:val="en-US" w:eastAsia="en-US"/>
        </w:rPr>
        <w:t xml:space="preserve"> EMIR CCT</w:t>
      </w:r>
      <w:r w:rsidRPr="001D4230">
        <w:rPr>
          <w:rFonts w:eastAsia="Calibri"/>
          <w:sz w:val="22"/>
          <w:szCs w:val="22"/>
          <w:lang w:val="en-US" w:eastAsia="en-US"/>
        </w:rPr>
        <w:t>.</w:t>
      </w:r>
      <w:bookmarkEnd w:id="22"/>
    </w:p>
    <w:p w14:paraId="359667CC" w14:textId="712B30C4" w:rsidR="0041137B" w:rsidRPr="001D4230" w:rsidRDefault="0061551F" w:rsidP="00D97FF6">
      <w:pPr>
        <w:spacing w:before="120" w:after="120"/>
        <w:ind w:left="360"/>
        <w:jc w:val="both"/>
        <w:rPr>
          <w:rFonts w:eastAsia="Calibri"/>
          <w:sz w:val="22"/>
          <w:szCs w:val="22"/>
          <w:lang w:val="en-US" w:eastAsia="en-US"/>
        </w:rPr>
      </w:pPr>
      <w:r w:rsidRPr="001D4230">
        <w:rPr>
          <w:rFonts w:eastAsia="Calibri"/>
          <w:sz w:val="22"/>
          <w:szCs w:val="22"/>
          <w:lang w:eastAsia="en-US"/>
        </w:rPr>
        <w:t xml:space="preserve">The </w:t>
      </w:r>
      <w:r w:rsidR="00756758" w:rsidRPr="001D4230">
        <w:rPr>
          <w:rFonts w:eastAsia="Calibri"/>
          <w:sz w:val="22"/>
          <w:szCs w:val="22"/>
          <w:lang w:eastAsia="en-US"/>
        </w:rPr>
        <w:t xml:space="preserve">current EMIR framework and underlying methodologies </w:t>
      </w:r>
      <w:r w:rsidR="004A5BE3" w:rsidRPr="001D4230">
        <w:rPr>
          <w:rFonts w:eastAsia="Calibri"/>
          <w:sz w:val="22"/>
          <w:szCs w:val="22"/>
          <w:lang w:eastAsia="en-US"/>
        </w:rPr>
        <w:t>of calculating</w:t>
      </w:r>
      <w:r w:rsidR="00756758" w:rsidRPr="001D4230">
        <w:rPr>
          <w:rFonts w:eastAsia="Calibri"/>
          <w:sz w:val="22"/>
          <w:szCs w:val="22"/>
          <w:lang w:eastAsia="en-US"/>
        </w:rPr>
        <w:t xml:space="preserve"> the EMIR CCT unduly inflate the gross notional values of OTC derivatives counting against the EMIR CCT</w:t>
      </w:r>
      <w:r w:rsidR="005045EA" w:rsidRPr="001D4230">
        <w:rPr>
          <w:rFonts w:eastAsia="Calibri"/>
          <w:sz w:val="22"/>
          <w:szCs w:val="22"/>
          <w:lang w:eastAsia="en-US"/>
        </w:rPr>
        <w:t xml:space="preserve"> and hence reduce the headroom for NFCs</w:t>
      </w:r>
      <w:r w:rsidR="00756758" w:rsidRPr="001D4230">
        <w:rPr>
          <w:rFonts w:eastAsia="Calibri"/>
          <w:sz w:val="22"/>
          <w:szCs w:val="22"/>
          <w:lang w:eastAsia="en-US"/>
        </w:rPr>
        <w:t>.</w:t>
      </w:r>
    </w:p>
    <w:p w14:paraId="6E6D6AEE" w14:textId="79DE1786" w:rsidR="00B008F4" w:rsidRPr="007E571E" w:rsidRDefault="0002664E" w:rsidP="00D97FF6">
      <w:pPr>
        <w:pStyle w:val="ListParagraph"/>
        <w:spacing w:before="120" w:after="120"/>
        <w:ind w:left="0"/>
        <w:contextualSpacing w:val="0"/>
        <w:jc w:val="both"/>
        <w:rPr>
          <w:rFonts w:eastAsia="Calibri"/>
          <w:b/>
          <w:bCs/>
          <w:sz w:val="22"/>
          <w:szCs w:val="22"/>
          <w:lang w:eastAsia="en-US"/>
        </w:rPr>
      </w:pPr>
      <w:r w:rsidRPr="007E571E">
        <w:rPr>
          <w:rFonts w:eastAsia="Calibri"/>
          <w:b/>
          <w:bCs/>
          <w:sz w:val="22"/>
          <w:szCs w:val="22"/>
          <w:lang w:eastAsia="en-US"/>
        </w:rPr>
        <w:t xml:space="preserve">a) </w:t>
      </w:r>
      <w:r w:rsidR="002A7396" w:rsidRPr="007E571E">
        <w:rPr>
          <w:rFonts w:eastAsia="Calibri"/>
          <w:b/>
          <w:bCs/>
          <w:sz w:val="22"/>
          <w:szCs w:val="22"/>
          <w:lang w:eastAsia="en-US"/>
        </w:rPr>
        <w:t xml:space="preserve">Broader issues of the EMIR rules </w:t>
      </w:r>
      <w:r w:rsidR="0041137B" w:rsidRPr="007E571E">
        <w:rPr>
          <w:rFonts w:eastAsia="Calibri"/>
          <w:b/>
          <w:bCs/>
          <w:sz w:val="22"/>
          <w:szCs w:val="22"/>
          <w:lang w:eastAsia="en-US"/>
        </w:rPr>
        <w:t>triggered by the</w:t>
      </w:r>
      <w:r w:rsidR="002A7396" w:rsidRPr="007E571E">
        <w:rPr>
          <w:rFonts w:eastAsia="Calibri"/>
          <w:b/>
          <w:bCs/>
          <w:sz w:val="22"/>
          <w:szCs w:val="22"/>
          <w:lang w:eastAsia="en-US"/>
        </w:rPr>
        <w:t xml:space="preserve"> NFC+</w:t>
      </w:r>
      <w:r w:rsidR="0041137B" w:rsidRPr="007E571E">
        <w:rPr>
          <w:rFonts w:eastAsia="Calibri"/>
          <w:b/>
          <w:bCs/>
          <w:sz w:val="22"/>
          <w:szCs w:val="22"/>
          <w:lang w:eastAsia="en-US"/>
        </w:rPr>
        <w:t xml:space="preserve"> </w:t>
      </w:r>
      <w:r w:rsidR="00DC1CC9" w:rsidRPr="007E571E">
        <w:rPr>
          <w:rFonts w:eastAsia="Calibri"/>
          <w:b/>
          <w:bCs/>
          <w:sz w:val="22"/>
          <w:szCs w:val="22"/>
          <w:lang w:eastAsia="en-US"/>
        </w:rPr>
        <w:t xml:space="preserve">implementation and </w:t>
      </w:r>
      <w:r w:rsidR="0041137B" w:rsidRPr="007E571E">
        <w:rPr>
          <w:rFonts w:eastAsia="Calibri"/>
          <w:b/>
          <w:bCs/>
          <w:sz w:val="22"/>
          <w:szCs w:val="22"/>
          <w:lang w:eastAsia="en-US"/>
        </w:rPr>
        <w:t>compliance</w:t>
      </w:r>
      <w:r w:rsidR="002A7396" w:rsidRPr="007E571E">
        <w:rPr>
          <w:rFonts w:eastAsia="Calibri"/>
          <w:b/>
          <w:bCs/>
          <w:sz w:val="22"/>
          <w:szCs w:val="22"/>
          <w:lang w:eastAsia="en-US"/>
        </w:rPr>
        <w:t>:</w:t>
      </w:r>
    </w:p>
    <w:p w14:paraId="3ACDCE75" w14:textId="68E601CB" w:rsidR="007E179B" w:rsidRPr="007E571E" w:rsidRDefault="007E179B" w:rsidP="00D97FF6">
      <w:pPr>
        <w:spacing w:before="120" w:after="120"/>
        <w:jc w:val="both"/>
        <w:rPr>
          <w:rFonts w:eastAsia="Calibri"/>
          <w:sz w:val="22"/>
          <w:szCs w:val="22"/>
          <w:lang w:val="en-US" w:eastAsia="en-US"/>
        </w:rPr>
      </w:pPr>
      <w:r w:rsidRPr="007E571E">
        <w:rPr>
          <w:rFonts w:eastAsia="Calibri"/>
          <w:sz w:val="22"/>
          <w:szCs w:val="22"/>
          <w:lang w:eastAsia="en-US"/>
        </w:rPr>
        <w:t>In this section we describe the</w:t>
      </w:r>
      <w:r w:rsidRPr="007E571E">
        <w:rPr>
          <w:rFonts w:eastAsia="Calibri"/>
          <w:sz w:val="22"/>
          <w:szCs w:val="22"/>
          <w:lang w:val="en-US" w:eastAsia="en-US"/>
        </w:rPr>
        <w:t xml:space="preserve"> broader issues for NFCs under the EMIR rules which are triggered by the implementation of and compliance with a</w:t>
      </w:r>
      <w:r w:rsidR="004A5BE3" w:rsidRPr="007E571E">
        <w:rPr>
          <w:rFonts w:eastAsia="Calibri"/>
          <w:sz w:val="22"/>
          <w:szCs w:val="22"/>
          <w:lang w:val="en-US" w:eastAsia="en-US"/>
        </w:rPr>
        <w:t>n</w:t>
      </w:r>
      <w:r w:rsidRPr="007E571E">
        <w:rPr>
          <w:rFonts w:eastAsia="Calibri"/>
          <w:sz w:val="22"/>
          <w:szCs w:val="22"/>
          <w:lang w:val="en-US" w:eastAsia="en-US"/>
        </w:rPr>
        <w:t xml:space="preserve"> NFC+ status. In this context, we differentiate between</w:t>
      </w:r>
    </w:p>
    <w:p w14:paraId="228EA304" w14:textId="06167D51" w:rsidR="007E179B" w:rsidRPr="007E571E" w:rsidRDefault="007E179B" w:rsidP="00AC2245">
      <w:pPr>
        <w:pStyle w:val="ListParagraph"/>
        <w:numPr>
          <w:ilvl w:val="0"/>
          <w:numId w:val="55"/>
        </w:numPr>
        <w:spacing w:before="120" w:after="120"/>
        <w:ind w:left="714" w:hanging="357"/>
        <w:contextualSpacing w:val="0"/>
        <w:jc w:val="both"/>
        <w:rPr>
          <w:rFonts w:eastAsia="Calibri"/>
          <w:sz w:val="22"/>
          <w:szCs w:val="22"/>
          <w:lang w:val="en-US" w:eastAsia="en-US"/>
        </w:rPr>
      </w:pPr>
      <w:r w:rsidRPr="007E571E">
        <w:rPr>
          <w:rFonts w:eastAsia="Calibri"/>
          <w:sz w:val="22"/>
          <w:szCs w:val="22"/>
          <w:lang w:val="en-US" w:eastAsia="en-US"/>
        </w:rPr>
        <w:t xml:space="preserve">the </w:t>
      </w:r>
      <w:r w:rsidRPr="007E571E">
        <w:rPr>
          <w:rFonts w:eastAsia="Calibri"/>
          <w:b/>
          <w:bCs/>
          <w:sz w:val="22"/>
          <w:szCs w:val="22"/>
          <w:lang w:val="en-US" w:eastAsia="en-US"/>
        </w:rPr>
        <w:t>important transformation (implementation) efforts</w:t>
      </w:r>
      <w:r w:rsidRPr="007E571E">
        <w:rPr>
          <w:rFonts w:eastAsia="Calibri"/>
          <w:sz w:val="22"/>
          <w:szCs w:val="22"/>
          <w:lang w:val="en-US" w:eastAsia="en-US"/>
        </w:rPr>
        <w:t xml:space="preserve"> to become a compliant NFC+ (see </w:t>
      </w:r>
      <w:r w:rsidRPr="007E571E">
        <w:rPr>
          <w:rFonts w:eastAsia="Calibri"/>
          <w:b/>
          <w:bCs/>
          <w:sz w:val="22"/>
          <w:szCs w:val="22"/>
          <w:lang w:val="en-US" w:eastAsia="en-US"/>
        </w:rPr>
        <w:t>point (1) below</w:t>
      </w:r>
      <w:r w:rsidRPr="007E571E">
        <w:rPr>
          <w:rFonts w:eastAsia="Calibri"/>
          <w:sz w:val="22"/>
          <w:szCs w:val="22"/>
          <w:lang w:val="en-US" w:eastAsia="en-US"/>
        </w:rPr>
        <w:t>); and</w:t>
      </w:r>
    </w:p>
    <w:p w14:paraId="2CECDD6C" w14:textId="4B3D9115" w:rsidR="007E179B" w:rsidRPr="007E571E" w:rsidRDefault="007E179B" w:rsidP="00AC2245">
      <w:pPr>
        <w:pStyle w:val="ListParagraph"/>
        <w:numPr>
          <w:ilvl w:val="0"/>
          <w:numId w:val="55"/>
        </w:numPr>
        <w:spacing w:before="120" w:after="120"/>
        <w:ind w:left="714" w:hanging="357"/>
        <w:contextualSpacing w:val="0"/>
        <w:jc w:val="both"/>
        <w:rPr>
          <w:rFonts w:eastAsia="Calibri"/>
          <w:b/>
          <w:bCs/>
          <w:sz w:val="22"/>
          <w:szCs w:val="22"/>
          <w:lang w:eastAsia="en-US"/>
        </w:rPr>
      </w:pPr>
      <w:r w:rsidRPr="007E571E">
        <w:rPr>
          <w:rFonts w:eastAsia="Calibri"/>
          <w:sz w:val="22"/>
          <w:szCs w:val="22"/>
          <w:lang w:val="en-US" w:eastAsia="en-US"/>
        </w:rPr>
        <w:t xml:space="preserve">the </w:t>
      </w:r>
      <w:r w:rsidR="00AC2245" w:rsidRPr="007E571E">
        <w:rPr>
          <w:rFonts w:eastAsia="Calibri"/>
          <w:b/>
          <w:bCs/>
          <w:sz w:val="22"/>
          <w:szCs w:val="22"/>
          <w:lang w:val="en-US" w:eastAsia="en-US"/>
        </w:rPr>
        <w:t>challenges</w:t>
      </w:r>
      <w:r w:rsidRPr="007E571E">
        <w:rPr>
          <w:rFonts w:eastAsia="Calibri"/>
          <w:b/>
          <w:bCs/>
          <w:sz w:val="22"/>
          <w:szCs w:val="22"/>
          <w:lang w:val="en-US" w:eastAsia="en-US"/>
        </w:rPr>
        <w:t xml:space="preserve"> for the business conduct and development</w:t>
      </w:r>
      <w:r w:rsidRPr="007E571E">
        <w:rPr>
          <w:rFonts w:eastAsia="Calibri"/>
          <w:sz w:val="22"/>
          <w:szCs w:val="22"/>
          <w:lang w:val="en-US" w:eastAsia="en-US"/>
        </w:rPr>
        <w:t xml:space="preserve"> of NFC+s (see </w:t>
      </w:r>
      <w:r w:rsidRPr="007E571E">
        <w:rPr>
          <w:rFonts w:eastAsia="Calibri"/>
          <w:b/>
          <w:bCs/>
          <w:sz w:val="22"/>
          <w:szCs w:val="22"/>
          <w:lang w:val="en-US" w:eastAsia="en-US"/>
        </w:rPr>
        <w:t>point (2) below</w:t>
      </w:r>
      <w:r w:rsidRPr="007E571E">
        <w:rPr>
          <w:rFonts w:eastAsia="Calibri"/>
          <w:sz w:val="22"/>
          <w:szCs w:val="22"/>
          <w:lang w:val="en-US" w:eastAsia="en-US"/>
        </w:rPr>
        <w:t>).</w:t>
      </w:r>
    </w:p>
    <w:p w14:paraId="7E3ED59C" w14:textId="48242003" w:rsidR="002A7396" w:rsidRPr="007E571E" w:rsidRDefault="0002664E" w:rsidP="00AE70E5">
      <w:pPr>
        <w:spacing w:before="120" w:after="120"/>
        <w:jc w:val="both"/>
        <w:rPr>
          <w:rFonts w:eastAsia="Calibri"/>
          <w:b/>
          <w:bCs/>
          <w:sz w:val="22"/>
          <w:szCs w:val="22"/>
          <w:lang w:eastAsia="en-US"/>
        </w:rPr>
      </w:pPr>
      <w:r w:rsidRPr="007E571E">
        <w:rPr>
          <w:rFonts w:eastAsia="Calibri"/>
          <w:b/>
          <w:bCs/>
          <w:sz w:val="22"/>
          <w:szCs w:val="22"/>
          <w:lang w:eastAsia="en-US"/>
        </w:rPr>
        <w:t xml:space="preserve">(1) </w:t>
      </w:r>
      <w:r w:rsidR="002A7396" w:rsidRPr="007E571E">
        <w:rPr>
          <w:rFonts w:eastAsia="Calibri"/>
          <w:b/>
          <w:bCs/>
          <w:sz w:val="22"/>
          <w:szCs w:val="22"/>
          <w:lang w:eastAsia="en-US"/>
        </w:rPr>
        <w:t>Transformation</w:t>
      </w:r>
      <w:r w:rsidR="00D55058" w:rsidRPr="007E571E">
        <w:rPr>
          <w:rFonts w:eastAsia="Calibri"/>
          <w:b/>
          <w:bCs/>
          <w:sz w:val="22"/>
          <w:szCs w:val="22"/>
          <w:lang w:eastAsia="en-US"/>
        </w:rPr>
        <w:t xml:space="preserve"> (implementation)</w:t>
      </w:r>
      <w:r w:rsidR="002A7396" w:rsidRPr="007E571E">
        <w:rPr>
          <w:rFonts w:eastAsia="Calibri"/>
          <w:b/>
          <w:bCs/>
          <w:sz w:val="22"/>
          <w:szCs w:val="22"/>
          <w:lang w:eastAsia="en-US"/>
        </w:rPr>
        <w:t xml:space="preserve"> efforts to become a </w:t>
      </w:r>
      <w:r w:rsidRPr="007E571E">
        <w:rPr>
          <w:rFonts w:eastAsia="Calibri"/>
          <w:b/>
          <w:bCs/>
          <w:sz w:val="22"/>
          <w:szCs w:val="22"/>
          <w:lang w:eastAsia="en-US"/>
        </w:rPr>
        <w:t xml:space="preserve">compliant </w:t>
      </w:r>
      <w:r w:rsidR="002A7396" w:rsidRPr="007E571E">
        <w:rPr>
          <w:rFonts w:eastAsia="Calibri"/>
          <w:b/>
          <w:bCs/>
          <w:sz w:val="22"/>
          <w:szCs w:val="22"/>
          <w:lang w:eastAsia="en-US"/>
        </w:rPr>
        <w:t>NFC+ firm</w:t>
      </w:r>
    </w:p>
    <w:p w14:paraId="343BAEE3" w14:textId="2A46C074" w:rsidR="00D81F18" w:rsidRPr="007E571E" w:rsidRDefault="004A5BE3" w:rsidP="00AE70E5">
      <w:pPr>
        <w:spacing w:before="120" w:after="120"/>
        <w:jc w:val="both"/>
        <w:rPr>
          <w:rFonts w:eastAsia="Calibri"/>
          <w:b/>
          <w:bCs/>
          <w:sz w:val="22"/>
          <w:szCs w:val="22"/>
          <w:lang w:eastAsia="en-US"/>
        </w:rPr>
      </w:pPr>
      <w:r w:rsidRPr="007E571E">
        <w:rPr>
          <w:rFonts w:eastAsia="Calibri"/>
          <w:b/>
          <w:bCs/>
          <w:sz w:val="22"/>
          <w:szCs w:val="22"/>
          <w:lang w:val="en-US" w:eastAsia="en-US"/>
        </w:rPr>
        <w:t>Briefly</w:t>
      </w:r>
      <w:r w:rsidR="00D81F18" w:rsidRPr="007E571E">
        <w:rPr>
          <w:rFonts w:eastAsia="Calibri"/>
          <w:b/>
          <w:bCs/>
          <w:sz w:val="22"/>
          <w:szCs w:val="22"/>
          <w:lang w:val="en-US" w:eastAsia="en-US"/>
        </w:rPr>
        <w:t>, the current EMIR framework exposes NFCs to the stark choice to either restrict or even stop their trading activities or to implement a very burdensome and costly NFC+ status. In addition, a</w:t>
      </w:r>
      <w:r w:rsidRPr="007E571E">
        <w:rPr>
          <w:rFonts w:eastAsia="Calibri"/>
          <w:b/>
          <w:bCs/>
          <w:sz w:val="22"/>
          <w:szCs w:val="22"/>
          <w:lang w:val="en-US" w:eastAsia="en-US"/>
        </w:rPr>
        <w:t>n</w:t>
      </w:r>
      <w:r w:rsidR="00D81F18" w:rsidRPr="007E571E">
        <w:rPr>
          <w:rFonts w:eastAsia="Calibri"/>
          <w:b/>
          <w:bCs/>
          <w:sz w:val="22"/>
          <w:szCs w:val="22"/>
          <w:lang w:val="en-US" w:eastAsia="en-US"/>
        </w:rPr>
        <w:t xml:space="preserve"> NFC+ status causes important limitations on firms’ business conduct and development</w:t>
      </w:r>
      <w:r w:rsidR="00D81F18" w:rsidRPr="007E571E">
        <w:rPr>
          <w:rFonts w:eastAsia="Calibri"/>
          <w:b/>
          <w:bCs/>
          <w:sz w:val="22"/>
          <w:szCs w:val="22"/>
          <w:lang w:eastAsia="en-US"/>
        </w:rPr>
        <w:t>.</w:t>
      </w:r>
    </w:p>
    <w:p w14:paraId="438BDB6F" w14:textId="12C76956" w:rsidR="002A7396" w:rsidRPr="001D4230" w:rsidRDefault="00995029" w:rsidP="00AE70E5">
      <w:pPr>
        <w:spacing w:before="120" w:after="120"/>
        <w:jc w:val="both"/>
        <w:rPr>
          <w:rFonts w:eastAsia="Calibri"/>
          <w:sz w:val="22"/>
          <w:szCs w:val="22"/>
          <w:lang w:eastAsia="en-US"/>
        </w:rPr>
      </w:pPr>
      <w:r w:rsidRPr="001D4230">
        <w:rPr>
          <w:rFonts w:eastAsia="Calibri"/>
          <w:sz w:val="22"/>
          <w:szCs w:val="22"/>
          <w:lang w:eastAsia="en-US"/>
        </w:rPr>
        <w:t>The</w:t>
      </w:r>
      <w:r w:rsidR="00613818" w:rsidRPr="001D4230">
        <w:rPr>
          <w:rFonts w:eastAsia="Calibri"/>
          <w:sz w:val="22"/>
          <w:szCs w:val="22"/>
          <w:lang w:eastAsia="en-US"/>
        </w:rPr>
        <w:t xml:space="preserve"> effort and costs </w:t>
      </w:r>
      <w:r w:rsidRPr="001D4230">
        <w:rPr>
          <w:rFonts w:eastAsia="Calibri"/>
          <w:sz w:val="22"/>
          <w:szCs w:val="22"/>
          <w:lang w:eastAsia="en-US"/>
        </w:rPr>
        <w:t>to</w:t>
      </w:r>
      <w:r w:rsidR="00613818" w:rsidRPr="001D4230">
        <w:rPr>
          <w:rFonts w:eastAsia="Calibri"/>
          <w:sz w:val="22"/>
          <w:szCs w:val="22"/>
          <w:lang w:eastAsia="en-US"/>
        </w:rPr>
        <w:t xml:space="preserve"> implement all of the </w:t>
      </w:r>
      <w:r w:rsidRPr="001D4230">
        <w:rPr>
          <w:rFonts w:eastAsia="Calibri"/>
          <w:sz w:val="22"/>
          <w:szCs w:val="22"/>
          <w:lang w:eastAsia="en-US"/>
        </w:rPr>
        <w:t xml:space="preserve">EMIR </w:t>
      </w:r>
      <w:r w:rsidR="00613818" w:rsidRPr="001D4230">
        <w:rPr>
          <w:rFonts w:eastAsia="Calibri"/>
          <w:sz w:val="22"/>
          <w:szCs w:val="22"/>
          <w:lang w:eastAsia="en-US"/>
        </w:rPr>
        <w:t>requirements applicable to NFC+ firms represent for almost all firms an unsurmountable obstacle</w:t>
      </w:r>
      <w:r w:rsidR="00EE26F6" w:rsidRPr="001D4230">
        <w:rPr>
          <w:rFonts w:eastAsia="Calibri"/>
          <w:sz w:val="22"/>
          <w:szCs w:val="22"/>
          <w:lang w:eastAsia="en-US"/>
        </w:rPr>
        <w:t xml:space="preserve"> and hence force concerned firms </w:t>
      </w:r>
      <w:r w:rsidR="00900D64" w:rsidRPr="001D4230">
        <w:rPr>
          <w:rFonts w:eastAsia="Calibri"/>
          <w:sz w:val="22"/>
          <w:szCs w:val="22"/>
          <w:lang w:eastAsia="en-US"/>
        </w:rPr>
        <w:t>to</w:t>
      </w:r>
      <w:r w:rsidR="00EE26F6" w:rsidRPr="001D4230">
        <w:rPr>
          <w:rFonts w:eastAsia="Calibri"/>
          <w:sz w:val="22"/>
          <w:szCs w:val="22"/>
          <w:lang w:eastAsia="en-US"/>
        </w:rPr>
        <w:t xml:space="preserve"> restrict</w:t>
      </w:r>
      <w:r w:rsidR="00D81F18" w:rsidRPr="001D4230">
        <w:rPr>
          <w:rFonts w:eastAsia="Calibri"/>
          <w:sz w:val="22"/>
          <w:szCs w:val="22"/>
          <w:lang w:eastAsia="en-US"/>
        </w:rPr>
        <w:t xml:space="preserve"> or </w:t>
      </w:r>
      <w:r w:rsidR="00D81F18" w:rsidRPr="001D4230">
        <w:rPr>
          <w:rFonts w:eastAsia="Calibri"/>
          <w:sz w:val="22"/>
          <w:szCs w:val="22"/>
          <w:lang w:eastAsia="en-US"/>
        </w:rPr>
        <w:lastRenderedPageBreak/>
        <w:t>even to stop</w:t>
      </w:r>
      <w:r w:rsidR="00EE26F6" w:rsidRPr="001D4230">
        <w:rPr>
          <w:rFonts w:eastAsia="Calibri"/>
          <w:sz w:val="22"/>
          <w:szCs w:val="22"/>
          <w:lang w:eastAsia="en-US"/>
        </w:rPr>
        <w:t xml:space="preserve"> their trading activities</w:t>
      </w:r>
      <w:r w:rsidR="00613818" w:rsidRPr="001D4230">
        <w:rPr>
          <w:rFonts w:eastAsia="Calibri"/>
          <w:sz w:val="22"/>
          <w:szCs w:val="22"/>
          <w:lang w:eastAsia="en-US"/>
        </w:rPr>
        <w:t xml:space="preserve">. </w:t>
      </w:r>
      <w:r w:rsidRPr="001D4230">
        <w:rPr>
          <w:rFonts w:eastAsia="Calibri"/>
          <w:sz w:val="22"/>
          <w:szCs w:val="22"/>
          <w:lang w:eastAsia="en-US"/>
        </w:rPr>
        <w:t>For the</w:t>
      </w:r>
      <w:r w:rsidR="00613818" w:rsidRPr="001D4230">
        <w:rPr>
          <w:rFonts w:eastAsia="Calibri"/>
          <w:sz w:val="22"/>
          <w:szCs w:val="22"/>
          <w:lang w:eastAsia="en-US"/>
        </w:rPr>
        <w:t xml:space="preserve"> </w:t>
      </w:r>
      <w:r w:rsidRPr="001D4230">
        <w:rPr>
          <w:rFonts w:eastAsia="Calibri"/>
          <w:sz w:val="22"/>
          <w:szCs w:val="22"/>
          <w:lang w:eastAsia="en-US"/>
        </w:rPr>
        <w:t>very f</w:t>
      </w:r>
      <w:r w:rsidR="00613818" w:rsidRPr="001D4230">
        <w:rPr>
          <w:rFonts w:eastAsia="Calibri"/>
          <w:sz w:val="22"/>
          <w:szCs w:val="22"/>
          <w:lang w:eastAsia="en-US"/>
        </w:rPr>
        <w:t>ew</w:t>
      </w:r>
      <w:r w:rsidRPr="001D4230">
        <w:rPr>
          <w:rFonts w:eastAsia="Calibri"/>
          <w:sz w:val="22"/>
          <w:szCs w:val="22"/>
          <w:lang w:eastAsia="en-US"/>
        </w:rPr>
        <w:t xml:space="preserve"> corporate</w:t>
      </w:r>
      <w:r w:rsidR="00613818" w:rsidRPr="001D4230">
        <w:rPr>
          <w:rFonts w:eastAsia="Calibri"/>
          <w:sz w:val="22"/>
          <w:szCs w:val="22"/>
          <w:lang w:eastAsia="en-US"/>
        </w:rPr>
        <w:t xml:space="preserve"> firms who </w:t>
      </w:r>
      <w:r w:rsidRPr="001D4230">
        <w:rPr>
          <w:rFonts w:eastAsia="Calibri"/>
          <w:sz w:val="22"/>
          <w:szCs w:val="22"/>
          <w:lang w:eastAsia="en-US"/>
        </w:rPr>
        <w:t>implemented</w:t>
      </w:r>
      <w:r w:rsidR="00613818" w:rsidRPr="001D4230">
        <w:rPr>
          <w:rFonts w:eastAsia="Calibri"/>
          <w:sz w:val="22"/>
          <w:szCs w:val="22"/>
          <w:lang w:eastAsia="en-US"/>
        </w:rPr>
        <w:t xml:space="preserve"> or </w:t>
      </w:r>
      <w:r w:rsidR="00AC2245" w:rsidRPr="001D4230">
        <w:rPr>
          <w:rFonts w:eastAsia="Calibri"/>
          <w:sz w:val="22"/>
          <w:szCs w:val="22"/>
          <w:lang w:eastAsia="en-US"/>
        </w:rPr>
        <w:t xml:space="preserve">might implement </w:t>
      </w:r>
      <w:r w:rsidRPr="001D4230">
        <w:rPr>
          <w:rFonts w:eastAsia="Calibri"/>
          <w:sz w:val="22"/>
          <w:szCs w:val="22"/>
          <w:lang w:eastAsia="en-US"/>
        </w:rPr>
        <w:t xml:space="preserve">in future </w:t>
      </w:r>
      <w:r w:rsidR="00613818" w:rsidRPr="001D4230">
        <w:rPr>
          <w:rFonts w:eastAsia="Calibri"/>
          <w:sz w:val="22"/>
          <w:szCs w:val="22"/>
          <w:lang w:eastAsia="en-US"/>
        </w:rPr>
        <w:t>a</w:t>
      </w:r>
      <w:r w:rsidR="004A5BE3" w:rsidRPr="001D4230">
        <w:rPr>
          <w:rFonts w:eastAsia="Calibri"/>
          <w:sz w:val="22"/>
          <w:szCs w:val="22"/>
          <w:lang w:eastAsia="en-US"/>
        </w:rPr>
        <w:t>n</w:t>
      </w:r>
      <w:r w:rsidR="00613818" w:rsidRPr="001D4230">
        <w:rPr>
          <w:rFonts w:eastAsia="Calibri"/>
          <w:sz w:val="22"/>
          <w:szCs w:val="22"/>
          <w:lang w:eastAsia="en-US"/>
        </w:rPr>
        <w:t xml:space="preserve"> NFC+ status, this </w:t>
      </w:r>
      <w:r w:rsidRPr="001D4230">
        <w:rPr>
          <w:rFonts w:eastAsia="Calibri"/>
          <w:sz w:val="22"/>
          <w:szCs w:val="22"/>
          <w:lang w:eastAsia="en-US"/>
        </w:rPr>
        <w:t xml:space="preserve">implementation </w:t>
      </w:r>
      <w:r w:rsidR="00613818" w:rsidRPr="001D4230">
        <w:rPr>
          <w:rFonts w:eastAsia="Calibri"/>
          <w:sz w:val="22"/>
          <w:szCs w:val="22"/>
          <w:lang w:eastAsia="en-US"/>
        </w:rPr>
        <w:t xml:space="preserve">effort </w:t>
      </w:r>
      <w:r w:rsidR="002D3BAC" w:rsidRPr="001D4230">
        <w:rPr>
          <w:rFonts w:eastAsia="Calibri"/>
          <w:sz w:val="22"/>
          <w:szCs w:val="22"/>
          <w:lang w:eastAsia="en-US"/>
        </w:rPr>
        <w:t>causes</w:t>
      </w:r>
      <w:r w:rsidR="00613818" w:rsidRPr="001D4230">
        <w:rPr>
          <w:rFonts w:eastAsia="Calibri"/>
          <w:sz w:val="22"/>
          <w:szCs w:val="22"/>
          <w:lang w:eastAsia="en-US"/>
        </w:rPr>
        <w:t xml:space="preserve"> </w:t>
      </w:r>
      <w:r w:rsidR="00EE26F6" w:rsidRPr="001D4230">
        <w:rPr>
          <w:rFonts w:eastAsia="Calibri"/>
          <w:sz w:val="22"/>
          <w:szCs w:val="22"/>
          <w:lang w:eastAsia="en-US"/>
        </w:rPr>
        <w:t xml:space="preserve">very </w:t>
      </w:r>
      <w:r w:rsidRPr="001D4230">
        <w:rPr>
          <w:rFonts w:eastAsia="Calibri"/>
          <w:sz w:val="22"/>
          <w:szCs w:val="22"/>
          <w:lang w:eastAsia="en-US"/>
        </w:rPr>
        <w:t>high costs and burdensome work across their</w:t>
      </w:r>
      <w:r w:rsidR="00EE26F6" w:rsidRPr="001D4230">
        <w:rPr>
          <w:rFonts w:eastAsia="Calibri"/>
          <w:sz w:val="22"/>
          <w:szCs w:val="22"/>
          <w:lang w:eastAsia="en-US"/>
        </w:rPr>
        <w:t xml:space="preserve"> entire </w:t>
      </w:r>
      <w:r w:rsidRPr="001D4230">
        <w:rPr>
          <w:rFonts w:eastAsia="Calibri"/>
          <w:sz w:val="22"/>
          <w:szCs w:val="22"/>
          <w:lang w:eastAsia="en-US"/>
        </w:rPr>
        <w:t>world-wide corporate group.</w:t>
      </w:r>
      <w:r w:rsidR="00EE26F6" w:rsidRPr="001D4230">
        <w:rPr>
          <w:rFonts w:eastAsia="Calibri"/>
          <w:sz w:val="22"/>
          <w:szCs w:val="22"/>
          <w:lang w:eastAsia="en-US"/>
        </w:rPr>
        <w:t xml:space="preserve"> </w:t>
      </w:r>
      <w:r w:rsidRPr="001D4230">
        <w:rPr>
          <w:rFonts w:eastAsia="Calibri"/>
          <w:sz w:val="22"/>
          <w:szCs w:val="22"/>
          <w:lang w:eastAsia="en-US"/>
        </w:rPr>
        <w:t>The reason is that</w:t>
      </w:r>
      <w:r w:rsidR="000049D8" w:rsidRPr="001D4230">
        <w:rPr>
          <w:rFonts w:eastAsia="Calibri"/>
          <w:sz w:val="22"/>
          <w:szCs w:val="22"/>
          <w:lang w:eastAsia="en-US"/>
        </w:rPr>
        <w:t xml:space="preserve"> to comply with</w:t>
      </w:r>
      <w:r w:rsidRPr="001D4230">
        <w:rPr>
          <w:rFonts w:eastAsia="Calibri"/>
          <w:sz w:val="22"/>
          <w:szCs w:val="22"/>
          <w:lang w:eastAsia="en-US"/>
        </w:rPr>
        <w:t xml:space="preserve"> NFC+ status</w:t>
      </w:r>
      <w:r w:rsidR="000049D8" w:rsidRPr="001D4230">
        <w:rPr>
          <w:rFonts w:eastAsia="Calibri"/>
          <w:sz w:val="22"/>
          <w:szCs w:val="22"/>
          <w:lang w:eastAsia="en-US"/>
        </w:rPr>
        <w:t xml:space="preserve"> requirements,</w:t>
      </w:r>
      <w:r w:rsidRPr="001D4230">
        <w:rPr>
          <w:rFonts w:eastAsia="Calibri"/>
          <w:sz w:val="22"/>
          <w:szCs w:val="22"/>
          <w:lang w:eastAsia="en-US"/>
        </w:rPr>
        <w:t xml:space="preserve"> firms have to implement all of the following requirements at the same time</w:t>
      </w:r>
      <w:r w:rsidR="00647190" w:rsidRPr="001D4230">
        <w:rPr>
          <w:rFonts w:eastAsia="Calibri"/>
          <w:sz w:val="22"/>
          <w:szCs w:val="22"/>
          <w:lang w:eastAsia="en-US"/>
        </w:rPr>
        <w:t>.</w:t>
      </w:r>
    </w:p>
    <w:p w14:paraId="4BEC1824" w14:textId="4B56BEC1" w:rsidR="00647190" w:rsidRPr="001D4230" w:rsidRDefault="000B2674" w:rsidP="00647190">
      <w:pPr>
        <w:spacing w:before="120" w:after="120"/>
        <w:jc w:val="both"/>
        <w:rPr>
          <w:rFonts w:eastAsia="Calibri"/>
          <w:sz w:val="22"/>
          <w:szCs w:val="22"/>
          <w:lang w:eastAsia="en-US"/>
        </w:rPr>
      </w:pPr>
      <w:r w:rsidRPr="001D4230">
        <w:rPr>
          <w:rFonts w:eastAsia="Calibri"/>
          <w:sz w:val="22"/>
          <w:szCs w:val="22"/>
          <w:lang w:eastAsia="en-US"/>
        </w:rPr>
        <w:t>I</w:t>
      </w:r>
      <w:r w:rsidR="00647190" w:rsidRPr="001D4230">
        <w:rPr>
          <w:rFonts w:eastAsia="Calibri"/>
          <w:sz w:val="22"/>
          <w:szCs w:val="22"/>
          <w:lang w:eastAsia="en-US"/>
        </w:rPr>
        <w:t xml:space="preserve">mplementation </w:t>
      </w:r>
      <w:r w:rsidRPr="001D4230">
        <w:rPr>
          <w:rFonts w:eastAsia="Calibri"/>
          <w:sz w:val="22"/>
          <w:szCs w:val="22"/>
          <w:lang w:eastAsia="en-US"/>
        </w:rPr>
        <w:t>of</w:t>
      </w:r>
      <w:r w:rsidR="001D4230" w:rsidRPr="001D4230">
        <w:rPr>
          <w:rFonts w:eastAsia="Calibri"/>
          <w:sz w:val="22"/>
          <w:szCs w:val="22"/>
          <w:lang w:eastAsia="en-US"/>
        </w:rPr>
        <w:t xml:space="preserve"> th</w:t>
      </w:r>
      <w:r w:rsidR="00647190" w:rsidRPr="001D4230">
        <w:rPr>
          <w:rFonts w:eastAsia="Calibri"/>
          <w:sz w:val="22"/>
          <w:szCs w:val="22"/>
          <w:lang w:eastAsia="en-US"/>
        </w:rPr>
        <w:t>ese requirements</w:t>
      </w:r>
      <w:r w:rsidRPr="001D4230">
        <w:rPr>
          <w:rFonts w:eastAsia="Calibri"/>
          <w:sz w:val="22"/>
          <w:szCs w:val="22"/>
          <w:lang w:eastAsia="en-US"/>
        </w:rPr>
        <w:t xml:space="preserve"> is</w:t>
      </w:r>
      <w:r w:rsidR="001D4230" w:rsidRPr="001D4230">
        <w:rPr>
          <w:rFonts w:eastAsia="Calibri"/>
          <w:sz w:val="22"/>
          <w:szCs w:val="22"/>
          <w:lang w:eastAsia="en-US"/>
        </w:rPr>
        <w:t xml:space="preserve"> </w:t>
      </w:r>
      <w:r w:rsidR="00647190" w:rsidRPr="001D4230">
        <w:rPr>
          <w:rFonts w:eastAsia="Calibri"/>
          <w:sz w:val="22"/>
          <w:szCs w:val="22"/>
          <w:lang w:eastAsia="en-US"/>
        </w:rPr>
        <w:t>at least 12 months</w:t>
      </w:r>
      <w:r w:rsidR="009054CF" w:rsidRPr="001D4230">
        <w:rPr>
          <w:rFonts w:eastAsia="Calibri"/>
          <w:sz w:val="22"/>
          <w:szCs w:val="22"/>
          <w:lang w:eastAsia="en-US"/>
        </w:rPr>
        <w:t xml:space="preserve"> </w:t>
      </w:r>
      <w:r w:rsidR="009054CF" w:rsidRPr="001D4230">
        <w:rPr>
          <w:rFonts w:eastAsia="Calibri"/>
          <w:bCs/>
          <w:sz w:val="22"/>
          <w:szCs w:val="22"/>
          <w:lang w:eastAsia="en-US"/>
        </w:rPr>
        <w:t>and entails significant changes to operational, risk, collateral and legal procedures, including the setting up of a third-party custodian for the exchange of IM collateral</w:t>
      </w:r>
      <w:r w:rsidR="00647190" w:rsidRPr="001D4230">
        <w:rPr>
          <w:rFonts w:eastAsia="Calibri"/>
          <w:sz w:val="22"/>
          <w:szCs w:val="22"/>
          <w:lang w:eastAsia="en-US"/>
        </w:rPr>
        <w:t>.</w:t>
      </w:r>
    </w:p>
    <w:p w14:paraId="4701DDC3" w14:textId="77777777" w:rsidR="005E0151" w:rsidRPr="007E571E" w:rsidRDefault="00916AAB" w:rsidP="005E0151">
      <w:pPr>
        <w:pStyle w:val="ListParagraph"/>
        <w:numPr>
          <w:ilvl w:val="0"/>
          <w:numId w:val="49"/>
        </w:numPr>
        <w:spacing w:before="120" w:after="120"/>
        <w:ind w:left="357"/>
        <w:contextualSpacing w:val="0"/>
        <w:jc w:val="both"/>
        <w:rPr>
          <w:sz w:val="22"/>
          <w:szCs w:val="22"/>
        </w:rPr>
      </w:pPr>
      <w:bookmarkStart w:id="23" w:name="_Hlk86852743"/>
      <w:r w:rsidRPr="007E571E">
        <w:rPr>
          <w:b/>
          <w:bCs/>
          <w:sz w:val="22"/>
          <w:szCs w:val="22"/>
        </w:rPr>
        <w:t>Clearing obligation (Article 4 EMIR):</w:t>
      </w:r>
    </w:p>
    <w:p w14:paraId="35AD425D" w14:textId="2F32445A" w:rsidR="00916AAB" w:rsidRPr="007E571E" w:rsidRDefault="00916AAB" w:rsidP="005E0151">
      <w:pPr>
        <w:pStyle w:val="BulletedList"/>
        <w:numPr>
          <w:ilvl w:val="0"/>
          <w:numId w:val="0"/>
        </w:numPr>
        <w:spacing w:before="120" w:after="120"/>
        <w:ind w:left="357"/>
        <w:jc w:val="both"/>
        <w:rPr>
          <w:rFonts w:ascii="Arial" w:hAnsi="Arial" w:cs="Times New Roman"/>
        </w:rPr>
      </w:pPr>
      <w:r w:rsidRPr="007E571E">
        <w:rPr>
          <w:rFonts w:ascii="Arial" w:hAnsi="Arial" w:cs="Times New Roman"/>
        </w:rPr>
        <w:t>NFC+s are required to clear all trades in eligible OTC derivatives, on a category-by-category basis. Currently, mandatory clearing under EMIR only applies to interest rate swaps and credit default swaps. Interest rate swaps are widely used by energy firms to hedge their financial obligations which would become much more complex and costly if they had to comply with the clearing obligation. Although it does not yet apply to commodities EMIR provides that ESMA can issue a Regulatory Technical Standard (RTS) to extend the clearing obligation to further products at any</w:t>
      </w:r>
      <w:r w:rsidR="004A5BE3" w:rsidRPr="007E571E">
        <w:rPr>
          <w:rFonts w:ascii="Arial" w:hAnsi="Arial" w:cs="Times New Roman"/>
        </w:rPr>
        <w:t xml:space="preserve"> </w:t>
      </w:r>
      <w:r w:rsidRPr="007E571E">
        <w:rPr>
          <w:rFonts w:ascii="Arial" w:hAnsi="Arial" w:cs="Times New Roman"/>
        </w:rPr>
        <w:t>time. In this respect, ESMA has already considered issuing clearing obligations for equity and some foreign exchange derivatives in the past, which would have had an impact on energy firms as well. Credit default swaps are most widely used by FCs, such as larger banks, but occasionally by NFCs for hedging purposes as well and, hence, mandatory clearing of credit default swaps can arise as a material issue in practice for NFC+s as well.</w:t>
      </w:r>
    </w:p>
    <w:bookmarkEnd w:id="23"/>
    <w:p w14:paraId="52D7B7C9" w14:textId="77777777" w:rsidR="00916AAB" w:rsidRPr="007E571E" w:rsidRDefault="00916AAB" w:rsidP="005E0151">
      <w:pPr>
        <w:pStyle w:val="ListParagraph"/>
        <w:numPr>
          <w:ilvl w:val="0"/>
          <w:numId w:val="49"/>
        </w:numPr>
        <w:spacing w:before="120" w:after="120"/>
        <w:ind w:left="357"/>
        <w:contextualSpacing w:val="0"/>
        <w:jc w:val="both"/>
        <w:rPr>
          <w:b/>
          <w:bCs/>
          <w:sz w:val="22"/>
          <w:szCs w:val="22"/>
        </w:rPr>
      </w:pPr>
      <w:r w:rsidRPr="007E571E">
        <w:rPr>
          <w:b/>
          <w:bCs/>
          <w:sz w:val="22"/>
          <w:szCs w:val="22"/>
        </w:rPr>
        <w:t xml:space="preserve">Risk mitigation requirements (Article 11 EMIR): </w:t>
      </w:r>
    </w:p>
    <w:p w14:paraId="38B2773B" w14:textId="77777777" w:rsidR="00916AAB" w:rsidRPr="007E571E" w:rsidRDefault="00916AAB" w:rsidP="00AE70E5">
      <w:pPr>
        <w:pStyle w:val="BulletedList"/>
        <w:spacing w:before="120" w:after="120"/>
        <w:ind w:left="1077"/>
        <w:jc w:val="both"/>
        <w:rPr>
          <w:rFonts w:ascii="Arial" w:hAnsi="Arial"/>
          <w:b/>
          <w:bCs/>
        </w:rPr>
      </w:pPr>
      <w:r w:rsidRPr="007E571E">
        <w:rPr>
          <w:rFonts w:ascii="Arial" w:hAnsi="Arial"/>
          <w:u w:val="single"/>
        </w:rPr>
        <w:t>Daily mark-to-market (Article 11(2) EMIR)</w:t>
      </w:r>
      <w:r w:rsidRPr="007E571E">
        <w:rPr>
          <w:rFonts w:ascii="Arial" w:hAnsi="Arial"/>
        </w:rPr>
        <w:t>: NFC+s must mark-to-market the value of outstanding contracts on a daily basis. </w:t>
      </w:r>
    </w:p>
    <w:p w14:paraId="3194EAC6" w14:textId="5A9D7F0B" w:rsidR="00916AAB" w:rsidRPr="007E571E" w:rsidRDefault="00916AAB" w:rsidP="00AE70E5">
      <w:pPr>
        <w:pStyle w:val="BulletedList"/>
        <w:spacing w:before="120" w:after="120"/>
        <w:ind w:left="1077"/>
        <w:jc w:val="both"/>
        <w:rPr>
          <w:rFonts w:ascii="Arial" w:hAnsi="Arial"/>
        </w:rPr>
      </w:pPr>
      <w:r w:rsidRPr="007E571E">
        <w:rPr>
          <w:rFonts w:ascii="Arial" w:hAnsi="Arial"/>
          <w:u w:val="single"/>
        </w:rPr>
        <w:t>Exchange of collateral (Article 11(3) EMIR)</w:t>
      </w:r>
      <w:r w:rsidRPr="007E571E">
        <w:rPr>
          <w:rFonts w:ascii="Arial" w:hAnsi="Arial"/>
        </w:rPr>
        <w:t xml:space="preserve">: NFC+s must have in place risk management procedures that require the timely, accurate and appropriately segregated exchange of collateral for OTC derivative contracts that are entered into on or after the clearing threshold has been exceeded. </w:t>
      </w:r>
      <w:r w:rsidR="00B008F4" w:rsidRPr="007E571E">
        <w:rPr>
          <w:rFonts w:ascii="Arial" w:eastAsia="Calibri" w:hAnsi="Arial"/>
        </w:rPr>
        <w:t xml:space="preserve">This collateralization obligation applies to all asset classes of non-centrally-cleared OTC derivatives and across the entire corporate group. </w:t>
      </w:r>
      <w:r w:rsidRPr="007E571E">
        <w:rPr>
          <w:rFonts w:ascii="Arial" w:hAnsi="Arial"/>
        </w:rPr>
        <w:t>The</w:t>
      </w:r>
      <w:r w:rsidR="00B008F4" w:rsidRPr="007E571E">
        <w:rPr>
          <w:rFonts w:ascii="Arial" w:hAnsi="Arial"/>
        </w:rPr>
        <w:t xml:space="preserve"> consequential</w:t>
      </w:r>
      <w:r w:rsidRPr="007E571E">
        <w:rPr>
          <w:rFonts w:ascii="Arial" w:hAnsi="Arial"/>
        </w:rPr>
        <w:t xml:space="preserve"> bilateral margining requirements are by far the most burdensome and costly element of the EMIR obligations for NFC+s.</w:t>
      </w:r>
      <w:r w:rsidR="00E86998" w:rsidRPr="007E571E">
        <w:rPr>
          <w:rFonts w:ascii="Arial" w:eastAsia="Calibri" w:hAnsi="Arial"/>
        </w:rPr>
        <w:t xml:space="preserve"> The </w:t>
      </w:r>
      <w:r w:rsidR="00B6559F" w:rsidRPr="007E571E">
        <w:rPr>
          <w:rFonts w:ascii="Arial" w:eastAsia="Calibri" w:hAnsi="Arial"/>
        </w:rPr>
        <w:t>sum</w:t>
      </w:r>
      <w:r w:rsidR="00E86998" w:rsidRPr="007E571E">
        <w:rPr>
          <w:rFonts w:ascii="Arial" w:eastAsia="Calibri" w:hAnsi="Arial"/>
        </w:rPr>
        <w:t xml:space="preserve"> of VM and IM can amount to more than </w:t>
      </w:r>
      <w:r w:rsidR="00E86998" w:rsidRPr="007E571E">
        <w:rPr>
          <w:rFonts w:ascii="Arial" w:eastAsia="Calibri" w:hAnsi="Arial"/>
          <w:b/>
        </w:rPr>
        <w:t>€</w:t>
      </w:r>
      <w:r w:rsidR="00E86998" w:rsidRPr="007E571E">
        <w:rPr>
          <w:rFonts w:ascii="Arial" w:eastAsia="Calibri" w:hAnsi="Arial"/>
          <w:b/>
          <w:bCs/>
        </w:rPr>
        <w:t xml:space="preserve"> 1-2bn</w:t>
      </w:r>
      <w:r w:rsidR="00E86998" w:rsidRPr="007E571E">
        <w:rPr>
          <w:rFonts w:ascii="Arial" w:eastAsia="Calibri" w:hAnsi="Arial"/>
        </w:rPr>
        <w:t xml:space="preserve"> per firm</w:t>
      </w:r>
      <w:r w:rsidR="009F55E4" w:rsidRPr="007E571E">
        <w:rPr>
          <w:rFonts w:ascii="Arial" w:eastAsia="Calibri" w:hAnsi="Arial"/>
        </w:rPr>
        <w:t>, if firms can’t use the applicable exemptions under EMIR</w:t>
      </w:r>
      <w:r w:rsidR="00E86998" w:rsidRPr="007E571E">
        <w:rPr>
          <w:rFonts w:ascii="Arial" w:eastAsia="Calibri" w:hAnsi="Arial"/>
        </w:rPr>
        <w:t xml:space="preserve">. </w:t>
      </w:r>
      <w:r w:rsidR="00586022" w:rsidRPr="007E571E">
        <w:rPr>
          <w:rFonts w:ascii="Arial" w:eastAsia="Calibri" w:hAnsi="Arial"/>
        </w:rPr>
        <w:t xml:space="preserve">Those </w:t>
      </w:r>
      <w:r w:rsidR="00586022" w:rsidRPr="007E571E">
        <w:rPr>
          <w:rFonts w:ascii="Arial" w:eastAsia="Calibri" w:hAnsi="Arial" w:cs="Arial"/>
        </w:rPr>
        <w:t>exemptions are only available for a very limited range of products such as physically settled foreign exchange forwards and swaps, the principle of currency swaps and – transitionally until 2024 – some equity derivatives. In addition, NFC+</w:t>
      </w:r>
      <w:r w:rsidR="004A5BE3" w:rsidRPr="007E571E">
        <w:rPr>
          <w:rFonts w:ascii="Arial" w:eastAsia="Calibri" w:hAnsi="Arial" w:cs="Arial"/>
        </w:rPr>
        <w:t>s</w:t>
      </w:r>
      <w:r w:rsidR="00586022" w:rsidRPr="007E571E">
        <w:rPr>
          <w:rFonts w:ascii="Arial" w:eastAsia="Calibri" w:hAnsi="Arial" w:cs="Arial"/>
        </w:rPr>
        <w:t xml:space="preserve"> are allowed to reduce the amount of IM to be exchanged by EUR 10m</w:t>
      </w:r>
      <w:r w:rsidR="00A91AAB" w:rsidRPr="007E571E">
        <w:rPr>
          <w:rFonts w:ascii="Arial" w:eastAsia="Calibri" w:hAnsi="Arial" w:cs="Arial"/>
        </w:rPr>
        <w:t>n</w:t>
      </w:r>
      <w:r w:rsidR="00586022" w:rsidRPr="007E571E">
        <w:rPr>
          <w:rFonts w:ascii="Arial" w:eastAsia="Calibri" w:hAnsi="Arial" w:cs="Arial"/>
        </w:rPr>
        <w:t xml:space="preserve"> for intragroup transactions or by EUR 50m</w:t>
      </w:r>
      <w:r w:rsidR="00A91AAB" w:rsidRPr="007E571E">
        <w:rPr>
          <w:rFonts w:ascii="Arial" w:eastAsia="Calibri" w:hAnsi="Arial" w:cs="Arial"/>
        </w:rPr>
        <w:t>n</w:t>
      </w:r>
      <w:r w:rsidR="00586022" w:rsidRPr="007E571E">
        <w:rPr>
          <w:rFonts w:ascii="Arial" w:eastAsia="Calibri" w:hAnsi="Arial" w:cs="Arial"/>
        </w:rPr>
        <w:t xml:space="preserve"> for transactions with counterparties outside the group. However, these exemptions require agreement with the respective counterparty and are subject to complex monitoring obligations on </w:t>
      </w:r>
      <w:r w:rsidR="00A91AAB" w:rsidRPr="007E571E">
        <w:rPr>
          <w:rFonts w:ascii="Arial" w:eastAsia="Calibri" w:hAnsi="Arial" w:cs="Arial"/>
        </w:rPr>
        <w:t xml:space="preserve">the </w:t>
      </w:r>
      <w:r w:rsidR="00586022" w:rsidRPr="007E571E">
        <w:rPr>
          <w:rFonts w:ascii="Arial" w:eastAsia="Calibri" w:hAnsi="Arial" w:cs="Arial"/>
        </w:rPr>
        <w:t>group level. In addition, since there are essentially no exemptions for certain types of counterparties (except for securitisation SPVs), the obligation to post VM and IM applies to all companies of a</w:t>
      </w:r>
      <w:r w:rsidR="00A91AAB" w:rsidRPr="007E571E">
        <w:rPr>
          <w:rFonts w:ascii="Arial" w:eastAsia="Calibri" w:hAnsi="Arial" w:cs="Arial"/>
        </w:rPr>
        <w:t>n</w:t>
      </w:r>
      <w:r w:rsidR="00586022" w:rsidRPr="007E571E">
        <w:rPr>
          <w:rFonts w:ascii="Arial" w:eastAsia="Calibri" w:hAnsi="Arial" w:cs="Arial"/>
        </w:rPr>
        <w:t xml:space="preserve"> NFC+ group to full extend, irrespectively of the individual portfolio and volume of transactions. </w:t>
      </w:r>
      <w:r w:rsidR="00A91AAB" w:rsidRPr="007E571E">
        <w:rPr>
          <w:rFonts w:ascii="Arial" w:eastAsia="Calibri" w:hAnsi="Arial" w:cs="Arial"/>
        </w:rPr>
        <w:t>For example, t</w:t>
      </w:r>
      <w:r w:rsidR="00586022" w:rsidRPr="007E571E">
        <w:rPr>
          <w:rFonts w:ascii="Arial" w:eastAsia="Calibri" w:hAnsi="Arial" w:cs="Arial"/>
        </w:rPr>
        <w:t>his includes project finance SPVs, that usually enter into very few transactions to hedge their interest rate exposure and which naturally do not possess the liquidity and operational resources to collateralise transactions.</w:t>
      </w:r>
      <w:r w:rsidR="00586022" w:rsidRPr="007E571E">
        <w:rPr>
          <w:rFonts w:eastAsia="Calibri"/>
        </w:rPr>
        <w:t xml:space="preserve"> </w:t>
      </w:r>
      <w:r w:rsidR="00E86998" w:rsidRPr="007E571E">
        <w:rPr>
          <w:rFonts w:ascii="Arial" w:eastAsia="Calibri" w:hAnsi="Arial"/>
        </w:rPr>
        <w:t>This leads to trapped liquidity which EU NFCs can</w:t>
      </w:r>
      <w:r w:rsidR="00586022" w:rsidRPr="007E571E">
        <w:rPr>
          <w:rFonts w:ascii="Arial" w:eastAsia="Calibri" w:hAnsi="Arial"/>
        </w:rPr>
        <w:t>not</w:t>
      </w:r>
      <w:r w:rsidR="00E86998" w:rsidRPr="007E571E">
        <w:rPr>
          <w:rFonts w:ascii="Arial" w:eastAsia="Calibri" w:hAnsi="Arial"/>
        </w:rPr>
        <w:t xml:space="preserve"> invest for example in</w:t>
      </w:r>
      <w:r w:rsidR="00F96834" w:rsidRPr="007E571E">
        <w:rPr>
          <w:rFonts w:ascii="Arial" w:eastAsia="Calibri" w:hAnsi="Arial"/>
        </w:rPr>
        <w:t xml:space="preserve"> </w:t>
      </w:r>
      <w:r w:rsidR="00F96834" w:rsidRPr="007E571E">
        <w:rPr>
          <w:rFonts w:ascii="Arial" w:eastAsia="Calibri" w:hAnsi="Arial" w:cs="Arial"/>
        </w:rPr>
        <w:t>green energy projects or other</w:t>
      </w:r>
      <w:r w:rsidR="00E86998" w:rsidRPr="007E571E">
        <w:rPr>
          <w:rFonts w:ascii="Arial" w:eastAsia="Calibri" w:hAnsi="Arial"/>
        </w:rPr>
        <w:t xml:space="preserve"> economic</w:t>
      </w:r>
      <w:r w:rsidR="00A91AAB" w:rsidRPr="007E571E">
        <w:rPr>
          <w:rFonts w:ascii="Arial" w:eastAsia="Calibri" w:hAnsi="Arial"/>
        </w:rPr>
        <w:t>ally</w:t>
      </w:r>
      <w:r w:rsidR="00E86998" w:rsidRPr="007E571E">
        <w:rPr>
          <w:rFonts w:ascii="Arial" w:eastAsia="Calibri" w:hAnsi="Arial"/>
        </w:rPr>
        <w:t xml:space="preserve"> sustainable activities which in turn is counterproductive for achieving the aims of the EU’s Green Deal.</w:t>
      </w:r>
    </w:p>
    <w:p w14:paraId="2DDB44CA" w14:textId="77777777" w:rsidR="005E0151" w:rsidRPr="007E571E" w:rsidRDefault="00916AAB" w:rsidP="005E0151">
      <w:pPr>
        <w:pStyle w:val="ListParagraph"/>
        <w:numPr>
          <w:ilvl w:val="0"/>
          <w:numId w:val="49"/>
        </w:numPr>
        <w:spacing w:before="120" w:after="120"/>
        <w:ind w:left="357"/>
        <w:contextualSpacing w:val="0"/>
        <w:jc w:val="both"/>
        <w:rPr>
          <w:b/>
          <w:bCs/>
          <w:sz w:val="22"/>
          <w:szCs w:val="22"/>
        </w:rPr>
      </w:pPr>
      <w:r w:rsidRPr="007E571E">
        <w:rPr>
          <w:b/>
          <w:bCs/>
          <w:sz w:val="22"/>
          <w:szCs w:val="22"/>
        </w:rPr>
        <w:t>Timely confirmation (Article 12, Commission Delegated Regulation (EU) No 149/2013):</w:t>
      </w:r>
    </w:p>
    <w:p w14:paraId="38FF8DB0" w14:textId="32F2F62F" w:rsidR="00916AAB" w:rsidRPr="007E571E" w:rsidRDefault="00916AAB" w:rsidP="005E0151">
      <w:pPr>
        <w:pStyle w:val="BulletedList"/>
        <w:numPr>
          <w:ilvl w:val="0"/>
          <w:numId w:val="0"/>
        </w:numPr>
        <w:spacing w:before="120" w:after="120"/>
        <w:ind w:left="357"/>
        <w:jc w:val="both"/>
        <w:rPr>
          <w:rFonts w:ascii="Arial" w:hAnsi="Arial" w:cs="Times New Roman"/>
        </w:rPr>
      </w:pPr>
      <w:r w:rsidRPr="007E571E">
        <w:rPr>
          <w:rFonts w:ascii="Arial" w:hAnsi="Arial" w:cs="Times New Roman"/>
        </w:rPr>
        <w:lastRenderedPageBreak/>
        <w:t xml:space="preserve">Although all counterparties are required to provide timely confirmations, the time limit is shorter for NFC+s than NFC-s. NFC+s are required to provide confirmations by the end of the business day following the date of execution of the derivative contract. Conversely, NFC-s are only required to provide confirmations by the end of the second business day following the date of execution of the derivative contract. </w:t>
      </w:r>
    </w:p>
    <w:p w14:paraId="7AD92FDD" w14:textId="77777777" w:rsidR="005E0151" w:rsidRPr="007E571E" w:rsidRDefault="00916AAB" w:rsidP="005E0151">
      <w:pPr>
        <w:pStyle w:val="ListParagraph"/>
        <w:numPr>
          <w:ilvl w:val="0"/>
          <w:numId w:val="49"/>
        </w:numPr>
        <w:spacing w:before="120" w:after="120"/>
        <w:ind w:left="357"/>
        <w:contextualSpacing w:val="0"/>
        <w:jc w:val="both"/>
        <w:rPr>
          <w:b/>
          <w:bCs/>
          <w:sz w:val="22"/>
          <w:szCs w:val="22"/>
        </w:rPr>
      </w:pPr>
      <w:r w:rsidRPr="007E571E">
        <w:rPr>
          <w:b/>
          <w:bCs/>
          <w:sz w:val="22"/>
          <w:szCs w:val="22"/>
        </w:rPr>
        <w:t xml:space="preserve">Portfolio reconciliation (Article 13, Commission Delegated Regulation (EU) No 149/2013): </w:t>
      </w:r>
    </w:p>
    <w:p w14:paraId="3EEB7806" w14:textId="4FEAB972" w:rsidR="00916AAB" w:rsidRPr="007E571E" w:rsidRDefault="00916AAB" w:rsidP="005E0151">
      <w:pPr>
        <w:pStyle w:val="BulletedList"/>
        <w:numPr>
          <w:ilvl w:val="0"/>
          <w:numId w:val="0"/>
        </w:numPr>
        <w:spacing w:before="120" w:after="120"/>
        <w:ind w:left="357"/>
        <w:jc w:val="both"/>
        <w:rPr>
          <w:rFonts w:ascii="Arial" w:hAnsi="Arial" w:cs="Times New Roman"/>
        </w:rPr>
      </w:pPr>
      <w:r w:rsidRPr="007E571E">
        <w:rPr>
          <w:rFonts w:ascii="Arial" w:hAnsi="Arial" w:cs="Times New Roman"/>
        </w:rPr>
        <w:t>Although all counterparties are required to perform portfolio reconciliation, NFC+s are required to do so more regularly than NFC-s. NFC+s are required to perform portfolio reconciliation: (</w:t>
      </w:r>
      <w:proofErr w:type="spellStart"/>
      <w:r w:rsidRPr="007E571E">
        <w:rPr>
          <w:rFonts w:ascii="Arial" w:hAnsi="Arial" w:cs="Times New Roman"/>
        </w:rPr>
        <w:t>i</w:t>
      </w:r>
      <w:proofErr w:type="spellEnd"/>
      <w:r w:rsidRPr="007E571E">
        <w:rPr>
          <w:rFonts w:ascii="Arial" w:hAnsi="Arial" w:cs="Times New Roman"/>
        </w:rPr>
        <w:t>) each business day where the counterparties have 500 or more OTC derivative contracts outstanding with each other, (ii) once per week when the counterparties have between 51 and 499 OTC derivative contracts outstanding with each other at any time during the week, and (iii) once per quarter when the counterparties have 50 or less OTC derivative contracts outstanding with each other at any time during the quarter. Conversely, NFC-s are only required to perform portfolio reconciliation: (</w:t>
      </w:r>
      <w:proofErr w:type="spellStart"/>
      <w:r w:rsidRPr="007E571E">
        <w:rPr>
          <w:rFonts w:ascii="Arial" w:hAnsi="Arial" w:cs="Times New Roman"/>
        </w:rPr>
        <w:t>i</w:t>
      </w:r>
      <w:proofErr w:type="spellEnd"/>
      <w:r w:rsidRPr="007E571E">
        <w:rPr>
          <w:rFonts w:ascii="Arial" w:hAnsi="Arial" w:cs="Times New Roman"/>
        </w:rPr>
        <w:t>) once per quarter when the counterparties have more than 100 OTC derivative contracts outstanding with each other at any time during the quarter, and (ii) once per year when the counterparties have 100 or less OTC derivative contracts outstanding with each other.</w:t>
      </w:r>
    </w:p>
    <w:p w14:paraId="4D88283E" w14:textId="77777777" w:rsidR="005E0151" w:rsidRPr="007E571E" w:rsidRDefault="00916AAB" w:rsidP="005E0151">
      <w:pPr>
        <w:pStyle w:val="ListParagraph"/>
        <w:numPr>
          <w:ilvl w:val="0"/>
          <w:numId w:val="49"/>
        </w:numPr>
        <w:spacing w:before="120" w:after="120"/>
        <w:ind w:left="357"/>
        <w:contextualSpacing w:val="0"/>
        <w:jc w:val="both"/>
        <w:rPr>
          <w:sz w:val="22"/>
          <w:szCs w:val="22"/>
        </w:rPr>
      </w:pPr>
      <w:r w:rsidRPr="007E571E">
        <w:rPr>
          <w:b/>
          <w:bCs/>
          <w:sz w:val="22"/>
          <w:szCs w:val="22"/>
        </w:rPr>
        <w:t xml:space="preserve">MIFIR Trading obligation (Article 28 </w:t>
      </w:r>
      <w:proofErr w:type="spellStart"/>
      <w:r w:rsidRPr="007E571E">
        <w:rPr>
          <w:b/>
          <w:bCs/>
          <w:sz w:val="22"/>
          <w:szCs w:val="22"/>
        </w:rPr>
        <w:t>MiFIR</w:t>
      </w:r>
      <w:proofErr w:type="spellEnd"/>
      <w:r w:rsidRPr="007E571E">
        <w:rPr>
          <w:b/>
          <w:bCs/>
          <w:sz w:val="22"/>
          <w:szCs w:val="22"/>
        </w:rPr>
        <w:t>)</w:t>
      </w:r>
      <w:r w:rsidRPr="007E571E">
        <w:rPr>
          <w:sz w:val="22"/>
          <w:szCs w:val="22"/>
        </w:rPr>
        <w:t>:</w:t>
      </w:r>
    </w:p>
    <w:p w14:paraId="65379208" w14:textId="3F1713D4" w:rsidR="00E86998" w:rsidRPr="007E571E" w:rsidRDefault="00916AAB" w:rsidP="00647190">
      <w:pPr>
        <w:pStyle w:val="BulletedList"/>
        <w:numPr>
          <w:ilvl w:val="0"/>
          <w:numId w:val="0"/>
        </w:numPr>
        <w:spacing w:before="120" w:after="120"/>
        <w:ind w:left="357"/>
        <w:jc w:val="both"/>
        <w:rPr>
          <w:rFonts w:ascii="Arial" w:hAnsi="Arial" w:cs="Times New Roman"/>
        </w:rPr>
      </w:pPr>
      <w:r w:rsidRPr="007E571E">
        <w:rPr>
          <w:rFonts w:ascii="Arial" w:hAnsi="Arial" w:cs="Times New Roman"/>
        </w:rPr>
        <w:t xml:space="preserve">Since interest rate swaps are widely used by many corporates, NFC+ would – if they had to comply with the clearing obligation – also be affected by the trading obligation in accordance with Art. 28 MIFIR. The trading obligation as designed by MIFIR consists </w:t>
      </w:r>
      <w:r w:rsidR="00A91AAB" w:rsidRPr="007E571E">
        <w:rPr>
          <w:rFonts w:ascii="Arial" w:hAnsi="Arial" w:cs="Times New Roman"/>
        </w:rPr>
        <w:t>of</w:t>
      </w:r>
      <w:r w:rsidRPr="007E571E">
        <w:rPr>
          <w:rFonts w:ascii="Arial" w:hAnsi="Arial" w:cs="Times New Roman"/>
        </w:rPr>
        <w:t xml:space="preserve"> the requirement placed on FC and NFC+s to conclude relevant transactions only on regulated markets, MTFs, OTFs or third country trading venues (subject to the European Commission decision on equivalence and reciprocity). Obviously, this would have an impact on liquidity and pricing</w:t>
      </w:r>
      <w:r w:rsidR="00A91AAB" w:rsidRPr="007E571E">
        <w:rPr>
          <w:rFonts w:ascii="Arial" w:hAnsi="Arial" w:cs="Times New Roman"/>
        </w:rPr>
        <w:t xml:space="preserve"> </w:t>
      </w:r>
      <w:r w:rsidRPr="007E571E">
        <w:rPr>
          <w:rFonts w:ascii="Arial" w:hAnsi="Arial" w:cs="Times New Roman"/>
        </w:rPr>
        <w:t>(no OTC markets/counterparties), as NFC+s would no longer able to trade OTC.</w:t>
      </w:r>
    </w:p>
    <w:p w14:paraId="45B7F92D" w14:textId="0D069297" w:rsidR="002A7396" w:rsidRPr="00A46EF7" w:rsidRDefault="0002664E" w:rsidP="00FA5B0E">
      <w:pPr>
        <w:spacing w:before="120" w:after="120"/>
        <w:jc w:val="both"/>
        <w:rPr>
          <w:rFonts w:eastAsia="Calibri"/>
          <w:b/>
          <w:bCs/>
          <w:sz w:val="22"/>
          <w:szCs w:val="22"/>
          <w:lang w:eastAsia="en-US"/>
        </w:rPr>
      </w:pPr>
      <w:r w:rsidRPr="00A46EF7">
        <w:rPr>
          <w:rFonts w:eastAsia="Calibri"/>
          <w:b/>
          <w:bCs/>
          <w:sz w:val="22"/>
          <w:szCs w:val="22"/>
          <w:lang w:eastAsia="en-US"/>
        </w:rPr>
        <w:t xml:space="preserve">(2) Broader issues of </w:t>
      </w:r>
      <w:r w:rsidR="002A7396" w:rsidRPr="00A46EF7">
        <w:rPr>
          <w:rFonts w:eastAsia="Calibri"/>
          <w:b/>
          <w:bCs/>
          <w:sz w:val="22"/>
          <w:szCs w:val="22"/>
          <w:lang w:eastAsia="en-US"/>
        </w:rPr>
        <w:t>NFC+</w:t>
      </w:r>
      <w:r w:rsidR="002724EA" w:rsidRPr="00A46EF7">
        <w:rPr>
          <w:rFonts w:eastAsia="Calibri"/>
          <w:b/>
          <w:bCs/>
          <w:sz w:val="22"/>
          <w:szCs w:val="22"/>
          <w:lang w:eastAsia="en-US"/>
        </w:rPr>
        <w:t xml:space="preserve"> status trigger</w:t>
      </w:r>
      <w:r w:rsidRPr="00A46EF7">
        <w:rPr>
          <w:rFonts w:eastAsia="Calibri"/>
          <w:b/>
          <w:bCs/>
          <w:sz w:val="22"/>
          <w:szCs w:val="22"/>
          <w:lang w:eastAsia="en-US"/>
        </w:rPr>
        <w:t>ing</w:t>
      </w:r>
      <w:r w:rsidR="002724EA" w:rsidRPr="00A46EF7">
        <w:rPr>
          <w:rFonts w:eastAsia="Calibri"/>
          <w:b/>
          <w:bCs/>
          <w:sz w:val="22"/>
          <w:szCs w:val="22"/>
          <w:lang w:eastAsia="en-US"/>
        </w:rPr>
        <w:t xml:space="preserve"> </w:t>
      </w:r>
      <w:r w:rsidR="00DF1A2A" w:rsidRPr="00A46EF7">
        <w:rPr>
          <w:rFonts w:eastAsia="Calibri"/>
          <w:b/>
          <w:bCs/>
          <w:sz w:val="22"/>
          <w:szCs w:val="22"/>
          <w:lang w:eastAsia="en-US"/>
        </w:rPr>
        <w:t>costs and complex processes</w:t>
      </w:r>
      <w:r w:rsidR="002A7396" w:rsidRPr="00A46EF7">
        <w:rPr>
          <w:rFonts w:eastAsia="Calibri"/>
          <w:b/>
          <w:bCs/>
          <w:sz w:val="22"/>
          <w:szCs w:val="22"/>
          <w:lang w:eastAsia="en-US"/>
        </w:rPr>
        <w:t xml:space="preserve"> for</w:t>
      </w:r>
      <w:r w:rsidR="007E179B" w:rsidRPr="00A46EF7">
        <w:rPr>
          <w:rFonts w:eastAsia="Calibri"/>
          <w:b/>
          <w:bCs/>
          <w:sz w:val="22"/>
          <w:szCs w:val="22"/>
          <w:lang w:eastAsia="en-US"/>
        </w:rPr>
        <w:t xml:space="preserve"> firms’</w:t>
      </w:r>
      <w:r w:rsidR="002A7396" w:rsidRPr="00A46EF7">
        <w:rPr>
          <w:rFonts w:eastAsia="Calibri"/>
          <w:b/>
          <w:bCs/>
          <w:sz w:val="22"/>
          <w:szCs w:val="22"/>
          <w:lang w:eastAsia="en-US"/>
        </w:rPr>
        <w:t xml:space="preserve"> business</w:t>
      </w:r>
      <w:r w:rsidR="007F2636" w:rsidRPr="00A46EF7">
        <w:rPr>
          <w:rFonts w:eastAsia="Calibri"/>
          <w:b/>
          <w:bCs/>
          <w:sz w:val="22"/>
          <w:szCs w:val="22"/>
          <w:lang w:eastAsia="en-US"/>
        </w:rPr>
        <w:t xml:space="preserve"> conduct and</w:t>
      </w:r>
      <w:r w:rsidR="002A7396" w:rsidRPr="00A46EF7">
        <w:rPr>
          <w:rFonts w:eastAsia="Calibri"/>
          <w:b/>
          <w:bCs/>
          <w:sz w:val="22"/>
          <w:szCs w:val="22"/>
          <w:lang w:eastAsia="en-US"/>
        </w:rPr>
        <w:t xml:space="preserve"> development</w:t>
      </w:r>
    </w:p>
    <w:p w14:paraId="21C24F59" w14:textId="216BC74D" w:rsidR="003646E4" w:rsidRPr="00A46EF7" w:rsidRDefault="007D0774" w:rsidP="00AE11B8">
      <w:pPr>
        <w:spacing w:before="120" w:after="120"/>
        <w:jc w:val="both"/>
        <w:rPr>
          <w:rFonts w:eastAsia="Calibri"/>
          <w:sz w:val="22"/>
          <w:szCs w:val="22"/>
          <w:lang w:eastAsia="en-US"/>
        </w:rPr>
      </w:pPr>
      <w:bookmarkStart w:id="24" w:name="_Hlk92699114"/>
      <w:r>
        <w:rPr>
          <w:rFonts w:eastAsia="Calibri"/>
          <w:sz w:val="22"/>
          <w:szCs w:val="22"/>
          <w:lang w:eastAsia="en-US"/>
        </w:rPr>
        <w:t>T</w:t>
      </w:r>
      <w:r w:rsidR="003646E4" w:rsidRPr="00A46EF7">
        <w:rPr>
          <w:rFonts w:eastAsia="Calibri"/>
          <w:sz w:val="22"/>
          <w:szCs w:val="22"/>
          <w:lang w:eastAsia="en-US"/>
        </w:rPr>
        <w:t xml:space="preserve">he NFC+ status triggers complex internal evaluation, approval and monitoring proceedings to ensure EMIR compliance with regard to the development of new renewable energy projects in the EU and globally. </w:t>
      </w:r>
      <w:r w:rsidR="00F62043" w:rsidRPr="007D0774">
        <w:rPr>
          <w:rFonts w:eastAsia="Calibri"/>
          <w:b/>
          <w:bCs/>
          <w:sz w:val="22"/>
          <w:szCs w:val="22"/>
          <w:lang w:eastAsia="en-US"/>
        </w:rPr>
        <w:t>More importantly, i</w:t>
      </w:r>
      <w:r w:rsidR="003646E4" w:rsidRPr="007D0774">
        <w:rPr>
          <w:rFonts w:eastAsia="Calibri"/>
          <w:b/>
          <w:bCs/>
          <w:sz w:val="22"/>
          <w:szCs w:val="22"/>
          <w:lang w:eastAsia="en-US"/>
        </w:rPr>
        <w:t>t also has an adverse</w:t>
      </w:r>
      <w:r w:rsidR="00F62043" w:rsidRPr="007D0774">
        <w:rPr>
          <w:rFonts w:eastAsia="Calibri"/>
          <w:b/>
          <w:bCs/>
          <w:sz w:val="22"/>
          <w:szCs w:val="22"/>
          <w:lang w:eastAsia="en-US"/>
        </w:rPr>
        <w:t xml:space="preserve"> </w:t>
      </w:r>
      <w:r w:rsidR="003646E4" w:rsidRPr="007D0774">
        <w:rPr>
          <w:rFonts w:eastAsia="Calibri"/>
          <w:b/>
          <w:bCs/>
          <w:sz w:val="22"/>
          <w:szCs w:val="22"/>
          <w:lang w:eastAsia="en-US"/>
        </w:rPr>
        <w:t>impact on the</w:t>
      </w:r>
      <w:r w:rsidR="00F62043" w:rsidRPr="007D0774">
        <w:rPr>
          <w:rFonts w:eastAsia="Calibri"/>
          <w:b/>
          <w:bCs/>
          <w:sz w:val="22"/>
          <w:szCs w:val="22"/>
          <w:lang w:eastAsia="en-US"/>
        </w:rPr>
        <w:t xml:space="preserve"> firms’</w:t>
      </w:r>
      <w:r w:rsidR="003646E4" w:rsidRPr="007D0774">
        <w:rPr>
          <w:rFonts w:eastAsia="Calibri"/>
          <w:b/>
          <w:bCs/>
          <w:sz w:val="22"/>
          <w:szCs w:val="22"/>
          <w:lang w:eastAsia="en-US"/>
        </w:rPr>
        <w:t xml:space="preserve"> competitiveness </w:t>
      </w:r>
      <w:r w:rsidR="00F62043" w:rsidRPr="007D0774">
        <w:rPr>
          <w:rFonts w:eastAsia="Calibri"/>
          <w:b/>
          <w:bCs/>
          <w:sz w:val="22"/>
          <w:szCs w:val="22"/>
          <w:lang w:eastAsia="en-US"/>
        </w:rPr>
        <w:t xml:space="preserve">as it </w:t>
      </w:r>
      <w:r w:rsidR="00346BD2" w:rsidRPr="007D0774">
        <w:rPr>
          <w:rFonts w:eastAsia="Calibri"/>
          <w:b/>
          <w:bCs/>
          <w:sz w:val="22"/>
          <w:szCs w:val="22"/>
          <w:lang w:eastAsia="en-US"/>
        </w:rPr>
        <w:t>makes the sustainable growth through investments into renewable energy projects more complex and costly</w:t>
      </w:r>
      <w:r w:rsidR="00346BD2" w:rsidRPr="00A46EF7">
        <w:rPr>
          <w:rFonts w:eastAsia="Calibri"/>
          <w:sz w:val="22"/>
          <w:szCs w:val="22"/>
          <w:lang w:eastAsia="en-US"/>
        </w:rPr>
        <w:t>.</w:t>
      </w:r>
    </w:p>
    <w:p w14:paraId="71818544" w14:textId="75DD0CE0" w:rsidR="004E5A4A" w:rsidRPr="007D0774" w:rsidRDefault="004E5A4A" w:rsidP="00EE6573">
      <w:pPr>
        <w:pStyle w:val="ListParagraph"/>
        <w:numPr>
          <w:ilvl w:val="0"/>
          <w:numId w:val="49"/>
        </w:numPr>
        <w:spacing w:before="120" w:after="120"/>
        <w:ind w:left="357"/>
        <w:contextualSpacing w:val="0"/>
        <w:jc w:val="both"/>
        <w:rPr>
          <w:rFonts w:eastAsia="Calibri"/>
          <w:b/>
          <w:bCs/>
          <w:sz w:val="22"/>
          <w:szCs w:val="22"/>
          <w:lang w:eastAsia="en-US"/>
        </w:rPr>
      </w:pPr>
      <w:r w:rsidRPr="007D0774">
        <w:rPr>
          <w:rFonts w:eastAsia="Calibri"/>
          <w:b/>
          <w:bCs/>
          <w:sz w:val="22"/>
          <w:szCs w:val="22"/>
          <w:lang w:eastAsia="en-US"/>
        </w:rPr>
        <w:t xml:space="preserve">NFC+ will make </w:t>
      </w:r>
      <w:r w:rsidR="00EE6573" w:rsidRPr="007D0774">
        <w:rPr>
          <w:rFonts w:eastAsia="Calibri"/>
          <w:b/>
          <w:bCs/>
          <w:sz w:val="22"/>
          <w:szCs w:val="22"/>
          <w:lang w:eastAsia="en-US"/>
        </w:rPr>
        <w:t>p</w:t>
      </w:r>
      <w:r w:rsidRPr="007D0774">
        <w:rPr>
          <w:rFonts w:eastAsia="Calibri"/>
          <w:b/>
          <w:bCs/>
          <w:sz w:val="22"/>
          <w:szCs w:val="22"/>
          <w:lang w:eastAsia="en-US"/>
        </w:rPr>
        <w:t xml:space="preserve">roject </w:t>
      </w:r>
      <w:r w:rsidR="00EE6573" w:rsidRPr="007D0774">
        <w:rPr>
          <w:rFonts w:eastAsia="Calibri"/>
          <w:b/>
          <w:bCs/>
          <w:sz w:val="22"/>
          <w:szCs w:val="22"/>
          <w:lang w:eastAsia="en-US"/>
        </w:rPr>
        <w:t>f</w:t>
      </w:r>
      <w:r w:rsidRPr="007D0774">
        <w:rPr>
          <w:rFonts w:eastAsia="Calibri"/>
          <w:b/>
          <w:bCs/>
          <w:sz w:val="22"/>
          <w:szCs w:val="22"/>
          <w:lang w:eastAsia="en-US"/>
        </w:rPr>
        <w:t>inancing more expensive and complex overall</w:t>
      </w:r>
      <w:r w:rsidR="00EE6573" w:rsidRPr="007D0774">
        <w:rPr>
          <w:rFonts w:eastAsia="Calibri"/>
          <w:b/>
          <w:bCs/>
          <w:sz w:val="22"/>
          <w:szCs w:val="22"/>
          <w:lang w:eastAsia="en-US"/>
        </w:rPr>
        <w:t>:</w:t>
      </w:r>
    </w:p>
    <w:p w14:paraId="43E43A54" w14:textId="7A7D38DC" w:rsidR="006410A9" w:rsidRPr="00A46EF7" w:rsidRDefault="000262C5" w:rsidP="00EE6573">
      <w:pPr>
        <w:spacing w:before="120" w:after="120"/>
        <w:ind w:left="357"/>
        <w:jc w:val="both"/>
        <w:rPr>
          <w:rFonts w:eastAsia="Calibri"/>
          <w:sz w:val="22"/>
          <w:szCs w:val="22"/>
          <w:lang w:eastAsia="en-US"/>
        </w:rPr>
      </w:pPr>
      <w:r w:rsidRPr="00A46EF7">
        <w:rPr>
          <w:rFonts w:eastAsia="Calibri"/>
          <w:sz w:val="22"/>
          <w:szCs w:val="22"/>
          <w:lang w:eastAsia="en-US"/>
        </w:rPr>
        <w:t>An NFC+ status for a corporate group</w:t>
      </w:r>
      <w:r w:rsidR="00933D49" w:rsidRPr="00A46EF7">
        <w:rPr>
          <w:rFonts w:eastAsia="Calibri"/>
          <w:sz w:val="22"/>
          <w:szCs w:val="22"/>
          <w:lang w:eastAsia="en-US"/>
        </w:rPr>
        <w:t>,</w:t>
      </w:r>
      <w:r w:rsidRPr="00A46EF7">
        <w:rPr>
          <w:rFonts w:eastAsia="Calibri"/>
          <w:sz w:val="22"/>
          <w:szCs w:val="22"/>
          <w:lang w:eastAsia="en-US"/>
        </w:rPr>
        <w:t xml:space="preserve"> which develops renewable energy projects in the EU and/or globally</w:t>
      </w:r>
      <w:r w:rsidR="00933D49" w:rsidRPr="00A46EF7">
        <w:rPr>
          <w:rFonts w:eastAsia="Calibri"/>
          <w:sz w:val="22"/>
          <w:szCs w:val="22"/>
          <w:lang w:eastAsia="en-US"/>
        </w:rPr>
        <w:t>,</w:t>
      </w:r>
      <w:r w:rsidRPr="00A46EF7">
        <w:rPr>
          <w:rFonts w:eastAsia="Calibri"/>
          <w:sz w:val="22"/>
          <w:szCs w:val="22"/>
          <w:lang w:eastAsia="en-US"/>
        </w:rPr>
        <w:t xml:space="preserve"> introduces additional </w:t>
      </w:r>
      <w:r w:rsidR="006410A9" w:rsidRPr="00A46EF7">
        <w:rPr>
          <w:rFonts w:eastAsia="Calibri"/>
          <w:sz w:val="22"/>
          <w:szCs w:val="22"/>
          <w:lang w:eastAsia="en-US"/>
        </w:rPr>
        <w:t xml:space="preserve">obstacles, </w:t>
      </w:r>
      <w:r w:rsidRPr="00A46EF7">
        <w:rPr>
          <w:rFonts w:eastAsia="Calibri"/>
          <w:sz w:val="22"/>
          <w:szCs w:val="22"/>
          <w:lang w:eastAsia="en-US"/>
        </w:rPr>
        <w:t>complexity and cost</w:t>
      </w:r>
      <w:r w:rsidR="00947AE7" w:rsidRPr="00A46EF7">
        <w:rPr>
          <w:rFonts w:eastAsia="Calibri"/>
          <w:sz w:val="22"/>
          <w:szCs w:val="22"/>
          <w:lang w:eastAsia="en-US"/>
        </w:rPr>
        <w:t>s</w:t>
      </w:r>
      <w:r w:rsidRPr="00A46EF7">
        <w:rPr>
          <w:rFonts w:eastAsia="Calibri"/>
          <w:sz w:val="22"/>
          <w:szCs w:val="22"/>
          <w:lang w:eastAsia="en-US"/>
        </w:rPr>
        <w:t xml:space="preserve"> on project finance transactions involving special purpose vehicles</w:t>
      </w:r>
      <w:r w:rsidR="00947AE7" w:rsidRPr="00A46EF7">
        <w:rPr>
          <w:rFonts w:eastAsia="Calibri"/>
          <w:sz w:val="22"/>
          <w:szCs w:val="22"/>
          <w:lang w:eastAsia="en-US"/>
        </w:rPr>
        <w:t xml:space="preserve"> (“SPVs”). The reason is that</w:t>
      </w:r>
      <w:r w:rsidR="006410A9" w:rsidRPr="00A46EF7">
        <w:rPr>
          <w:rFonts w:eastAsia="Calibri"/>
          <w:sz w:val="22"/>
          <w:szCs w:val="22"/>
          <w:lang w:eastAsia="en-US"/>
        </w:rPr>
        <w:t xml:space="preserve"> – regardless of the ring-fenced nature of these SPVs –</w:t>
      </w:r>
      <w:r w:rsidR="00947AE7" w:rsidRPr="00A46EF7">
        <w:rPr>
          <w:rFonts w:eastAsia="Calibri"/>
          <w:sz w:val="22"/>
          <w:szCs w:val="22"/>
          <w:lang w:eastAsia="en-US"/>
        </w:rPr>
        <w:t xml:space="preserve"> all entities </w:t>
      </w:r>
      <w:r w:rsidR="00077DF2" w:rsidRPr="00A46EF7">
        <w:rPr>
          <w:rFonts w:eastAsia="Calibri"/>
          <w:sz w:val="22"/>
          <w:szCs w:val="22"/>
          <w:lang w:eastAsia="en-US"/>
        </w:rPr>
        <w:t>which are</w:t>
      </w:r>
      <w:r w:rsidR="00876F57" w:rsidRPr="00A46EF7">
        <w:rPr>
          <w:rFonts w:eastAsia="Calibri"/>
          <w:sz w:val="22"/>
          <w:szCs w:val="22"/>
          <w:lang w:eastAsia="en-US"/>
        </w:rPr>
        <w:t xml:space="preserve"> </w:t>
      </w:r>
      <w:r w:rsidR="00947AE7" w:rsidRPr="00A46EF7">
        <w:rPr>
          <w:rFonts w:eastAsia="Calibri"/>
          <w:sz w:val="22"/>
          <w:szCs w:val="22"/>
          <w:lang w:eastAsia="en-US"/>
        </w:rPr>
        <w:t>part of a</w:t>
      </w:r>
      <w:r w:rsidR="00933D49" w:rsidRPr="00A46EF7">
        <w:rPr>
          <w:rFonts w:eastAsia="Calibri"/>
          <w:sz w:val="22"/>
          <w:szCs w:val="22"/>
          <w:lang w:eastAsia="en-US"/>
        </w:rPr>
        <w:t>n</w:t>
      </w:r>
      <w:r w:rsidR="00947AE7" w:rsidRPr="00A46EF7">
        <w:rPr>
          <w:rFonts w:eastAsia="Calibri"/>
          <w:sz w:val="22"/>
          <w:szCs w:val="22"/>
          <w:lang w:eastAsia="en-US"/>
        </w:rPr>
        <w:t xml:space="preserve"> NFC+ group would be subject to</w:t>
      </w:r>
      <w:r w:rsidR="0007579D" w:rsidRPr="00A46EF7">
        <w:rPr>
          <w:rFonts w:eastAsia="Calibri"/>
          <w:sz w:val="22"/>
          <w:szCs w:val="22"/>
          <w:lang w:eastAsia="en-US"/>
        </w:rPr>
        <w:t xml:space="preserve"> all relevant</w:t>
      </w:r>
      <w:r w:rsidR="00947AE7" w:rsidRPr="00A46EF7">
        <w:rPr>
          <w:rFonts w:eastAsia="Calibri"/>
          <w:sz w:val="22"/>
          <w:szCs w:val="22"/>
          <w:lang w:eastAsia="en-US"/>
        </w:rPr>
        <w:t xml:space="preserve"> EMIR rules, in particular the EMIR margining rules, as EMIR has</w:t>
      </w:r>
      <w:r w:rsidR="00933D49" w:rsidRPr="00A46EF7">
        <w:rPr>
          <w:rFonts w:eastAsia="Calibri"/>
          <w:sz w:val="22"/>
          <w:szCs w:val="22"/>
          <w:lang w:eastAsia="en-US"/>
        </w:rPr>
        <w:t xml:space="preserve"> a</w:t>
      </w:r>
      <w:r w:rsidR="00947AE7" w:rsidRPr="00A46EF7">
        <w:rPr>
          <w:rFonts w:eastAsia="Calibri"/>
          <w:sz w:val="22"/>
          <w:szCs w:val="22"/>
          <w:lang w:eastAsia="en-US"/>
        </w:rPr>
        <w:t xml:space="preserve"> group</w:t>
      </w:r>
      <w:r w:rsidR="00876F57" w:rsidRPr="00A46EF7">
        <w:rPr>
          <w:rFonts w:eastAsia="Calibri"/>
          <w:sz w:val="22"/>
          <w:szCs w:val="22"/>
          <w:lang w:eastAsia="en-US"/>
        </w:rPr>
        <w:t>-</w:t>
      </w:r>
      <w:r w:rsidR="00947AE7" w:rsidRPr="00A46EF7">
        <w:rPr>
          <w:rFonts w:eastAsia="Calibri"/>
          <w:sz w:val="22"/>
          <w:szCs w:val="22"/>
          <w:lang w:eastAsia="en-US"/>
        </w:rPr>
        <w:t>wide reach.</w:t>
      </w:r>
    </w:p>
    <w:p w14:paraId="193C4D4E" w14:textId="3D959A42" w:rsidR="0051725D" w:rsidRPr="00A46EF7" w:rsidRDefault="0051725D" w:rsidP="0051725D">
      <w:pPr>
        <w:spacing w:before="120" w:after="120"/>
        <w:ind w:left="357"/>
        <w:jc w:val="both"/>
        <w:rPr>
          <w:rFonts w:eastAsia="Calibri"/>
          <w:sz w:val="22"/>
          <w:szCs w:val="22"/>
          <w:lang w:eastAsia="en-US"/>
        </w:rPr>
      </w:pPr>
      <w:r w:rsidRPr="00A46EF7">
        <w:rPr>
          <w:rFonts w:eastAsia="Calibri"/>
          <w:sz w:val="22"/>
          <w:szCs w:val="22"/>
          <w:lang w:eastAsia="en-US"/>
        </w:rPr>
        <w:t>Non-recourse project financing</w:t>
      </w:r>
      <w:r w:rsidR="00876F57" w:rsidRPr="00A46EF7">
        <w:rPr>
          <w:rFonts w:eastAsia="Calibri"/>
          <w:sz w:val="22"/>
          <w:szCs w:val="22"/>
          <w:lang w:eastAsia="en-US"/>
        </w:rPr>
        <w:t xml:space="preserve"> is</w:t>
      </w:r>
      <w:r w:rsidRPr="00A46EF7">
        <w:rPr>
          <w:rFonts w:eastAsia="Calibri"/>
          <w:sz w:val="22"/>
          <w:szCs w:val="22"/>
          <w:lang w:eastAsia="en-US"/>
        </w:rPr>
        <w:t xml:space="preserve"> commonly used to realize large renewable energy projects, especially if other equity-partners are involved. In these structures a ring-fenced SPV raises project finance debt on</w:t>
      </w:r>
      <w:r w:rsidR="00876F57" w:rsidRPr="00A46EF7">
        <w:rPr>
          <w:rFonts w:eastAsia="Calibri"/>
          <w:sz w:val="22"/>
          <w:szCs w:val="22"/>
          <w:lang w:eastAsia="en-US"/>
        </w:rPr>
        <w:t xml:space="preserve"> a</w:t>
      </w:r>
      <w:r w:rsidRPr="00A46EF7">
        <w:rPr>
          <w:rFonts w:eastAsia="Calibri"/>
          <w:sz w:val="22"/>
          <w:szCs w:val="22"/>
          <w:lang w:eastAsia="en-US"/>
        </w:rPr>
        <w:t xml:space="preserve"> non-recourse bas</w:t>
      </w:r>
      <w:r w:rsidR="00876F57" w:rsidRPr="00A46EF7">
        <w:rPr>
          <w:rFonts w:eastAsia="Calibri"/>
          <w:sz w:val="22"/>
          <w:szCs w:val="22"/>
          <w:lang w:eastAsia="en-US"/>
        </w:rPr>
        <w:t>i</w:t>
      </w:r>
      <w:r w:rsidRPr="00A46EF7">
        <w:rPr>
          <w:rFonts w:eastAsia="Calibri"/>
          <w:sz w:val="22"/>
          <w:szCs w:val="22"/>
          <w:lang w:eastAsia="en-US"/>
        </w:rPr>
        <w:t>s, i.e.</w:t>
      </w:r>
      <w:r w:rsidR="00876F57" w:rsidRPr="00A46EF7">
        <w:rPr>
          <w:rFonts w:eastAsia="Calibri"/>
          <w:sz w:val="22"/>
          <w:szCs w:val="22"/>
          <w:lang w:eastAsia="en-US"/>
        </w:rPr>
        <w:t>,</w:t>
      </w:r>
      <w:r w:rsidRPr="00A46EF7">
        <w:rPr>
          <w:rFonts w:eastAsia="Calibri"/>
          <w:sz w:val="22"/>
          <w:szCs w:val="22"/>
          <w:lang w:eastAsia="en-US"/>
        </w:rPr>
        <w:t xml:space="preserve"> the debt repayment </w:t>
      </w:r>
      <w:r w:rsidR="00876F57" w:rsidRPr="00A46EF7">
        <w:rPr>
          <w:rFonts w:eastAsia="Calibri"/>
          <w:sz w:val="22"/>
          <w:szCs w:val="22"/>
          <w:lang w:eastAsia="en-US"/>
        </w:rPr>
        <w:t xml:space="preserve">relies </w:t>
      </w:r>
      <w:r w:rsidRPr="00A46EF7">
        <w:rPr>
          <w:rFonts w:eastAsia="Calibri"/>
          <w:sz w:val="22"/>
          <w:szCs w:val="22"/>
          <w:lang w:eastAsia="en-US"/>
        </w:rPr>
        <w:t>solely on the project</w:t>
      </w:r>
      <w:r w:rsidR="00876F57" w:rsidRPr="00A46EF7">
        <w:rPr>
          <w:rFonts w:eastAsia="Calibri"/>
          <w:sz w:val="22"/>
          <w:szCs w:val="22"/>
          <w:lang w:eastAsia="en-US"/>
        </w:rPr>
        <w:t>’</w:t>
      </w:r>
      <w:r w:rsidRPr="00A46EF7">
        <w:rPr>
          <w:rFonts w:eastAsia="Calibri"/>
          <w:sz w:val="22"/>
          <w:szCs w:val="22"/>
          <w:lang w:eastAsia="en-US"/>
        </w:rPr>
        <w:t xml:space="preserve">s cashflows. It is market standard that these project loans are structured on a floating interest rate basis and a long-term </w:t>
      </w:r>
      <w:r w:rsidR="00CD1EF3" w:rsidRPr="00A46EF7">
        <w:rPr>
          <w:rFonts w:eastAsia="Calibri"/>
          <w:sz w:val="22"/>
          <w:szCs w:val="22"/>
          <w:lang w:eastAsia="en-US"/>
        </w:rPr>
        <w:t>Interest Rate (“</w:t>
      </w:r>
      <w:r w:rsidRPr="00A46EF7">
        <w:rPr>
          <w:rFonts w:eastAsia="Calibri"/>
          <w:sz w:val="22"/>
          <w:szCs w:val="22"/>
          <w:lang w:eastAsia="en-US"/>
        </w:rPr>
        <w:t>IR</w:t>
      </w:r>
      <w:r w:rsidR="00CD1EF3" w:rsidRPr="00A46EF7">
        <w:rPr>
          <w:rFonts w:eastAsia="Calibri"/>
          <w:sz w:val="22"/>
          <w:szCs w:val="22"/>
          <w:lang w:eastAsia="en-US"/>
        </w:rPr>
        <w:t>”)</w:t>
      </w:r>
      <w:r w:rsidRPr="00A46EF7">
        <w:rPr>
          <w:rFonts w:eastAsia="Calibri"/>
          <w:sz w:val="22"/>
          <w:szCs w:val="22"/>
          <w:lang w:eastAsia="en-US"/>
        </w:rPr>
        <w:t xml:space="preserve">-Swap is executed to manage the IR-risks and provide cashflow certainty on all financing cashflows over the tenor of the debt. In </w:t>
      </w:r>
      <w:r w:rsidR="007C6FC4" w:rsidRPr="00A46EF7">
        <w:rPr>
          <w:rFonts w:eastAsia="Calibri"/>
          <w:sz w:val="22"/>
          <w:szCs w:val="22"/>
          <w:lang w:eastAsia="en-US"/>
        </w:rPr>
        <w:lastRenderedPageBreak/>
        <w:t>addition,</w:t>
      </w:r>
      <w:r w:rsidRPr="00A46EF7">
        <w:rPr>
          <w:rFonts w:eastAsia="Calibri"/>
          <w:sz w:val="22"/>
          <w:szCs w:val="22"/>
          <w:lang w:eastAsia="en-US"/>
        </w:rPr>
        <w:t xml:space="preserve"> certain </w:t>
      </w:r>
      <w:r w:rsidR="00CD1EF3" w:rsidRPr="00A46EF7">
        <w:rPr>
          <w:rFonts w:eastAsia="Calibri"/>
          <w:sz w:val="22"/>
          <w:szCs w:val="22"/>
          <w:lang w:eastAsia="en-US"/>
        </w:rPr>
        <w:t>Foreign Exchange (</w:t>
      </w:r>
      <w:r w:rsidRPr="00A46EF7">
        <w:rPr>
          <w:rFonts w:eastAsia="Calibri"/>
          <w:sz w:val="22"/>
          <w:szCs w:val="22"/>
          <w:lang w:eastAsia="en-US"/>
        </w:rPr>
        <w:t>FX</w:t>
      </w:r>
      <w:r w:rsidR="00CD1EF3" w:rsidRPr="00A46EF7">
        <w:rPr>
          <w:rFonts w:eastAsia="Calibri"/>
          <w:sz w:val="22"/>
          <w:szCs w:val="22"/>
          <w:lang w:eastAsia="en-US"/>
        </w:rPr>
        <w:t>)-</w:t>
      </w:r>
      <w:r w:rsidRPr="00A46EF7">
        <w:rPr>
          <w:rFonts w:eastAsia="Calibri"/>
          <w:sz w:val="22"/>
          <w:szCs w:val="22"/>
          <w:lang w:eastAsia="en-US"/>
        </w:rPr>
        <w:t xml:space="preserve"> or commodity hedges might be </w:t>
      </w:r>
      <w:r w:rsidR="00876F57" w:rsidRPr="00A46EF7">
        <w:rPr>
          <w:rFonts w:eastAsia="Calibri"/>
          <w:sz w:val="22"/>
          <w:szCs w:val="22"/>
          <w:lang w:eastAsia="en-US"/>
        </w:rPr>
        <w:t>executed</w:t>
      </w:r>
      <w:r w:rsidRPr="00A46EF7">
        <w:rPr>
          <w:rFonts w:eastAsia="Calibri"/>
          <w:sz w:val="22"/>
          <w:szCs w:val="22"/>
          <w:lang w:eastAsia="en-US"/>
        </w:rPr>
        <w:t xml:space="preserve"> to stabilize project cashflows. This type of hedging is obligatory to achieve bankability of the projects.</w:t>
      </w:r>
    </w:p>
    <w:p w14:paraId="396E5672" w14:textId="541CD9CC" w:rsidR="0051725D" w:rsidRPr="001D4230" w:rsidRDefault="0051725D" w:rsidP="0051725D">
      <w:pPr>
        <w:spacing w:before="120" w:after="120"/>
        <w:ind w:left="357"/>
        <w:jc w:val="both"/>
        <w:rPr>
          <w:rFonts w:eastAsia="Calibri"/>
          <w:sz w:val="22"/>
          <w:szCs w:val="22"/>
          <w:lang w:eastAsia="en-US"/>
        </w:rPr>
      </w:pPr>
      <w:r w:rsidRPr="001D4230">
        <w:rPr>
          <w:rFonts w:eastAsia="Calibri"/>
          <w:sz w:val="22"/>
          <w:szCs w:val="22"/>
          <w:lang w:eastAsia="en-US"/>
        </w:rPr>
        <w:t>For these type</w:t>
      </w:r>
      <w:r w:rsidR="00876F57" w:rsidRPr="001D4230">
        <w:rPr>
          <w:rFonts w:eastAsia="Calibri"/>
          <w:sz w:val="22"/>
          <w:szCs w:val="22"/>
          <w:lang w:eastAsia="en-US"/>
        </w:rPr>
        <w:t>s</w:t>
      </w:r>
      <w:r w:rsidRPr="001D4230">
        <w:rPr>
          <w:rFonts w:eastAsia="Calibri"/>
          <w:sz w:val="22"/>
          <w:szCs w:val="22"/>
          <w:lang w:eastAsia="en-US"/>
        </w:rPr>
        <w:t xml:space="preserve"> of SPVs (with cashflow based lending) the EMIR margining rules stand in </w:t>
      </w:r>
      <w:r w:rsidR="00876F57" w:rsidRPr="001D4230">
        <w:rPr>
          <w:rFonts w:eastAsia="Calibri"/>
          <w:sz w:val="22"/>
          <w:szCs w:val="22"/>
          <w:lang w:eastAsia="en-US"/>
        </w:rPr>
        <w:t>stark contrast</w:t>
      </w:r>
      <w:r w:rsidRPr="001D4230">
        <w:rPr>
          <w:rFonts w:eastAsia="Calibri"/>
          <w:sz w:val="22"/>
          <w:szCs w:val="22"/>
          <w:lang w:eastAsia="en-US"/>
        </w:rPr>
        <w:t xml:space="preserve"> to the required cashflow certainty which is need</w:t>
      </w:r>
      <w:r w:rsidR="00AA7A6E" w:rsidRPr="001D4230">
        <w:rPr>
          <w:rFonts w:eastAsia="Calibri"/>
          <w:sz w:val="22"/>
          <w:szCs w:val="22"/>
          <w:lang w:eastAsia="en-US"/>
        </w:rPr>
        <w:t>ed</w:t>
      </w:r>
      <w:r w:rsidRPr="001D4230">
        <w:rPr>
          <w:rFonts w:eastAsia="Calibri"/>
          <w:sz w:val="22"/>
          <w:szCs w:val="22"/>
          <w:lang w:eastAsia="en-US"/>
        </w:rPr>
        <w:t xml:space="preserve"> for bankability, as margining</w:t>
      </w:r>
      <w:r w:rsidR="007D0774" w:rsidRPr="001D4230">
        <w:rPr>
          <w:rFonts w:eastAsia="Calibri"/>
          <w:sz w:val="22"/>
          <w:szCs w:val="22"/>
          <w:lang w:eastAsia="en-US"/>
        </w:rPr>
        <w:t xml:space="preserve"> of the above-mentioned</w:t>
      </w:r>
      <w:r w:rsidR="00C97754" w:rsidRPr="001D4230">
        <w:rPr>
          <w:rFonts w:eastAsia="Calibri"/>
          <w:sz w:val="22"/>
          <w:szCs w:val="22"/>
          <w:lang w:eastAsia="en-US"/>
        </w:rPr>
        <w:t xml:space="preserve"> </w:t>
      </w:r>
      <w:r w:rsidR="007D0774" w:rsidRPr="001D4230">
        <w:rPr>
          <w:rFonts w:eastAsia="Calibri"/>
          <w:sz w:val="22"/>
          <w:szCs w:val="22"/>
          <w:lang w:eastAsia="en-US"/>
        </w:rPr>
        <w:t xml:space="preserve">transactions </w:t>
      </w:r>
      <w:r w:rsidRPr="001D4230">
        <w:rPr>
          <w:rFonts w:eastAsia="Calibri"/>
          <w:sz w:val="22"/>
          <w:szCs w:val="22"/>
          <w:lang w:eastAsia="en-US"/>
        </w:rPr>
        <w:t>introduces</w:t>
      </w:r>
      <w:r w:rsidR="00876F57" w:rsidRPr="001D4230">
        <w:rPr>
          <w:rFonts w:eastAsia="Calibri"/>
          <w:sz w:val="22"/>
          <w:szCs w:val="22"/>
          <w:lang w:eastAsia="en-US"/>
        </w:rPr>
        <w:t xml:space="preserve"> or reintroduces</w:t>
      </w:r>
      <w:r w:rsidRPr="001D4230">
        <w:rPr>
          <w:rFonts w:eastAsia="Calibri"/>
          <w:sz w:val="22"/>
          <w:szCs w:val="22"/>
          <w:lang w:eastAsia="en-US"/>
        </w:rPr>
        <w:t xml:space="preserve"> cashflow volatility. However, the key principle of a non-recourse project financing structure is to minimize cashflow volatility. </w:t>
      </w:r>
    </w:p>
    <w:p w14:paraId="42BAF456" w14:textId="5E735393" w:rsidR="0051725D" w:rsidRPr="001D4230" w:rsidRDefault="00EC0A61" w:rsidP="0051725D">
      <w:pPr>
        <w:spacing w:before="120" w:after="120"/>
        <w:ind w:left="357"/>
        <w:jc w:val="both"/>
        <w:rPr>
          <w:rFonts w:eastAsia="Calibri"/>
          <w:sz w:val="22"/>
          <w:szCs w:val="22"/>
          <w:lang w:eastAsia="en-US"/>
        </w:rPr>
      </w:pPr>
      <w:r w:rsidRPr="00EC0A61">
        <w:rPr>
          <w:rFonts w:eastAsia="Calibri"/>
          <w:sz w:val="22"/>
          <w:szCs w:val="22"/>
          <w:lang w:eastAsia="en-US"/>
        </w:rPr>
        <w:t xml:space="preserve">We are </w:t>
      </w:r>
      <w:r w:rsidR="0051725D" w:rsidRPr="001D4230">
        <w:rPr>
          <w:rFonts w:eastAsia="Calibri"/>
          <w:sz w:val="22"/>
          <w:szCs w:val="22"/>
          <w:lang w:eastAsia="en-US"/>
        </w:rPr>
        <w:t>not aware of any non-recourse project financing in the energy sector which has been realized based on collateralization for finance derivatives. The EMIR margining rules will make a standard project financing impossible. To accommodate the EMIR margining rules in such financing will only be possible via significantly increased complexity in an off-market structure, which will lead to (a) increased financing costs, (b) reduced financing capacity for the projects (because of reduced lender appetite and debt capacity being consumed for working capital facilities) and (c) a potential need for additional and continuous shareholder financing (contradicting the non-recourse principle).</w:t>
      </w:r>
    </w:p>
    <w:p w14:paraId="14BB5390" w14:textId="24732BBE" w:rsidR="004E5A4A" w:rsidRPr="001D4230" w:rsidRDefault="00CE00D7" w:rsidP="00EE6573">
      <w:pPr>
        <w:spacing w:before="120" w:after="120"/>
        <w:ind w:left="357"/>
        <w:jc w:val="both"/>
        <w:rPr>
          <w:rFonts w:eastAsia="Calibri"/>
          <w:sz w:val="22"/>
          <w:szCs w:val="22"/>
          <w:lang w:eastAsia="en-US"/>
        </w:rPr>
      </w:pPr>
      <w:r w:rsidRPr="001D4230">
        <w:rPr>
          <w:rFonts w:eastAsia="Calibri"/>
          <w:sz w:val="22"/>
          <w:szCs w:val="22"/>
          <w:lang w:eastAsia="en-US"/>
        </w:rPr>
        <w:t>This makes an NFC+ a less attractive partner for investors</w:t>
      </w:r>
      <w:r w:rsidR="0007579D" w:rsidRPr="001D4230">
        <w:rPr>
          <w:rFonts w:eastAsia="Calibri"/>
          <w:sz w:val="22"/>
          <w:szCs w:val="22"/>
          <w:lang w:eastAsia="en-US"/>
        </w:rPr>
        <w:t xml:space="preserve"> as investors want to avoid these </w:t>
      </w:r>
      <w:r w:rsidR="006C44C6" w:rsidRPr="001D4230">
        <w:rPr>
          <w:rFonts w:eastAsia="Calibri"/>
          <w:sz w:val="22"/>
          <w:szCs w:val="22"/>
          <w:lang w:eastAsia="en-US"/>
        </w:rPr>
        <w:t xml:space="preserve">NFC+ </w:t>
      </w:r>
      <w:r w:rsidR="0007579D" w:rsidRPr="001D4230">
        <w:rPr>
          <w:rFonts w:eastAsia="Calibri"/>
          <w:sz w:val="22"/>
          <w:szCs w:val="22"/>
          <w:lang w:eastAsia="en-US"/>
        </w:rPr>
        <w:t>obligations and impact</w:t>
      </w:r>
      <w:r w:rsidR="006C44C6" w:rsidRPr="001D4230">
        <w:rPr>
          <w:rFonts w:eastAsia="Calibri"/>
          <w:sz w:val="22"/>
          <w:szCs w:val="22"/>
          <w:lang w:eastAsia="en-US"/>
        </w:rPr>
        <w:t>s</w:t>
      </w:r>
      <w:r w:rsidR="0007579D" w:rsidRPr="001D4230">
        <w:rPr>
          <w:rFonts w:eastAsia="Calibri"/>
          <w:sz w:val="22"/>
          <w:szCs w:val="22"/>
          <w:lang w:eastAsia="en-US"/>
        </w:rPr>
        <w:t xml:space="preserve"> and, hence, they might not invest in the concerned asset</w:t>
      </w:r>
      <w:r w:rsidRPr="001D4230">
        <w:rPr>
          <w:rFonts w:eastAsia="Calibri"/>
          <w:sz w:val="22"/>
          <w:szCs w:val="22"/>
          <w:lang w:eastAsia="en-US"/>
        </w:rPr>
        <w:t>.</w:t>
      </w:r>
      <w:r w:rsidR="006C44C6" w:rsidRPr="001D4230">
        <w:rPr>
          <w:rFonts w:eastAsia="Calibri"/>
          <w:sz w:val="22"/>
          <w:szCs w:val="22"/>
          <w:lang w:eastAsia="en-US"/>
        </w:rPr>
        <w:t xml:space="preserve"> This makes EU NFC+</w:t>
      </w:r>
      <w:r w:rsidR="003B10A6" w:rsidRPr="001D4230">
        <w:rPr>
          <w:rFonts w:eastAsia="Calibri"/>
          <w:sz w:val="22"/>
          <w:szCs w:val="22"/>
          <w:lang w:eastAsia="en-US"/>
        </w:rPr>
        <w:t>s</w:t>
      </w:r>
      <w:r w:rsidR="006C44C6" w:rsidRPr="001D4230">
        <w:rPr>
          <w:rFonts w:eastAsia="Calibri"/>
          <w:sz w:val="22"/>
          <w:szCs w:val="22"/>
          <w:lang w:eastAsia="en-US"/>
        </w:rPr>
        <w:t xml:space="preserve"> less competitive</w:t>
      </w:r>
      <w:r w:rsidR="0024118D" w:rsidRPr="001D4230">
        <w:rPr>
          <w:rFonts w:eastAsia="Calibri"/>
          <w:sz w:val="22"/>
          <w:szCs w:val="22"/>
          <w:lang w:eastAsia="en-US"/>
        </w:rPr>
        <w:t xml:space="preserve"> and reduce</w:t>
      </w:r>
      <w:r w:rsidR="003B10A6" w:rsidRPr="001D4230">
        <w:rPr>
          <w:rFonts w:eastAsia="Calibri"/>
          <w:sz w:val="22"/>
          <w:szCs w:val="22"/>
          <w:lang w:eastAsia="en-US"/>
        </w:rPr>
        <w:t>s</w:t>
      </w:r>
      <w:r w:rsidR="0024118D" w:rsidRPr="001D4230">
        <w:rPr>
          <w:rFonts w:eastAsia="Calibri"/>
          <w:sz w:val="22"/>
          <w:szCs w:val="22"/>
          <w:lang w:eastAsia="en-US"/>
        </w:rPr>
        <w:t xml:space="preserve"> the scope of potential partners</w:t>
      </w:r>
      <w:r w:rsidR="006C44C6" w:rsidRPr="001D4230">
        <w:rPr>
          <w:rFonts w:eastAsia="Calibri"/>
          <w:sz w:val="22"/>
          <w:szCs w:val="22"/>
          <w:lang w:eastAsia="en-US"/>
        </w:rPr>
        <w:t>.</w:t>
      </w:r>
    </w:p>
    <w:p w14:paraId="4CDFEE4F" w14:textId="2279892C" w:rsidR="0051725D" w:rsidRPr="001D4230" w:rsidRDefault="0051725D" w:rsidP="0051725D">
      <w:pPr>
        <w:spacing w:before="120" w:after="120"/>
        <w:ind w:left="357"/>
        <w:jc w:val="both"/>
        <w:rPr>
          <w:rFonts w:eastAsia="Calibri"/>
          <w:sz w:val="22"/>
          <w:szCs w:val="22"/>
          <w:lang w:eastAsia="en-US"/>
        </w:rPr>
      </w:pPr>
      <w:r w:rsidRPr="001D4230">
        <w:rPr>
          <w:rFonts w:eastAsia="Calibri"/>
          <w:sz w:val="22"/>
          <w:szCs w:val="22"/>
          <w:lang w:eastAsia="en-US"/>
        </w:rPr>
        <w:t xml:space="preserve">In conclusion this </w:t>
      </w:r>
      <w:r w:rsidR="00F55600" w:rsidRPr="001D4230">
        <w:rPr>
          <w:rFonts w:eastAsia="Calibri"/>
          <w:sz w:val="22"/>
          <w:szCs w:val="22"/>
          <w:lang w:eastAsia="en-US"/>
        </w:rPr>
        <w:t xml:space="preserve">limits </w:t>
      </w:r>
      <w:r w:rsidRPr="001D4230">
        <w:rPr>
          <w:rFonts w:eastAsia="Calibri"/>
          <w:sz w:val="22"/>
          <w:szCs w:val="22"/>
          <w:lang w:eastAsia="en-US"/>
        </w:rPr>
        <w:t xml:space="preserve">the funding capacity and partnering options for an NFC+, hence putting economic viability and </w:t>
      </w:r>
      <w:r w:rsidR="00AA7A6E" w:rsidRPr="001D4230">
        <w:rPr>
          <w:rFonts w:eastAsia="Calibri"/>
          <w:sz w:val="22"/>
          <w:szCs w:val="22"/>
          <w:lang w:eastAsia="en-US"/>
        </w:rPr>
        <w:t xml:space="preserve">the ability to finance </w:t>
      </w:r>
      <w:r w:rsidRPr="001D4230">
        <w:rPr>
          <w:rFonts w:eastAsia="Calibri"/>
          <w:sz w:val="22"/>
          <w:szCs w:val="22"/>
          <w:lang w:eastAsia="en-US"/>
        </w:rPr>
        <w:t>of renewable energy projects at risk.</w:t>
      </w:r>
    </w:p>
    <w:p w14:paraId="28249E68" w14:textId="6D475D6D" w:rsidR="00D0396B" w:rsidRPr="00146962" w:rsidRDefault="00E52F41" w:rsidP="00EE6573">
      <w:pPr>
        <w:pStyle w:val="ListParagraph"/>
        <w:numPr>
          <w:ilvl w:val="0"/>
          <w:numId w:val="49"/>
        </w:numPr>
        <w:spacing w:before="120" w:after="120"/>
        <w:ind w:left="357"/>
        <w:contextualSpacing w:val="0"/>
        <w:jc w:val="both"/>
        <w:rPr>
          <w:rFonts w:eastAsia="Calibri"/>
          <w:b/>
          <w:bCs/>
          <w:sz w:val="22"/>
          <w:szCs w:val="22"/>
          <w:lang w:eastAsia="en-US"/>
        </w:rPr>
      </w:pPr>
      <w:r w:rsidRPr="00146962">
        <w:rPr>
          <w:rFonts w:eastAsia="Calibri"/>
          <w:b/>
          <w:bCs/>
          <w:sz w:val="22"/>
          <w:szCs w:val="22"/>
          <w:lang w:eastAsia="en-US"/>
        </w:rPr>
        <w:t>H</w:t>
      </w:r>
      <w:r w:rsidR="00D0396B" w:rsidRPr="00146962">
        <w:rPr>
          <w:rFonts w:eastAsia="Calibri"/>
          <w:b/>
          <w:bCs/>
          <w:sz w:val="22"/>
          <w:szCs w:val="22"/>
          <w:lang w:eastAsia="en-US"/>
        </w:rPr>
        <w:t>edg</w:t>
      </w:r>
      <w:r w:rsidRPr="00146962">
        <w:rPr>
          <w:rFonts w:eastAsia="Calibri"/>
          <w:b/>
          <w:bCs/>
          <w:sz w:val="22"/>
          <w:szCs w:val="22"/>
          <w:lang w:eastAsia="en-US"/>
        </w:rPr>
        <w:t>ing of</w:t>
      </w:r>
      <w:r w:rsidR="00D0396B" w:rsidRPr="00146962">
        <w:rPr>
          <w:rFonts w:eastAsia="Calibri"/>
          <w:b/>
          <w:bCs/>
          <w:sz w:val="22"/>
          <w:szCs w:val="22"/>
          <w:lang w:eastAsia="en-US"/>
        </w:rPr>
        <w:t xml:space="preserve"> renewable energy production</w:t>
      </w:r>
      <w:r w:rsidR="00EE6573" w:rsidRPr="00146962">
        <w:rPr>
          <w:rFonts w:eastAsia="Calibri"/>
          <w:b/>
          <w:bCs/>
          <w:sz w:val="22"/>
          <w:szCs w:val="22"/>
          <w:lang w:eastAsia="en-US"/>
        </w:rPr>
        <w:t xml:space="preserve"> through virtual PPAs</w:t>
      </w:r>
      <w:r w:rsidRPr="00146962">
        <w:rPr>
          <w:rFonts w:eastAsia="Calibri"/>
          <w:b/>
          <w:bCs/>
          <w:sz w:val="22"/>
          <w:szCs w:val="22"/>
          <w:lang w:eastAsia="en-US"/>
        </w:rPr>
        <w:t xml:space="preserve"> </w:t>
      </w:r>
      <w:r w:rsidR="000049D8" w:rsidRPr="00146962">
        <w:rPr>
          <w:rFonts w:eastAsia="Calibri"/>
          <w:b/>
          <w:bCs/>
          <w:sz w:val="22"/>
          <w:szCs w:val="22"/>
          <w:lang w:eastAsia="en-US"/>
        </w:rPr>
        <w:t xml:space="preserve">becomes </w:t>
      </w:r>
      <w:r w:rsidRPr="00146962">
        <w:rPr>
          <w:rFonts w:eastAsia="Calibri"/>
          <w:b/>
          <w:bCs/>
          <w:sz w:val="22"/>
          <w:szCs w:val="22"/>
          <w:lang w:eastAsia="en-US"/>
        </w:rPr>
        <w:t>more expensive and reduce</w:t>
      </w:r>
      <w:r w:rsidR="000049D8" w:rsidRPr="00146962">
        <w:rPr>
          <w:rFonts w:eastAsia="Calibri"/>
          <w:b/>
          <w:bCs/>
          <w:sz w:val="22"/>
          <w:szCs w:val="22"/>
          <w:lang w:eastAsia="en-US"/>
        </w:rPr>
        <w:t>s</w:t>
      </w:r>
      <w:r w:rsidRPr="00146962">
        <w:rPr>
          <w:rFonts w:eastAsia="Calibri"/>
          <w:b/>
          <w:bCs/>
          <w:sz w:val="22"/>
          <w:szCs w:val="22"/>
          <w:lang w:eastAsia="en-US"/>
        </w:rPr>
        <w:t xml:space="preserve"> hedging opportunities</w:t>
      </w:r>
      <w:r w:rsidR="00D0396B" w:rsidRPr="00146962">
        <w:rPr>
          <w:rFonts w:eastAsia="Calibri"/>
          <w:b/>
          <w:bCs/>
          <w:sz w:val="22"/>
          <w:szCs w:val="22"/>
          <w:lang w:eastAsia="en-US"/>
        </w:rPr>
        <w:t>:</w:t>
      </w:r>
    </w:p>
    <w:p w14:paraId="60E9C4CB" w14:textId="63C039E3" w:rsidR="004E5A4A" w:rsidRPr="00A46EF7" w:rsidRDefault="00BC459F" w:rsidP="00EE6573">
      <w:pPr>
        <w:spacing w:before="120" w:after="120"/>
        <w:ind w:left="357"/>
        <w:jc w:val="both"/>
        <w:rPr>
          <w:rFonts w:eastAsia="Calibri"/>
          <w:sz w:val="22"/>
          <w:szCs w:val="22"/>
          <w:lang w:eastAsia="en-US"/>
        </w:rPr>
      </w:pPr>
      <w:r w:rsidRPr="00A46EF7">
        <w:rPr>
          <w:sz w:val="22"/>
        </w:rPr>
        <w:t xml:space="preserve">An operator of a renewable energy production site, e.g., of a larger wind park, enters into a so-called virtual Power Purchase Agreement (“PPA”), </w:t>
      </w:r>
      <w:r w:rsidR="003B10A6" w:rsidRPr="00A46EF7">
        <w:rPr>
          <w:sz w:val="22"/>
        </w:rPr>
        <w:t>for example</w:t>
      </w:r>
      <w:r w:rsidRPr="00A46EF7">
        <w:rPr>
          <w:sz w:val="22"/>
        </w:rPr>
        <w:t>, in the form of a financially settled swap fix-for-floating, to financially hedge its commercial market price risks. If</w:t>
      </w:r>
      <w:r w:rsidR="00F70082" w:rsidRPr="00A46EF7">
        <w:rPr>
          <w:sz w:val="22"/>
        </w:rPr>
        <w:t xml:space="preserve"> a</w:t>
      </w:r>
      <w:r w:rsidR="001B7FA0" w:rsidRPr="00A46EF7">
        <w:rPr>
          <w:sz w:val="22"/>
        </w:rPr>
        <w:t>n</w:t>
      </w:r>
      <w:r w:rsidR="00F70082" w:rsidRPr="00A46EF7">
        <w:rPr>
          <w:sz w:val="22"/>
        </w:rPr>
        <w:t xml:space="preserve"> </w:t>
      </w:r>
      <w:r w:rsidR="00AE11B8" w:rsidRPr="00A46EF7">
        <w:rPr>
          <w:rFonts w:eastAsia="Calibri"/>
          <w:sz w:val="22"/>
          <w:szCs w:val="22"/>
          <w:lang w:eastAsia="en-US"/>
        </w:rPr>
        <w:t>NFC+</w:t>
      </w:r>
      <w:r w:rsidR="00F70082" w:rsidRPr="00A46EF7">
        <w:rPr>
          <w:rFonts w:eastAsia="Calibri"/>
          <w:sz w:val="22"/>
          <w:szCs w:val="22"/>
          <w:lang w:eastAsia="en-US"/>
        </w:rPr>
        <w:t xml:space="preserve"> firm enters into a virtual PPA with another NFC+ or FC, this hedging transaction would</w:t>
      </w:r>
      <w:r w:rsidR="00AE11B8" w:rsidRPr="00A46EF7">
        <w:rPr>
          <w:rFonts w:eastAsia="Calibri"/>
          <w:sz w:val="22"/>
          <w:szCs w:val="22"/>
          <w:lang w:eastAsia="en-US"/>
        </w:rPr>
        <w:t xml:space="preserve"> typically</w:t>
      </w:r>
      <w:r w:rsidR="00F70082" w:rsidRPr="00A46EF7">
        <w:rPr>
          <w:rFonts w:eastAsia="Calibri"/>
          <w:sz w:val="22"/>
          <w:szCs w:val="22"/>
          <w:lang w:eastAsia="en-US"/>
        </w:rPr>
        <w:t xml:space="preserve"> be subject </w:t>
      </w:r>
      <w:r w:rsidR="003B10A6" w:rsidRPr="00A46EF7">
        <w:rPr>
          <w:rFonts w:eastAsia="Calibri"/>
          <w:sz w:val="22"/>
          <w:szCs w:val="22"/>
          <w:lang w:eastAsia="en-US"/>
        </w:rPr>
        <w:t xml:space="preserve">to </w:t>
      </w:r>
      <w:r w:rsidR="00F70082" w:rsidRPr="00A46EF7">
        <w:rPr>
          <w:rFonts w:eastAsia="Calibri"/>
          <w:sz w:val="22"/>
          <w:szCs w:val="22"/>
          <w:lang w:eastAsia="en-US"/>
        </w:rPr>
        <w:t xml:space="preserve">the bilateral collateralisation obligation under EMIR. </w:t>
      </w:r>
      <w:r w:rsidR="00E52F41" w:rsidRPr="00A46EF7">
        <w:rPr>
          <w:rFonts w:eastAsia="Calibri"/>
          <w:sz w:val="22"/>
          <w:szCs w:val="22"/>
          <w:lang w:eastAsia="en-US"/>
        </w:rPr>
        <w:t>Consequently, t</w:t>
      </w:r>
      <w:r w:rsidR="00F70082" w:rsidRPr="00A46EF7">
        <w:rPr>
          <w:rFonts w:eastAsia="Calibri"/>
          <w:sz w:val="22"/>
          <w:szCs w:val="22"/>
          <w:lang w:eastAsia="en-US"/>
        </w:rPr>
        <w:t>his substantially increases the cost of hedging for the NFC+ firm</w:t>
      </w:r>
      <w:r w:rsidR="00E52F41" w:rsidRPr="00A46EF7">
        <w:rPr>
          <w:rFonts w:eastAsia="Calibri"/>
          <w:sz w:val="22"/>
          <w:szCs w:val="22"/>
          <w:lang w:eastAsia="en-US"/>
        </w:rPr>
        <w:t xml:space="preserve"> and makes a renewable energy project less economically viable</w:t>
      </w:r>
      <w:r w:rsidR="00F70082" w:rsidRPr="00A46EF7">
        <w:rPr>
          <w:rFonts w:eastAsia="Calibri"/>
          <w:sz w:val="22"/>
          <w:szCs w:val="22"/>
          <w:lang w:eastAsia="en-US"/>
        </w:rPr>
        <w:t>.</w:t>
      </w:r>
      <w:r w:rsidR="00E52F41" w:rsidRPr="00A46EF7">
        <w:rPr>
          <w:rFonts w:eastAsia="Calibri"/>
          <w:sz w:val="22"/>
          <w:szCs w:val="22"/>
          <w:lang w:eastAsia="en-US"/>
        </w:rPr>
        <w:t xml:space="preserve"> Therefore, </w:t>
      </w:r>
      <w:r w:rsidR="00F70082" w:rsidRPr="00A46EF7">
        <w:rPr>
          <w:rFonts w:eastAsia="Calibri"/>
          <w:sz w:val="22"/>
          <w:szCs w:val="22"/>
          <w:lang w:eastAsia="en-US"/>
        </w:rPr>
        <w:t>NFC+</w:t>
      </w:r>
      <w:r w:rsidR="00E52F41" w:rsidRPr="00A46EF7">
        <w:rPr>
          <w:rFonts w:eastAsia="Calibri"/>
          <w:sz w:val="22"/>
          <w:szCs w:val="22"/>
          <w:lang w:eastAsia="en-US"/>
        </w:rPr>
        <w:t xml:space="preserve">s face the stark choice </w:t>
      </w:r>
      <w:r w:rsidR="00F70082" w:rsidRPr="00A46EF7">
        <w:rPr>
          <w:rFonts w:eastAsia="Calibri"/>
          <w:sz w:val="22"/>
          <w:szCs w:val="22"/>
          <w:lang w:eastAsia="en-US"/>
        </w:rPr>
        <w:t xml:space="preserve">to </w:t>
      </w:r>
      <w:r w:rsidR="00AE11B8" w:rsidRPr="00A46EF7">
        <w:rPr>
          <w:rFonts w:eastAsia="Calibri"/>
          <w:sz w:val="22"/>
          <w:szCs w:val="22"/>
          <w:lang w:eastAsia="en-US"/>
        </w:rPr>
        <w:t>avoid</w:t>
      </w:r>
      <w:r w:rsidR="00F70082" w:rsidRPr="00A46EF7">
        <w:rPr>
          <w:rFonts w:eastAsia="Calibri"/>
          <w:sz w:val="22"/>
          <w:szCs w:val="22"/>
          <w:lang w:eastAsia="en-US"/>
        </w:rPr>
        <w:t xml:space="preserve"> that</w:t>
      </w:r>
      <w:r w:rsidR="00AE11B8" w:rsidRPr="00A46EF7">
        <w:rPr>
          <w:rFonts w:eastAsia="Calibri"/>
          <w:sz w:val="22"/>
          <w:szCs w:val="22"/>
          <w:lang w:eastAsia="en-US"/>
        </w:rPr>
        <w:t xml:space="preserve"> collateralisation</w:t>
      </w:r>
      <w:r w:rsidR="00F70082" w:rsidRPr="00A46EF7">
        <w:rPr>
          <w:rFonts w:eastAsia="Calibri"/>
          <w:sz w:val="22"/>
          <w:szCs w:val="22"/>
          <w:lang w:eastAsia="en-US"/>
        </w:rPr>
        <w:t xml:space="preserve"> </w:t>
      </w:r>
      <w:r w:rsidR="00E52F41" w:rsidRPr="00A46EF7">
        <w:rPr>
          <w:rFonts w:eastAsia="Calibri"/>
          <w:sz w:val="22"/>
          <w:szCs w:val="22"/>
          <w:lang w:eastAsia="en-US"/>
        </w:rPr>
        <w:t xml:space="preserve">by not entering into virtual PPAs with other larger corporates with NFC+ status </w:t>
      </w:r>
      <w:r w:rsidR="00F70082" w:rsidRPr="00A46EF7">
        <w:rPr>
          <w:rFonts w:eastAsia="Calibri"/>
          <w:sz w:val="22"/>
          <w:szCs w:val="22"/>
          <w:lang w:eastAsia="en-US"/>
        </w:rPr>
        <w:t>and</w:t>
      </w:r>
      <w:r w:rsidR="00E52F41" w:rsidRPr="00A46EF7">
        <w:rPr>
          <w:rFonts w:eastAsia="Calibri"/>
          <w:sz w:val="22"/>
          <w:szCs w:val="22"/>
          <w:lang w:eastAsia="en-US"/>
        </w:rPr>
        <w:t>/or financial counterparties. H</w:t>
      </w:r>
      <w:r w:rsidR="00F70082" w:rsidRPr="00A46EF7">
        <w:rPr>
          <w:rFonts w:eastAsia="Calibri"/>
          <w:sz w:val="22"/>
          <w:szCs w:val="22"/>
          <w:lang w:eastAsia="en-US"/>
        </w:rPr>
        <w:t>ence, th</w:t>
      </w:r>
      <w:r w:rsidR="00E52F41" w:rsidRPr="00A46EF7">
        <w:rPr>
          <w:rFonts w:eastAsia="Calibri"/>
          <w:sz w:val="22"/>
          <w:szCs w:val="22"/>
          <w:lang w:eastAsia="en-US"/>
        </w:rPr>
        <w:t xml:space="preserve">is reduces the hedging opportunities as it reduces the number of potential counterparties </w:t>
      </w:r>
      <w:r w:rsidR="003B10A6" w:rsidRPr="00A46EF7">
        <w:rPr>
          <w:rFonts w:eastAsia="Calibri"/>
          <w:sz w:val="22"/>
          <w:szCs w:val="22"/>
          <w:lang w:eastAsia="en-US"/>
        </w:rPr>
        <w:t xml:space="preserve">available </w:t>
      </w:r>
      <w:r w:rsidR="00E52F41" w:rsidRPr="00A46EF7">
        <w:rPr>
          <w:rFonts w:eastAsia="Calibri"/>
          <w:sz w:val="22"/>
          <w:szCs w:val="22"/>
          <w:lang w:eastAsia="en-US"/>
        </w:rPr>
        <w:t>for hedging transactions.</w:t>
      </w:r>
    </w:p>
    <w:p w14:paraId="6F36F61B" w14:textId="24CB511A" w:rsidR="00396011" w:rsidRPr="00146962" w:rsidRDefault="00396011" w:rsidP="00396011">
      <w:pPr>
        <w:pStyle w:val="ListParagraph"/>
        <w:numPr>
          <w:ilvl w:val="0"/>
          <w:numId w:val="49"/>
        </w:numPr>
        <w:spacing w:before="120" w:after="120"/>
        <w:jc w:val="both"/>
        <w:rPr>
          <w:rFonts w:eastAsia="Calibri"/>
          <w:b/>
          <w:bCs/>
          <w:sz w:val="22"/>
          <w:szCs w:val="22"/>
          <w:lang w:val="en-US" w:eastAsia="en-US"/>
        </w:rPr>
      </w:pPr>
      <w:r w:rsidRPr="00146962">
        <w:rPr>
          <w:rFonts w:eastAsia="Calibri"/>
          <w:b/>
          <w:bCs/>
          <w:sz w:val="22"/>
          <w:szCs w:val="22"/>
          <w:lang w:val="en-US" w:eastAsia="en-US"/>
        </w:rPr>
        <w:t>Liquidity scarcity as a result of NFC+ status:</w:t>
      </w:r>
    </w:p>
    <w:p w14:paraId="065E64B1" w14:textId="394619B0" w:rsidR="00396011" w:rsidRPr="00A46EF7" w:rsidRDefault="00396011" w:rsidP="00396011">
      <w:pPr>
        <w:spacing w:before="120" w:after="120"/>
        <w:ind w:left="360"/>
        <w:jc w:val="both"/>
        <w:rPr>
          <w:rFonts w:eastAsia="Calibri"/>
          <w:sz w:val="22"/>
          <w:szCs w:val="22"/>
          <w:lang w:val="en-US" w:eastAsia="en-US"/>
        </w:rPr>
      </w:pPr>
      <w:r w:rsidRPr="00A46EF7">
        <w:rPr>
          <w:rFonts w:eastAsia="Calibri"/>
          <w:sz w:val="22"/>
          <w:szCs w:val="22"/>
          <w:lang w:val="en-US" w:eastAsia="en-US"/>
        </w:rPr>
        <w:t>A twofold liquidity impact leads to restrictions on operational and growth activities:</w:t>
      </w:r>
    </w:p>
    <w:p w14:paraId="6F7A77A7" w14:textId="798B7CB6" w:rsidR="00396011" w:rsidRPr="001D4230" w:rsidRDefault="00396011" w:rsidP="00396011">
      <w:pPr>
        <w:spacing w:before="120" w:after="120"/>
        <w:ind w:left="360"/>
        <w:jc w:val="both"/>
        <w:rPr>
          <w:rFonts w:eastAsia="Calibri"/>
          <w:sz w:val="22"/>
          <w:szCs w:val="22"/>
          <w:lang w:val="en-US" w:eastAsia="en-US"/>
        </w:rPr>
      </w:pPr>
      <w:r w:rsidRPr="001D4230">
        <w:rPr>
          <w:rFonts w:eastAsia="Calibri"/>
          <w:sz w:val="22"/>
          <w:szCs w:val="22"/>
          <w:lang w:val="en-US" w:eastAsia="en-US"/>
        </w:rPr>
        <w:t xml:space="preserve">1. </w:t>
      </w:r>
      <w:r w:rsidR="000049D8" w:rsidRPr="001D4230">
        <w:rPr>
          <w:rFonts w:eastAsia="Calibri"/>
          <w:sz w:val="22"/>
          <w:szCs w:val="22"/>
          <w:lang w:val="en-US" w:eastAsia="en-US"/>
        </w:rPr>
        <w:t>The l</w:t>
      </w:r>
      <w:r w:rsidRPr="001D4230">
        <w:rPr>
          <w:rFonts w:eastAsia="Calibri"/>
          <w:sz w:val="22"/>
          <w:szCs w:val="22"/>
          <w:lang w:val="en-US" w:eastAsia="en-US"/>
        </w:rPr>
        <w:t>iquidity buffer</w:t>
      </w:r>
      <w:r w:rsidR="007C6FC4" w:rsidRPr="001D4230">
        <w:rPr>
          <w:rFonts w:eastAsia="Calibri"/>
          <w:sz w:val="22"/>
          <w:szCs w:val="22"/>
          <w:lang w:val="en-US" w:eastAsia="en-US"/>
        </w:rPr>
        <w:t>s</w:t>
      </w:r>
      <w:r w:rsidRPr="001D4230">
        <w:rPr>
          <w:rFonts w:eastAsia="Calibri"/>
          <w:sz w:val="22"/>
          <w:szCs w:val="22"/>
          <w:lang w:val="en-US" w:eastAsia="en-US"/>
        </w:rPr>
        <w:t xml:space="preserve"> NFC+</w:t>
      </w:r>
      <w:r w:rsidR="003B10A6" w:rsidRPr="001D4230">
        <w:rPr>
          <w:rFonts w:eastAsia="Calibri"/>
          <w:sz w:val="22"/>
          <w:szCs w:val="22"/>
          <w:lang w:val="en-US" w:eastAsia="en-US"/>
        </w:rPr>
        <w:t>s</w:t>
      </w:r>
      <w:r w:rsidRPr="001D4230">
        <w:rPr>
          <w:rFonts w:eastAsia="Calibri"/>
          <w:sz w:val="22"/>
          <w:szCs w:val="22"/>
          <w:lang w:val="en-US" w:eastAsia="en-US"/>
        </w:rPr>
        <w:t xml:space="preserve"> have to provide for the risk mitigation measures (bilateral collateralization)</w:t>
      </w:r>
      <w:r w:rsidR="003B10A6" w:rsidRPr="001D4230">
        <w:rPr>
          <w:rFonts w:eastAsia="Calibri"/>
          <w:sz w:val="22"/>
          <w:szCs w:val="22"/>
          <w:lang w:val="en-US" w:eastAsia="en-US"/>
        </w:rPr>
        <w:t xml:space="preserve"> which</w:t>
      </w:r>
      <w:r w:rsidRPr="001D4230">
        <w:rPr>
          <w:rFonts w:eastAsia="Calibri"/>
          <w:sz w:val="22"/>
          <w:szCs w:val="22"/>
          <w:lang w:val="en-US" w:eastAsia="en-US"/>
        </w:rPr>
        <w:t xml:space="preserve"> are substantially increased as a result of additional margin (in particular Initial Margins) requirements.</w:t>
      </w:r>
    </w:p>
    <w:p w14:paraId="2A8C5CAD" w14:textId="0B1E9CB3" w:rsidR="00396011" w:rsidRPr="00A46EF7" w:rsidRDefault="00396011" w:rsidP="00396011">
      <w:pPr>
        <w:spacing w:before="120" w:after="120"/>
        <w:ind w:left="360"/>
        <w:jc w:val="both"/>
        <w:rPr>
          <w:rFonts w:eastAsia="Calibri"/>
          <w:sz w:val="22"/>
          <w:szCs w:val="22"/>
          <w:lang w:val="en-US" w:eastAsia="en-US"/>
        </w:rPr>
      </w:pPr>
      <w:r w:rsidRPr="00A46EF7">
        <w:rPr>
          <w:rFonts w:eastAsia="Calibri"/>
          <w:sz w:val="22"/>
          <w:szCs w:val="22"/>
          <w:lang w:val="en-US" w:eastAsia="en-US"/>
        </w:rPr>
        <w:t xml:space="preserve">2. The net debt influence of Initial Margins might be limited </w:t>
      </w:r>
      <w:r w:rsidR="00FB3F5E" w:rsidRPr="00A46EF7">
        <w:rPr>
          <w:rFonts w:eastAsia="Calibri"/>
          <w:sz w:val="22"/>
          <w:szCs w:val="22"/>
          <w:lang w:val="en-US" w:eastAsia="en-US"/>
        </w:rPr>
        <w:t xml:space="preserve">only </w:t>
      </w:r>
      <w:r w:rsidRPr="00A46EF7">
        <w:rPr>
          <w:rFonts w:eastAsia="Calibri"/>
          <w:sz w:val="22"/>
          <w:szCs w:val="22"/>
          <w:lang w:val="en-US" w:eastAsia="en-US"/>
        </w:rPr>
        <w:t>when NFC+</w:t>
      </w:r>
      <w:r w:rsidR="00FB3F5E" w:rsidRPr="00A46EF7">
        <w:rPr>
          <w:rFonts w:eastAsia="Calibri"/>
          <w:sz w:val="22"/>
          <w:szCs w:val="22"/>
          <w:lang w:val="en-US" w:eastAsia="en-US"/>
        </w:rPr>
        <w:t>s</w:t>
      </w:r>
      <w:r w:rsidRPr="00A46EF7">
        <w:rPr>
          <w:rFonts w:eastAsia="Calibri"/>
          <w:sz w:val="22"/>
          <w:szCs w:val="22"/>
          <w:lang w:val="en-US" w:eastAsia="en-US"/>
        </w:rPr>
        <w:t xml:space="preserve"> are able to apply a strict Initial Margin governance. </w:t>
      </w:r>
      <w:r w:rsidR="009A6700" w:rsidRPr="00A46EF7">
        <w:rPr>
          <w:rFonts w:eastAsia="Calibri"/>
          <w:sz w:val="22"/>
          <w:szCs w:val="22"/>
          <w:lang w:val="en-US" w:eastAsia="en-US"/>
        </w:rPr>
        <w:t xml:space="preserve">For the purpose </w:t>
      </w:r>
      <w:r w:rsidR="003B10A6" w:rsidRPr="00A46EF7">
        <w:rPr>
          <w:rFonts w:eastAsia="Calibri"/>
          <w:sz w:val="22"/>
          <w:szCs w:val="22"/>
          <w:lang w:val="en-US" w:eastAsia="en-US"/>
        </w:rPr>
        <w:t>of staying</w:t>
      </w:r>
      <w:r w:rsidR="009A6700" w:rsidRPr="00A46EF7">
        <w:rPr>
          <w:rFonts w:eastAsia="Calibri"/>
          <w:sz w:val="22"/>
          <w:szCs w:val="22"/>
          <w:lang w:val="en-US" w:eastAsia="en-US"/>
        </w:rPr>
        <w:t xml:space="preserve"> below the defined threshold for posting Initial Margins, an operating model has to be established whereby transactions are (artificially and not based on business</w:t>
      </w:r>
      <w:r w:rsidR="003B10A6" w:rsidRPr="00A46EF7">
        <w:rPr>
          <w:rFonts w:eastAsia="Calibri"/>
          <w:sz w:val="22"/>
          <w:szCs w:val="22"/>
          <w:lang w:val="en-US" w:eastAsia="en-US"/>
        </w:rPr>
        <w:t>-</w:t>
      </w:r>
      <w:r w:rsidR="009A6700" w:rsidRPr="00A46EF7">
        <w:rPr>
          <w:rFonts w:eastAsia="Calibri"/>
          <w:sz w:val="22"/>
          <w:szCs w:val="22"/>
          <w:lang w:val="en-US" w:eastAsia="en-US"/>
        </w:rPr>
        <w:t xml:space="preserve">led considerations) allocated to as wide a pool of counterparties as is possible. </w:t>
      </w:r>
      <w:r w:rsidR="00B858BF" w:rsidRPr="00A46EF7">
        <w:rPr>
          <w:rFonts w:eastAsia="Calibri"/>
          <w:sz w:val="22"/>
          <w:szCs w:val="22"/>
          <w:lang w:val="en-US" w:eastAsia="en-US"/>
        </w:rPr>
        <w:t>However,</w:t>
      </w:r>
      <w:r w:rsidR="009A6700" w:rsidRPr="00A46EF7">
        <w:rPr>
          <w:rFonts w:eastAsia="Calibri"/>
          <w:sz w:val="22"/>
          <w:szCs w:val="22"/>
          <w:lang w:val="en-US" w:eastAsia="en-US"/>
        </w:rPr>
        <w:t xml:space="preserve"> it is likely that in the normal course of business the defined Initial Margin limits will be exceeded</w:t>
      </w:r>
      <w:r w:rsidR="00B858BF" w:rsidRPr="00A46EF7">
        <w:rPr>
          <w:rFonts w:eastAsia="Calibri"/>
          <w:sz w:val="22"/>
          <w:szCs w:val="22"/>
          <w:lang w:val="en-US" w:eastAsia="en-US"/>
        </w:rPr>
        <w:t>.</w:t>
      </w:r>
      <w:r w:rsidR="009A6700" w:rsidRPr="00A46EF7">
        <w:rPr>
          <w:rFonts w:eastAsia="Calibri"/>
          <w:sz w:val="22"/>
          <w:szCs w:val="22"/>
          <w:lang w:val="en-US" w:eastAsia="en-US"/>
        </w:rPr>
        <w:t xml:space="preserve"> </w:t>
      </w:r>
      <w:r w:rsidR="00B858BF" w:rsidRPr="00A46EF7">
        <w:rPr>
          <w:rFonts w:eastAsia="Calibri"/>
          <w:sz w:val="22"/>
          <w:szCs w:val="22"/>
          <w:lang w:val="en-US" w:eastAsia="en-US"/>
        </w:rPr>
        <w:t xml:space="preserve">When </w:t>
      </w:r>
      <w:r w:rsidRPr="00A46EF7">
        <w:rPr>
          <w:rFonts w:eastAsia="Calibri"/>
          <w:sz w:val="22"/>
          <w:szCs w:val="22"/>
          <w:lang w:val="en-US" w:eastAsia="en-US"/>
        </w:rPr>
        <w:t>the defined Initial Margin thresholds are exceeded</w:t>
      </w:r>
      <w:r w:rsidR="00FB3F5E" w:rsidRPr="00A46EF7">
        <w:rPr>
          <w:rFonts w:eastAsia="Calibri"/>
          <w:sz w:val="22"/>
          <w:szCs w:val="22"/>
          <w:lang w:val="en-US" w:eastAsia="en-US"/>
        </w:rPr>
        <w:t>,</w:t>
      </w:r>
      <w:r w:rsidR="00B858BF" w:rsidRPr="00A46EF7">
        <w:rPr>
          <w:rFonts w:eastAsia="Calibri"/>
          <w:sz w:val="22"/>
          <w:szCs w:val="22"/>
          <w:lang w:val="en-US" w:eastAsia="en-US"/>
        </w:rPr>
        <w:t xml:space="preserve"> the </w:t>
      </w:r>
      <w:r w:rsidR="003B10A6" w:rsidRPr="00A46EF7">
        <w:rPr>
          <w:rFonts w:eastAsia="Calibri"/>
          <w:sz w:val="22"/>
          <w:szCs w:val="22"/>
          <w:lang w:val="en-US" w:eastAsia="en-US"/>
        </w:rPr>
        <w:t>not yet</w:t>
      </w:r>
      <w:r w:rsidR="00B858BF" w:rsidRPr="00A46EF7">
        <w:rPr>
          <w:rFonts w:eastAsia="Calibri"/>
          <w:sz w:val="22"/>
          <w:szCs w:val="22"/>
          <w:lang w:val="en-US" w:eastAsia="en-US"/>
        </w:rPr>
        <w:t xml:space="preserve"> posted Initial Margins will have a substantial net debt influence and this</w:t>
      </w:r>
      <w:r w:rsidRPr="00A46EF7">
        <w:rPr>
          <w:rFonts w:eastAsia="Calibri"/>
          <w:sz w:val="22"/>
          <w:szCs w:val="22"/>
          <w:lang w:val="en-US" w:eastAsia="en-US"/>
        </w:rPr>
        <w:t xml:space="preserve"> with the potential to adversely impact rating metrics of a</w:t>
      </w:r>
      <w:r w:rsidR="003B10A6" w:rsidRPr="00A46EF7">
        <w:rPr>
          <w:rFonts w:eastAsia="Calibri"/>
          <w:sz w:val="22"/>
          <w:szCs w:val="22"/>
          <w:lang w:val="en-US" w:eastAsia="en-US"/>
        </w:rPr>
        <w:t>n</w:t>
      </w:r>
      <w:r w:rsidRPr="00A46EF7">
        <w:rPr>
          <w:rFonts w:eastAsia="Calibri"/>
          <w:sz w:val="22"/>
          <w:szCs w:val="22"/>
          <w:lang w:val="en-US" w:eastAsia="en-US"/>
        </w:rPr>
        <w:t xml:space="preserve"> NFC+ firm.</w:t>
      </w:r>
    </w:p>
    <w:p w14:paraId="240BAEA0" w14:textId="30D0BEEB" w:rsidR="00396011" w:rsidRPr="00A46EF7" w:rsidRDefault="00396011" w:rsidP="00396011">
      <w:pPr>
        <w:spacing w:before="120" w:after="120"/>
        <w:ind w:left="360"/>
        <w:jc w:val="both"/>
        <w:rPr>
          <w:rFonts w:eastAsia="Calibri"/>
          <w:sz w:val="22"/>
          <w:szCs w:val="22"/>
          <w:lang w:val="en-US" w:eastAsia="en-US"/>
        </w:rPr>
      </w:pPr>
      <w:r w:rsidRPr="00A46EF7">
        <w:rPr>
          <w:rFonts w:eastAsia="Calibri"/>
          <w:sz w:val="22"/>
          <w:szCs w:val="22"/>
          <w:lang w:val="en-US" w:eastAsia="en-US"/>
        </w:rPr>
        <w:t>Overall, liquidity scarcity for a given set of commercial activities increases as a result of NFC+</w:t>
      </w:r>
      <w:r w:rsidR="00931A67" w:rsidRPr="00A46EF7">
        <w:rPr>
          <w:rFonts w:eastAsia="Calibri"/>
          <w:sz w:val="22"/>
          <w:szCs w:val="22"/>
          <w:lang w:val="en-US" w:eastAsia="en-US"/>
        </w:rPr>
        <w:t xml:space="preserve"> status</w:t>
      </w:r>
      <w:r w:rsidRPr="00A46EF7">
        <w:rPr>
          <w:rFonts w:eastAsia="Calibri"/>
          <w:sz w:val="22"/>
          <w:szCs w:val="22"/>
          <w:lang w:val="en-US" w:eastAsia="en-US"/>
        </w:rPr>
        <w:t>, potentially hampering growth.</w:t>
      </w:r>
    </w:p>
    <w:p w14:paraId="4C4EA57F" w14:textId="4EC974F9" w:rsidR="00385823" w:rsidRPr="00146962" w:rsidRDefault="00385823" w:rsidP="00EE6573">
      <w:pPr>
        <w:pStyle w:val="ListParagraph"/>
        <w:numPr>
          <w:ilvl w:val="0"/>
          <w:numId w:val="49"/>
        </w:numPr>
        <w:spacing w:before="120" w:after="120"/>
        <w:ind w:left="357"/>
        <w:contextualSpacing w:val="0"/>
        <w:jc w:val="both"/>
        <w:rPr>
          <w:rFonts w:eastAsia="Calibri"/>
          <w:b/>
          <w:bCs/>
          <w:sz w:val="22"/>
          <w:szCs w:val="22"/>
          <w:lang w:val="en-US" w:eastAsia="en-US"/>
        </w:rPr>
      </w:pPr>
      <w:r w:rsidRPr="00146962">
        <w:rPr>
          <w:rFonts w:eastAsia="Calibri"/>
          <w:b/>
          <w:bCs/>
          <w:sz w:val="22"/>
          <w:szCs w:val="22"/>
          <w:lang w:val="en-US" w:eastAsia="en-US"/>
        </w:rPr>
        <w:lastRenderedPageBreak/>
        <w:t>Merger</w:t>
      </w:r>
      <w:r w:rsidR="00931A67" w:rsidRPr="00146962">
        <w:rPr>
          <w:rFonts w:eastAsia="Calibri"/>
          <w:b/>
          <w:bCs/>
          <w:sz w:val="22"/>
          <w:szCs w:val="22"/>
          <w:lang w:val="en-US" w:eastAsia="en-US"/>
        </w:rPr>
        <w:t xml:space="preserve"> </w:t>
      </w:r>
      <w:r w:rsidRPr="00146962">
        <w:rPr>
          <w:rFonts w:eastAsia="Calibri"/>
          <w:b/>
          <w:bCs/>
          <w:sz w:val="22"/>
          <w:szCs w:val="22"/>
          <w:lang w:val="en-US" w:eastAsia="en-US"/>
        </w:rPr>
        <w:t>&amp;</w:t>
      </w:r>
      <w:r w:rsidR="00931A67" w:rsidRPr="00146962">
        <w:rPr>
          <w:rFonts w:eastAsia="Calibri"/>
          <w:b/>
          <w:bCs/>
          <w:sz w:val="22"/>
          <w:szCs w:val="22"/>
          <w:lang w:val="en-US" w:eastAsia="en-US"/>
        </w:rPr>
        <w:t xml:space="preserve"> </w:t>
      </w:r>
      <w:r w:rsidRPr="00146962">
        <w:rPr>
          <w:rFonts w:eastAsia="Calibri"/>
          <w:b/>
          <w:bCs/>
          <w:sz w:val="22"/>
          <w:szCs w:val="22"/>
          <w:lang w:val="en-US" w:eastAsia="en-US"/>
        </w:rPr>
        <w:t>Acquisitions (M&amp;A) become more complex:</w:t>
      </w:r>
    </w:p>
    <w:p w14:paraId="734A4394" w14:textId="57C1E869" w:rsidR="00AE11B8" w:rsidRPr="00A46EF7" w:rsidRDefault="00AE11B8" w:rsidP="0032795C">
      <w:pPr>
        <w:spacing w:before="120" w:after="120"/>
        <w:ind w:left="357"/>
        <w:jc w:val="both"/>
        <w:rPr>
          <w:rFonts w:eastAsia="Calibri"/>
          <w:sz w:val="22"/>
          <w:szCs w:val="22"/>
          <w:lang w:val="en-US" w:eastAsia="en-US"/>
        </w:rPr>
      </w:pPr>
      <w:r w:rsidRPr="00A46EF7">
        <w:rPr>
          <w:rFonts w:eastAsia="Calibri"/>
          <w:sz w:val="22"/>
          <w:szCs w:val="22"/>
          <w:lang w:val="en-US" w:eastAsia="en-US"/>
        </w:rPr>
        <w:t xml:space="preserve">NFC+ </w:t>
      </w:r>
      <w:r w:rsidR="00385823" w:rsidRPr="00A46EF7">
        <w:rPr>
          <w:rFonts w:eastAsia="Calibri"/>
          <w:sz w:val="22"/>
          <w:szCs w:val="22"/>
          <w:lang w:val="en-US" w:eastAsia="en-US"/>
        </w:rPr>
        <w:t xml:space="preserve">status </w:t>
      </w:r>
      <w:r w:rsidRPr="00A46EF7">
        <w:rPr>
          <w:rFonts w:eastAsia="Calibri"/>
          <w:sz w:val="22"/>
          <w:szCs w:val="22"/>
          <w:lang w:val="en-US" w:eastAsia="en-US"/>
        </w:rPr>
        <w:t>will make M</w:t>
      </w:r>
      <w:r w:rsidR="00385823" w:rsidRPr="00A46EF7">
        <w:rPr>
          <w:rFonts w:eastAsia="Calibri"/>
          <w:sz w:val="22"/>
          <w:szCs w:val="22"/>
          <w:lang w:val="en-US" w:eastAsia="en-US"/>
        </w:rPr>
        <w:t>&amp;</w:t>
      </w:r>
      <w:r w:rsidRPr="00A46EF7">
        <w:rPr>
          <w:rFonts w:eastAsia="Calibri"/>
          <w:sz w:val="22"/>
          <w:szCs w:val="22"/>
          <w:lang w:val="en-US" w:eastAsia="en-US"/>
        </w:rPr>
        <w:t xml:space="preserve">A </w:t>
      </w:r>
      <w:r w:rsidR="00A64E98" w:rsidRPr="00A46EF7">
        <w:rPr>
          <w:rFonts w:eastAsia="Calibri"/>
          <w:sz w:val="22"/>
          <w:szCs w:val="22"/>
          <w:lang w:val="en-US" w:eastAsia="en-US"/>
        </w:rPr>
        <w:t>t</w:t>
      </w:r>
      <w:r w:rsidRPr="00A46EF7">
        <w:rPr>
          <w:rFonts w:eastAsia="Calibri"/>
          <w:sz w:val="22"/>
          <w:szCs w:val="22"/>
          <w:lang w:val="en-US" w:eastAsia="en-US"/>
        </w:rPr>
        <w:t>ransactions</w:t>
      </w:r>
      <w:r w:rsidR="00E21A2F" w:rsidRPr="00A46EF7">
        <w:rPr>
          <w:rFonts w:eastAsia="Calibri"/>
          <w:sz w:val="22"/>
          <w:szCs w:val="22"/>
          <w:lang w:val="en-US" w:eastAsia="en-US"/>
        </w:rPr>
        <w:t xml:space="preserve"> substantially</w:t>
      </w:r>
      <w:r w:rsidRPr="00A46EF7">
        <w:rPr>
          <w:rFonts w:eastAsia="Calibri"/>
          <w:sz w:val="22"/>
          <w:szCs w:val="22"/>
          <w:lang w:val="en-US" w:eastAsia="en-US"/>
        </w:rPr>
        <w:t xml:space="preserve"> more complex</w:t>
      </w:r>
      <w:r w:rsidR="00BD2703" w:rsidRPr="00A46EF7">
        <w:rPr>
          <w:rFonts w:eastAsia="Calibri"/>
          <w:sz w:val="22"/>
          <w:szCs w:val="22"/>
          <w:lang w:val="en-US" w:eastAsia="en-US"/>
        </w:rPr>
        <w:t xml:space="preserve"> for NFC+ firms</w:t>
      </w:r>
      <w:r w:rsidRPr="00A46EF7">
        <w:rPr>
          <w:rFonts w:eastAsia="Calibri"/>
          <w:sz w:val="22"/>
          <w:szCs w:val="22"/>
          <w:lang w:val="en-US" w:eastAsia="en-US"/>
        </w:rPr>
        <w:t xml:space="preserve"> overall</w:t>
      </w:r>
      <w:r w:rsidR="00385823" w:rsidRPr="00A46EF7">
        <w:rPr>
          <w:rFonts w:eastAsia="Calibri"/>
          <w:sz w:val="22"/>
          <w:szCs w:val="22"/>
          <w:lang w:val="en-US" w:eastAsia="en-US"/>
        </w:rPr>
        <w:t xml:space="preserve">. </w:t>
      </w:r>
      <w:r w:rsidR="00123199" w:rsidRPr="00A46EF7">
        <w:rPr>
          <w:rFonts w:eastAsia="Calibri"/>
          <w:sz w:val="22"/>
          <w:szCs w:val="22"/>
          <w:lang w:val="en-US" w:eastAsia="en-US"/>
        </w:rPr>
        <w:t>When a</w:t>
      </w:r>
      <w:r w:rsidR="00E21A2F" w:rsidRPr="00A46EF7">
        <w:rPr>
          <w:rFonts w:eastAsia="Calibri"/>
          <w:sz w:val="22"/>
          <w:szCs w:val="22"/>
          <w:lang w:val="en-US" w:eastAsia="en-US"/>
        </w:rPr>
        <w:t>n</w:t>
      </w:r>
      <w:r w:rsidR="00123199" w:rsidRPr="00A46EF7">
        <w:rPr>
          <w:rFonts w:eastAsia="Calibri"/>
          <w:sz w:val="22"/>
          <w:szCs w:val="22"/>
          <w:lang w:val="en-US" w:eastAsia="en-US"/>
        </w:rPr>
        <w:t xml:space="preserve"> NFC+ firm merges with or acquire</w:t>
      </w:r>
      <w:r w:rsidR="00E21A2F" w:rsidRPr="00A46EF7">
        <w:rPr>
          <w:rFonts w:eastAsia="Calibri"/>
          <w:sz w:val="22"/>
          <w:szCs w:val="22"/>
          <w:lang w:val="en-US" w:eastAsia="en-US"/>
        </w:rPr>
        <w:t>s</w:t>
      </w:r>
      <w:r w:rsidR="00123199" w:rsidRPr="00A46EF7">
        <w:rPr>
          <w:rFonts w:eastAsia="Calibri"/>
          <w:sz w:val="22"/>
          <w:szCs w:val="22"/>
          <w:lang w:val="en-US" w:eastAsia="en-US"/>
        </w:rPr>
        <w:t xml:space="preserve"> </w:t>
      </w:r>
      <w:r w:rsidR="00FF39EA" w:rsidRPr="00A46EF7">
        <w:rPr>
          <w:rFonts w:eastAsia="Calibri"/>
          <w:sz w:val="22"/>
          <w:szCs w:val="22"/>
          <w:lang w:val="en-US" w:eastAsia="en-US"/>
        </w:rPr>
        <w:t xml:space="preserve">another NFC- firm, the NFC+ firm must make sure that also the </w:t>
      </w:r>
      <w:r w:rsidR="00BD2703" w:rsidRPr="00A46EF7">
        <w:rPr>
          <w:rFonts w:eastAsia="Calibri"/>
          <w:sz w:val="22"/>
          <w:szCs w:val="22"/>
          <w:lang w:val="en-US" w:eastAsia="en-US"/>
        </w:rPr>
        <w:t xml:space="preserve">newly </w:t>
      </w:r>
      <w:r w:rsidR="00FF39EA" w:rsidRPr="00A46EF7">
        <w:rPr>
          <w:rFonts w:eastAsia="Calibri"/>
          <w:sz w:val="22"/>
          <w:szCs w:val="22"/>
          <w:lang w:val="en-US" w:eastAsia="en-US"/>
        </w:rPr>
        <w:t>integrated NFC- firm complies with the above-mentioned NFC+ obligations</w:t>
      </w:r>
      <w:r w:rsidR="00BD2703" w:rsidRPr="00A46EF7">
        <w:rPr>
          <w:rFonts w:eastAsia="Calibri"/>
          <w:sz w:val="22"/>
          <w:szCs w:val="22"/>
          <w:lang w:val="en-US" w:eastAsia="en-US"/>
        </w:rPr>
        <w:t xml:space="preserve"> at the point of time of integration into its corporate group</w:t>
      </w:r>
      <w:r w:rsidR="00FF39EA" w:rsidRPr="00A46EF7">
        <w:rPr>
          <w:rFonts w:eastAsia="Calibri"/>
          <w:sz w:val="22"/>
          <w:szCs w:val="22"/>
          <w:lang w:val="en-US" w:eastAsia="en-US"/>
        </w:rPr>
        <w:t>.</w:t>
      </w:r>
      <w:r w:rsidR="00E21A2F" w:rsidRPr="00A46EF7">
        <w:rPr>
          <w:rFonts w:eastAsia="Calibri"/>
          <w:sz w:val="22"/>
          <w:szCs w:val="22"/>
          <w:lang w:val="en-US" w:eastAsia="en-US"/>
        </w:rPr>
        <w:t xml:space="preserve"> </w:t>
      </w:r>
      <w:r w:rsidR="00CA484C" w:rsidRPr="00A46EF7">
        <w:rPr>
          <w:rFonts w:eastAsia="Calibri"/>
          <w:sz w:val="22"/>
          <w:szCs w:val="22"/>
          <w:lang w:val="en-US" w:eastAsia="en-US"/>
        </w:rPr>
        <w:t>This triggers the heightened risk of not fulfilling EMIR obligations</w:t>
      </w:r>
      <w:r w:rsidR="00A64E98" w:rsidRPr="00A46EF7">
        <w:rPr>
          <w:rFonts w:eastAsia="Calibri"/>
          <w:sz w:val="22"/>
          <w:szCs w:val="22"/>
          <w:lang w:val="en-US" w:eastAsia="en-US"/>
        </w:rPr>
        <w:t xml:space="preserve"> on time, including notification requirements. As intra-group transaction exemptions from margining obligations cannot be obtained quickly, this </w:t>
      </w:r>
      <w:r w:rsidR="00931A67" w:rsidRPr="00A46EF7">
        <w:rPr>
          <w:rFonts w:eastAsia="Calibri"/>
          <w:sz w:val="22"/>
          <w:szCs w:val="22"/>
          <w:lang w:val="en-US" w:eastAsia="en-US"/>
        </w:rPr>
        <w:t>forces</w:t>
      </w:r>
      <w:r w:rsidR="001B7FA0" w:rsidRPr="00A46EF7">
        <w:rPr>
          <w:rFonts w:eastAsia="Calibri"/>
          <w:sz w:val="22"/>
          <w:szCs w:val="22"/>
          <w:lang w:val="en-US" w:eastAsia="en-US"/>
        </w:rPr>
        <w:t xml:space="preserve"> the</w:t>
      </w:r>
      <w:r w:rsidR="00A64E98" w:rsidRPr="00A46EF7">
        <w:rPr>
          <w:rFonts w:eastAsia="Calibri"/>
          <w:sz w:val="22"/>
          <w:szCs w:val="22"/>
          <w:lang w:val="en-US" w:eastAsia="en-US"/>
        </w:rPr>
        <w:t xml:space="preserve"> NFC+</w:t>
      </w:r>
      <w:r w:rsidR="001B7FA0" w:rsidRPr="00A46EF7">
        <w:rPr>
          <w:rFonts w:eastAsia="Calibri"/>
          <w:sz w:val="22"/>
          <w:szCs w:val="22"/>
          <w:lang w:val="en-US" w:eastAsia="en-US"/>
        </w:rPr>
        <w:t xml:space="preserve"> to not hedge the commercial risks through intra-group derivative transactions to avoid the margining obligation under EMIR.</w:t>
      </w:r>
      <w:r w:rsidR="00A64E98" w:rsidRPr="00A46EF7">
        <w:rPr>
          <w:rFonts w:eastAsia="Calibri"/>
          <w:sz w:val="22"/>
          <w:szCs w:val="22"/>
          <w:lang w:val="en-US" w:eastAsia="en-US"/>
        </w:rPr>
        <w:t xml:space="preserve"> </w:t>
      </w:r>
      <w:r w:rsidR="00FF39EA" w:rsidRPr="00A46EF7">
        <w:rPr>
          <w:rFonts w:eastAsia="Calibri"/>
          <w:sz w:val="22"/>
          <w:szCs w:val="22"/>
          <w:lang w:val="en-US" w:eastAsia="en-US"/>
        </w:rPr>
        <w:t>Depending on the nature and size of the M&amp;A transaction</w:t>
      </w:r>
      <w:r w:rsidR="00BD2703" w:rsidRPr="00A46EF7">
        <w:rPr>
          <w:rFonts w:eastAsia="Calibri"/>
          <w:sz w:val="22"/>
          <w:szCs w:val="22"/>
          <w:lang w:val="en-US" w:eastAsia="en-US"/>
        </w:rPr>
        <w:t>,</w:t>
      </w:r>
      <w:r w:rsidR="00FF39EA" w:rsidRPr="00A46EF7">
        <w:rPr>
          <w:rFonts w:eastAsia="Calibri"/>
          <w:sz w:val="22"/>
          <w:szCs w:val="22"/>
          <w:lang w:val="en-US" w:eastAsia="en-US"/>
        </w:rPr>
        <w:t xml:space="preserve"> this cause</w:t>
      </w:r>
      <w:r w:rsidR="00BD2703" w:rsidRPr="00A46EF7">
        <w:rPr>
          <w:rFonts w:eastAsia="Calibri"/>
          <w:sz w:val="22"/>
          <w:szCs w:val="22"/>
          <w:lang w:val="en-US" w:eastAsia="en-US"/>
        </w:rPr>
        <w:t>s</w:t>
      </w:r>
      <w:r w:rsidR="00FF39EA" w:rsidRPr="00A46EF7">
        <w:rPr>
          <w:rFonts w:eastAsia="Calibri"/>
          <w:sz w:val="22"/>
          <w:szCs w:val="22"/>
          <w:lang w:val="en-US" w:eastAsia="en-US"/>
        </w:rPr>
        <w:t xml:space="preserve"> substantial implementation </w:t>
      </w:r>
      <w:r w:rsidR="00BD2703" w:rsidRPr="00A46EF7">
        <w:rPr>
          <w:rFonts w:eastAsia="Calibri"/>
          <w:sz w:val="22"/>
          <w:szCs w:val="22"/>
          <w:lang w:val="en-US" w:eastAsia="en-US"/>
        </w:rPr>
        <w:t>challenges</w:t>
      </w:r>
      <w:r w:rsidR="00FF39EA" w:rsidRPr="00A46EF7">
        <w:rPr>
          <w:rFonts w:eastAsia="Calibri"/>
          <w:sz w:val="22"/>
          <w:szCs w:val="22"/>
          <w:lang w:val="en-US" w:eastAsia="en-US"/>
        </w:rPr>
        <w:t xml:space="preserve"> </w:t>
      </w:r>
      <w:r w:rsidR="00BD2703" w:rsidRPr="00A46EF7">
        <w:rPr>
          <w:rFonts w:eastAsia="Calibri"/>
          <w:sz w:val="22"/>
          <w:szCs w:val="22"/>
          <w:lang w:val="en-US" w:eastAsia="en-US"/>
        </w:rPr>
        <w:t>for both sides of the transactions. For example, the NFC+ firm usually can only start the related implementation work once it has full control over the NFC-</w:t>
      </w:r>
      <w:r w:rsidR="00904C75" w:rsidRPr="00A46EF7">
        <w:rPr>
          <w:rFonts w:eastAsia="Calibri"/>
          <w:sz w:val="22"/>
          <w:szCs w:val="22"/>
          <w:lang w:val="en-US" w:eastAsia="en-US"/>
        </w:rPr>
        <w:t>, although it would have to ensure compliance upon integration of the M&amp;A target</w:t>
      </w:r>
      <w:r w:rsidR="00FB4B9C" w:rsidRPr="00A46EF7">
        <w:rPr>
          <w:rFonts w:eastAsia="Calibri"/>
          <w:sz w:val="22"/>
          <w:szCs w:val="22"/>
          <w:lang w:val="en-US" w:eastAsia="en-US"/>
        </w:rPr>
        <w:t>.</w:t>
      </w:r>
      <w:r w:rsidR="00E74659" w:rsidRPr="00A46EF7">
        <w:rPr>
          <w:rFonts w:eastAsia="Calibri"/>
          <w:sz w:val="22"/>
          <w:szCs w:val="22"/>
          <w:lang w:val="en-US" w:eastAsia="en-US"/>
        </w:rPr>
        <w:t xml:space="preserve"> </w:t>
      </w:r>
      <w:r w:rsidR="00904C75" w:rsidRPr="00A46EF7">
        <w:rPr>
          <w:rFonts w:eastAsia="Calibri"/>
          <w:sz w:val="22"/>
          <w:szCs w:val="22"/>
          <w:lang w:val="en-US" w:eastAsia="en-US"/>
        </w:rPr>
        <w:t>In addition,</w:t>
      </w:r>
      <w:r w:rsidR="00E74659" w:rsidRPr="00A46EF7">
        <w:rPr>
          <w:rFonts w:eastAsia="Calibri"/>
          <w:sz w:val="22"/>
          <w:szCs w:val="22"/>
          <w:lang w:val="en-US" w:eastAsia="en-US"/>
        </w:rPr>
        <w:t xml:space="preserve"> this makes NFC+s less attractive as </w:t>
      </w:r>
      <w:r w:rsidR="00931A67" w:rsidRPr="00A46EF7">
        <w:rPr>
          <w:rFonts w:eastAsia="Calibri"/>
          <w:sz w:val="22"/>
          <w:szCs w:val="22"/>
          <w:lang w:val="en-US" w:eastAsia="en-US"/>
        </w:rPr>
        <w:t xml:space="preserve">a </w:t>
      </w:r>
      <w:r w:rsidR="00D0396B" w:rsidRPr="00A46EF7">
        <w:rPr>
          <w:rFonts w:eastAsia="Calibri"/>
          <w:sz w:val="22"/>
          <w:szCs w:val="22"/>
          <w:lang w:val="en-US" w:eastAsia="en-US"/>
        </w:rPr>
        <w:t>partner for a</w:t>
      </w:r>
      <w:r w:rsidR="00931A67" w:rsidRPr="00A46EF7">
        <w:rPr>
          <w:rFonts w:eastAsia="Calibri"/>
          <w:sz w:val="22"/>
          <w:szCs w:val="22"/>
          <w:lang w:val="en-US" w:eastAsia="en-US"/>
        </w:rPr>
        <w:t>n</w:t>
      </w:r>
      <w:r w:rsidR="00D0396B" w:rsidRPr="00A46EF7">
        <w:rPr>
          <w:rFonts w:eastAsia="Calibri"/>
          <w:sz w:val="22"/>
          <w:szCs w:val="22"/>
          <w:lang w:val="en-US" w:eastAsia="en-US"/>
        </w:rPr>
        <w:t xml:space="preserve"> </w:t>
      </w:r>
      <w:r w:rsidR="00E74659" w:rsidRPr="00A46EF7">
        <w:rPr>
          <w:rFonts w:eastAsia="Calibri"/>
          <w:sz w:val="22"/>
          <w:szCs w:val="22"/>
          <w:lang w:val="en-US" w:eastAsia="en-US"/>
        </w:rPr>
        <w:t xml:space="preserve">M&amp;A </w:t>
      </w:r>
      <w:r w:rsidR="00D0396B" w:rsidRPr="00A46EF7">
        <w:rPr>
          <w:rFonts w:eastAsia="Calibri"/>
          <w:sz w:val="22"/>
          <w:szCs w:val="22"/>
          <w:lang w:val="en-US" w:eastAsia="en-US"/>
        </w:rPr>
        <w:t>transaction</w:t>
      </w:r>
      <w:r w:rsidR="00904C75" w:rsidRPr="00A46EF7">
        <w:rPr>
          <w:rFonts w:eastAsia="Calibri"/>
          <w:sz w:val="22"/>
          <w:szCs w:val="22"/>
          <w:lang w:val="en-US" w:eastAsia="en-US"/>
        </w:rPr>
        <w:t xml:space="preserve"> as the other M&amp;A counterparty usually can’t or has no commercial interest in performing that compliance work.</w:t>
      </w:r>
      <w:r w:rsidR="00A64E98" w:rsidRPr="00A46EF7">
        <w:rPr>
          <w:rFonts w:eastAsia="Calibri"/>
          <w:sz w:val="22"/>
          <w:szCs w:val="22"/>
          <w:lang w:val="en-US" w:eastAsia="en-US"/>
        </w:rPr>
        <w:t xml:space="preserve"> These </w:t>
      </w:r>
      <w:r w:rsidR="00475826" w:rsidRPr="00A46EF7">
        <w:rPr>
          <w:rFonts w:eastAsia="Calibri"/>
          <w:sz w:val="22"/>
          <w:szCs w:val="22"/>
          <w:lang w:val="en-US" w:eastAsia="en-US"/>
        </w:rPr>
        <w:t xml:space="preserve">above-mentioned </w:t>
      </w:r>
      <w:r w:rsidR="00A64E98" w:rsidRPr="00A46EF7">
        <w:rPr>
          <w:rFonts w:eastAsia="Calibri"/>
          <w:sz w:val="22"/>
          <w:szCs w:val="22"/>
          <w:lang w:val="en-US" w:eastAsia="en-US"/>
        </w:rPr>
        <w:t xml:space="preserve">complications will be the usual challenge as almost all potential M&amp;A targets are NFC-s. </w:t>
      </w:r>
      <w:r w:rsidR="00CA484C" w:rsidRPr="00A46EF7">
        <w:rPr>
          <w:rFonts w:eastAsia="Calibri"/>
          <w:sz w:val="22"/>
          <w:szCs w:val="22"/>
          <w:lang w:val="en-US" w:eastAsia="en-US"/>
        </w:rPr>
        <w:t xml:space="preserve"> Overall, these issues</w:t>
      </w:r>
      <w:r w:rsidR="00931A67" w:rsidRPr="00A46EF7">
        <w:rPr>
          <w:rFonts w:eastAsia="Calibri"/>
          <w:sz w:val="22"/>
          <w:szCs w:val="22"/>
          <w:lang w:val="en-US" w:eastAsia="en-US"/>
        </w:rPr>
        <w:t xml:space="preserve"> cause</w:t>
      </w:r>
      <w:r w:rsidR="00CA484C" w:rsidRPr="00A46EF7">
        <w:rPr>
          <w:rFonts w:eastAsia="Calibri"/>
          <w:sz w:val="22"/>
          <w:szCs w:val="22"/>
          <w:lang w:val="en-US" w:eastAsia="en-US"/>
        </w:rPr>
        <w:t xml:space="preserve"> disadvantages </w:t>
      </w:r>
      <w:r w:rsidR="00931A67" w:rsidRPr="00A46EF7">
        <w:rPr>
          <w:rFonts w:eastAsia="Calibri"/>
          <w:sz w:val="22"/>
          <w:szCs w:val="22"/>
          <w:lang w:val="en-US" w:eastAsia="en-US"/>
        </w:rPr>
        <w:t xml:space="preserve">to </w:t>
      </w:r>
      <w:r w:rsidR="00CA484C" w:rsidRPr="00A46EF7">
        <w:rPr>
          <w:rFonts w:eastAsia="Calibri"/>
          <w:sz w:val="22"/>
          <w:szCs w:val="22"/>
          <w:lang w:val="en-US" w:eastAsia="en-US"/>
        </w:rPr>
        <w:t xml:space="preserve">firms </w:t>
      </w:r>
      <w:r w:rsidR="00931A67" w:rsidRPr="00A46EF7">
        <w:rPr>
          <w:rFonts w:eastAsia="Calibri"/>
          <w:sz w:val="22"/>
          <w:szCs w:val="22"/>
          <w:lang w:val="en-US" w:eastAsia="en-US"/>
        </w:rPr>
        <w:t>which</w:t>
      </w:r>
      <w:r w:rsidR="00CA484C" w:rsidRPr="00A46EF7">
        <w:rPr>
          <w:rFonts w:eastAsia="Calibri"/>
          <w:sz w:val="22"/>
          <w:szCs w:val="22"/>
          <w:lang w:val="en-US" w:eastAsia="en-US"/>
        </w:rPr>
        <w:t xml:space="preserve"> are NFC+s, especially in relation to 3</w:t>
      </w:r>
      <w:r w:rsidR="00CA484C" w:rsidRPr="00A46EF7">
        <w:rPr>
          <w:rFonts w:eastAsia="Calibri"/>
          <w:sz w:val="22"/>
          <w:szCs w:val="22"/>
          <w:vertAlign w:val="superscript"/>
          <w:lang w:val="en-US" w:eastAsia="en-US"/>
        </w:rPr>
        <w:t>rd</w:t>
      </w:r>
      <w:r w:rsidR="00CA484C" w:rsidRPr="00A46EF7">
        <w:rPr>
          <w:rFonts w:eastAsia="Calibri"/>
          <w:sz w:val="22"/>
          <w:szCs w:val="22"/>
          <w:lang w:val="en-US" w:eastAsia="en-US"/>
        </w:rPr>
        <w:t xml:space="preserve"> country firms.</w:t>
      </w:r>
      <w:bookmarkEnd w:id="24"/>
    </w:p>
    <w:p w14:paraId="152EC020" w14:textId="04E9F891" w:rsidR="002A7396" w:rsidRPr="00A46EF7" w:rsidRDefault="0002664E" w:rsidP="00FA5B0E">
      <w:pPr>
        <w:pStyle w:val="ListParagraph"/>
        <w:spacing w:before="120" w:after="120"/>
        <w:ind w:left="0"/>
        <w:jc w:val="both"/>
        <w:rPr>
          <w:rFonts w:eastAsia="Calibri"/>
          <w:b/>
          <w:bCs/>
          <w:sz w:val="22"/>
          <w:szCs w:val="22"/>
          <w:lang w:eastAsia="en-US"/>
        </w:rPr>
      </w:pPr>
      <w:r w:rsidRPr="00A46EF7">
        <w:rPr>
          <w:rFonts w:eastAsia="Calibri"/>
          <w:b/>
          <w:bCs/>
          <w:sz w:val="22"/>
          <w:szCs w:val="22"/>
          <w:lang w:eastAsia="en-US"/>
        </w:rPr>
        <w:t xml:space="preserve">b) </w:t>
      </w:r>
      <w:r w:rsidR="002A7396" w:rsidRPr="00A46EF7">
        <w:rPr>
          <w:rFonts w:eastAsia="Calibri"/>
          <w:b/>
          <w:bCs/>
          <w:sz w:val="22"/>
          <w:szCs w:val="22"/>
          <w:lang w:eastAsia="en-US"/>
        </w:rPr>
        <w:t>Broader issue</w:t>
      </w:r>
      <w:r w:rsidR="00B008F4" w:rsidRPr="00A46EF7">
        <w:rPr>
          <w:rFonts w:eastAsia="Calibri"/>
          <w:b/>
          <w:bCs/>
          <w:sz w:val="22"/>
          <w:szCs w:val="22"/>
          <w:lang w:eastAsia="en-US"/>
        </w:rPr>
        <w:t>s</w:t>
      </w:r>
      <w:r w:rsidR="002A7396" w:rsidRPr="00A46EF7">
        <w:rPr>
          <w:rFonts w:eastAsia="Calibri"/>
          <w:b/>
          <w:bCs/>
          <w:sz w:val="22"/>
          <w:szCs w:val="22"/>
          <w:lang w:eastAsia="en-US"/>
        </w:rPr>
        <w:t xml:space="preserve"> of the EMIR CCT calculations:</w:t>
      </w:r>
    </w:p>
    <w:p w14:paraId="0525B2B8" w14:textId="2B5575D5" w:rsidR="00FA5B0E" w:rsidRPr="00A46EF7" w:rsidRDefault="00FA5B0E" w:rsidP="00FA5B0E">
      <w:pPr>
        <w:spacing w:before="120" w:after="120"/>
        <w:jc w:val="both"/>
        <w:rPr>
          <w:rFonts w:eastAsia="Calibri"/>
          <w:b/>
          <w:bCs/>
          <w:sz w:val="22"/>
          <w:szCs w:val="22"/>
          <w:lang w:eastAsia="en-US"/>
        </w:rPr>
      </w:pPr>
      <w:r w:rsidRPr="00A46EF7">
        <w:rPr>
          <w:rFonts w:eastAsia="Calibri"/>
          <w:sz w:val="22"/>
          <w:szCs w:val="22"/>
          <w:lang w:eastAsia="en-US"/>
        </w:rPr>
        <w:t>In this section we explain the specific issues NFC+ encounter when they calculate the use of the EMIR CCT under the current EMIR framework.</w:t>
      </w:r>
      <w:r w:rsidR="0056641D" w:rsidRPr="00A46EF7">
        <w:rPr>
          <w:rFonts w:eastAsia="Calibri"/>
          <w:sz w:val="22"/>
          <w:szCs w:val="22"/>
          <w:lang w:eastAsia="en-US"/>
        </w:rPr>
        <w:t xml:space="preserve"> In general </w:t>
      </w:r>
      <w:r w:rsidR="006D22F0" w:rsidRPr="006D22F0">
        <w:rPr>
          <w:rFonts w:eastAsia="Calibri"/>
          <w:color w:val="FF0000"/>
          <w:sz w:val="22"/>
          <w:szCs w:val="22"/>
          <w:lang w:eastAsia="en-US"/>
        </w:rPr>
        <w:t>[...]</w:t>
      </w:r>
      <w:r w:rsidR="0056641D" w:rsidRPr="00A46EF7">
        <w:rPr>
          <w:rFonts w:eastAsia="Calibri"/>
          <w:sz w:val="22"/>
          <w:szCs w:val="22"/>
          <w:lang w:eastAsia="en-US"/>
        </w:rPr>
        <w:t xml:space="preserve"> notes that the current EMIR framework for this calculation </w:t>
      </w:r>
      <w:r w:rsidR="00A91AAB" w:rsidRPr="00A46EF7">
        <w:rPr>
          <w:rFonts w:eastAsia="Calibri"/>
          <w:sz w:val="22"/>
          <w:szCs w:val="22"/>
          <w:lang w:eastAsia="en-US"/>
        </w:rPr>
        <w:t>over</w:t>
      </w:r>
      <w:r w:rsidR="0056641D" w:rsidRPr="00A46EF7">
        <w:rPr>
          <w:rFonts w:eastAsia="Calibri"/>
          <w:sz w:val="22"/>
          <w:szCs w:val="22"/>
          <w:lang w:eastAsia="en-US"/>
        </w:rPr>
        <w:t>emphasis</w:t>
      </w:r>
      <w:r w:rsidR="00A91AAB" w:rsidRPr="00A46EF7">
        <w:rPr>
          <w:rFonts w:eastAsia="Calibri"/>
          <w:sz w:val="22"/>
          <w:szCs w:val="22"/>
          <w:lang w:eastAsia="en-US"/>
        </w:rPr>
        <w:t>es</w:t>
      </w:r>
      <w:r w:rsidR="0056641D" w:rsidRPr="00A46EF7">
        <w:rPr>
          <w:rFonts w:eastAsia="Calibri"/>
          <w:sz w:val="22"/>
          <w:szCs w:val="22"/>
          <w:lang w:eastAsia="en-US"/>
        </w:rPr>
        <w:t xml:space="preserve"> the low EMIR CCT.</w:t>
      </w:r>
      <w:r w:rsidR="007E179B" w:rsidRPr="00A46EF7">
        <w:rPr>
          <w:rFonts w:eastAsia="Calibri"/>
          <w:sz w:val="22"/>
          <w:szCs w:val="22"/>
          <w:lang w:eastAsia="en-US"/>
        </w:rPr>
        <w:t xml:space="preserve"> </w:t>
      </w:r>
      <w:r w:rsidR="00836BE2">
        <w:rPr>
          <w:rFonts w:eastAsia="Calibri"/>
          <w:b/>
          <w:bCs/>
          <w:sz w:val="22"/>
          <w:szCs w:val="22"/>
          <w:lang w:eastAsia="en-US"/>
        </w:rPr>
        <w:t>T</w:t>
      </w:r>
      <w:r w:rsidR="007E179B" w:rsidRPr="00A46EF7">
        <w:rPr>
          <w:rFonts w:eastAsia="Calibri"/>
          <w:b/>
          <w:bCs/>
          <w:sz w:val="22"/>
          <w:szCs w:val="22"/>
          <w:lang w:eastAsia="en-US"/>
        </w:rPr>
        <w:t>he current EMIR framework and underlying methodologies to calculate the EMIR CCT unduly inflate the gross notional values of OTC derivatives counting against the EMIR CCT.</w:t>
      </w:r>
    </w:p>
    <w:p w14:paraId="0D2C1AA2" w14:textId="021BE138" w:rsidR="0056072E" w:rsidRPr="00A46EF7" w:rsidRDefault="0063198F" w:rsidP="005070CC">
      <w:pPr>
        <w:pStyle w:val="ListParagraph"/>
        <w:numPr>
          <w:ilvl w:val="0"/>
          <w:numId w:val="49"/>
        </w:numPr>
        <w:spacing w:before="120" w:after="120"/>
        <w:ind w:left="357"/>
        <w:contextualSpacing w:val="0"/>
        <w:jc w:val="both"/>
        <w:rPr>
          <w:rFonts w:eastAsia="Calibri"/>
          <w:b/>
          <w:bCs/>
          <w:sz w:val="22"/>
          <w:szCs w:val="22"/>
          <w:lang w:eastAsia="en-US"/>
        </w:rPr>
      </w:pPr>
      <w:r w:rsidRPr="00A46EF7">
        <w:rPr>
          <w:rFonts w:eastAsia="Calibri"/>
          <w:b/>
          <w:bCs/>
          <w:sz w:val="22"/>
          <w:szCs w:val="22"/>
          <w:lang w:eastAsia="en-US"/>
        </w:rPr>
        <w:t>Wide g</w:t>
      </w:r>
      <w:r w:rsidR="00A73256" w:rsidRPr="00A46EF7">
        <w:rPr>
          <w:rFonts w:eastAsia="Calibri"/>
          <w:b/>
          <w:bCs/>
          <w:sz w:val="22"/>
          <w:szCs w:val="22"/>
          <w:lang w:eastAsia="en-US"/>
        </w:rPr>
        <w:t>lobal scope of EMIR CCT calculations</w:t>
      </w:r>
      <w:r w:rsidR="0056072E" w:rsidRPr="00A46EF7">
        <w:rPr>
          <w:rFonts w:eastAsia="Calibri"/>
          <w:b/>
          <w:bCs/>
          <w:sz w:val="22"/>
          <w:szCs w:val="22"/>
          <w:lang w:eastAsia="en-US"/>
        </w:rPr>
        <w:t xml:space="preserve"> under Level 1 of EMIR</w:t>
      </w:r>
      <w:r w:rsidR="00A73256" w:rsidRPr="00A46EF7">
        <w:rPr>
          <w:rFonts w:eastAsia="Calibri"/>
          <w:b/>
          <w:bCs/>
          <w:sz w:val="22"/>
          <w:szCs w:val="22"/>
          <w:lang w:eastAsia="en-US"/>
        </w:rPr>
        <w:t>:</w:t>
      </w:r>
    </w:p>
    <w:p w14:paraId="47E9708D" w14:textId="1D140FCF" w:rsidR="00A73256" w:rsidRPr="00A46EF7" w:rsidRDefault="00A73256" w:rsidP="005070CC">
      <w:pPr>
        <w:spacing w:before="120" w:after="120"/>
        <w:ind w:left="357"/>
        <w:jc w:val="both"/>
        <w:rPr>
          <w:rFonts w:eastAsia="Calibri"/>
          <w:sz w:val="22"/>
          <w:szCs w:val="22"/>
          <w:lang w:val="en-US" w:eastAsia="en-US"/>
        </w:rPr>
      </w:pPr>
      <w:r w:rsidRPr="00A46EF7">
        <w:rPr>
          <w:rFonts w:eastAsia="Calibri"/>
          <w:sz w:val="22"/>
          <w:szCs w:val="22"/>
          <w:lang w:eastAsia="en-US"/>
        </w:rPr>
        <w:t>The</w:t>
      </w:r>
      <w:r w:rsidR="0056072E" w:rsidRPr="00A46EF7">
        <w:rPr>
          <w:rFonts w:eastAsia="Calibri"/>
          <w:sz w:val="22"/>
          <w:szCs w:val="22"/>
          <w:lang w:eastAsia="en-US"/>
        </w:rPr>
        <w:t xml:space="preserve"> extensive</w:t>
      </w:r>
      <w:r w:rsidRPr="00A46EF7">
        <w:rPr>
          <w:rFonts w:eastAsia="Calibri"/>
          <w:sz w:val="22"/>
          <w:szCs w:val="22"/>
          <w:lang w:eastAsia="en-US"/>
        </w:rPr>
        <w:t xml:space="preserve"> global reach of the EMIR CCT calculations for all in-scope instruments and activities</w:t>
      </w:r>
      <w:r w:rsidR="0056072E" w:rsidRPr="00A46EF7">
        <w:rPr>
          <w:rFonts w:eastAsia="Calibri"/>
          <w:sz w:val="22"/>
          <w:szCs w:val="22"/>
          <w:lang w:eastAsia="en-US"/>
        </w:rPr>
        <w:t xml:space="preserve"> – when compared to the scope of the 3</w:t>
      </w:r>
      <w:r w:rsidR="0056072E" w:rsidRPr="00A46EF7">
        <w:rPr>
          <w:rFonts w:eastAsia="Calibri"/>
          <w:sz w:val="22"/>
          <w:szCs w:val="22"/>
          <w:vertAlign w:val="superscript"/>
          <w:lang w:eastAsia="en-US"/>
        </w:rPr>
        <w:t>rd</w:t>
      </w:r>
      <w:r w:rsidR="0056072E" w:rsidRPr="00A46EF7">
        <w:rPr>
          <w:rFonts w:eastAsia="Calibri"/>
          <w:sz w:val="22"/>
          <w:szCs w:val="22"/>
          <w:lang w:eastAsia="en-US"/>
        </w:rPr>
        <w:t xml:space="preserve"> country regime (see nr. 5 of benchmark table above) – put</w:t>
      </w:r>
      <w:r w:rsidR="00014A68" w:rsidRPr="00A46EF7">
        <w:rPr>
          <w:rFonts w:eastAsia="Calibri"/>
          <w:sz w:val="22"/>
          <w:szCs w:val="22"/>
          <w:lang w:eastAsia="en-US"/>
        </w:rPr>
        <w:t>s</w:t>
      </w:r>
      <w:r w:rsidR="0056072E" w:rsidRPr="00A46EF7">
        <w:rPr>
          <w:rFonts w:eastAsia="Calibri"/>
          <w:sz w:val="22"/>
          <w:szCs w:val="22"/>
          <w:lang w:eastAsia="en-US"/>
        </w:rPr>
        <w:t xml:space="preserve"> EU NFCs at a substantial competitive disadvantage</w:t>
      </w:r>
      <w:r w:rsidR="00014A68" w:rsidRPr="00A46EF7">
        <w:rPr>
          <w:rFonts w:eastAsia="Calibri"/>
          <w:sz w:val="22"/>
          <w:szCs w:val="22"/>
          <w:lang w:eastAsia="en-US"/>
        </w:rPr>
        <w:t xml:space="preserve"> vis-à-vis their international competitors</w:t>
      </w:r>
      <w:r w:rsidR="0056072E" w:rsidRPr="00A46EF7">
        <w:rPr>
          <w:rFonts w:eastAsia="Calibri"/>
          <w:sz w:val="22"/>
          <w:szCs w:val="22"/>
          <w:lang w:eastAsia="en-US"/>
        </w:rPr>
        <w:t>.</w:t>
      </w:r>
      <w:r w:rsidR="00014A68" w:rsidRPr="00A46EF7">
        <w:rPr>
          <w:rFonts w:eastAsia="Calibri"/>
          <w:sz w:val="22"/>
          <w:szCs w:val="22"/>
          <w:lang w:eastAsia="en-US"/>
        </w:rPr>
        <w:t xml:space="preserve"> </w:t>
      </w:r>
      <w:r w:rsidR="001C3EDA" w:rsidRPr="00A46EF7">
        <w:rPr>
          <w:rFonts w:eastAsia="Calibri"/>
          <w:sz w:val="22"/>
          <w:szCs w:val="22"/>
          <w:lang w:val="en-US" w:eastAsia="en-US"/>
        </w:rPr>
        <w:t>T</w:t>
      </w:r>
      <w:r w:rsidR="001C3EDA" w:rsidRPr="00A46EF7">
        <w:rPr>
          <w:rFonts w:eastAsia="Calibri"/>
          <w:sz w:val="22"/>
          <w:szCs w:val="22"/>
          <w:lang w:eastAsia="en-US"/>
        </w:rPr>
        <w:t>he EU EMIR exposes EU energy firms to a substantial competitive disadvantage vis-à-vis firms from 3</w:t>
      </w:r>
      <w:r w:rsidR="001C3EDA" w:rsidRPr="00A46EF7">
        <w:rPr>
          <w:rFonts w:eastAsia="Calibri"/>
          <w:sz w:val="22"/>
          <w:szCs w:val="22"/>
          <w:vertAlign w:val="superscript"/>
          <w:lang w:eastAsia="en-US"/>
        </w:rPr>
        <w:t>rd</w:t>
      </w:r>
      <w:r w:rsidR="001C3EDA" w:rsidRPr="00A46EF7">
        <w:rPr>
          <w:rFonts w:eastAsia="Calibri"/>
          <w:sz w:val="22"/>
          <w:szCs w:val="22"/>
          <w:lang w:eastAsia="en-US"/>
        </w:rPr>
        <w:t xml:space="preserve"> country jurisdictions because the latter are either not subject to the EU EMIR clearing rules or can make use of the more lenient OTC derivatives regime in their home jurisdictions. </w:t>
      </w:r>
      <w:bookmarkStart w:id="25" w:name="_Hlk92381315"/>
      <w:r w:rsidR="00014A68" w:rsidRPr="00A46EF7">
        <w:rPr>
          <w:rFonts w:eastAsia="Calibri"/>
          <w:sz w:val="22"/>
          <w:szCs w:val="22"/>
          <w:lang w:eastAsia="en-US"/>
        </w:rPr>
        <w:t>This is because</w:t>
      </w:r>
      <w:r w:rsidR="001C3EDA" w:rsidRPr="00A46EF7">
        <w:rPr>
          <w:rFonts w:eastAsia="Calibri"/>
          <w:sz w:val="22"/>
          <w:szCs w:val="22"/>
          <w:lang w:eastAsia="en-US"/>
        </w:rPr>
        <w:t xml:space="preserve"> under EMIR</w:t>
      </w:r>
      <w:r w:rsidR="00014A68" w:rsidRPr="00A46EF7">
        <w:rPr>
          <w:rFonts w:eastAsia="Calibri"/>
          <w:sz w:val="22"/>
          <w:szCs w:val="22"/>
          <w:lang w:eastAsia="en-US"/>
        </w:rPr>
        <w:t xml:space="preserve"> all world-wide energy and commodity derivatives activities count against the EMIR </w:t>
      </w:r>
      <w:r w:rsidR="001C3EDA" w:rsidRPr="00A46EF7">
        <w:rPr>
          <w:rFonts w:eastAsia="Calibri"/>
          <w:sz w:val="22"/>
          <w:szCs w:val="22"/>
          <w:lang w:eastAsia="en-US"/>
        </w:rPr>
        <w:t>CCT</w:t>
      </w:r>
      <w:r w:rsidR="00014A68" w:rsidRPr="00A46EF7">
        <w:rPr>
          <w:rFonts w:eastAsia="Calibri"/>
          <w:sz w:val="22"/>
          <w:szCs w:val="22"/>
          <w:lang w:eastAsia="en-US"/>
        </w:rPr>
        <w:t>, even if no EU-product, EU-venue or EU-entity is involved.</w:t>
      </w:r>
      <w:r w:rsidR="00AD271C" w:rsidRPr="00A46EF7">
        <w:rPr>
          <w:rFonts w:eastAsia="Calibri"/>
          <w:sz w:val="22"/>
          <w:szCs w:val="22"/>
          <w:lang w:eastAsia="en-US"/>
        </w:rPr>
        <w:t xml:space="preserve"> </w:t>
      </w:r>
      <w:bookmarkEnd w:id="25"/>
      <w:r w:rsidR="00AD271C" w:rsidRPr="00A46EF7">
        <w:rPr>
          <w:rFonts w:eastAsia="Calibri"/>
          <w:sz w:val="22"/>
          <w:szCs w:val="22"/>
          <w:lang w:eastAsia="en-US"/>
        </w:rPr>
        <w:t xml:space="preserve">This global nature of the EU-approach leads to much higher notional values since any OTC-derivative transaction of any non-EU group company concluded anywhere in the world contributes to the EU group’s clearing threshold consumption. </w:t>
      </w:r>
      <w:r w:rsidR="00E357E2" w:rsidRPr="00A46EF7">
        <w:rPr>
          <w:rFonts w:eastAsia="Calibri"/>
          <w:sz w:val="22"/>
          <w:szCs w:val="22"/>
          <w:lang w:eastAsia="en-US"/>
        </w:rPr>
        <w:t xml:space="preserve">For example, if </w:t>
      </w:r>
      <w:r w:rsidR="00E357E2" w:rsidRPr="00A46EF7">
        <w:rPr>
          <w:rFonts w:eastAsia="Calibri"/>
          <w:sz w:val="22"/>
          <w:szCs w:val="22"/>
          <w:lang w:val="en-US" w:eastAsia="en-US"/>
        </w:rPr>
        <w:t>a U.S. subsidiary of a European group enters into a financial swap with the aim to provide a hedge to an U.S. established Texas wind farm, the EU parent of this U.S. subsidiary must include this in its EMIR threshold calculations. Equally, an EU group is constrained by the EMIR clearing threshold to provide hedges to EU firms, while any 3</w:t>
      </w:r>
      <w:r w:rsidR="00E357E2" w:rsidRPr="00A46EF7">
        <w:rPr>
          <w:rFonts w:eastAsia="Calibri"/>
          <w:sz w:val="22"/>
          <w:szCs w:val="22"/>
          <w:vertAlign w:val="superscript"/>
          <w:lang w:val="en-US" w:eastAsia="en-US"/>
        </w:rPr>
        <w:t>rd</w:t>
      </w:r>
      <w:r w:rsidR="00E357E2" w:rsidRPr="00A46EF7">
        <w:rPr>
          <w:rFonts w:eastAsia="Calibri"/>
          <w:sz w:val="22"/>
          <w:szCs w:val="22"/>
          <w:lang w:val="en-US" w:eastAsia="en-US"/>
        </w:rPr>
        <w:t xml:space="preserve"> country firm could compete without that limitation.</w:t>
      </w:r>
      <w:r w:rsidR="0014051D" w:rsidRPr="00A46EF7">
        <w:rPr>
          <w:rFonts w:eastAsia="Calibri"/>
          <w:sz w:val="22"/>
          <w:szCs w:val="22"/>
          <w:lang w:val="en-US" w:eastAsia="en-US"/>
        </w:rPr>
        <w:t xml:space="preserve"> ESMA’s EMIR QA, OTC Question 3 (d) (3) ) confirms this understanding.</w:t>
      </w:r>
    </w:p>
    <w:p w14:paraId="5AE172AC" w14:textId="1E36F076" w:rsidR="0055343C" w:rsidRPr="005A7CAE" w:rsidRDefault="0055343C" w:rsidP="005070CC">
      <w:pPr>
        <w:spacing w:before="120" w:after="120"/>
        <w:ind w:left="357"/>
        <w:jc w:val="both"/>
        <w:rPr>
          <w:rFonts w:eastAsia="Calibri"/>
          <w:sz w:val="22"/>
          <w:szCs w:val="22"/>
          <w:lang w:val="en-US" w:eastAsia="en-US"/>
        </w:rPr>
      </w:pPr>
      <w:r w:rsidRPr="005A7CAE">
        <w:rPr>
          <w:rFonts w:eastAsia="Calibri"/>
          <w:sz w:val="22"/>
          <w:szCs w:val="22"/>
          <w:lang w:val="en-US" w:eastAsia="en-US"/>
        </w:rPr>
        <w:t xml:space="preserve">As a result, not only is the €3bn EMIR CCT the lowest in international context, </w:t>
      </w:r>
      <w:r w:rsidR="00E97291" w:rsidRPr="005A7CAE">
        <w:rPr>
          <w:rFonts w:eastAsia="Calibri"/>
          <w:sz w:val="22"/>
          <w:szCs w:val="22"/>
          <w:lang w:val="en-US" w:eastAsia="en-US"/>
        </w:rPr>
        <w:t xml:space="preserve">but </w:t>
      </w:r>
      <w:r w:rsidRPr="005A7CAE">
        <w:rPr>
          <w:rFonts w:eastAsia="Calibri"/>
          <w:sz w:val="22"/>
          <w:szCs w:val="22"/>
          <w:lang w:val="en-US" w:eastAsia="en-US"/>
        </w:rPr>
        <w:t>it is</w:t>
      </w:r>
      <w:r w:rsidR="00E97291" w:rsidRPr="005A7CAE">
        <w:rPr>
          <w:rFonts w:eastAsia="Calibri"/>
          <w:sz w:val="22"/>
          <w:szCs w:val="22"/>
          <w:lang w:val="en-US" w:eastAsia="en-US"/>
        </w:rPr>
        <w:t xml:space="preserve"> also</w:t>
      </w:r>
      <w:r w:rsidRPr="005A7CAE">
        <w:rPr>
          <w:rFonts w:eastAsia="Calibri"/>
          <w:sz w:val="22"/>
          <w:szCs w:val="22"/>
          <w:lang w:val="en-US" w:eastAsia="en-US"/>
        </w:rPr>
        <w:t xml:space="preserve"> meant to cover all global entities of a group whereas the </w:t>
      </w:r>
      <w:r w:rsidR="00836BE2" w:rsidRPr="005A7CAE">
        <w:rPr>
          <w:rFonts w:eastAsia="Calibri"/>
          <w:sz w:val="22"/>
          <w:szCs w:val="22"/>
          <w:lang w:val="en-US" w:eastAsia="en-US"/>
        </w:rPr>
        <w:t xml:space="preserve">USD 8 Billion </w:t>
      </w:r>
      <w:r w:rsidRPr="005A7CAE">
        <w:rPr>
          <w:rFonts w:eastAsia="Calibri"/>
          <w:sz w:val="22"/>
          <w:szCs w:val="22"/>
          <w:lang w:val="en-US" w:eastAsia="en-US"/>
        </w:rPr>
        <w:t>threshold under the U.S.-DFA, apart from being higher and only applying to financially settled products, requires a US-market-nexus of the activity</w:t>
      </w:r>
      <w:r w:rsidR="0056641D" w:rsidRPr="005A7CAE">
        <w:rPr>
          <w:rFonts w:eastAsia="Calibri"/>
          <w:sz w:val="22"/>
          <w:szCs w:val="22"/>
          <w:lang w:val="en-US" w:eastAsia="en-US"/>
        </w:rPr>
        <w:t xml:space="preserve"> (</w:t>
      </w:r>
      <w:r w:rsidR="00561AA2" w:rsidRPr="005A7CAE">
        <w:rPr>
          <w:rFonts w:eastAsia="Calibri"/>
          <w:sz w:val="22"/>
          <w:szCs w:val="22"/>
          <w:lang w:val="en-US" w:eastAsia="en-US"/>
        </w:rPr>
        <w:t xml:space="preserve">cf. </w:t>
      </w:r>
      <w:r w:rsidR="0056641D" w:rsidRPr="005A7CAE">
        <w:rPr>
          <w:rFonts w:eastAsia="Calibri"/>
          <w:sz w:val="22"/>
          <w:szCs w:val="22"/>
          <w:lang w:val="en-US" w:eastAsia="en-US"/>
        </w:rPr>
        <w:t xml:space="preserve">nr. 5 of Benchmark Study Table in </w:t>
      </w:r>
      <w:r w:rsidR="00561AA2" w:rsidRPr="005A7CAE">
        <w:rPr>
          <w:rFonts w:eastAsia="Calibri"/>
          <w:sz w:val="22"/>
          <w:szCs w:val="22"/>
          <w:lang w:val="en-US" w:eastAsia="en-US"/>
        </w:rPr>
        <w:t>S</w:t>
      </w:r>
      <w:r w:rsidR="0056641D" w:rsidRPr="005A7CAE">
        <w:rPr>
          <w:rFonts w:eastAsia="Calibri"/>
          <w:sz w:val="22"/>
          <w:szCs w:val="22"/>
          <w:lang w:val="en-US" w:eastAsia="en-US"/>
        </w:rPr>
        <w:t>ection 1 above)</w:t>
      </w:r>
      <w:r w:rsidRPr="005A7CAE">
        <w:rPr>
          <w:rFonts w:eastAsia="Calibri"/>
          <w:sz w:val="22"/>
          <w:szCs w:val="22"/>
          <w:lang w:val="en-US" w:eastAsia="en-US"/>
        </w:rPr>
        <w:t>. Absent such, it is not considered for group aggregation.</w:t>
      </w:r>
    </w:p>
    <w:p w14:paraId="0FE82E7D" w14:textId="050C5107" w:rsidR="0055343C" w:rsidRPr="00A46EF7" w:rsidRDefault="0055343C" w:rsidP="005070CC">
      <w:pPr>
        <w:spacing w:before="120" w:after="120"/>
        <w:ind w:left="357"/>
        <w:jc w:val="both"/>
        <w:rPr>
          <w:rFonts w:eastAsia="Calibri"/>
          <w:sz w:val="22"/>
          <w:szCs w:val="22"/>
          <w:lang w:val="en-US" w:eastAsia="en-US"/>
        </w:rPr>
      </w:pPr>
      <w:r w:rsidRPr="00A46EF7">
        <w:rPr>
          <w:rFonts w:eastAsia="Calibri"/>
          <w:sz w:val="22"/>
          <w:szCs w:val="22"/>
          <w:lang w:val="en-US" w:eastAsia="en-US"/>
        </w:rPr>
        <w:t>On top, approaches taken in Australia and Singapore, allocate a substantially higher threshold (100 bn AUD in AUS) on entity level (not group level!) solely available for transactions booked in Australia.</w:t>
      </w:r>
    </w:p>
    <w:p w14:paraId="27B9FB73" w14:textId="5D41DF80" w:rsidR="0055343C" w:rsidRPr="00A46EF7" w:rsidRDefault="0055343C" w:rsidP="005070CC">
      <w:pPr>
        <w:spacing w:before="120" w:after="120"/>
        <w:ind w:left="357"/>
        <w:jc w:val="both"/>
        <w:rPr>
          <w:rFonts w:eastAsia="Calibri"/>
          <w:sz w:val="22"/>
          <w:szCs w:val="22"/>
          <w:lang w:val="en-US" w:eastAsia="en-US"/>
        </w:rPr>
      </w:pPr>
      <w:r w:rsidRPr="00A46EF7">
        <w:rPr>
          <w:rFonts w:eastAsia="Calibri"/>
          <w:sz w:val="22"/>
          <w:szCs w:val="22"/>
          <w:lang w:val="en-US" w:eastAsia="en-US"/>
        </w:rPr>
        <w:lastRenderedPageBreak/>
        <w:t xml:space="preserve">So, a single Australian entity can enter into </w:t>
      </w:r>
      <w:r w:rsidR="00E97291" w:rsidRPr="00A46EF7">
        <w:rPr>
          <w:rFonts w:eastAsia="Calibri"/>
          <w:sz w:val="22"/>
          <w:szCs w:val="22"/>
          <w:lang w:val="en-US" w:eastAsia="en-US"/>
        </w:rPr>
        <w:t xml:space="preserve">a </w:t>
      </w:r>
      <w:r w:rsidRPr="00A46EF7">
        <w:rPr>
          <w:rFonts w:eastAsia="Calibri"/>
          <w:sz w:val="22"/>
          <w:szCs w:val="22"/>
          <w:lang w:val="en-US" w:eastAsia="en-US"/>
        </w:rPr>
        <w:t>derivatives</w:t>
      </w:r>
      <w:r w:rsidR="00E97291" w:rsidRPr="00A46EF7">
        <w:rPr>
          <w:rFonts w:eastAsia="Calibri"/>
          <w:sz w:val="22"/>
          <w:szCs w:val="22"/>
          <w:lang w:val="en-US" w:eastAsia="en-US"/>
        </w:rPr>
        <w:t xml:space="preserve"> transaction</w:t>
      </w:r>
      <w:r w:rsidRPr="00A46EF7">
        <w:rPr>
          <w:rFonts w:eastAsia="Calibri"/>
          <w:sz w:val="22"/>
          <w:szCs w:val="22"/>
          <w:lang w:val="en-US" w:eastAsia="en-US"/>
        </w:rPr>
        <w:t xml:space="preserve"> summing up to 100 bn AUD in Australia alone whereas a European EMIR entity has to share a threshold of 3bn € not only with its entire fellow group </w:t>
      </w:r>
      <w:r w:rsidR="00E97291" w:rsidRPr="00A46EF7">
        <w:rPr>
          <w:rFonts w:eastAsia="Calibri"/>
          <w:sz w:val="22"/>
          <w:szCs w:val="22"/>
          <w:lang w:val="en-US" w:eastAsia="en-US"/>
        </w:rPr>
        <w:t xml:space="preserve">EU </w:t>
      </w:r>
      <w:r w:rsidRPr="00A46EF7">
        <w:rPr>
          <w:rFonts w:eastAsia="Calibri"/>
          <w:sz w:val="22"/>
          <w:szCs w:val="22"/>
          <w:lang w:val="en-US" w:eastAsia="en-US"/>
        </w:rPr>
        <w:t xml:space="preserve">companies but has to cover any global activity </w:t>
      </w:r>
      <w:r w:rsidR="00E97291" w:rsidRPr="00A46EF7">
        <w:rPr>
          <w:rFonts w:eastAsia="Calibri"/>
          <w:sz w:val="22"/>
          <w:szCs w:val="22"/>
          <w:lang w:val="en-US" w:eastAsia="en-US"/>
        </w:rPr>
        <w:t>up</w:t>
      </w:r>
      <w:r w:rsidR="00D86D7B" w:rsidRPr="00A46EF7">
        <w:rPr>
          <w:rFonts w:eastAsia="Calibri"/>
          <w:sz w:val="22"/>
          <w:szCs w:val="22"/>
          <w:lang w:val="en-US" w:eastAsia="en-US"/>
        </w:rPr>
        <w:t xml:space="preserve"> to</w:t>
      </w:r>
      <w:r w:rsidRPr="00A46EF7">
        <w:rPr>
          <w:rFonts w:eastAsia="Calibri"/>
          <w:sz w:val="22"/>
          <w:szCs w:val="22"/>
          <w:lang w:val="en-US" w:eastAsia="en-US"/>
        </w:rPr>
        <w:t xml:space="preserve"> this amount. It is entirely obvious that the headroom for the European entity is nothing but a small fraction of</w:t>
      </w:r>
      <w:r w:rsidR="00E97291" w:rsidRPr="00A46EF7">
        <w:rPr>
          <w:rFonts w:eastAsia="Calibri"/>
          <w:sz w:val="22"/>
          <w:szCs w:val="22"/>
          <w:lang w:val="en-US" w:eastAsia="en-US"/>
        </w:rPr>
        <w:t xml:space="preserve"> that which is</w:t>
      </w:r>
      <w:r w:rsidRPr="00A46EF7">
        <w:rPr>
          <w:rFonts w:eastAsia="Calibri"/>
          <w:sz w:val="22"/>
          <w:szCs w:val="22"/>
          <w:lang w:val="en-US" w:eastAsia="en-US"/>
        </w:rPr>
        <w:t xml:space="preserve"> available to its competitor.</w:t>
      </w:r>
    </w:p>
    <w:p w14:paraId="4C01A697" w14:textId="66155987" w:rsidR="00633B08" w:rsidRPr="005A7CAE" w:rsidRDefault="00633B08" w:rsidP="005070CC">
      <w:pPr>
        <w:pStyle w:val="ListParagraph"/>
        <w:numPr>
          <w:ilvl w:val="0"/>
          <w:numId w:val="49"/>
        </w:numPr>
        <w:spacing w:before="120" w:after="120"/>
        <w:ind w:left="357"/>
        <w:contextualSpacing w:val="0"/>
        <w:jc w:val="both"/>
        <w:rPr>
          <w:rFonts w:eastAsia="Calibri"/>
          <w:b/>
          <w:bCs/>
          <w:sz w:val="22"/>
          <w:szCs w:val="22"/>
          <w:lang w:val="en-US" w:eastAsia="en-US"/>
        </w:rPr>
      </w:pPr>
      <w:r w:rsidRPr="005A7CAE">
        <w:rPr>
          <w:rFonts w:eastAsia="Calibri"/>
          <w:b/>
          <w:bCs/>
          <w:sz w:val="22"/>
          <w:szCs w:val="22"/>
          <w:lang w:val="en-US" w:eastAsia="en-US"/>
        </w:rPr>
        <w:t>Low</w:t>
      </w:r>
      <w:r w:rsidR="00B32415" w:rsidRPr="005A7CAE">
        <w:rPr>
          <w:rFonts w:eastAsia="Calibri"/>
          <w:b/>
          <w:bCs/>
          <w:sz w:val="22"/>
          <w:szCs w:val="22"/>
          <w:lang w:val="en-US" w:eastAsia="en-US"/>
        </w:rPr>
        <w:t>, fixed</w:t>
      </w:r>
      <w:r w:rsidRPr="005A7CAE">
        <w:rPr>
          <w:rFonts w:eastAsia="Calibri"/>
          <w:b/>
          <w:bCs/>
          <w:sz w:val="22"/>
          <w:szCs w:val="22"/>
          <w:lang w:val="en-US" w:eastAsia="en-US"/>
        </w:rPr>
        <w:t xml:space="preserve"> EMIR CCT quickly consumed when energy and commodity prices</w:t>
      </w:r>
      <w:r w:rsidR="000049D8" w:rsidRPr="005A7CAE">
        <w:rPr>
          <w:rFonts w:eastAsia="Calibri"/>
          <w:b/>
          <w:bCs/>
          <w:sz w:val="22"/>
          <w:szCs w:val="22"/>
          <w:lang w:val="en-US" w:eastAsia="en-US"/>
        </w:rPr>
        <w:t xml:space="preserve"> rise</w:t>
      </w:r>
      <w:r w:rsidRPr="005A7CAE">
        <w:rPr>
          <w:rFonts w:eastAsia="Calibri"/>
          <w:b/>
          <w:bCs/>
          <w:sz w:val="22"/>
          <w:szCs w:val="22"/>
          <w:lang w:val="en-US" w:eastAsia="en-US"/>
        </w:rPr>
        <w:t>:</w:t>
      </w:r>
    </w:p>
    <w:p w14:paraId="108DB0D5" w14:textId="617A4212" w:rsidR="002354EC" w:rsidRPr="00A46EF7" w:rsidRDefault="00633B08" w:rsidP="005070CC">
      <w:pPr>
        <w:spacing w:before="120" w:after="120"/>
        <w:ind w:left="357"/>
        <w:jc w:val="both"/>
        <w:rPr>
          <w:rFonts w:eastAsia="Calibri"/>
          <w:sz w:val="22"/>
          <w:szCs w:val="22"/>
          <w:lang w:val="en-US" w:eastAsia="en-US"/>
        </w:rPr>
      </w:pPr>
      <w:r w:rsidRPr="00A46EF7">
        <w:rPr>
          <w:rFonts w:eastAsia="Calibri"/>
          <w:sz w:val="22"/>
          <w:szCs w:val="22"/>
          <w:lang w:val="en-US" w:eastAsia="en-US"/>
        </w:rPr>
        <w:t xml:space="preserve">The EMIR CCT </w:t>
      </w:r>
      <w:r w:rsidR="00594089" w:rsidRPr="00A46EF7">
        <w:rPr>
          <w:rFonts w:eastAsia="Calibri"/>
          <w:sz w:val="22"/>
          <w:szCs w:val="22"/>
          <w:lang w:val="en-US" w:eastAsia="en-US"/>
        </w:rPr>
        <w:t>was</w:t>
      </w:r>
      <w:r w:rsidRPr="00A46EF7">
        <w:rPr>
          <w:rFonts w:eastAsia="Calibri"/>
          <w:sz w:val="22"/>
          <w:szCs w:val="22"/>
          <w:lang w:val="en-US" w:eastAsia="en-US"/>
        </w:rPr>
        <w:t xml:space="preserve"> defined</w:t>
      </w:r>
      <w:r w:rsidR="00594089" w:rsidRPr="00A46EF7">
        <w:rPr>
          <w:rFonts w:eastAsia="Calibri"/>
          <w:sz w:val="22"/>
          <w:szCs w:val="22"/>
          <w:lang w:val="en-US" w:eastAsia="en-US"/>
        </w:rPr>
        <w:t xml:space="preserve"> in 2012</w:t>
      </w:r>
      <w:r w:rsidRPr="00A46EF7">
        <w:rPr>
          <w:rFonts w:eastAsia="Calibri"/>
          <w:sz w:val="22"/>
          <w:szCs w:val="22"/>
          <w:lang w:val="en-US" w:eastAsia="en-US"/>
        </w:rPr>
        <w:t xml:space="preserve"> at a low fixed level of </w:t>
      </w:r>
      <w:r w:rsidR="00594089" w:rsidRPr="00A46EF7">
        <w:rPr>
          <w:rFonts w:eastAsia="Calibri"/>
          <w:sz w:val="22"/>
          <w:szCs w:val="22"/>
          <w:lang w:val="en-US" w:eastAsia="en-US"/>
        </w:rPr>
        <w:t xml:space="preserve">a gross notional value of 3bn (see Article 11 (e) CDR 149/2013). </w:t>
      </w:r>
      <w:r w:rsidR="00E85FAA" w:rsidRPr="00A46EF7">
        <w:rPr>
          <w:rFonts w:eastAsia="Calibri"/>
          <w:sz w:val="22"/>
          <w:szCs w:val="22"/>
          <w:lang w:val="en-US" w:eastAsia="en-US"/>
        </w:rPr>
        <w:t>When compared to the prices in 2012, i</w:t>
      </w:r>
      <w:r w:rsidR="009436AE" w:rsidRPr="00A46EF7">
        <w:rPr>
          <w:rFonts w:eastAsia="Calibri"/>
          <w:sz w:val="22"/>
          <w:szCs w:val="22"/>
          <w:lang w:val="en-US" w:eastAsia="en-US"/>
        </w:rPr>
        <w:t>n 2021</w:t>
      </w:r>
      <w:r w:rsidR="00594089" w:rsidRPr="00A46EF7">
        <w:rPr>
          <w:rFonts w:eastAsia="Calibri"/>
          <w:sz w:val="22"/>
          <w:szCs w:val="22"/>
          <w:lang w:val="en-US" w:eastAsia="en-US"/>
        </w:rPr>
        <w:t xml:space="preserve"> the prices</w:t>
      </w:r>
      <w:r w:rsidR="009436AE" w:rsidRPr="00A46EF7">
        <w:rPr>
          <w:rFonts w:eastAsia="Calibri"/>
          <w:sz w:val="22"/>
          <w:szCs w:val="22"/>
          <w:lang w:val="en-US" w:eastAsia="en-US"/>
        </w:rPr>
        <w:t xml:space="preserve"> for gas, power and EUAs</w:t>
      </w:r>
      <w:r w:rsidR="00594089" w:rsidRPr="00A46EF7">
        <w:rPr>
          <w:rFonts w:eastAsia="Calibri"/>
          <w:sz w:val="22"/>
          <w:szCs w:val="22"/>
          <w:lang w:val="en-US" w:eastAsia="en-US"/>
        </w:rPr>
        <w:t xml:space="preserve"> </w:t>
      </w:r>
      <w:r w:rsidR="00C0505C" w:rsidRPr="00A46EF7">
        <w:rPr>
          <w:rFonts w:eastAsia="Calibri"/>
          <w:sz w:val="22"/>
          <w:szCs w:val="22"/>
          <w:lang w:val="en-US" w:eastAsia="en-US"/>
        </w:rPr>
        <w:t xml:space="preserve">have increased </w:t>
      </w:r>
      <w:r w:rsidR="00925E27" w:rsidRPr="00A46EF7">
        <w:rPr>
          <w:rFonts w:eastAsia="Calibri"/>
          <w:sz w:val="22"/>
          <w:szCs w:val="22"/>
          <w:lang w:val="en-US" w:eastAsia="en-US"/>
        </w:rPr>
        <w:t>considerably</w:t>
      </w:r>
      <w:r w:rsidR="00594089" w:rsidRPr="00A46EF7">
        <w:rPr>
          <w:rFonts w:eastAsia="Calibri"/>
          <w:sz w:val="22"/>
          <w:szCs w:val="22"/>
          <w:lang w:val="en-US" w:eastAsia="en-US"/>
        </w:rPr>
        <w:t>. This means that the gross n</w:t>
      </w:r>
      <w:r w:rsidR="002430B6" w:rsidRPr="00A46EF7">
        <w:rPr>
          <w:rFonts w:eastAsia="Calibri"/>
          <w:sz w:val="22"/>
          <w:szCs w:val="22"/>
          <w:lang w:val="en-US" w:eastAsia="en-US"/>
        </w:rPr>
        <w:t>o</w:t>
      </w:r>
      <w:r w:rsidR="00594089" w:rsidRPr="00A46EF7">
        <w:rPr>
          <w:rFonts w:eastAsia="Calibri"/>
          <w:sz w:val="22"/>
          <w:szCs w:val="22"/>
          <w:lang w:val="en-US" w:eastAsia="en-US"/>
        </w:rPr>
        <w:t>tional value of open positions in</w:t>
      </w:r>
      <w:r w:rsidR="002354EC" w:rsidRPr="00A46EF7">
        <w:rPr>
          <w:rFonts w:eastAsia="Calibri"/>
          <w:sz w:val="22"/>
          <w:szCs w:val="22"/>
          <w:lang w:val="en-US" w:eastAsia="en-US"/>
        </w:rPr>
        <w:t xml:space="preserve"> OTC derivatives contracts relating to</w:t>
      </w:r>
      <w:r w:rsidR="00AF0521" w:rsidRPr="00A46EF7">
        <w:rPr>
          <w:rFonts w:eastAsia="Calibri"/>
          <w:sz w:val="22"/>
          <w:szCs w:val="22"/>
          <w:lang w:val="en-US" w:eastAsia="en-US"/>
        </w:rPr>
        <w:t xml:space="preserve"> these</w:t>
      </w:r>
      <w:r w:rsidR="00594089" w:rsidRPr="00A46EF7">
        <w:rPr>
          <w:rFonts w:eastAsia="Calibri"/>
          <w:sz w:val="22"/>
          <w:szCs w:val="22"/>
          <w:lang w:val="en-US" w:eastAsia="en-US"/>
        </w:rPr>
        <w:t xml:space="preserve"> commodit</w:t>
      </w:r>
      <w:r w:rsidR="002354EC" w:rsidRPr="00A46EF7">
        <w:rPr>
          <w:rFonts w:eastAsia="Calibri"/>
          <w:sz w:val="22"/>
          <w:szCs w:val="22"/>
          <w:lang w:val="en-US" w:eastAsia="en-US"/>
        </w:rPr>
        <w:t>ies</w:t>
      </w:r>
      <w:r w:rsidR="00C0505C" w:rsidRPr="00A46EF7">
        <w:rPr>
          <w:rFonts w:eastAsia="Calibri"/>
          <w:sz w:val="22"/>
          <w:szCs w:val="22"/>
          <w:lang w:val="en-US" w:eastAsia="en-US"/>
        </w:rPr>
        <w:t xml:space="preserve"> have</w:t>
      </w:r>
      <w:r w:rsidR="002354EC" w:rsidRPr="00A46EF7">
        <w:rPr>
          <w:rFonts w:eastAsia="Calibri"/>
          <w:sz w:val="22"/>
          <w:szCs w:val="22"/>
          <w:lang w:val="en-US" w:eastAsia="en-US"/>
        </w:rPr>
        <w:t xml:space="preserve"> substantially </w:t>
      </w:r>
      <w:r w:rsidR="00C0505C" w:rsidRPr="00A46EF7">
        <w:rPr>
          <w:rFonts w:eastAsia="Calibri"/>
          <w:sz w:val="22"/>
          <w:szCs w:val="22"/>
          <w:lang w:val="en-US" w:eastAsia="en-US"/>
        </w:rPr>
        <w:t xml:space="preserve">increased </w:t>
      </w:r>
      <w:r w:rsidR="00AF0521" w:rsidRPr="00A46EF7">
        <w:rPr>
          <w:rFonts w:eastAsia="Calibri"/>
          <w:sz w:val="22"/>
          <w:szCs w:val="22"/>
          <w:lang w:val="en-US" w:eastAsia="en-US"/>
        </w:rPr>
        <w:t>and,</w:t>
      </w:r>
      <w:r w:rsidR="00B32415" w:rsidRPr="00A46EF7">
        <w:rPr>
          <w:rFonts w:eastAsia="Calibri"/>
          <w:sz w:val="22"/>
          <w:szCs w:val="22"/>
          <w:lang w:val="en-US" w:eastAsia="en-US"/>
        </w:rPr>
        <w:t xml:space="preserve"> </w:t>
      </w:r>
      <w:r w:rsidR="00AF0521" w:rsidRPr="00A46EF7">
        <w:rPr>
          <w:rFonts w:eastAsia="Calibri"/>
          <w:sz w:val="22"/>
          <w:szCs w:val="22"/>
          <w:lang w:val="en-US" w:eastAsia="en-US"/>
        </w:rPr>
        <w:t>c</w:t>
      </w:r>
      <w:r w:rsidR="002354EC" w:rsidRPr="00A46EF7">
        <w:rPr>
          <w:rFonts w:eastAsia="Calibri"/>
          <w:sz w:val="22"/>
          <w:szCs w:val="22"/>
          <w:lang w:val="en-US" w:eastAsia="en-US"/>
        </w:rPr>
        <w:t>onsequently</w:t>
      </w:r>
      <w:r w:rsidR="00B32415" w:rsidRPr="00A46EF7">
        <w:rPr>
          <w:rFonts w:eastAsia="Calibri"/>
          <w:sz w:val="22"/>
          <w:szCs w:val="22"/>
          <w:lang w:val="en-US" w:eastAsia="en-US"/>
        </w:rPr>
        <w:t>, NFCs</w:t>
      </w:r>
      <w:r w:rsidR="00F2561B" w:rsidRPr="00A46EF7">
        <w:rPr>
          <w:rFonts w:eastAsia="Calibri"/>
          <w:sz w:val="22"/>
          <w:szCs w:val="22"/>
          <w:lang w:val="en-US" w:eastAsia="en-US"/>
        </w:rPr>
        <w:t>` positions in these</w:t>
      </w:r>
      <w:r w:rsidR="002354EC" w:rsidRPr="00A46EF7">
        <w:rPr>
          <w:rFonts w:eastAsia="Calibri"/>
          <w:sz w:val="22"/>
          <w:szCs w:val="22"/>
          <w:lang w:val="en-US" w:eastAsia="en-US"/>
        </w:rPr>
        <w:t xml:space="preserve"> </w:t>
      </w:r>
      <w:r w:rsidR="00925E27" w:rsidRPr="00A46EF7">
        <w:rPr>
          <w:rFonts w:eastAsia="Calibri"/>
          <w:sz w:val="22"/>
          <w:szCs w:val="22"/>
          <w:lang w:val="en-US" w:eastAsia="en-US"/>
        </w:rPr>
        <w:t xml:space="preserve">quickly </w:t>
      </w:r>
      <w:r w:rsidR="002354EC" w:rsidRPr="00A46EF7">
        <w:rPr>
          <w:rFonts w:eastAsia="Calibri"/>
          <w:sz w:val="22"/>
          <w:szCs w:val="22"/>
          <w:lang w:val="en-US" w:eastAsia="en-US"/>
        </w:rPr>
        <w:t>consume the fixed EMIR CCT</w:t>
      </w:r>
      <w:r w:rsidR="00AF0521" w:rsidRPr="00A46EF7">
        <w:rPr>
          <w:rFonts w:eastAsia="Calibri"/>
          <w:sz w:val="22"/>
          <w:szCs w:val="22"/>
          <w:lang w:val="en-US" w:eastAsia="en-US"/>
        </w:rPr>
        <w:t xml:space="preserve">. Hence, </w:t>
      </w:r>
      <w:r w:rsidR="002354EC" w:rsidRPr="00A46EF7">
        <w:rPr>
          <w:rFonts w:eastAsia="Calibri"/>
          <w:sz w:val="22"/>
          <w:szCs w:val="22"/>
          <w:lang w:val="en-US" w:eastAsia="en-US"/>
        </w:rPr>
        <w:t>the headroom</w:t>
      </w:r>
      <w:r w:rsidR="009515FF" w:rsidRPr="00A46EF7">
        <w:rPr>
          <w:rFonts w:eastAsia="Calibri"/>
          <w:sz w:val="22"/>
          <w:szCs w:val="22"/>
          <w:lang w:val="en-US" w:eastAsia="en-US"/>
        </w:rPr>
        <w:t xml:space="preserve"> available in 2021 </w:t>
      </w:r>
      <w:r w:rsidR="002354EC" w:rsidRPr="00A46EF7">
        <w:rPr>
          <w:rFonts w:eastAsia="Calibri"/>
          <w:sz w:val="22"/>
          <w:szCs w:val="22"/>
          <w:lang w:val="en-US" w:eastAsia="en-US"/>
        </w:rPr>
        <w:t xml:space="preserve">for NFCs </w:t>
      </w:r>
      <w:r w:rsidR="00B32415" w:rsidRPr="00A46EF7">
        <w:rPr>
          <w:rFonts w:eastAsia="Calibri"/>
          <w:sz w:val="22"/>
          <w:szCs w:val="22"/>
          <w:lang w:val="en-US" w:eastAsia="en-US"/>
        </w:rPr>
        <w:t xml:space="preserve">to enter into </w:t>
      </w:r>
      <w:r w:rsidR="00F2561B" w:rsidRPr="00A46EF7">
        <w:rPr>
          <w:rFonts w:eastAsia="Calibri"/>
          <w:sz w:val="22"/>
          <w:szCs w:val="22"/>
          <w:lang w:val="en-US" w:eastAsia="en-US"/>
        </w:rPr>
        <w:t xml:space="preserve">new </w:t>
      </w:r>
      <w:r w:rsidR="00AF0521" w:rsidRPr="00A46EF7">
        <w:rPr>
          <w:rFonts w:eastAsia="Calibri"/>
          <w:sz w:val="22"/>
          <w:szCs w:val="22"/>
          <w:lang w:val="en-US" w:eastAsia="en-US"/>
        </w:rPr>
        <w:t xml:space="preserve">OTC derivative </w:t>
      </w:r>
      <w:r w:rsidR="00B32415" w:rsidRPr="00A46EF7">
        <w:rPr>
          <w:rFonts w:eastAsia="Calibri"/>
          <w:sz w:val="22"/>
          <w:szCs w:val="22"/>
          <w:lang w:val="en-US" w:eastAsia="en-US"/>
        </w:rPr>
        <w:t>transactions i</w:t>
      </w:r>
      <w:r w:rsidR="002354EC" w:rsidRPr="00A46EF7">
        <w:rPr>
          <w:rFonts w:eastAsia="Calibri"/>
          <w:sz w:val="22"/>
          <w:szCs w:val="22"/>
          <w:lang w:val="en-US" w:eastAsia="en-US"/>
        </w:rPr>
        <w:t>s</w:t>
      </w:r>
      <w:r w:rsidR="009515FF" w:rsidRPr="00A46EF7">
        <w:rPr>
          <w:rFonts w:eastAsia="Calibri"/>
          <w:sz w:val="22"/>
          <w:szCs w:val="22"/>
          <w:lang w:val="en-US" w:eastAsia="en-US"/>
        </w:rPr>
        <w:t xml:space="preserve"> </w:t>
      </w:r>
      <w:r w:rsidR="002354EC" w:rsidRPr="00A46EF7">
        <w:rPr>
          <w:rFonts w:eastAsia="Calibri"/>
          <w:sz w:val="22"/>
          <w:szCs w:val="22"/>
          <w:lang w:val="en-US" w:eastAsia="en-US"/>
        </w:rPr>
        <w:t>dramatically further reduced</w:t>
      </w:r>
      <w:r w:rsidR="009515FF" w:rsidRPr="00A46EF7">
        <w:rPr>
          <w:rFonts w:eastAsia="Calibri"/>
          <w:sz w:val="22"/>
          <w:szCs w:val="22"/>
          <w:lang w:val="en-US" w:eastAsia="en-US"/>
        </w:rPr>
        <w:t xml:space="preserve"> when compared to the date of setting the EMIR CCT in 2012</w:t>
      </w:r>
      <w:r w:rsidR="002354EC" w:rsidRPr="00A46EF7">
        <w:rPr>
          <w:rFonts w:eastAsia="Calibri"/>
          <w:sz w:val="22"/>
          <w:szCs w:val="22"/>
          <w:lang w:val="en-US" w:eastAsia="en-US"/>
        </w:rPr>
        <w:t>.</w:t>
      </w:r>
      <w:r w:rsidR="00B32415" w:rsidRPr="00A46EF7">
        <w:rPr>
          <w:rFonts w:eastAsia="Calibri"/>
          <w:sz w:val="22"/>
          <w:szCs w:val="22"/>
          <w:lang w:val="en-US" w:eastAsia="en-US"/>
        </w:rPr>
        <w:t xml:space="preserve"> Eventually, this could </w:t>
      </w:r>
      <w:r w:rsidR="009515FF" w:rsidRPr="00A46EF7">
        <w:rPr>
          <w:rFonts w:eastAsia="Calibri"/>
          <w:sz w:val="22"/>
          <w:szCs w:val="22"/>
          <w:lang w:val="en-US" w:eastAsia="en-US"/>
        </w:rPr>
        <w:t xml:space="preserve">even </w:t>
      </w:r>
      <w:r w:rsidR="00B32415" w:rsidRPr="00A46EF7">
        <w:rPr>
          <w:rFonts w:eastAsia="Calibri"/>
          <w:sz w:val="22"/>
          <w:szCs w:val="22"/>
          <w:lang w:val="en-US" w:eastAsia="en-US"/>
        </w:rPr>
        <w:t>mean that NFCs are forced to</w:t>
      </w:r>
      <w:r w:rsidR="00AF0521" w:rsidRPr="00A46EF7">
        <w:rPr>
          <w:rFonts w:eastAsia="Calibri"/>
          <w:sz w:val="22"/>
          <w:szCs w:val="22"/>
          <w:lang w:val="en-US" w:eastAsia="en-US"/>
        </w:rPr>
        <w:t xml:space="preserve"> reduce their trading activities and/or</w:t>
      </w:r>
      <w:r w:rsidR="00B32415" w:rsidRPr="00A46EF7">
        <w:rPr>
          <w:rFonts w:eastAsia="Calibri"/>
          <w:sz w:val="22"/>
          <w:szCs w:val="22"/>
          <w:lang w:val="en-US" w:eastAsia="en-US"/>
        </w:rPr>
        <w:t xml:space="preserve"> close positions if the gross n</w:t>
      </w:r>
      <w:r w:rsidR="00AA7A6E">
        <w:rPr>
          <w:rFonts w:eastAsia="Calibri"/>
          <w:sz w:val="22"/>
          <w:szCs w:val="22"/>
          <w:lang w:val="en-US" w:eastAsia="en-US"/>
        </w:rPr>
        <w:t>o</w:t>
      </w:r>
      <w:r w:rsidR="00B32415" w:rsidRPr="00A46EF7">
        <w:rPr>
          <w:rFonts w:eastAsia="Calibri"/>
          <w:sz w:val="22"/>
          <w:szCs w:val="22"/>
          <w:lang w:val="en-US" w:eastAsia="en-US"/>
        </w:rPr>
        <w:t xml:space="preserve">tional value of their existing open positions </w:t>
      </w:r>
      <w:r w:rsidR="00F2561B" w:rsidRPr="00A46EF7">
        <w:rPr>
          <w:rFonts w:eastAsia="Calibri"/>
          <w:sz w:val="22"/>
          <w:szCs w:val="22"/>
          <w:lang w:val="en-US" w:eastAsia="en-US"/>
        </w:rPr>
        <w:t xml:space="preserve">would </w:t>
      </w:r>
      <w:r w:rsidR="00B32415" w:rsidRPr="00A46EF7">
        <w:rPr>
          <w:rFonts w:eastAsia="Calibri"/>
          <w:sz w:val="22"/>
          <w:szCs w:val="22"/>
          <w:lang w:val="en-US" w:eastAsia="en-US"/>
        </w:rPr>
        <w:t>exceed the EMIR CCT</w:t>
      </w:r>
      <w:r w:rsidR="009515FF" w:rsidRPr="00A46EF7">
        <w:rPr>
          <w:rFonts w:eastAsia="Calibri"/>
          <w:sz w:val="22"/>
          <w:szCs w:val="22"/>
          <w:lang w:val="en-US" w:eastAsia="en-US"/>
        </w:rPr>
        <w:t xml:space="preserve"> only because of these price increases</w:t>
      </w:r>
      <w:r w:rsidR="00BA2B5A" w:rsidRPr="00A46EF7">
        <w:rPr>
          <w:rFonts w:eastAsia="Calibri"/>
          <w:sz w:val="22"/>
          <w:szCs w:val="22"/>
          <w:lang w:val="en-US" w:eastAsia="en-US"/>
        </w:rPr>
        <w:t>.</w:t>
      </w:r>
      <w:r w:rsidR="00AF0521" w:rsidRPr="00A46EF7">
        <w:rPr>
          <w:rFonts w:eastAsia="Calibri"/>
          <w:sz w:val="22"/>
          <w:szCs w:val="22"/>
          <w:lang w:val="en-US" w:eastAsia="en-US"/>
        </w:rPr>
        <w:t xml:space="preserve"> Th</w:t>
      </w:r>
      <w:r w:rsidR="009515FF" w:rsidRPr="00A46EF7">
        <w:rPr>
          <w:rFonts w:eastAsia="Calibri"/>
          <w:sz w:val="22"/>
          <w:szCs w:val="22"/>
          <w:lang w:val="en-US" w:eastAsia="en-US"/>
        </w:rPr>
        <w:t>erefor</w:t>
      </w:r>
      <w:r w:rsidR="00AF0521" w:rsidRPr="00A46EF7">
        <w:rPr>
          <w:rFonts w:eastAsia="Calibri"/>
          <w:sz w:val="22"/>
          <w:szCs w:val="22"/>
          <w:lang w:val="en-US" w:eastAsia="en-US"/>
        </w:rPr>
        <w:t>e</w:t>
      </w:r>
      <w:r w:rsidR="009515FF" w:rsidRPr="00A46EF7">
        <w:rPr>
          <w:rFonts w:eastAsia="Calibri"/>
          <w:sz w:val="22"/>
          <w:szCs w:val="22"/>
          <w:lang w:val="en-US" w:eastAsia="en-US"/>
        </w:rPr>
        <w:t>, the</w:t>
      </w:r>
      <w:r w:rsidR="00AF0521" w:rsidRPr="00A46EF7">
        <w:rPr>
          <w:rFonts w:eastAsia="Calibri"/>
          <w:sz w:val="22"/>
          <w:szCs w:val="22"/>
          <w:lang w:val="en-US" w:eastAsia="en-US"/>
        </w:rPr>
        <w:t xml:space="preserve"> current low </w:t>
      </w:r>
      <w:r w:rsidR="009515FF" w:rsidRPr="00A46EF7">
        <w:rPr>
          <w:rFonts w:eastAsia="Calibri"/>
          <w:sz w:val="22"/>
          <w:szCs w:val="22"/>
          <w:lang w:val="en-US" w:eastAsia="en-US"/>
        </w:rPr>
        <w:t xml:space="preserve">EMIR CCT </w:t>
      </w:r>
      <w:r w:rsidR="00AF0521" w:rsidRPr="00A46EF7">
        <w:rPr>
          <w:rFonts w:eastAsia="Calibri"/>
          <w:sz w:val="22"/>
          <w:szCs w:val="22"/>
          <w:lang w:val="en-US" w:eastAsia="en-US"/>
        </w:rPr>
        <w:t>level does not provide enough margin to NFCs to mitigate</w:t>
      </w:r>
      <w:r w:rsidR="00526961" w:rsidRPr="00A46EF7">
        <w:rPr>
          <w:rFonts w:eastAsia="Calibri"/>
          <w:sz w:val="22"/>
          <w:szCs w:val="22"/>
          <w:lang w:val="en-US" w:eastAsia="en-US"/>
        </w:rPr>
        <w:t xml:space="preserve"> the</w:t>
      </w:r>
      <w:r w:rsidR="00AF0521" w:rsidRPr="00A46EF7">
        <w:rPr>
          <w:rFonts w:eastAsia="Calibri"/>
          <w:sz w:val="22"/>
          <w:szCs w:val="22"/>
          <w:lang w:val="en-US" w:eastAsia="en-US"/>
        </w:rPr>
        <w:t xml:space="preserve"> current and any future price volatilities. </w:t>
      </w:r>
    </w:p>
    <w:p w14:paraId="0D16FDFE" w14:textId="58567D3D" w:rsidR="00B32415" w:rsidRPr="00A46EF7" w:rsidRDefault="002354EC" w:rsidP="005070CC">
      <w:pPr>
        <w:spacing w:before="120" w:after="120"/>
        <w:ind w:left="357"/>
        <w:jc w:val="both"/>
        <w:rPr>
          <w:rFonts w:eastAsia="Calibri"/>
          <w:sz w:val="22"/>
          <w:szCs w:val="22"/>
          <w:lang w:val="en-US" w:eastAsia="en-US"/>
        </w:rPr>
      </w:pPr>
      <w:r w:rsidRPr="00A46EF7">
        <w:rPr>
          <w:rFonts w:eastAsia="Calibri"/>
          <w:sz w:val="22"/>
          <w:szCs w:val="22"/>
          <w:lang w:val="en-US" w:eastAsia="en-US"/>
        </w:rPr>
        <w:t xml:space="preserve">We </w:t>
      </w:r>
      <w:r w:rsidR="008A3DC2" w:rsidRPr="00A46EF7">
        <w:rPr>
          <w:rFonts w:eastAsia="Calibri"/>
          <w:sz w:val="22"/>
          <w:szCs w:val="22"/>
          <w:lang w:val="en-US" w:eastAsia="en-US"/>
        </w:rPr>
        <w:t>further explain</w:t>
      </w:r>
      <w:r w:rsidRPr="00A46EF7">
        <w:rPr>
          <w:rFonts w:eastAsia="Calibri"/>
          <w:sz w:val="22"/>
          <w:szCs w:val="22"/>
          <w:lang w:val="en-US" w:eastAsia="en-US"/>
        </w:rPr>
        <w:t xml:space="preserve"> this development in the following</w:t>
      </w:r>
      <w:r w:rsidR="002175C8" w:rsidRPr="00A46EF7">
        <w:rPr>
          <w:rFonts w:eastAsia="Calibri"/>
          <w:sz w:val="22"/>
          <w:szCs w:val="22"/>
          <w:lang w:val="en-US" w:eastAsia="en-US"/>
        </w:rPr>
        <w:t xml:space="preserve"> paragraphs and show</w:t>
      </w:r>
      <w:r w:rsidRPr="00A46EF7">
        <w:rPr>
          <w:rFonts w:eastAsia="Calibri"/>
          <w:sz w:val="22"/>
          <w:szCs w:val="22"/>
          <w:lang w:val="en-US" w:eastAsia="en-US"/>
        </w:rPr>
        <w:t xml:space="preserve"> graphs displaying the price developments</w:t>
      </w:r>
      <w:r w:rsidR="00AF0521" w:rsidRPr="00A46EF7">
        <w:rPr>
          <w:rFonts w:eastAsia="Calibri"/>
          <w:sz w:val="22"/>
          <w:szCs w:val="22"/>
          <w:lang w:val="en-US" w:eastAsia="en-US"/>
        </w:rPr>
        <w:t xml:space="preserve"> for gas, power and EUAs:</w:t>
      </w:r>
    </w:p>
    <w:p w14:paraId="3BFECE2D" w14:textId="77777777" w:rsidR="00126B2A" w:rsidRPr="00AC3447" w:rsidRDefault="00126B2A" w:rsidP="00AE41BD">
      <w:pPr>
        <w:pageBreakBefore/>
        <w:spacing w:before="120" w:after="120"/>
        <w:ind w:left="357"/>
        <w:jc w:val="both"/>
        <w:rPr>
          <w:rFonts w:eastAsia="Calibri"/>
          <w:b/>
          <w:bCs/>
          <w:sz w:val="22"/>
          <w:szCs w:val="22"/>
          <w:lang w:val="en-US" w:eastAsia="en-US"/>
        </w:rPr>
      </w:pPr>
      <w:r w:rsidRPr="00AC3447">
        <w:rPr>
          <w:rFonts w:eastAsia="Calibri"/>
          <w:b/>
          <w:bCs/>
          <w:sz w:val="22"/>
          <w:szCs w:val="22"/>
          <w:lang w:val="en-US" w:eastAsia="en-US"/>
        </w:rPr>
        <w:lastRenderedPageBreak/>
        <w:t xml:space="preserve">Impact of </w:t>
      </w:r>
      <w:r w:rsidR="002175C8" w:rsidRPr="00AC3447">
        <w:rPr>
          <w:rFonts w:eastAsia="Calibri"/>
          <w:b/>
          <w:bCs/>
          <w:sz w:val="22"/>
          <w:szCs w:val="22"/>
          <w:lang w:val="en-US" w:eastAsia="en-US"/>
        </w:rPr>
        <w:t>EU ETS</w:t>
      </w:r>
      <w:r w:rsidRPr="00AC3447">
        <w:rPr>
          <w:rFonts w:eastAsia="Calibri"/>
          <w:b/>
          <w:bCs/>
          <w:sz w:val="22"/>
          <w:szCs w:val="22"/>
          <w:lang w:val="en-US" w:eastAsia="en-US"/>
        </w:rPr>
        <w:t xml:space="preserve"> price developments:</w:t>
      </w:r>
    </w:p>
    <w:p w14:paraId="29F7E175" w14:textId="5291D80C" w:rsidR="00633B08" w:rsidRPr="005A7CAE" w:rsidRDefault="00126B2A" w:rsidP="00B02593">
      <w:pPr>
        <w:spacing w:before="120" w:after="120"/>
        <w:ind w:left="357"/>
        <w:jc w:val="both"/>
        <w:rPr>
          <w:rFonts w:eastAsia="Calibri"/>
          <w:sz w:val="22"/>
          <w:szCs w:val="22"/>
          <w:lang w:val="en-US" w:eastAsia="en-US"/>
        </w:rPr>
      </w:pPr>
      <w:r w:rsidRPr="005A7CAE">
        <w:rPr>
          <w:rFonts w:eastAsia="Calibri"/>
          <w:sz w:val="22"/>
          <w:szCs w:val="22"/>
          <w:lang w:val="en-US" w:eastAsia="en-US"/>
        </w:rPr>
        <w:t xml:space="preserve">The following graph shows the monthly average price for the </w:t>
      </w:r>
      <w:r w:rsidR="009515FF" w:rsidRPr="005A7CAE">
        <w:rPr>
          <w:rFonts w:eastAsia="Calibri"/>
          <w:sz w:val="22"/>
          <w:szCs w:val="22"/>
          <w:lang w:val="en-US" w:eastAsia="en-US"/>
        </w:rPr>
        <w:t xml:space="preserve">contract “ICE EUA Future Dec-21” </w:t>
      </w:r>
      <w:r w:rsidR="00AC3447" w:rsidRPr="005A7CAE">
        <w:rPr>
          <w:rFonts w:eastAsia="Calibri"/>
          <w:sz w:val="22"/>
          <w:szCs w:val="22"/>
          <w:lang w:val="en-US" w:eastAsia="en-US"/>
        </w:rPr>
        <w:t>from</w:t>
      </w:r>
      <w:r w:rsidR="009515FF" w:rsidRPr="005A7CAE">
        <w:rPr>
          <w:rFonts w:eastAsia="Calibri"/>
          <w:sz w:val="22"/>
          <w:szCs w:val="22"/>
          <w:lang w:val="en-US" w:eastAsia="en-US"/>
        </w:rPr>
        <w:t xml:space="preserve"> 2017</w:t>
      </w:r>
      <w:r w:rsidR="0024226B" w:rsidRPr="005A7CAE">
        <w:rPr>
          <w:rFonts w:eastAsia="Calibri"/>
          <w:sz w:val="22"/>
          <w:szCs w:val="22"/>
          <w:lang w:val="en-US" w:eastAsia="en-US"/>
        </w:rPr>
        <w:t xml:space="preserve"> until December 2021</w:t>
      </w:r>
      <w:r w:rsidR="009515FF" w:rsidRPr="005A7CAE">
        <w:rPr>
          <w:rFonts w:eastAsia="Calibri"/>
          <w:sz w:val="22"/>
          <w:szCs w:val="22"/>
          <w:lang w:val="en-US" w:eastAsia="en-US"/>
        </w:rPr>
        <w:t xml:space="preserve">. When compared to </w:t>
      </w:r>
      <w:r w:rsidR="00E47F8F" w:rsidRPr="005A7CAE">
        <w:rPr>
          <w:rFonts w:eastAsia="Calibri"/>
          <w:sz w:val="22"/>
          <w:szCs w:val="22"/>
          <w:lang w:val="en-US" w:eastAsia="en-US"/>
        </w:rPr>
        <w:t xml:space="preserve">the </w:t>
      </w:r>
      <w:r w:rsidR="009515FF" w:rsidRPr="005A7CAE">
        <w:rPr>
          <w:rFonts w:eastAsia="Calibri"/>
          <w:sz w:val="22"/>
          <w:szCs w:val="22"/>
          <w:lang w:val="en-US" w:eastAsia="en-US"/>
        </w:rPr>
        <w:t xml:space="preserve">monthly average price </w:t>
      </w:r>
      <w:r w:rsidR="00E47F8F" w:rsidRPr="005A7CAE">
        <w:rPr>
          <w:rFonts w:eastAsia="Calibri"/>
          <w:sz w:val="22"/>
          <w:szCs w:val="22"/>
          <w:lang w:val="en-US" w:eastAsia="en-US"/>
        </w:rPr>
        <w:t xml:space="preserve">of the December contract in 2012 </w:t>
      </w:r>
      <w:r w:rsidR="009515FF" w:rsidRPr="005A7CAE">
        <w:rPr>
          <w:rFonts w:eastAsia="Calibri"/>
          <w:sz w:val="22"/>
          <w:szCs w:val="22"/>
          <w:lang w:val="en-US" w:eastAsia="en-US"/>
        </w:rPr>
        <w:t>of 7.46€/t, it becomes clear that the contribution of EUA transactions</w:t>
      </w:r>
      <w:r w:rsidR="00E47F8F" w:rsidRPr="005A7CAE">
        <w:rPr>
          <w:rFonts w:eastAsia="Calibri"/>
          <w:sz w:val="22"/>
          <w:szCs w:val="22"/>
          <w:lang w:val="en-US" w:eastAsia="en-US"/>
        </w:rPr>
        <w:t xml:space="preserve"> in 2021</w:t>
      </w:r>
      <w:r w:rsidR="009515FF" w:rsidRPr="005A7CAE">
        <w:rPr>
          <w:rFonts w:eastAsia="Calibri"/>
          <w:sz w:val="22"/>
          <w:szCs w:val="22"/>
          <w:lang w:val="en-US" w:eastAsia="en-US"/>
        </w:rPr>
        <w:t xml:space="preserve"> to the consumption of the EMIR CCT increase</w:t>
      </w:r>
      <w:r w:rsidR="00DB2C6A" w:rsidRPr="005A7CAE">
        <w:rPr>
          <w:rFonts w:eastAsia="Calibri"/>
          <w:sz w:val="22"/>
          <w:szCs w:val="22"/>
          <w:lang w:val="en-US" w:eastAsia="en-US"/>
        </w:rPr>
        <w:t>d</w:t>
      </w:r>
      <w:r w:rsidR="009515FF" w:rsidRPr="005A7CAE">
        <w:rPr>
          <w:rFonts w:eastAsia="Calibri"/>
          <w:sz w:val="22"/>
          <w:szCs w:val="22"/>
          <w:lang w:val="en-US" w:eastAsia="en-US"/>
        </w:rPr>
        <w:t xml:space="preserve"> multiple times</w:t>
      </w:r>
      <w:r w:rsidR="003E5164" w:rsidRPr="005A7CAE">
        <w:rPr>
          <w:rFonts w:eastAsia="Calibri"/>
          <w:sz w:val="22"/>
          <w:szCs w:val="22"/>
          <w:lang w:val="en-US" w:eastAsia="en-US"/>
        </w:rPr>
        <w:t xml:space="preserve"> (December</w:t>
      </w:r>
      <w:r w:rsidR="00387EFD" w:rsidRPr="005A7CAE">
        <w:rPr>
          <w:rFonts w:eastAsia="Calibri"/>
          <w:sz w:val="22"/>
          <w:szCs w:val="22"/>
          <w:lang w:val="en-US" w:eastAsia="en-US"/>
        </w:rPr>
        <w:t xml:space="preserve"> 202</w:t>
      </w:r>
      <w:r w:rsidR="00DD6481" w:rsidRPr="005A7CAE">
        <w:rPr>
          <w:rFonts w:eastAsia="Calibri"/>
          <w:sz w:val="22"/>
          <w:szCs w:val="22"/>
          <w:lang w:val="en-US" w:eastAsia="en-US"/>
        </w:rPr>
        <w:t>1</w:t>
      </w:r>
      <w:r w:rsidR="003E5164" w:rsidRPr="005A7CAE">
        <w:rPr>
          <w:rFonts w:eastAsia="Calibri"/>
          <w:sz w:val="22"/>
          <w:szCs w:val="22"/>
          <w:lang w:val="en-US" w:eastAsia="en-US"/>
        </w:rPr>
        <w:t xml:space="preserve"> </w:t>
      </w:r>
      <w:r w:rsidR="00CF706A" w:rsidRPr="005A7CAE">
        <w:rPr>
          <w:rFonts w:eastAsia="Calibri"/>
          <w:sz w:val="22"/>
          <w:szCs w:val="22"/>
          <w:lang w:val="en-US" w:eastAsia="en-US"/>
        </w:rPr>
        <w:t xml:space="preserve">at least </w:t>
      </w:r>
      <w:r w:rsidR="00AC3447" w:rsidRPr="005A7CAE">
        <w:rPr>
          <w:rFonts w:eastAsia="Calibri"/>
          <w:sz w:val="22"/>
          <w:szCs w:val="22"/>
          <w:lang w:val="en-US" w:eastAsia="en-US"/>
        </w:rPr>
        <w:t>a</w:t>
      </w:r>
      <w:r w:rsidR="003E5164" w:rsidRPr="005A7CAE">
        <w:rPr>
          <w:rFonts w:eastAsia="Calibri"/>
          <w:sz w:val="22"/>
          <w:szCs w:val="22"/>
          <w:lang w:val="en-US" w:eastAsia="en-US"/>
        </w:rPr>
        <w:t xml:space="preserve"> factor</w:t>
      </w:r>
      <w:r w:rsidR="00AC3447" w:rsidRPr="005A7CAE">
        <w:rPr>
          <w:rFonts w:eastAsia="Calibri"/>
          <w:sz w:val="22"/>
          <w:szCs w:val="22"/>
          <w:lang w:val="en-US" w:eastAsia="en-US"/>
        </w:rPr>
        <w:t xml:space="preserve"> of</w:t>
      </w:r>
      <w:r w:rsidR="003E5164" w:rsidRPr="005A7CAE">
        <w:rPr>
          <w:rFonts w:eastAsia="Calibri"/>
          <w:sz w:val="22"/>
          <w:szCs w:val="22"/>
          <w:lang w:val="en-US" w:eastAsia="en-US"/>
        </w:rPr>
        <w:t xml:space="preserve"> </w:t>
      </w:r>
      <w:r w:rsidR="00387EFD" w:rsidRPr="005A7CAE">
        <w:rPr>
          <w:rFonts w:eastAsia="Calibri"/>
          <w:sz w:val="22"/>
          <w:szCs w:val="22"/>
          <w:lang w:val="en-US" w:eastAsia="en-US"/>
        </w:rPr>
        <w:t>8</w:t>
      </w:r>
      <w:r w:rsidR="003E5164" w:rsidRPr="005A7CAE">
        <w:rPr>
          <w:rFonts w:eastAsia="Calibri"/>
          <w:sz w:val="22"/>
          <w:szCs w:val="22"/>
          <w:lang w:val="en-US" w:eastAsia="en-US"/>
        </w:rPr>
        <w:t>)</w:t>
      </w:r>
      <w:r w:rsidR="009515FF" w:rsidRPr="005A7CAE">
        <w:rPr>
          <w:rFonts w:eastAsia="Calibri"/>
          <w:sz w:val="22"/>
          <w:szCs w:val="22"/>
          <w:lang w:val="en-US" w:eastAsia="en-US"/>
        </w:rPr>
        <w:t>.</w:t>
      </w:r>
    </w:p>
    <w:p w14:paraId="5FE0FCEB" w14:textId="321654C3" w:rsidR="00387EFD" w:rsidRPr="00AC3447" w:rsidRDefault="00387EFD" w:rsidP="005070CC">
      <w:pPr>
        <w:spacing w:before="120" w:after="120"/>
        <w:ind w:left="357"/>
        <w:jc w:val="both"/>
        <w:rPr>
          <w:rFonts w:eastAsia="Calibri"/>
          <w:sz w:val="22"/>
          <w:szCs w:val="22"/>
          <w:lang w:val="en-US" w:eastAsia="en-US"/>
        </w:rPr>
      </w:pPr>
      <w:r w:rsidRPr="00AC3447">
        <w:rPr>
          <w:rFonts w:eastAsia="Calibri"/>
          <w:sz w:val="22"/>
          <w:szCs w:val="22"/>
          <w:lang w:val="en-US" w:eastAsia="en-US"/>
        </w:rPr>
        <w:t xml:space="preserve">Graph </w:t>
      </w:r>
      <w:r w:rsidR="008C34B8" w:rsidRPr="00AC3447">
        <w:rPr>
          <w:rFonts w:eastAsia="Calibri"/>
          <w:sz w:val="22"/>
          <w:szCs w:val="22"/>
          <w:lang w:val="en-US" w:eastAsia="en-US"/>
        </w:rPr>
        <w:t>1</w:t>
      </w:r>
      <w:r w:rsidRPr="00AC3447">
        <w:rPr>
          <w:rFonts w:eastAsia="Calibri"/>
          <w:sz w:val="22"/>
          <w:szCs w:val="22"/>
          <w:lang w:val="en-US" w:eastAsia="en-US"/>
        </w:rPr>
        <w:t>: EUA ICE Future: Dec-21 monthly average</w:t>
      </w:r>
    </w:p>
    <w:p w14:paraId="7D36BBE2" w14:textId="37D2B7E0" w:rsidR="00387EFD" w:rsidRDefault="00387EFD" w:rsidP="005070CC">
      <w:pPr>
        <w:spacing w:before="120" w:after="120"/>
        <w:ind w:left="357"/>
        <w:jc w:val="both"/>
        <w:rPr>
          <w:rFonts w:eastAsia="Calibri"/>
          <w:color w:val="FF0000"/>
          <w:sz w:val="22"/>
          <w:szCs w:val="22"/>
          <w:lang w:val="en-US" w:eastAsia="en-US"/>
        </w:rPr>
      </w:pPr>
      <w:r>
        <w:rPr>
          <w:noProof/>
        </w:rPr>
        <w:drawing>
          <wp:inline distT="0" distB="0" distL="0" distR="0" wp14:anchorId="29E4E012" wp14:editId="4C3CA54C">
            <wp:extent cx="5976620" cy="2714931"/>
            <wp:effectExtent l="0" t="0" r="5080" b="0"/>
            <wp:docPr id="10" name="Chart 10">
              <a:extLst xmlns:a="http://schemas.openxmlformats.org/drawingml/2006/main">
                <a:ext uri="{FF2B5EF4-FFF2-40B4-BE49-F238E27FC236}">
                  <a16:creationId xmlns:a16="http://schemas.microsoft.com/office/drawing/2014/main" id="{CA9AF641-EF68-4C37-B650-55D75AC1E7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8B1C915" w14:textId="77777777" w:rsidR="00ED55E5" w:rsidRPr="00AC3447" w:rsidRDefault="00ED55E5" w:rsidP="00ED55E5">
      <w:pPr>
        <w:spacing w:before="120" w:after="120"/>
        <w:ind w:left="357"/>
        <w:jc w:val="both"/>
        <w:rPr>
          <w:rFonts w:eastAsia="Calibri"/>
          <w:sz w:val="22"/>
          <w:szCs w:val="22"/>
          <w:lang w:val="en-US" w:eastAsia="en-US"/>
        </w:rPr>
      </w:pPr>
      <w:r w:rsidRPr="00AC3447">
        <w:rPr>
          <w:rFonts w:eastAsia="Calibri"/>
          <w:sz w:val="22"/>
          <w:szCs w:val="22"/>
          <w:lang w:val="en-US" w:eastAsia="en-US"/>
        </w:rPr>
        <w:t>Source: Bloomberg</w:t>
      </w:r>
    </w:p>
    <w:p w14:paraId="614876D9" w14:textId="29AC1414" w:rsidR="002E5549" w:rsidRPr="00AC3447" w:rsidRDefault="002E5549" w:rsidP="00FC6BFF">
      <w:pPr>
        <w:pageBreakBefore/>
        <w:spacing w:before="120" w:after="120"/>
        <w:ind w:left="357"/>
        <w:jc w:val="both"/>
        <w:rPr>
          <w:rFonts w:eastAsia="Calibri"/>
          <w:b/>
          <w:bCs/>
          <w:sz w:val="22"/>
          <w:szCs w:val="22"/>
          <w:lang w:val="en-US" w:eastAsia="en-US"/>
        </w:rPr>
      </w:pPr>
      <w:r w:rsidRPr="00AC3447">
        <w:rPr>
          <w:rFonts w:eastAsia="Calibri"/>
          <w:b/>
          <w:bCs/>
          <w:sz w:val="22"/>
          <w:szCs w:val="22"/>
          <w:lang w:val="en-US" w:eastAsia="en-US"/>
        </w:rPr>
        <w:lastRenderedPageBreak/>
        <w:t>Impact of power price developments:</w:t>
      </w:r>
    </w:p>
    <w:p w14:paraId="4BCF8CF5" w14:textId="4FEDFFDA" w:rsidR="00ED55E5" w:rsidRPr="00A46EF7" w:rsidRDefault="00DB2C6A" w:rsidP="003F4994">
      <w:pPr>
        <w:spacing w:before="120" w:after="120"/>
        <w:ind w:left="357"/>
        <w:jc w:val="both"/>
        <w:rPr>
          <w:rFonts w:eastAsia="Calibri"/>
          <w:sz w:val="22"/>
          <w:szCs w:val="22"/>
          <w:lang w:val="en-US" w:eastAsia="en-US"/>
        </w:rPr>
      </w:pPr>
      <w:r w:rsidRPr="00A46EF7">
        <w:rPr>
          <w:rFonts w:eastAsia="Calibri"/>
          <w:sz w:val="22"/>
          <w:szCs w:val="22"/>
          <w:lang w:val="en-US" w:eastAsia="en-US"/>
        </w:rPr>
        <w:t>The graph below shows a similar picture for the power price developments</w:t>
      </w:r>
      <w:r w:rsidR="00D15F96" w:rsidRPr="00A46EF7">
        <w:rPr>
          <w:rFonts w:eastAsia="Calibri"/>
          <w:sz w:val="22"/>
          <w:szCs w:val="22"/>
          <w:lang w:val="en-US" w:eastAsia="en-US"/>
        </w:rPr>
        <w:t xml:space="preserve"> based on a widely used benchmark contract</w:t>
      </w:r>
      <w:r w:rsidRPr="00A46EF7">
        <w:rPr>
          <w:rFonts w:eastAsia="Calibri"/>
          <w:sz w:val="22"/>
          <w:szCs w:val="22"/>
          <w:lang w:val="en-US" w:eastAsia="en-US"/>
        </w:rPr>
        <w:t xml:space="preserve">. This graph shows the </w:t>
      </w:r>
      <w:r w:rsidR="00685D73" w:rsidRPr="00A46EF7">
        <w:rPr>
          <w:rFonts w:eastAsia="Calibri"/>
          <w:sz w:val="22"/>
          <w:szCs w:val="22"/>
          <w:lang w:val="en-US" w:eastAsia="en-US"/>
        </w:rPr>
        <w:t>monthly average</w:t>
      </w:r>
      <w:r w:rsidRPr="00A46EF7">
        <w:rPr>
          <w:rFonts w:eastAsia="Calibri"/>
          <w:sz w:val="22"/>
          <w:szCs w:val="22"/>
          <w:lang w:val="en-US" w:eastAsia="en-US"/>
        </w:rPr>
        <w:t xml:space="preserve"> price for the contract “</w:t>
      </w:r>
      <w:r w:rsidR="00685D73" w:rsidRPr="00A46EF7">
        <w:rPr>
          <w:rFonts w:eastAsia="Calibri"/>
          <w:sz w:val="22"/>
          <w:szCs w:val="22"/>
          <w:lang w:val="en-US" w:eastAsia="en-US"/>
        </w:rPr>
        <w:t>EEX Future Power Base Cal-22</w:t>
      </w:r>
      <w:r w:rsidRPr="00A46EF7">
        <w:rPr>
          <w:rFonts w:eastAsia="Calibri"/>
          <w:sz w:val="22"/>
          <w:szCs w:val="22"/>
          <w:lang w:val="en-US" w:eastAsia="en-US"/>
        </w:rPr>
        <w:t xml:space="preserve">” </w:t>
      </w:r>
      <w:r w:rsidR="004D188F" w:rsidRPr="00A46EF7">
        <w:rPr>
          <w:rFonts w:eastAsia="Calibri"/>
          <w:sz w:val="22"/>
          <w:szCs w:val="22"/>
          <w:lang w:val="en-US" w:eastAsia="en-US"/>
        </w:rPr>
        <w:t>from</w:t>
      </w:r>
      <w:r w:rsidRPr="00A46EF7">
        <w:rPr>
          <w:rFonts w:eastAsia="Calibri"/>
          <w:sz w:val="22"/>
          <w:szCs w:val="22"/>
          <w:lang w:val="en-US" w:eastAsia="en-US"/>
        </w:rPr>
        <w:t xml:space="preserve"> January</w:t>
      </w:r>
      <w:r w:rsidR="0024226B" w:rsidRPr="00A46EF7">
        <w:rPr>
          <w:rFonts w:eastAsia="Calibri"/>
          <w:sz w:val="22"/>
          <w:szCs w:val="22"/>
          <w:lang w:val="en-US" w:eastAsia="en-US"/>
        </w:rPr>
        <w:t xml:space="preserve"> un</w:t>
      </w:r>
      <w:r w:rsidR="004D188F" w:rsidRPr="00A46EF7">
        <w:rPr>
          <w:rFonts w:eastAsia="Calibri"/>
          <w:sz w:val="22"/>
          <w:szCs w:val="22"/>
          <w:lang w:val="en-US" w:eastAsia="en-US"/>
        </w:rPr>
        <w:t>til</w:t>
      </w:r>
      <w:r w:rsidR="0024226B" w:rsidRPr="00A46EF7">
        <w:rPr>
          <w:rFonts w:eastAsia="Calibri"/>
          <w:sz w:val="22"/>
          <w:szCs w:val="22"/>
          <w:lang w:val="en-US" w:eastAsia="en-US"/>
        </w:rPr>
        <w:t xml:space="preserve"> December</w:t>
      </w:r>
      <w:r w:rsidRPr="00A46EF7">
        <w:rPr>
          <w:rFonts w:eastAsia="Calibri"/>
          <w:sz w:val="22"/>
          <w:szCs w:val="22"/>
          <w:lang w:val="en-US" w:eastAsia="en-US"/>
        </w:rPr>
        <w:t xml:space="preserve"> 2021. When compared to the </w:t>
      </w:r>
      <w:r w:rsidR="009F7F00" w:rsidRPr="00A46EF7">
        <w:rPr>
          <w:rFonts w:eastAsia="Calibri"/>
          <w:sz w:val="22"/>
          <w:szCs w:val="22"/>
          <w:lang w:val="en-US" w:eastAsia="en-US"/>
        </w:rPr>
        <w:t>monthly average</w:t>
      </w:r>
      <w:r w:rsidRPr="00A46EF7">
        <w:rPr>
          <w:rFonts w:eastAsia="Calibri"/>
          <w:sz w:val="22"/>
          <w:szCs w:val="22"/>
          <w:lang w:val="en-US" w:eastAsia="en-US"/>
        </w:rPr>
        <w:t xml:space="preserve"> price of </w:t>
      </w:r>
      <w:r w:rsidR="00CF706A" w:rsidRPr="00A46EF7">
        <w:rPr>
          <w:rFonts w:eastAsia="Calibri"/>
          <w:sz w:val="22"/>
          <w:szCs w:val="22"/>
          <w:lang w:val="en-US" w:eastAsia="en-US"/>
        </w:rPr>
        <w:t>€</w:t>
      </w:r>
      <w:r w:rsidR="009F7F00" w:rsidRPr="00A46EF7">
        <w:rPr>
          <w:rFonts w:eastAsia="Calibri"/>
          <w:sz w:val="22"/>
          <w:szCs w:val="22"/>
          <w:lang w:val="en-US" w:eastAsia="en-US"/>
        </w:rPr>
        <w:t>45,50/MWh</w:t>
      </w:r>
      <w:r w:rsidRPr="00A46EF7">
        <w:rPr>
          <w:rFonts w:eastAsia="Calibri"/>
          <w:sz w:val="22"/>
          <w:szCs w:val="22"/>
          <w:lang w:val="en-US" w:eastAsia="en-US"/>
        </w:rPr>
        <w:t xml:space="preserve"> in</w:t>
      </w:r>
      <w:r w:rsidR="007E6F89" w:rsidRPr="00A46EF7">
        <w:rPr>
          <w:rFonts w:eastAsia="Calibri"/>
          <w:sz w:val="22"/>
          <w:szCs w:val="22"/>
          <w:lang w:val="en-US" w:eastAsia="en-US"/>
        </w:rPr>
        <w:t xml:space="preserve"> December</w:t>
      </w:r>
      <w:r w:rsidRPr="00A46EF7">
        <w:rPr>
          <w:rFonts w:eastAsia="Calibri"/>
          <w:sz w:val="22"/>
          <w:szCs w:val="22"/>
          <w:lang w:val="en-US" w:eastAsia="en-US"/>
        </w:rPr>
        <w:t xml:space="preserve"> 2012</w:t>
      </w:r>
      <w:r w:rsidR="007E6F89" w:rsidRPr="00A46EF7">
        <w:rPr>
          <w:rFonts w:eastAsia="Calibri"/>
          <w:sz w:val="22"/>
          <w:szCs w:val="22"/>
          <w:lang w:val="en-US" w:eastAsia="en-US"/>
        </w:rPr>
        <w:t xml:space="preserve"> for the Cal-13 contract</w:t>
      </w:r>
      <w:r w:rsidRPr="00A46EF7">
        <w:rPr>
          <w:rFonts w:eastAsia="Calibri"/>
          <w:sz w:val="22"/>
          <w:szCs w:val="22"/>
          <w:lang w:val="en-US" w:eastAsia="en-US"/>
        </w:rPr>
        <w:t xml:space="preserve">, it becomes clear that the contribution of power </w:t>
      </w:r>
      <w:r w:rsidR="003F4994" w:rsidRPr="00A46EF7">
        <w:rPr>
          <w:rFonts w:eastAsia="Calibri"/>
          <w:sz w:val="22"/>
          <w:szCs w:val="22"/>
          <w:lang w:val="en-US" w:eastAsia="en-US"/>
        </w:rPr>
        <w:t xml:space="preserve">OTC </w:t>
      </w:r>
      <w:r w:rsidRPr="00A46EF7">
        <w:rPr>
          <w:rFonts w:eastAsia="Calibri"/>
          <w:sz w:val="22"/>
          <w:szCs w:val="22"/>
          <w:lang w:val="en-US" w:eastAsia="en-US"/>
        </w:rPr>
        <w:t xml:space="preserve">transactions to the consumption of the EMIR CCT increased multiple times (December 2022 </w:t>
      </w:r>
      <w:r w:rsidR="00CF706A" w:rsidRPr="00A46EF7">
        <w:rPr>
          <w:rFonts w:eastAsia="Calibri"/>
          <w:sz w:val="22"/>
          <w:szCs w:val="22"/>
          <w:lang w:val="en-US" w:eastAsia="en-US"/>
        </w:rPr>
        <w:t xml:space="preserve">at least </w:t>
      </w:r>
      <w:r w:rsidRPr="00A46EF7">
        <w:rPr>
          <w:rFonts w:eastAsia="Calibri"/>
          <w:sz w:val="22"/>
          <w:szCs w:val="22"/>
          <w:lang w:val="en-US" w:eastAsia="en-US"/>
        </w:rPr>
        <w:t xml:space="preserve">by </w:t>
      </w:r>
      <w:r w:rsidR="00AC3447" w:rsidRPr="00A46EF7">
        <w:rPr>
          <w:rFonts w:eastAsia="Calibri"/>
          <w:sz w:val="22"/>
          <w:szCs w:val="22"/>
          <w:lang w:val="en-US" w:eastAsia="en-US"/>
        </w:rPr>
        <w:t xml:space="preserve">a </w:t>
      </w:r>
      <w:r w:rsidRPr="00A46EF7">
        <w:rPr>
          <w:rFonts w:eastAsia="Calibri"/>
          <w:sz w:val="22"/>
          <w:szCs w:val="22"/>
          <w:lang w:val="en-US" w:eastAsia="en-US"/>
        </w:rPr>
        <w:t>factor</w:t>
      </w:r>
      <w:r w:rsidR="00AC3447" w:rsidRPr="00A46EF7">
        <w:rPr>
          <w:rFonts w:eastAsia="Calibri"/>
          <w:sz w:val="22"/>
          <w:szCs w:val="22"/>
          <w:lang w:val="en-US" w:eastAsia="en-US"/>
        </w:rPr>
        <w:t xml:space="preserve"> of</w:t>
      </w:r>
      <w:r w:rsidRPr="00A46EF7">
        <w:rPr>
          <w:rFonts w:eastAsia="Calibri"/>
          <w:sz w:val="22"/>
          <w:szCs w:val="22"/>
          <w:lang w:val="en-US" w:eastAsia="en-US"/>
        </w:rPr>
        <w:t xml:space="preserve"> </w:t>
      </w:r>
      <w:r w:rsidR="00CF706A" w:rsidRPr="00A46EF7">
        <w:rPr>
          <w:rFonts w:eastAsia="Calibri"/>
          <w:sz w:val="22"/>
          <w:szCs w:val="22"/>
          <w:lang w:val="en-US" w:eastAsia="en-US"/>
        </w:rPr>
        <w:t>4</w:t>
      </w:r>
      <w:r w:rsidRPr="00A46EF7">
        <w:rPr>
          <w:rFonts w:eastAsia="Calibri"/>
          <w:sz w:val="22"/>
          <w:szCs w:val="22"/>
          <w:lang w:val="en-US" w:eastAsia="en-US"/>
        </w:rPr>
        <w:t>).</w:t>
      </w:r>
      <w:r w:rsidR="0082108F" w:rsidRPr="00A46EF7">
        <w:rPr>
          <w:rFonts w:eastAsia="Calibri"/>
          <w:sz w:val="22"/>
          <w:szCs w:val="22"/>
          <w:lang w:val="en-US" w:eastAsia="en-US"/>
        </w:rPr>
        <w:t xml:space="preserve"> However, the </w:t>
      </w:r>
      <w:r w:rsidR="00FD6383" w:rsidRPr="00A46EF7">
        <w:rPr>
          <w:rFonts w:eastAsia="Calibri"/>
          <w:sz w:val="22"/>
          <w:szCs w:val="22"/>
          <w:lang w:val="en-US" w:eastAsia="en-US"/>
        </w:rPr>
        <w:t>End-of-Day price</w:t>
      </w:r>
      <w:r w:rsidR="000C263C" w:rsidRPr="00A46EF7">
        <w:rPr>
          <w:rFonts w:eastAsia="Calibri"/>
          <w:sz w:val="22"/>
          <w:szCs w:val="22"/>
          <w:lang w:val="en-US" w:eastAsia="en-US"/>
        </w:rPr>
        <w:t xml:space="preserve"> of</w:t>
      </w:r>
      <w:r w:rsidR="0082108F" w:rsidRPr="00A46EF7">
        <w:rPr>
          <w:rFonts w:eastAsia="Calibri"/>
          <w:sz w:val="22"/>
          <w:szCs w:val="22"/>
          <w:lang w:val="en-US" w:eastAsia="en-US"/>
        </w:rPr>
        <w:t xml:space="preserve"> 22</w:t>
      </w:r>
      <w:r w:rsidR="00AC3447" w:rsidRPr="00A46EF7">
        <w:rPr>
          <w:rFonts w:eastAsia="Calibri"/>
          <w:sz w:val="22"/>
          <w:szCs w:val="22"/>
          <w:lang w:val="en-US" w:eastAsia="en-US"/>
        </w:rPr>
        <w:t xml:space="preserve"> Dec 2021</w:t>
      </w:r>
      <w:r w:rsidR="0082108F" w:rsidRPr="00A46EF7">
        <w:rPr>
          <w:rFonts w:eastAsia="Calibri"/>
          <w:sz w:val="22"/>
          <w:szCs w:val="22"/>
          <w:lang w:val="en-US" w:eastAsia="en-US"/>
        </w:rPr>
        <w:t xml:space="preserve"> is closed at </w:t>
      </w:r>
      <w:r w:rsidR="00AC3447" w:rsidRPr="00A46EF7">
        <w:rPr>
          <w:rFonts w:eastAsia="Calibri"/>
          <w:sz w:val="22"/>
          <w:szCs w:val="22"/>
          <w:lang w:val="en-US" w:eastAsia="en-US"/>
        </w:rPr>
        <w:t>€</w:t>
      </w:r>
      <w:r w:rsidR="0082108F" w:rsidRPr="00A46EF7">
        <w:rPr>
          <w:rFonts w:eastAsia="Calibri"/>
          <w:sz w:val="22"/>
          <w:szCs w:val="22"/>
          <w:lang w:val="en-US" w:eastAsia="en-US"/>
        </w:rPr>
        <w:t>325,16/MWh (hence, a</w:t>
      </w:r>
      <w:r w:rsidR="000C263C" w:rsidRPr="00A46EF7">
        <w:rPr>
          <w:rFonts w:eastAsia="Calibri"/>
          <w:sz w:val="22"/>
          <w:szCs w:val="22"/>
          <w:lang w:val="en-US" w:eastAsia="en-US"/>
        </w:rPr>
        <w:t xml:space="preserve"> </w:t>
      </w:r>
      <w:r w:rsidR="00D556D9" w:rsidRPr="00A46EF7">
        <w:rPr>
          <w:rFonts w:eastAsia="Calibri"/>
          <w:sz w:val="22"/>
          <w:szCs w:val="22"/>
          <w:lang w:val="en-US" w:eastAsia="en-US"/>
        </w:rPr>
        <w:t>multiplication</w:t>
      </w:r>
      <w:r w:rsidR="0082108F" w:rsidRPr="00A46EF7">
        <w:rPr>
          <w:rFonts w:eastAsia="Calibri"/>
          <w:sz w:val="22"/>
          <w:szCs w:val="22"/>
          <w:lang w:val="en-US" w:eastAsia="en-US"/>
        </w:rPr>
        <w:t xml:space="preserve"> factor of 7).</w:t>
      </w:r>
    </w:p>
    <w:p w14:paraId="36CAAB2B" w14:textId="75CB8833" w:rsidR="00387EFD" w:rsidRPr="00AC3447" w:rsidRDefault="008C34B8" w:rsidP="002E7CFF">
      <w:pPr>
        <w:spacing w:before="120" w:after="120"/>
        <w:ind w:left="357"/>
        <w:jc w:val="both"/>
        <w:rPr>
          <w:rFonts w:eastAsia="Calibri"/>
          <w:b/>
          <w:bCs/>
          <w:i/>
          <w:iCs/>
          <w:sz w:val="22"/>
          <w:szCs w:val="22"/>
          <w:lang w:val="en-US" w:eastAsia="en-US"/>
        </w:rPr>
      </w:pPr>
      <w:r w:rsidRPr="00AC3447">
        <w:rPr>
          <w:rFonts w:eastAsia="Calibri"/>
          <w:b/>
          <w:bCs/>
          <w:i/>
          <w:iCs/>
          <w:sz w:val="22"/>
          <w:szCs w:val="22"/>
          <w:lang w:val="en-US" w:eastAsia="en-US"/>
        </w:rPr>
        <w:t>Graph 2: EEX Future Power Base Cal-22 monthly average</w:t>
      </w:r>
      <w:r w:rsidR="00ED55E5" w:rsidRPr="00AC3447">
        <w:rPr>
          <w:rFonts w:eastAsia="Calibri"/>
          <w:b/>
          <w:bCs/>
          <w:i/>
          <w:iCs/>
          <w:sz w:val="22"/>
          <w:szCs w:val="22"/>
          <w:lang w:val="en-US" w:eastAsia="en-US"/>
        </w:rPr>
        <w:t xml:space="preserve"> </w:t>
      </w:r>
    </w:p>
    <w:p w14:paraId="58C24A4A" w14:textId="480D2B49" w:rsidR="00387EFD" w:rsidRDefault="008C34B8" w:rsidP="002E7CFF">
      <w:pPr>
        <w:spacing w:before="120" w:after="120"/>
        <w:ind w:left="357"/>
        <w:jc w:val="both"/>
        <w:rPr>
          <w:rFonts w:eastAsia="Calibri"/>
          <w:color w:val="FF0000"/>
          <w:sz w:val="22"/>
          <w:szCs w:val="22"/>
          <w:lang w:val="en-US" w:eastAsia="en-US"/>
        </w:rPr>
      </w:pPr>
      <w:r>
        <w:rPr>
          <w:noProof/>
          <w:color w:val="000000"/>
          <w:sz w:val="24"/>
        </w:rPr>
        <w:drawing>
          <wp:inline distT="0" distB="0" distL="0" distR="0" wp14:anchorId="42DB6FD3" wp14:editId="7F793B5C">
            <wp:extent cx="5976620" cy="3597275"/>
            <wp:effectExtent l="0" t="0" r="5080" b="317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5976620" cy="3597275"/>
                    </a:xfrm>
                    <a:prstGeom prst="rect">
                      <a:avLst/>
                    </a:prstGeom>
                    <a:noFill/>
                    <a:ln>
                      <a:noFill/>
                    </a:ln>
                  </pic:spPr>
                </pic:pic>
              </a:graphicData>
            </a:graphic>
          </wp:inline>
        </w:drawing>
      </w:r>
    </w:p>
    <w:p w14:paraId="3C425BA6" w14:textId="5F2D0DAC" w:rsidR="003F4994" w:rsidRPr="00AC3447" w:rsidRDefault="003F4994" w:rsidP="002E7CFF">
      <w:pPr>
        <w:spacing w:before="120" w:after="120"/>
        <w:ind w:left="357"/>
        <w:jc w:val="both"/>
        <w:rPr>
          <w:rFonts w:eastAsia="Calibri"/>
          <w:sz w:val="22"/>
          <w:szCs w:val="22"/>
          <w:lang w:val="en-US" w:eastAsia="en-US"/>
        </w:rPr>
      </w:pPr>
      <w:r w:rsidRPr="00AC3447">
        <w:rPr>
          <w:rFonts w:eastAsia="Calibri"/>
          <w:sz w:val="22"/>
          <w:szCs w:val="22"/>
          <w:lang w:val="en-US" w:eastAsia="en-US"/>
        </w:rPr>
        <w:t xml:space="preserve">Source: </w:t>
      </w:r>
      <w:r w:rsidR="00CF706A" w:rsidRPr="00AC3447">
        <w:rPr>
          <w:rFonts w:eastAsia="Calibri"/>
          <w:sz w:val="22"/>
          <w:szCs w:val="22"/>
          <w:lang w:val="en-US" w:eastAsia="en-US"/>
        </w:rPr>
        <w:t>EEX</w:t>
      </w:r>
    </w:p>
    <w:p w14:paraId="632385ED" w14:textId="57DB067D" w:rsidR="002E5549" w:rsidRPr="00AC3447" w:rsidRDefault="002E5549" w:rsidP="003F4994">
      <w:pPr>
        <w:pageBreakBefore/>
        <w:spacing w:before="120" w:after="120"/>
        <w:ind w:left="357"/>
        <w:jc w:val="both"/>
        <w:rPr>
          <w:rFonts w:eastAsia="Calibri"/>
          <w:b/>
          <w:bCs/>
          <w:sz w:val="22"/>
          <w:szCs w:val="22"/>
          <w:lang w:val="en-US" w:eastAsia="en-US"/>
        </w:rPr>
      </w:pPr>
      <w:r w:rsidRPr="00AC3447">
        <w:rPr>
          <w:rFonts w:eastAsia="Calibri"/>
          <w:b/>
          <w:bCs/>
          <w:sz w:val="22"/>
          <w:szCs w:val="22"/>
          <w:lang w:val="en-US" w:eastAsia="en-US"/>
        </w:rPr>
        <w:lastRenderedPageBreak/>
        <w:t>Impact of gas price developments:</w:t>
      </w:r>
    </w:p>
    <w:p w14:paraId="5849AF80" w14:textId="3C606132" w:rsidR="0024226B" w:rsidRPr="00A46EF7" w:rsidRDefault="00566549" w:rsidP="003F4994">
      <w:pPr>
        <w:spacing w:before="120" w:after="120"/>
        <w:ind w:left="357"/>
        <w:jc w:val="both"/>
        <w:rPr>
          <w:rFonts w:eastAsia="Calibri"/>
          <w:sz w:val="22"/>
          <w:szCs w:val="22"/>
          <w:lang w:val="en-US" w:eastAsia="en-US"/>
        </w:rPr>
      </w:pPr>
      <w:r w:rsidRPr="00A46EF7">
        <w:rPr>
          <w:rFonts w:eastAsia="Calibri"/>
          <w:sz w:val="22"/>
          <w:szCs w:val="22"/>
          <w:lang w:val="en-US" w:eastAsia="en-US"/>
        </w:rPr>
        <w:t xml:space="preserve">The graph below shows a similar picture for the </w:t>
      </w:r>
      <w:r w:rsidR="00FF0178" w:rsidRPr="00A46EF7">
        <w:rPr>
          <w:rFonts w:eastAsia="Calibri"/>
          <w:sz w:val="22"/>
          <w:szCs w:val="22"/>
          <w:lang w:val="en-US" w:eastAsia="en-US"/>
        </w:rPr>
        <w:t>gas</w:t>
      </w:r>
      <w:r w:rsidRPr="00A46EF7">
        <w:rPr>
          <w:rFonts w:eastAsia="Calibri"/>
          <w:sz w:val="22"/>
          <w:szCs w:val="22"/>
          <w:lang w:val="en-US" w:eastAsia="en-US"/>
        </w:rPr>
        <w:t xml:space="preserve"> price developments</w:t>
      </w:r>
      <w:r w:rsidR="00D15F96" w:rsidRPr="00A46EF7">
        <w:rPr>
          <w:rFonts w:eastAsia="Calibri"/>
          <w:sz w:val="22"/>
          <w:szCs w:val="22"/>
          <w:lang w:val="en-US" w:eastAsia="en-US"/>
        </w:rPr>
        <w:t xml:space="preserve"> based on a widely used benchmark contract</w:t>
      </w:r>
      <w:r w:rsidRPr="00A46EF7">
        <w:rPr>
          <w:rFonts w:eastAsia="Calibri"/>
          <w:sz w:val="22"/>
          <w:szCs w:val="22"/>
          <w:lang w:val="en-US" w:eastAsia="en-US"/>
        </w:rPr>
        <w:t xml:space="preserve">. This graph shows the </w:t>
      </w:r>
      <w:r w:rsidR="004D188F" w:rsidRPr="00A46EF7">
        <w:rPr>
          <w:rFonts w:eastAsia="Calibri"/>
          <w:sz w:val="22"/>
          <w:szCs w:val="22"/>
          <w:lang w:val="en-US" w:eastAsia="en-US"/>
        </w:rPr>
        <w:t>monthly average</w:t>
      </w:r>
      <w:r w:rsidRPr="00A46EF7">
        <w:rPr>
          <w:rFonts w:eastAsia="Calibri"/>
          <w:sz w:val="22"/>
          <w:szCs w:val="22"/>
          <w:lang w:val="en-US" w:eastAsia="en-US"/>
        </w:rPr>
        <w:t xml:space="preserve"> price for the contract “</w:t>
      </w:r>
      <w:r w:rsidR="00D57C37" w:rsidRPr="00A46EF7">
        <w:rPr>
          <w:rFonts w:eastAsia="Calibri"/>
          <w:sz w:val="22"/>
          <w:szCs w:val="22"/>
          <w:lang w:val="en-US" w:eastAsia="en-US"/>
        </w:rPr>
        <w:t>Gas TTF Forward Cal</w:t>
      </w:r>
      <w:r w:rsidR="008C34B8" w:rsidRPr="00A46EF7">
        <w:rPr>
          <w:rFonts w:eastAsia="Calibri"/>
          <w:sz w:val="22"/>
          <w:szCs w:val="22"/>
          <w:lang w:val="en-US" w:eastAsia="en-US"/>
        </w:rPr>
        <w:t>-</w:t>
      </w:r>
      <w:r w:rsidR="00D57C37" w:rsidRPr="00A46EF7">
        <w:rPr>
          <w:rFonts w:eastAsia="Calibri"/>
          <w:sz w:val="22"/>
          <w:szCs w:val="22"/>
          <w:lang w:val="en-US" w:eastAsia="en-US"/>
        </w:rPr>
        <w:t>22</w:t>
      </w:r>
      <w:r w:rsidRPr="00A46EF7">
        <w:rPr>
          <w:rFonts w:eastAsia="Calibri"/>
          <w:sz w:val="22"/>
          <w:szCs w:val="22"/>
          <w:lang w:val="en-US" w:eastAsia="en-US"/>
        </w:rPr>
        <w:t xml:space="preserve">” </w:t>
      </w:r>
      <w:r w:rsidR="004D188F" w:rsidRPr="00A46EF7">
        <w:rPr>
          <w:rFonts w:eastAsia="Calibri"/>
          <w:sz w:val="22"/>
          <w:szCs w:val="22"/>
          <w:lang w:val="en-US" w:eastAsia="en-US"/>
        </w:rPr>
        <w:t>from</w:t>
      </w:r>
      <w:r w:rsidRPr="00A46EF7">
        <w:rPr>
          <w:rFonts w:eastAsia="Calibri"/>
          <w:sz w:val="22"/>
          <w:szCs w:val="22"/>
          <w:lang w:val="en-US" w:eastAsia="en-US"/>
        </w:rPr>
        <w:t xml:space="preserve"> January</w:t>
      </w:r>
      <w:r w:rsidR="0024226B" w:rsidRPr="00A46EF7">
        <w:rPr>
          <w:rFonts w:eastAsia="Calibri"/>
          <w:sz w:val="22"/>
          <w:szCs w:val="22"/>
          <w:lang w:val="en-US" w:eastAsia="en-US"/>
        </w:rPr>
        <w:t xml:space="preserve"> </w:t>
      </w:r>
      <w:r w:rsidR="004D188F" w:rsidRPr="00A46EF7">
        <w:rPr>
          <w:rFonts w:eastAsia="Calibri"/>
          <w:sz w:val="22"/>
          <w:szCs w:val="22"/>
          <w:lang w:val="en-US" w:eastAsia="en-US"/>
        </w:rPr>
        <w:t>until</w:t>
      </w:r>
      <w:r w:rsidR="0024226B" w:rsidRPr="00A46EF7">
        <w:rPr>
          <w:rFonts w:eastAsia="Calibri"/>
          <w:sz w:val="22"/>
          <w:szCs w:val="22"/>
          <w:lang w:val="en-US" w:eastAsia="en-US"/>
        </w:rPr>
        <w:t xml:space="preserve"> December</w:t>
      </w:r>
      <w:r w:rsidRPr="00A46EF7">
        <w:rPr>
          <w:rFonts w:eastAsia="Calibri"/>
          <w:sz w:val="22"/>
          <w:szCs w:val="22"/>
          <w:lang w:val="en-US" w:eastAsia="en-US"/>
        </w:rPr>
        <w:t xml:space="preserve"> 2021. When compared to the </w:t>
      </w:r>
      <w:r w:rsidR="00D57C37" w:rsidRPr="00A46EF7">
        <w:rPr>
          <w:rFonts w:eastAsia="Calibri"/>
          <w:sz w:val="22"/>
          <w:szCs w:val="22"/>
          <w:lang w:val="en-US" w:eastAsia="en-US"/>
        </w:rPr>
        <w:t>monthly average</w:t>
      </w:r>
      <w:r w:rsidRPr="00A46EF7">
        <w:rPr>
          <w:rFonts w:eastAsia="Calibri"/>
          <w:sz w:val="22"/>
          <w:szCs w:val="22"/>
          <w:lang w:val="en-US" w:eastAsia="en-US"/>
        </w:rPr>
        <w:t xml:space="preserve"> price of </w:t>
      </w:r>
      <w:r w:rsidR="00CF706A" w:rsidRPr="00A46EF7">
        <w:rPr>
          <w:rFonts w:eastAsia="Calibri"/>
          <w:sz w:val="22"/>
          <w:szCs w:val="22"/>
          <w:lang w:val="en-US" w:eastAsia="en-US"/>
        </w:rPr>
        <w:t>€27/MWh in December 2012</w:t>
      </w:r>
      <w:r w:rsidRPr="00A46EF7">
        <w:rPr>
          <w:rFonts w:eastAsia="Calibri"/>
          <w:sz w:val="22"/>
          <w:szCs w:val="22"/>
          <w:lang w:val="en-US" w:eastAsia="en-US"/>
        </w:rPr>
        <w:t xml:space="preserve"> for th</w:t>
      </w:r>
      <w:r w:rsidR="002D6D7E" w:rsidRPr="00A46EF7">
        <w:rPr>
          <w:rFonts w:eastAsia="Calibri"/>
          <w:sz w:val="22"/>
          <w:szCs w:val="22"/>
          <w:lang w:val="en-US" w:eastAsia="en-US"/>
        </w:rPr>
        <w:t>e</w:t>
      </w:r>
      <w:r w:rsidR="00CF706A" w:rsidRPr="00A46EF7">
        <w:rPr>
          <w:rFonts w:eastAsia="Calibri"/>
          <w:sz w:val="22"/>
          <w:szCs w:val="22"/>
          <w:lang w:val="en-US" w:eastAsia="en-US"/>
        </w:rPr>
        <w:t xml:space="preserve"> Cal-13 contract</w:t>
      </w:r>
      <w:r w:rsidRPr="00A46EF7">
        <w:rPr>
          <w:rFonts w:eastAsia="Calibri"/>
          <w:sz w:val="22"/>
          <w:szCs w:val="22"/>
          <w:lang w:val="en-US" w:eastAsia="en-US"/>
        </w:rPr>
        <w:t xml:space="preserve">, it becomes clear that the contribution of </w:t>
      </w:r>
      <w:r w:rsidR="0024226B" w:rsidRPr="00A46EF7">
        <w:rPr>
          <w:rFonts w:eastAsia="Calibri"/>
          <w:sz w:val="22"/>
          <w:szCs w:val="22"/>
          <w:lang w:val="en-US" w:eastAsia="en-US"/>
        </w:rPr>
        <w:t>gas</w:t>
      </w:r>
      <w:r w:rsidR="003F4994" w:rsidRPr="00A46EF7">
        <w:rPr>
          <w:rFonts w:eastAsia="Calibri"/>
          <w:sz w:val="22"/>
          <w:szCs w:val="22"/>
          <w:lang w:val="en-US" w:eastAsia="en-US"/>
        </w:rPr>
        <w:t xml:space="preserve"> OTC</w:t>
      </w:r>
      <w:r w:rsidRPr="00A46EF7">
        <w:rPr>
          <w:rFonts w:eastAsia="Calibri"/>
          <w:sz w:val="22"/>
          <w:szCs w:val="22"/>
          <w:lang w:val="en-US" w:eastAsia="en-US"/>
        </w:rPr>
        <w:t xml:space="preserve"> transactions to the consumption of the EMIR CCT increased multiple times (December 2022</w:t>
      </w:r>
      <w:r w:rsidR="00CF706A" w:rsidRPr="00A46EF7">
        <w:rPr>
          <w:rFonts w:eastAsia="Calibri"/>
          <w:sz w:val="22"/>
          <w:szCs w:val="22"/>
          <w:lang w:val="en-US" w:eastAsia="en-US"/>
        </w:rPr>
        <w:t xml:space="preserve"> at least</w:t>
      </w:r>
      <w:r w:rsidRPr="00A46EF7">
        <w:rPr>
          <w:rFonts w:eastAsia="Calibri"/>
          <w:sz w:val="22"/>
          <w:szCs w:val="22"/>
          <w:lang w:val="en-US" w:eastAsia="en-US"/>
        </w:rPr>
        <w:t xml:space="preserve"> by </w:t>
      </w:r>
      <w:r w:rsidR="00AC3447" w:rsidRPr="00A46EF7">
        <w:rPr>
          <w:rFonts w:eastAsia="Calibri"/>
          <w:sz w:val="22"/>
          <w:szCs w:val="22"/>
          <w:lang w:val="en-US" w:eastAsia="en-US"/>
        </w:rPr>
        <w:t xml:space="preserve">a </w:t>
      </w:r>
      <w:r w:rsidRPr="00A46EF7">
        <w:rPr>
          <w:rFonts w:eastAsia="Calibri"/>
          <w:sz w:val="22"/>
          <w:szCs w:val="22"/>
          <w:lang w:val="en-US" w:eastAsia="en-US"/>
        </w:rPr>
        <w:t xml:space="preserve">factor </w:t>
      </w:r>
      <w:r w:rsidR="00AC3447" w:rsidRPr="00A46EF7">
        <w:rPr>
          <w:rFonts w:eastAsia="Calibri"/>
          <w:sz w:val="22"/>
          <w:szCs w:val="22"/>
          <w:lang w:val="en-US" w:eastAsia="en-US"/>
        </w:rPr>
        <w:t xml:space="preserve">of </w:t>
      </w:r>
      <w:r w:rsidR="00CF706A" w:rsidRPr="00A46EF7">
        <w:rPr>
          <w:rFonts w:eastAsia="Calibri"/>
          <w:sz w:val="22"/>
          <w:szCs w:val="22"/>
          <w:lang w:val="en-US" w:eastAsia="en-US"/>
        </w:rPr>
        <w:t>3</w:t>
      </w:r>
      <w:r w:rsidRPr="00A46EF7">
        <w:rPr>
          <w:rFonts w:eastAsia="Calibri"/>
          <w:sz w:val="22"/>
          <w:szCs w:val="22"/>
          <w:lang w:val="en-US" w:eastAsia="en-US"/>
        </w:rPr>
        <w:t>)</w:t>
      </w:r>
      <w:r w:rsidR="00CF706A" w:rsidRPr="00A46EF7">
        <w:rPr>
          <w:rFonts w:eastAsia="Calibri"/>
          <w:sz w:val="22"/>
          <w:szCs w:val="22"/>
          <w:lang w:val="en-US" w:eastAsia="en-US"/>
        </w:rPr>
        <w:t xml:space="preserve"> </w:t>
      </w:r>
      <w:bookmarkStart w:id="26" w:name="_Hlk91145583"/>
      <w:r w:rsidR="00CF706A" w:rsidRPr="00A46EF7">
        <w:rPr>
          <w:rFonts w:eastAsia="Calibri"/>
          <w:sz w:val="22"/>
          <w:szCs w:val="22"/>
          <w:lang w:val="en-US" w:eastAsia="en-US"/>
        </w:rPr>
        <w:t>However, the E</w:t>
      </w:r>
      <w:r w:rsidR="00FD6383" w:rsidRPr="00A46EF7">
        <w:rPr>
          <w:rFonts w:eastAsia="Calibri"/>
          <w:sz w:val="22"/>
          <w:szCs w:val="22"/>
          <w:lang w:val="en-US" w:eastAsia="en-US"/>
        </w:rPr>
        <w:t>nd-of-Day price</w:t>
      </w:r>
      <w:r w:rsidR="00CF706A" w:rsidRPr="00A46EF7">
        <w:rPr>
          <w:rFonts w:eastAsia="Calibri"/>
          <w:sz w:val="22"/>
          <w:szCs w:val="22"/>
          <w:lang w:val="en-US" w:eastAsia="en-US"/>
        </w:rPr>
        <w:t xml:space="preserve"> </w:t>
      </w:r>
      <w:r w:rsidR="00AC3447" w:rsidRPr="00A46EF7">
        <w:rPr>
          <w:rFonts w:eastAsia="Calibri"/>
          <w:sz w:val="22"/>
          <w:szCs w:val="22"/>
          <w:lang w:val="en-US" w:eastAsia="en-US"/>
        </w:rPr>
        <w:t>22 Dec 2021</w:t>
      </w:r>
      <w:r w:rsidR="00CF706A" w:rsidRPr="00A46EF7">
        <w:rPr>
          <w:rFonts w:eastAsia="Calibri"/>
          <w:sz w:val="22"/>
          <w:szCs w:val="22"/>
          <w:lang w:val="en-US" w:eastAsia="en-US"/>
        </w:rPr>
        <w:t xml:space="preserve"> is closed at </w:t>
      </w:r>
      <w:r w:rsidR="00AC3447" w:rsidRPr="00A46EF7">
        <w:rPr>
          <w:rFonts w:eastAsia="Calibri"/>
          <w:sz w:val="22"/>
          <w:szCs w:val="22"/>
          <w:lang w:val="en-US" w:eastAsia="en-US"/>
        </w:rPr>
        <w:t>€</w:t>
      </w:r>
      <w:r w:rsidR="00CF706A" w:rsidRPr="00A46EF7">
        <w:rPr>
          <w:rFonts w:eastAsia="Calibri"/>
          <w:sz w:val="22"/>
          <w:szCs w:val="22"/>
          <w:lang w:val="en-US" w:eastAsia="en-US"/>
        </w:rPr>
        <w:t>139,64/MWh (hence, a</w:t>
      </w:r>
      <w:r w:rsidR="000C263C" w:rsidRPr="00A46EF7">
        <w:rPr>
          <w:rFonts w:eastAsia="Calibri"/>
          <w:sz w:val="22"/>
          <w:szCs w:val="22"/>
          <w:lang w:val="en-US" w:eastAsia="en-US"/>
        </w:rPr>
        <w:t xml:space="preserve"> </w:t>
      </w:r>
      <w:r w:rsidR="00D556D9" w:rsidRPr="00A46EF7">
        <w:rPr>
          <w:rFonts w:eastAsia="Calibri"/>
          <w:sz w:val="22"/>
          <w:szCs w:val="22"/>
          <w:lang w:val="en-US" w:eastAsia="en-US"/>
        </w:rPr>
        <w:t>multiplication</w:t>
      </w:r>
      <w:r w:rsidR="00CF706A" w:rsidRPr="00A46EF7">
        <w:rPr>
          <w:rFonts w:eastAsia="Calibri"/>
          <w:sz w:val="22"/>
          <w:szCs w:val="22"/>
          <w:lang w:val="en-US" w:eastAsia="en-US"/>
        </w:rPr>
        <w:t xml:space="preserve"> factor of 5)</w:t>
      </w:r>
      <w:r w:rsidRPr="00A46EF7">
        <w:rPr>
          <w:rFonts w:eastAsia="Calibri"/>
          <w:sz w:val="22"/>
          <w:szCs w:val="22"/>
          <w:lang w:val="en-US" w:eastAsia="en-US"/>
        </w:rPr>
        <w:t>.</w:t>
      </w:r>
      <w:bookmarkEnd w:id="26"/>
    </w:p>
    <w:p w14:paraId="5A8E7383" w14:textId="472BB9D4" w:rsidR="00387EFD" w:rsidRPr="00AC3447" w:rsidRDefault="008C34B8" w:rsidP="002E7CFF">
      <w:pPr>
        <w:spacing w:before="120" w:after="120"/>
        <w:ind w:left="357"/>
        <w:jc w:val="both"/>
        <w:rPr>
          <w:rFonts w:eastAsia="Calibri"/>
          <w:b/>
          <w:bCs/>
          <w:i/>
          <w:iCs/>
          <w:sz w:val="22"/>
          <w:szCs w:val="22"/>
          <w:lang w:val="en-US" w:eastAsia="en-US"/>
        </w:rPr>
      </w:pPr>
      <w:r w:rsidRPr="00AC3447">
        <w:rPr>
          <w:rFonts w:eastAsia="Calibri"/>
          <w:b/>
          <w:bCs/>
          <w:i/>
          <w:iCs/>
          <w:sz w:val="22"/>
          <w:szCs w:val="22"/>
          <w:lang w:val="en-US" w:eastAsia="en-US"/>
        </w:rPr>
        <w:t>Graph 3: Gas TTF Forward Cal-22 monthly average</w:t>
      </w:r>
    </w:p>
    <w:p w14:paraId="3572F1CB" w14:textId="03E540BE" w:rsidR="00ED55E5" w:rsidRDefault="003F4994" w:rsidP="0024226B">
      <w:pPr>
        <w:spacing w:before="120" w:after="120"/>
        <w:ind w:left="357"/>
        <w:jc w:val="both"/>
        <w:rPr>
          <w:rFonts w:eastAsia="Calibri"/>
          <w:color w:val="FF0000"/>
          <w:sz w:val="22"/>
          <w:szCs w:val="22"/>
          <w:lang w:val="en-US" w:eastAsia="en-US"/>
        </w:rPr>
      </w:pPr>
      <w:r>
        <w:rPr>
          <w:noProof/>
          <w:color w:val="000000"/>
          <w:sz w:val="24"/>
        </w:rPr>
        <w:drawing>
          <wp:inline distT="0" distB="0" distL="0" distR="0" wp14:anchorId="1B8A3B8A" wp14:editId="1A018A82">
            <wp:extent cx="5976620" cy="3667760"/>
            <wp:effectExtent l="0" t="0" r="5080" b="889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5976620" cy="3667760"/>
                    </a:xfrm>
                    <a:prstGeom prst="rect">
                      <a:avLst/>
                    </a:prstGeom>
                    <a:noFill/>
                    <a:ln>
                      <a:noFill/>
                    </a:ln>
                  </pic:spPr>
                </pic:pic>
              </a:graphicData>
            </a:graphic>
          </wp:inline>
        </w:drawing>
      </w:r>
    </w:p>
    <w:p w14:paraId="0CF162E9" w14:textId="4BA3D669" w:rsidR="003F4994" w:rsidRPr="00AC3447" w:rsidRDefault="003F4994" w:rsidP="0024226B">
      <w:pPr>
        <w:spacing w:before="120" w:after="120"/>
        <w:ind w:left="357"/>
        <w:jc w:val="both"/>
        <w:rPr>
          <w:rFonts w:eastAsia="Calibri"/>
          <w:sz w:val="22"/>
          <w:szCs w:val="22"/>
          <w:lang w:val="en-US" w:eastAsia="en-US"/>
        </w:rPr>
      </w:pPr>
      <w:r w:rsidRPr="00AC3447">
        <w:rPr>
          <w:rFonts w:eastAsia="Calibri"/>
          <w:sz w:val="22"/>
          <w:szCs w:val="22"/>
          <w:lang w:val="en-US" w:eastAsia="en-US"/>
        </w:rPr>
        <w:t xml:space="preserve">Source: </w:t>
      </w:r>
      <w:proofErr w:type="spellStart"/>
      <w:r w:rsidRPr="00AC3447">
        <w:rPr>
          <w:rFonts w:eastAsia="Calibri"/>
          <w:sz w:val="22"/>
          <w:szCs w:val="22"/>
          <w:lang w:val="en-US" w:eastAsia="en-US"/>
        </w:rPr>
        <w:t>Heren</w:t>
      </w:r>
      <w:proofErr w:type="spellEnd"/>
    </w:p>
    <w:p w14:paraId="21C1A373" w14:textId="3BDC8B14" w:rsidR="0047217E" w:rsidRPr="005A7CAE" w:rsidRDefault="00723CEE" w:rsidP="0047217E">
      <w:pPr>
        <w:pStyle w:val="ListParagraph"/>
        <w:numPr>
          <w:ilvl w:val="0"/>
          <w:numId w:val="49"/>
        </w:numPr>
        <w:spacing w:before="120" w:after="120"/>
        <w:jc w:val="both"/>
        <w:rPr>
          <w:rFonts w:eastAsia="Calibri"/>
          <w:b/>
          <w:bCs/>
          <w:sz w:val="22"/>
          <w:szCs w:val="22"/>
          <w:lang w:val="en-US" w:eastAsia="en-US"/>
        </w:rPr>
      </w:pPr>
      <w:r w:rsidRPr="005A7CAE">
        <w:rPr>
          <w:rFonts w:eastAsia="Calibri"/>
          <w:b/>
          <w:bCs/>
          <w:sz w:val="22"/>
          <w:szCs w:val="22"/>
          <w:lang w:val="en-US" w:eastAsia="en-US"/>
        </w:rPr>
        <w:t>Increased</w:t>
      </w:r>
      <w:r w:rsidR="004A1951" w:rsidRPr="005A7CAE">
        <w:rPr>
          <w:rFonts w:eastAsia="Calibri"/>
          <w:b/>
          <w:bCs/>
          <w:sz w:val="22"/>
          <w:szCs w:val="22"/>
          <w:lang w:val="en-US" w:eastAsia="en-US"/>
        </w:rPr>
        <w:t xml:space="preserve"> price volatility lead</w:t>
      </w:r>
      <w:r w:rsidR="00AC3447" w:rsidRPr="005A7CAE">
        <w:rPr>
          <w:rFonts w:eastAsia="Calibri"/>
          <w:b/>
          <w:bCs/>
          <w:sz w:val="22"/>
          <w:szCs w:val="22"/>
          <w:lang w:val="en-US" w:eastAsia="en-US"/>
        </w:rPr>
        <w:t>s</w:t>
      </w:r>
      <w:r w:rsidR="004A1951" w:rsidRPr="005A7CAE">
        <w:rPr>
          <w:rFonts w:eastAsia="Calibri"/>
          <w:b/>
          <w:bCs/>
          <w:sz w:val="22"/>
          <w:szCs w:val="22"/>
          <w:lang w:val="en-US" w:eastAsia="en-US"/>
        </w:rPr>
        <w:t xml:space="preserve"> to high</w:t>
      </w:r>
      <w:r w:rsidRPr="005A7CAE">
        <w:rPr>
          <w:rFonts w:eastAsia="Calibri"/>
          <w:b/>
          <w:bCs/>
          <w:sz w:val="22"/>
          <w:szCs w:val="22"/>
          <w:lang w:val="en-US" w:eastAsia="en-US"/>
        </w:rPr>
        <w:t xml:space="preserve"> margin call</w:t>
      </w:r>
      <w:r w:rsidR="004A1951" w:rsidRPr="005A7CAE">
        <w:rPr>
          <w:rFonts w:eastAsia="Calibri"/>
          <w:b/>
          <w:bCs/>
          <w:sz w:val="22"/>
          <w:szCs w:val="22"/>
          <w:lang w:val="en-US" w:eastAsia="en-US"/>
        </w:rPr>
        <w:t>s</w:t>
      </w:r>
      <w:r w:rsidRPr="005A7CAE">
        <w:rPr>
          <w:rFonts w:eastAsia="Calibri"/>
          <w:b/>
          <w:bCs/>
          <w:sz w:val="22"/>
          <w:szCs w:val="22"/>
          <w:lang w:val="en-US" w:eastAsia="en-US"/>
        </w:rPr>
        <w:t xml:space="preserve"> for cleared transactions </w:t>
      </w:r>
      <w:r w:rsidR="000B2674" w:rsidRPr="005A7CAE">
        <w:rPr>
          <w:rFonts w:eastAsia="Calibri"/>
          <w:b/>
          <w:bCs/>
          <w:sz w:val="22"/>
          <w:szCs w:val="22"/>
          <w:lang w:val="en-US" w:eastAsia="en-US"/>
        </w:rPr>
        <w:t xml:space="preserve">resulting in difficult </w:t>
      </w:r>
      <w:r w:rsidR="00AB62AA" w:rsidRPr="005A7CAE">
        <w:rPr>
          <w:rFonts w:eastAsia="Calibri"/>
          <w:b/>
          <w:bCs/>
          <w:sz w:val="22"/>
          <w:szCs w:val="22"/>
          <w:lang w:val="en-US" w:eastAsia="en-US"/>
        </w:rPr>
        <w:t>choices</w:t>
      </w:r>
    </w:p>
    <w:p w14:paraId="3EA3BF4B" w14:textId="060B4399" w:rsidR="00D7000A" w:rsidRPr="00A46EF7" w:rsidRDefault="00332DBE" w:rsidP="00723CEE">
      <w:pPr>
        <w:spacing w:before="120" w:after="120"/>
        <w:ind w:left="357"/>
        <w:jc w:val="both"/>
        <w:rPr>
          <w:rFonts w:eastAsia="Calibri"/>
          <w:sz w:val="22"/>
          <w:szCs w:val="22"/>
          <w:lang w:val="en-US" w:eastAsia="en-US"/>
        </w:rPr>
      </w:pPr>
      <w:r w:rsidRPr="00A46EF7">
        <w:rPr>
          <w:rFonts w:eastAsia="Calibri"/>
          <w:sz w:val="22"/>
          <w:szCs w:val="22"/>
          <w:lang w:val="en-US" w:eastAsia="en-US"/>
        </w:rPr>
        <w:t>I</w:t>
      </w:r>
      <w:r w:rsidR="00723CEE" w:rsidRPr="00A46EF7">
        <w:rPr>
          <w:rFonts w:eastAsia="Calibri"/>
          <w:sz w:val="22"/>
          <w:szCs w:val="22"/>
          <w:lang w:val="en-US" w:eastAsia="en-US"/>
        </w:rPr>
        <w:t>n the context of the above-mentioned price increases for power, gas and EUAs market participants face increased margin calls for cleared transactions and consequently face liquidity challenges and</w:t>
      </w:r>
      <w:r w:rsidR="00F55600" w:rsidRPr="00A46EF7">
        <w:rPr>
          <w:rFonts w:eastAsia="Calibri"/>
          <w:sz w:val="22"/>
          <w:szCs w:val="22"/>
          <w:lang w:val="en-US" w:eastAsia="en-US"/>
        </w:rPr>
        <w:t>,</w:t>
      </w:r>
      <w:r w:rsidR="00723CEE" w:rsidRPr="00A46EF7">
        <w:rPr>
          <w:rFonts w:eastAsia="Calibri"/>
          <w:sz w:val="22"/>
          <w:szCs w:val="22"/>
          <w:lang w:val="en-US" w:eastAsia="en-US"/>
        </w:rPr>
        <w:t xml:space="preserve"> hence</w:t>
      </w:r>
      <w:r w:rsidR="00F55600" w:rsidRPr="00A46EF7">
        <w:rPr>
          <w:rFonts w:eastAsia="Calibri"/>
          <w:sz w:val="22"/>
          <w:szCs w:val="22"/>
          <w:lang w:val="en-US" w:eastAsia="en-US"/>
        </w:rPr>
        <w:t>,</w:t>
      </w:r>
      <w:r w:rsidR="00723CEE" w:rsidRPr="00A46EF7">
        <w:rPr>
          <w:rFonts w:eastAsia="Calibri"/>
          <w:sz w:val="22"/>
          <w:szCs w:val="22"/>
          <w:lang w:val="en-US" w:eastAsia="en-US"/>
        </w:rPr>
        <w:t xml:space="preserve"> tough choice</w:t>
      </w:r>
      <w:r w:rsidRPr="00A46EF7">
        <w:rPr>
          <w:rFonts w:eastAsia="Calibri"/>
          <w:sz w:val="22"/>
          <w:szCs w:val="22"/>
          <w:lang w:val="en-US" w:eastAsia="en-US"/>
        </w:rPr>
        <w:t>s</w:t>
      </w:r>
      <w:r w:rsidR="00BB524F" w:rsidRPr="00A46EF7">
        <w:rPr>
          <w:rFonts w:eastAsia="Calibri"/>
          <w:sz w:val="22"/>
          <w:szCs w:val="22"/>
          <w:lang w:val="en-US" w:eastAsia="en-US"/>
        </w:rPr>
        <w:t>, which are emphasized by the low level of the EMIR CCT</w:t>
      </w:r>
      <w:r w:rsidRPr="00A46EF7">
        <w:rPr>
          <w:rFonts w:eastAsia="Calibri"/>
          <w:sz w:val="22"/>
          <w:szCs w:val="22"/>
          <w:lang w:val="en-US" w:eastAsia="en-US"/>
        </w:rPr>
        <w:t>.</w:t>
      </w:r>
    </w:p>
    <w:p w14:paraId="33FA504D" w14:textId="792CFECC" w:rsidR="00D7000A" w:rsidRPr="00A46EF7" w:rsidRDefault="00D7000A" w:rsidP="00D7000A">
      <w:pPr>
        <w:spacing w:before="120" w:after="120"/>
        <w:ind w:left="357"/>
        <w:jc w:val="both"/>
        <w:rPr>
          <w:rFonts w:eastAsia="Calibri"/>
          <w:sz w:val="22"/>
          <w:szCs w:val="22"/>
          <w:lang w:val="en-US" w:eastAsia="en-US"/>
        </w:rPr>
      </w:pPr>
      <w:r w:rsidRPr="00A46EF7">
        <w:rPr>
          <w:rFonts w:eastAsia="Calibri"/>
          <w:sz w:val="22"/>
          <w:szCs w:val="22"/>
          <w:lang w:val="en-US" w:eastAsia="en-US"/>
        </w:rPr>
        <w:t xml:space="preserve">Energy firms active in the EU markets have turned to the EU’s Regulated Markets to hedge their natural </w:t>
      </w:r>
      <w:r w:rsidR="00BB524F" w:rsidRPr="00A46EF7">
        <w:rPr>
          <w:rFonts w:eastAsia="Calibri"/>
          <w:sz w:val="22"/>
          <w:szCs w:val="22"/>
          <w:lang w:val="en-US" w:eastAsia="en-US"/>
        </w:rPr>
        <w:t xml:space="preserve">long and short </w:t>
      </w:r>
      <w:r w:rsidRPr="00A46EF7">
        <w:rPr>
          <w:rFonts w:eastAsia="Calibri"/>
          <w:sz w:val="22"/>
          <w:szCs w:val="22"/>
          <w:lang w:val="en-US" w:eastAsia="en-US"/>
        </w:rPr>
        <w:t>asset positions</w:t>
      </w:r>
      <w:r w:rsidR="00BB524F" w:rsidRPr="00A46EF7">
        <w:rPr>
          <w:rFonts w:eastAsia="Calibri"/>
          <w:sz w:val="22"/>
          <w:szCs w:val="22"/>
          <w:lang w:val="en-US" w:eastAsia="en-US"/>
        </w:rPr>
        <w:t>, for example</w:t>
      </w:r>
      <w:r w:rsidR="00F55600" w:rsidRPr="00A46EF7">
        <w:rPr>
          <w:rFonts w:eastAsia="Calibri"/>
          <w:sz w:val="22"/>
          <w:szCs w:val="22"/>
          <w:lang w:val="en-US" w:eastAsia="en-US"/>
        </w:rPr>
        <w:t>,</w:t>
      </w:r>
      <w:r w:rsidR="00BB524F" w:rsidRPr="00A46EF7">
        <w:rPr>
          <w:rFonts w:eastAsia="Calibri"/>
          <w:sz w:val="22"/>
          <w:szCs w:val="22"/>
          <w:lang w:val="en-US" w:eastAsia="en-US"/>
        </w:rPr>
        <w:t xml:space="preserve"> their power production</w:t>
      </w:r>
      <w:r w:rsidRPr="00A46EF7">
        <w:rPr>
          <w:rFonts w:eastAsia="Calibri"/>
          <w:sz w:val="22"/>
          <w:szCs w:val="22"/>
          <w:lang w:val="en-US" w:eastAsia="en-US"/>
        </w:rPr>
        <w:t>. Depending on their individual strategies and risks, these firms currently hold and manage considerable exchange traded derivative positions in one or more commodities</w:t>
      </w:r>
      <w:r w:rsidR="00BB524F" w:rsidRPr="00A46EF7">
        <w:rPr>
          <w:rFonts w:eastAsia="Calibri"/>
          <w:sz w:val="22"/>
          <w:szCs w:val="22"/>
          <w:lang w:val="en-US" w:eastAsia="en-US"/>
        </w:rPr>
        <w:t xml:space="preserve"> on EEX or/and ICE </w:t>
      </w:r>
      <w:proofErr w:type="spellStart"/>
      <w:r w:rsidR="00BB524F" w:rsidRPr="00A46EF7">
        <w:rPr>
          <w:rFonts w:eastAsia="Calibri"/>
          <w:sz w:val="22"/>
          <w:szCs w:val="22"/>
          <w:lang w:val="en-US" w:eastAsia="en-US"/>
        </w:rPr>
        <w:t>Endex</w:t>
      </w:r>
      <w:proofErr w:type="spellEnd"/>
      <w:r w:rsidRPr="00A46EF7">
        <w:rPr>
          <w:rFonts w:eastAsia="Calibri"/>
          <w:sz w:val="22"/>
          <w:szCs w:val="22"/>
          <w:lang w:val="en-US" w:eastAsia="en-US"/>
        </w:rPr>
        <w:t>.</w:t>
      </w:r>
    </w:p>
    <w:p w14:paraId="24E77384" w14:textId="7F58D133" w:rsidR="00D7000A" w:rsidRPr="00A46EF7" w:rsidRDefault="00D7000A" w:rsidP="00D7000A">
      <w:pPr>
        <w:spacing w:before="120" w:after="120"/>
        <w:ind w:left="357"/>
        <w:jc w:val="both"/>
        <w:rPr>
          <w:rFonts w:eastAsia="Calibri"/>
          <w:sz w:val="22"/>
          <w:szCs w:val="22"/>
          <w:lang w:val="en-US" w:eastAsia="en-US"/>
        </w:rPr>
      </w:pPr>
      <w:r w:rsidRPr="00A46EF7">
        <w:rPr>
          <w:rFonts w:eastAsia="Calibri"/>
          <w:sz w:val="22"/>
          <w:szCs w:val="22"/>
          <w:lang w:val="en-US" w:eastAsia="en-US"/>
        </w:rPr>
        <w:t>As a result of the recent spike in volatility of commodity prices, energy firms have been subject to an unprecedent</w:t>
      </w:r>
      <w:r w:rsidR="00016750" w:rsidRPr="00A46EF7">
        <w:rPr>
          <w:rFonts w:eastAsia="Calibri"/>
          <w:sz w:val="22"/>
          <w:szCs w:val="22"/>
          <w:lang w:val="en-US" w:eastAsia="en-US"/>
        </w:rPr>
        <w:t>ed</w:t>
      </w:r>
      <w:r w:rsidRPr="00A46EF7">
        <w:rPr>
          <w:rFonts w:eastAsia="Calibri"/>
          <w:sz w:val="22"/>
          <w:szCs w:val="22"/>
          <w:lang w:val="en-US" w:eastAsia="en-US"/>
        </w:rPr>
        <w:t xml:space="preserve"> increase and stress in liquidity demands for covering both their initial and (if applicable) additional margin obligations for cleared derivatives on various CCP</w:t>
      </w:r>
      <w:r w:rsidR="00BB524F" w:rsidRPr="00A46EF7">
        <w:rPr>
          <w:rFonts w:eastAsia="Calibri"/>
          <w:sz w:val="22"/>
          <w:szCs w:val="22"/>
          <w:lang w:val="en-US" w:eastAsia="en-US"/>
        </w:rPr>
        <w:t>s</w:t>
      </w:r>
      <w:r w:rsidRPr="00A46EF7">
        <w:rPr>
          <w:rFonts w:eastAsia="Calibri"/>
          <w:sz w:val="22"/>
          <w:szCs w:val="22"/>
          <w:lang w:val="en-US" w:eastAsia="en-US"/>
        </w:rPr>
        <w:t xml:space="preserve">. These massive cash requirements which were hardly predictable and not </w:t>
      </w:r>
      <w:r w:rsidR="00016750" w:rsidRPr="00A46EF7">
        <w:rPr>
          <w:rFonts w:eastAsia="Calibri"/>
          <w:sz w:val="22"/>
          <w:szCs w:val="22"/>
          <w:lang w:val="en-US" w:eastAsia="en-US"/>
        </w:rPr>
        <w:t xml:space="preserve">easily </w:t>
      </w:r>
      <w:r w:rsidRPr="00A46EF7">
        <w:rPr>
          <w:rFonts w:eastAsia="Calibri"/>
          <w:sz w:val="22"/>
          <w:szCs w:val="22"/>
          <w:lang w:val="en-US" w:eastAsia="en-US"/>
        </w:rPr>
        <w:t xml:space="preserve">manageable given </w:t>
      </w:r>
      <w:r w:rsidRPr="00A46EF7">
        <w:rPr>
          <w:rFonts w:eastAsia="Calibri"/>
          <w:sz w:val="22"/>
          <w:szCs w:val="22"/>
          <w:lang w:val="en-US" w:eastAsia="en-US"/>
        </w:rPr>
        <w:lastRenderedPageBreak/>
        <w:t xml:space="preserve">the tight timelines - set in </w:t>
      </w:r>
      <w:r w:rsidR="00600E84" w:rsidRPr="00A46EF7">
        <w:rPr>
          <w:rFonts w:eastAsia="Calibri"/>
          <w:sz w:val="22"/>
          <w:szCs w:val="22"/>
          <w:lang w:val="en-US" w:eastAsia="en-US"/>
        </w:rPr>
        <w:t xml:space="preserve">central </w:t>
      </w:r>
      <w:r w:rsidRPr="00A46EF7">
        <w:rPr>
          <w:rFonts w:eastAsia="Calibri"/>
          <w:sz w:val="22"/>
          <w:szCs w:val="22"/>
          <w:lang w:val="en-US" w:eastAsia="en-US"/>
        </w:rPr>
        <w:t xml:space="preserve">clearing related legal frameworks </w:t>
      </w:r>
      <w:r w:rsidR="00F55600" w:rsidRPr="00A46EF7">
        <w:rPr>
          <w:rFonts w:eastAsia="Calibri"/>
          <w:sz w:val="22"/>
          <w:szCs w:val="22"/>
          <w:lang w:val="en-US" w:eastAsia="en-US"/>
        </w:rPr>
        <w:t>–</w:t>
      </w:r>
      <w:r w:rsidRPr="00A46EF7">
        <w:rPr>
          <w:rFonts w:eastAsia="Calibri"/>
          <w:sz w:val="22"/>
          <w:szCs w:val="22"/>
          <w:lang w:val="en-US" w:eastAsia="en-US"/>
        </w:rPr>
        <w:t xml:space="preserve"> </w:t>
      </w:r>
      <w:r w:rsidR="00F55600" w:rsidRPr="00A46EF7">
        <w:rPr>
          <w:rFonts w:eastAsia="Calibri"/>
          <w:sz w:val="22"/>
          <w:szCs w:val="22"/>
          <w:lang w:val="en-US" w:eastAsia="en-US"/>
        </w:rPr>
        <w:t xml:space="preserve">have forced </w:t>
      </w:r>
      <w:r w:rsidRPr="00A46EF7">
        <w:rPr>
          <w:rFonts w:eastAsia="Calibri"/>
          <w:sz w:val="22"/>
          <w:szCs w:val="22"/>
          <w:lang w:val="en-US" w:eastAsia="en-US"/>
        </w:rPr>
        <w:t xml:space="preserve">industry firms </w:t>
      </w:r>
      <w:r w:rsidR="00F55600" w:rsidRPr="00A46EF7">
        <w:rPr>
          <w:rFonts w:eastAsia="Calibri"/>
          <w:sz w:val="22"/>
          <w:szCs w:val="22"/>
          <w:lang w:val="en-US" w:eastAsia="en-US"/>
        </w:rPr>
        <w:t xml:space="preserve">to weigh some </w:t>
      </w:r>
      <w:r w:rsidRPr="00A46EF7">
        <w:rPr>
          <w:rFonts w:eastAsia="Calibri"/>
          <w:sz w:val="22"/>
          <w:szCs w:val="22"/>
          <w:lang w:val="en-US" w:eastAsia="en-US"/>
        </w:rPr>
        <w:t>tough choices:</w:t>
      </w:r>
    </w:p>
    <w:p w14:paraId="5E4744C0" w14:textId="77777777" w:rsidR="00D7000A" w:rsidRPr="00A46EF7" w:rsidRDefault="00D7000A" w:rsidP="00D7000A">
      <w:pPr>
        <w:spacing w:before="120" w:after="120"/>
        <w:ind w:left="357"/>
        <w:jc w:val="both"/>
        <w:rPr>
          <w:rFonts w:eastAsia="Calibri"/>
          <w:sz w:val="22"/>
          <w:szCs w:val="22"/>
          <w:lang w:val="en-US" w:eastAsia="en-US"/>
        </w:rPr>
      </w:pPr>
      <w:r w:rsidRPr="00A46EF7">
        <w:rPr>
          <w:rFonts w:eastAsia="Calibri"/>
          <w:sz w:val="22"/>
          <w:szCs w:val="22"/>
          <w:lang w:val="en-US" w:eastAsia="en-US"/>
        </w:rPr>
        <w:t>-</w:t>
      </w:r>
      <w:r w:rsidRPr="00A46EF7">
        <w:rPr>
          <w:rFonts w:eastAsia="Calibri"/>
          <w:sz w:val="22"/>
          <w:szCs w:val="22"/>
          <w:lang w:val="en-US" w:eastAsia="en-US"/>
        </w:rPr>
        <w:tab/>
        <w:t>Enter into a stop loss strategy and close affected positions on exchanges, with even further negative impacts on market liquidity and market volatility.</w:t>
      </w:r>
    </w:p>
    <w:p w14:paraId="6F25639F" w14:textId="5F3EB095" w:rsidR="00D7000A" w:rsidRPr="00A46EF7" w:rsidRDefault="00D7000A" w:rsidP="00D7000A">
      <w:pPr>
        <w:spacing w:before="120" w:after="120"/>
        <w:ind w:left="357"/>
        <w:jc w:val="both"/>
        <w:rPr>
          <w:rFonts w:eastAsia="Calibri"/>
          <w:sz w:val="22"/>
          <w:szCs w:val="22"/>
          <w:lang w:val="en-US" w:eastAsia="en-US"/>
        </w:rPr>
      </w:pPr>
      <w:r w:rsidRPr="00A46EF7">
        <w:rPr>
          <w:rFonts w:eastAsia="Calibri"/>
          <w:sz w:val="22"/>
          <w:szCs w:val="22"/>
          <w:lang w:val="en-US" w:eastAsia="en-US"/>
        </w:rPr>
        <w:t>-</w:t>
      </w:r>
      <w:r w:rsidRPr="00A46EF7">
        <w:rPr>
          <w:rFonts w:eastAsia="Calibri"/>
          <w:sz w:val="22"/>
          <w:szCs w:val="22"/>
          <w:lang w:val="en-US" w:eastAsia="en-US"/>
        </w:rPr>
        <w:tab/>
        <w:t xml:space="preserve">Move positions to uncleared OTC derivatives markets, </w:t>
      </w:r>
      <w:r w:rsidR="00BB57A1" w:rsidRPr="00A46EF7">
        <w:rPr>
          <w:rFonts w:eastAsia="Calibri"/>
          <w:sz w:val="22"/>
          <w:szCs w:val="22"/>
          <w:lang w:val="en-US" w:eastAsia="en-US"/>
        </w:rPr>
        <w:t>insofar</w:t>
      </w:r>
      <w:r w:rsidRPr="00A46EF7">
        <w:rPr>
          <w:rFonts w:eastAsia="Calibri"/>
          <w:sz w:val="22"/>
          <w:szCs w:val="22"/>
          <w:lang w:val="en-US" w:eastAsia="en-US"/>
        </w:rPr>
        <w:t xml:space="preserve"> as there are sufficient eligible counterparties that can shoulder the increase in their own EMIR </w:t>
      </w:r>
      <w:r w:rsidR="00BB524F" w:rsidRPr="00A46EF7">
        <w:rPr>
          <w:rFonts w:eastAsia="Calibri"/>
          <w:sz w:val="22"/>
          <w:szCs w:val="22"/>
          <w:lang w:val="en-US" w:eastAsia="en-US"/>
        </w:rPr>
        <w:t>CCT</w:t>
      </w:r>
      <w:r w:rsidRPr="00A46EF7">
        <w:rPr>
          <w:rFonts w:eastAsia="Calibri"/>
          <w:sz w:val="22"/>
          <w:szCs w:val="22"/>
          <w:lang w:val="en-US" w:eastAsia="en-US"/>
        </w:rPr>
        <w:t xml:space="preserve"> calculation</w:t>
      </w:r>
    </w:p>
    <w:p w14:paraId="4038C51D" w14:textId="1CD971B3" w:rsidR="0047217E" w:rsidRPr="00A46EF7" w:rsidRDefault="00D7000A" w:rsidP="00D7000A">
      <w:pPr>
        <w:spacing w:before="120" w:after="120"/>
        <w:ind w:left="357"/>
        <w:jc w:val="both"/>
        <w:rPr>
          <w:rFonts w:eastAsia="Calibri"/>
          <w:sz w:val="22"/>
          <w:szCs w:val="22"/>
          <w:lang w:val="en-US" w:eastAsia="en-US"/>
        </w:rPr>
      </w:pPr>
      <w:r w:rsidRPr="00A46EF7">
        <w:rPr>
          <w:rFonts w:eastAsia="Calibri"/>
          <w:sz w:val="22"/>
          <w:szCs w:val="22"/>
          <w:lang w:val="en-US" w:eastAsia="en-US"/>
        </w:rPr>
        <w:t>-</w:t>
      </w:r>
      <w:r w:rsidRPr="00A46EF7">
        <w:rPr>
          <w:rFonts w:eastAsia="Calibri"/>
          <w:sz w:val="22"/>
          <w:szCs w:val="22"/>
          <w:lang w:val="en-US" w:eastAsia="en-US"/>
        </w:rPr>
        <w:tab/>
        <w:t>Or where none of the above choices seem sustainable, exit the markets – which in the case of positions entered into for hedging purposes is not feasible as it will leave the firm exposed to very volatile markets.</w:t>
      </w:r>
    </w:p>
    <w:p w14:paraId="01DEC79D" w14:textId="10D56730" w:rsidR="0056072E" w:rsidRPr="00A46EF7" w:rsidRDefault="007D77AB" w:rsidP="005070CC">
      <w:pPr>
        <w:pStyle w:val="ListParagraph"/>
        <w:numPr>
          <w:ilvl w:val="0"/>
          <w:numId w:val="49"/>
        </w:numPr>
        <w:spacing w:before="120" w:after="120"/>
        <w:ind w:left="357"/>
        <w:contextualSpacing w:val="0"/>
        <w:jc w:val="both"/>
        <w:rPr>
          <w:rFonts w:eastAsia="Calibri"/>
          <w:b/>
          <w:bCs/>
          <w:sz w:val="22"/>
          <w:szCs w:val="22"/>
          <w:lang w:eastAsia="en-US"/>
        </w:rPr>
      </w:pPr>
      <w:r w:rsidRPr="00A46EF7">
        <w:rPr>
          <w:rFonts w:eastAsia="Calibri"/>
          <w:b/>
          <w:bCs/>
          <w:sz w:val="22"/>
          <w:szCs w:val="22"/>
          <w:lang w:eastAsia="en-US"/>
        </w:rPr>
        <w:t>No ring-fencing of bilateral margining</w:t>
      </w:r>
      <w:r w:rsidR="0081248D" w:rsidRPr="00A46EF7">
        <w:rPr>
          <w:rFonts w:eastAsia="Calibri"/>
          <w:b/>
          <w:bCs/>
          <w:sz w:val="22"/>
          <w:szCs w:val="22"/>
          <w:lang w:eastAsia="en-US"/>
        </w:rPr>
        <w:t xml:space="preserve"> requirements</w:t>
      </w:r>
      <w:r w:rsidR="00DA7183" w:rsidRPr="00A46EF7">
        <w:rPr>
          <w:rFonts w:eastAsia="Calibri"/>
          <w:b/>
          <w:bCs/>
          <w:sz w:val="22"/>
          <w:szCs w:val="22"/>
          <w:lang w:eastAsia="en-US"/>
        </w:rPr>
        <w:t xml:space="preserve"> </w:t>
      </w:r>
      <w:r w:rsidR="0063198F" w:rsidRPr="00A46EF7">
        <w:rPr>
          <w:rFonts w:eastAsia="Calibri"/>
          <w:b/>
          <w:bCs/>
          <w:sz w:val="22"/>
          <w:szCs w:val="22"/>
          <w:lang w:eastAsia="en-US"/>
        </w:rPr>
        <w:t>under</w:t>
      </w:r>
      <w:r w:rsidR="00DA7183" w:rsidRPr="00A46EF7">
        <w:rPr>
          <w:rFonts w:eastAsia="Calibri"/>
          <w:b/>
          <w:bCs/>
          <w:sz w:val="22"/>
          <w:szCs w:val="22"/>
          <w:lang w:eastAsia="en-US"/>
        </w:rPr>
        <w:t xml:space="preserve"> Level 1 of EMIR</w:t>
      </w:r>
      <w:r w:rsidRPr="00A46EF7">
        <w:rPr>
          <w:rFonts w:eastAsia="Calibri"/>
          <w:b/>
          <w:bCs/>
          <w:sz w:val="22"/>
          <w:szCs w:val="22"/>
          <w:lang w:eastAsia="en-US"/>
        </w:rPr>
        <w:t>:</w:t>
      </w:r>
    </w:p>
    <w:p w14:paraId="294E49FB" w14:textId="5DAC0BDA" w:rsidR="007D20E6" w:rsidRPr="005A7CAE" w:rsidRDefault="007D20E6" w:rsidP="005070CC">
      <w:pPr>
        <w:spacing w:before="120" w:after="120"/>
        <w:ind w:left="357"/>
        <w:jc w:val="both"/>
        <w:rPr>
          <w:rFonts w:eastAsia="Calibri"/>
          <w:sz w:val="22"/>
          <w:szCs w:val="22"/>
          <w:lang w:eastAsia="en-US"/>
        </w:rPr>
      </w:pPr>
      <w:r w:rsidRPr="005A7CAE">
        <w:rPr>
          <w:rFonts w:eastAsia="Calibri"/>
          <w:sz w:val="22"/>
          <w:szCs w:val="22"/>
          <w:lang w:eastAsia="en-US"/>
        </w:rPr>
        <w:t xml:space="preserve">The </w:t>
      </w:r>
      <w:r w:rsidR="007D77AB" w:rsidRPr="005A7CAE">
        <w:rPr>
          <w:rFonts w:eastAsia="Calibri"/>
          <w:sz w:val="22"/>
          <w:szCs w:val="22"/>
          <w:lang w:eastAsia="en-US"/>
        </w:rPr>
        <w:t>main impact of the NFC+ status is triggered by the bilateral margining obligation under Article 11 (3) of EMIR, in particular by the initial margining requirements.</w:t>
      </w:r>
      <w:r w:rsidR="0081248D" w:rsidRPr="005A7CAE">
        <w:rPr>
          <w:rFonts w:eastAsia="Calibri"/>
          <w:sz w:val="22"/>
          <w:szCs w:val="22"/>
          <w:lang w:eastAsia="en-US"/>
        </w:rPr>
        <w:t xml:space="preserve"> The bilateral margining requirements are by far the most burdensome </w:t>
      </w:r>
      <w:r w:rsidR="00DA7183" w:rsidRPr="005A7CAE">
        <w:rPr>
          <w:rFonts w:eastAsia="Calibri"/>
          <w:sz w:val="22"/>
          <w:szCs w:val="22"/>
          <w:lang w:eastAsia="en-US"/>
        </w:rPr>
        <w:t>and costly element of the EMIR obligations for NFC+s</w:t>
      </w:r>
      <w:r w:rsidR="00DA7183" w:rsidRPr="005A7CAE">
        <w:rPr>
          <w:bCs/>
          <w:sz w:val="22"/>
        </w:rPr>
        <w:t>.</w:t>
      </w:r>
      <w:r w:rsidR="007D77AB" w:rsidRPr="005A7CAE">
        <w:rPr>
          <w:rFonts w:eastAsia="Calibri"/>
          <w:sz w:val="22"/>
          <w:szCs w:val="22"/>
          <w:lang w:eastAsia="en-US"/>
        </w:rPr>
        <w:t xml:space="preserve"> Contrary to the</w:t>
      </w:r>
      <w:r w:rsidR="0081248D" w:rsidRPr="005A7CAE">
        <w:rPr>
          <w:rFonts w:eastAsia="Calibri"/>
          <w:sz w:val="22"/>
          <w:szCs w:val="22"/>
          <w:lang w:eastAsia="en-US"/>
        </w:rPr>
        <w:t xml:space="preserve"> ring-fencing of the</w:t>
      </w:r>
      <w:r w:rsidR="007D77AB" w:rsidRPr="005A7CAE">
        <w:rPr>
          <w:rFonts w:eastAsia="Calibri"/>
          <w:sz w:val="22"/>
          <w:szCs w:val="22"/>
          <w:lang w:eastAsia="en-US"/>
        </w:rPr>
        <w:t xml:space="preserve"> clearing obligation</w:t>
      </w:r>
      <w:r w:rsidR="0081248D" w:rsidRPr="005A7CAE">
        <w:rPr>
          <w:rFonts w:eastAsia="Calibri"/>
          <w:sz w:val="22"/>
          <w:szCs w:val="22"/>
          <w:lang w:eastAsia="en-US"/>
        </w:rPr>
        <w:t xml:space="preserve"> under Article 10 (1) (c) of EMIR</w:t>
      </w:r>
      <w:r w:rsidR="007D77AB" w:rsidRPr="005A7CAE">
        <w:rPr>
          <w:rFonts w:eastAsia="Calibri"/>
          <w:sz w:val="22"/>
          <w:szCs w:val="22"/>
          <w:lang w:eastAsia="en-US"/>
        </w:rPr>
        <w:t xml:space="preserve">, </w:t>
      </w:r>
      <w:r w:rsidR="0081248D" w:rsidRPr="005A7CAE">
        <w:rPr>
          <w:rFonts w:eastAsia="Calibri"/>
          <w:sz w:val="22"/>
          <w:szCs w:val="22"/>
          <w:lang w:eastAsia="en-US"/>
        </w:rPr>
        <w:t>the bilateral collateralization</w:t>
      </w:r>
      <w:r w:rsidR="0081248D" w:rsidRPr="005A7CAE">
        <w:rPr>
          <w:rFonts w:eastAsia="Calibri"/>
          <w:b/>
          <w:bCs/>
          <w:sz w:val="22"/>
          <w:szCs w:val="22"/>
          <w:lang w:eastAsia="en-US"/>
        </w:rPr>
        <w:t xml:space="preserve"> </w:t>
      </w:r>
      <w:r w:rsidR="0081248D" w:rsidRPr="005A7CAE">
        <w:rPr>
          <w:rFonts w:eastAsia="Calibri"/>
          <w:sz w:val="22"/>
          <w:szCs w:val="22"/>
          <w:lang w:eastAsia="en-US"/>
        </w:rPr>
        <w:t>of non-centrally-cleared OTC derivatives is not ring-fenced a</w:t>
      </w:r>
      <w:r w:rsidR="00DA7183" w:rsidRPr="005A7CAE">
        <w:rPr>
          <w:rFonts w:eastAsia="Calibri"/>
          <w:sz w:val="22"/>
          <w:szCs w:val="22"/>
          <w:lang w:eastAsia="en-US"/>
        </w:rPr>
        <w:t>s it applies to all OTC derivatives asset classes across the entire corporate group.</w:t>
      </w:r>
      <w:r w:rsidR="0081248D" w:rsidRPr="005A7CAE">
        <w:rPr>
          <w:rFonts w:eastAsia="Calibri"/>
          <w:sz w:val="22"/>
          <w:szCs w:val="22"/>
          <w:lang w:eastAsia="en-US"/>
        </w:rPr>
        <w:t xml:space="preserve"> </w:t>
      </w:r>
      <w:r w:rsidR="007A3AA2" w:rsidRPr="005A7CAE">
        <w:rPr>
          <w:rFonts w:eastAsia="Calibri"/>
          <w:sz w:val="22"/>
          <w:szCs w:val="22"/>
          <w:lang w:eastAsia="en-US"/>
        </w:rPr>
        <w:t>For example, if an affiliated commodity trading firm breaches exclusively the EMIR CCT, the collateralisation requirements are not limited to uncleared OTC commodity derivatives, but are applicable to all asset classes of uncleared OTC derivatives in the entire corporate group, incl</w:t>
      </w:r>
      <w:r w:rsidR="00AA7A6E" w:rsidRPr="005A7CAE">
        <w:rPr>
          <w:rFonts w:eastAsia="Calibri"/>
          <w:sz w:val="22"/>
          <w:szCs w:val="22"/>
          <w:lang w:eastAsia="en-US"/>
        </w:rPr>
        <w:t>uding,</w:t>
      </w:r>
      <w:r w:rsidR="007A3AA2" w:rsidRPr="005A7CAE">
        <w:rPr>
          <w:rFonts w:eastAsia="Calibri"/>
          <w:sz w:val="22"/>
          <w:szCs w:val="22"/>
          <w:lang w:eastAsia="en-US"/>
        </w:rPr>
        <w:t xml:space="preserve"> for example FX and interest rate derivatives. It is – inter alia – this wide scope that creates the major challenges for NFCs as explained in this response. </w:t>
      </w:r>
      <w:r w:rsidR="001B31B8" w:rsidRPr="005A7CAE">
        <w:rPr>
          <w:rFonts w:eastAsia="Calibri"/>
          <w:sz w:val="22"/>
          <w:szCs w:val="22"/>
          <w:lang w:eastAsia="en-US"/>
        </w:rPr>
        <w:t>We consider that it would be more proportionate and appropriate to provide for relief from other obligations under EMIR where an NFC is not subject to the clearing obligation</w:t>
      </w:r>
      <w:r w:rsidR="00600E84" w:rsidRPr="005A7CAE">
        <w:rPr>
          <w:rFonts w:eastAsia="Calibri"/>
          <w:sz w:val="22"/>
          <w:szCs w:val="22"/>
          <w:lang w:eastAsia="en-US"/>
        </w:rPr>
        <w:t xml:space="preserve">. This means that </w:t>
      </w:r>
      <w:r w:rsidR="001B31B8" w:rsidRPr="005A7CAE">
        <w:rPr>
          <w:rFonts w:eastAsia="Calibri"/>
          <w:sz w:val="22"/>
          <w:szCs w:val="22"/>
          <w:lang w:eastAsia="en-US"/>
        </w:rPr>
        <w:t>an NFC would only be an NFC+ for any of the obligations under EMIR where it has exceeded the clearing threshold in relation to a particular asset class.</w:t>
      </w:r>
    </w:p>
    <w:p w14:paraId="5A2F9EB2" w14:textId="2B5C8B26" w:rsidR="00A73256" w:rsidRPr="005A7CAE" w:rsidRDefault="00A73256" w:rsidP="005070CC">
      <w:pPr>
        <w:pStyle w:val="ListParagraph"/>
        <w:numPr>
          <w:ilvl w:val="0"/>
          <w:numId w:val="49"/>
        </w:numPr>
        <w:spacing w:before="120" w:after="120"/>
        <w:ind w:left="357"/>
        <w:contextualSpacing w:val="0"/>
        <w:jc w:val="both"/>
        <w:rPr>
          <w:rFonts w:eastAsia="Calibri"/>
          <w:b/>
          <w:bCs/>
          <w:sz w:val="22"/>
          <w:szCs w:val="22"/>
          <w:lang w:eastAsia="en-US"/>
        </w:rPr>
      </w:pPr>
      <w:r w:rsidRPr="005A7CAE">
        <w:rPr>
          <w:rFonts w:eastAsia="Calibri"/>
          <w:b/>
          <w:bCs/>
          <w:sz w:val="22"/>
          <w:szCs w:val="22"/>
          <w:lang w:eastAsia="en-US"/>
        </w:rPr>
        <w:t xml:space="preserve">Need </w:t>
      </w:r>
      <w:r w:rsidR="000B2674" w:rsidRPr="005A7CAE">
        <w:rPr>
          <w:rFonts w:eastAsia="Calibri"/>
          <w:b/>
          <w:bCs/>
          <w:sz w:val="22"/>
          <w:szCs w:val="22"/>
          <w:lang w:eastAsia="en-US"/>
        </w:rPr>
        <w:t>for</w:t>
      </w:r>
      <w:r w:rsidRPr="005A7CAE">
        <w:rPr>
          <w:rFonts w:eastAsia="Calibri"/>
          <w:b/>
          <w:bCs/>
          <w:sz w:val="22"/>
          <w:szCs w:val="22"/>
          <w:lang w:eastAsia="en-US"/>
        </w:rPr>
        <w:t xml:space="preserve"> equivalence decisions under </w:t>
      </w:r>
      <w:r w:rsidR="0063198F" w:rsidRPr="005A7CAE">
        <w:rPr>
          <w:rFonts w:eastAsia="Calibri"/>
          <w:b/>
          <w:bCs/>
          <w:sz w:val="22"/>
          <w:szCs w:val="22"/>
          <w:lang w:eastAsia="en-US"/>
        </w:rPr>
        <w:t xml:space="preserve">Level 1 of </w:t>
      </w:r>
      <w:r w:rsidRPr="005A7CAE">
        <w:rPr>
          <w:rFonts w:eastAsia="Calibri"/>
          <w:b/>
          <w:bCs/>
          <w:sz w:val="22"/>
          <w:szCs w:val="22"/>
          <w:lang w:eastAsia="en-US"/>
        </w:rPr>
        <w:t>EMIR for trading venues in 3</w:t>
      </w:r>
      <w:r w:rsidRPr="005A7CAE">
        <w:rPr>
          <w:rFonts w:eastAsia="Calibri"/>
          <w:b/>
          <w:bCs/>
          <w:sz w:val="22"/>
          <w:szCs w:val="22"/>
          <w:vertAlign w:val="superscript"/>
          <w:lang w:eastAsia="en-US"/>
        </w:rPr>
        <w:t>rd</w:t>
      </w:r>
      <w:r w:rsidRPr="005A7CAE">
        <w:rPr>
          <w:rFonts w:eastAsia="Calibri"/>
          <w:b/>
          <w:bCs/>
          <w:sz w:val="22"/>
          <w:szCs w:val="22"/>
          <w:lang w:eastAsia="en-US"/>
        </w:rPr>
        <w:t xml:space="preserve"> countries:</w:t>
      </w:r>
    </w:p>
    <w:p w14:paraId="63DEF09F" w14:textId="77777777" w:rsidR="00561AA2" w:rsidRDefault="005E5D38" w:rsidP="005070CC">
      <w:pPr>
        <w:spacing w:before="120" w:after="120"/>
        <w:ind w:left="357"/>
        <w:jc w:val="both"/>
        <w:rPr>
          <w:rFonts w:eastAsia="Calibri"/>
          <w:bCs/>
          <w:sz w:val="22"/>
          <w:szCs w:val="22"/>
          <w:lang w:eastAsia="en-US"/>
        </w:rPr>
      </w:pPr>
      <w:r w:rsidRPr="00A46EF7">
        <w:rPr>
          <w:rFonts w:eastAsia="Calibri"/>
          <w:sz w:val="22"/>
          <w:szCs w:val="22"/>
          <w:lang w:eastAsia="en-US"/>
        </w:rPr>
        <w:t xml:space="preserve">The need </w:t>
      </w:r>
      <w:r w:rsidR="00AD7FC2" w:rsidRPr="00A46EF7">
        <w:rPr>
          <w:rFonts w:eastAsia="Calibri"/>
          <w:sz w:val="22"/>
          <w:szCs w:val="22"/>
          <w:lang w:eastAsia="en-US"/>
        </w:rPr>
        <w:t>for</w:t>
      </w:r>
      <w:r w:rsidRPr="00A46EF7">
        <w:rPr>
          <w:rFonts w:eastAsia="Calibri"/>
          <w:sz w:val="22"/>
          <w:szCs w:val="22"/>
          <w:lang w:eastAsia="en-US"/>
        </w:rPr>
        <w:t xml:space="preserve"> an equivalence </w:t>
      </w:r>
      <w:r w:rsidR="006F58E1" w:rsidRPr="00A46EF7">
        <w:rPr>
          <w:rFonts w:eastAsia="Calibri"/>
          <w:sz w:val="22"/>
          <w:szCs w:val="22"/>
          <w:lang w:eastAsia="en-US"/>
        </w:rPr>
        <w:t>decision</w:t>
      </w:r>
      <w:r w:rsidRPr="00A46EF7">
        <w:rPr>
          <w:rFonts w:eastAsia="Calibri"/>
          <w:sz w:val="22"/>
          <w:szCs w:val="22"/>
          <w:lang w:eastAsia="en-US"/>
        </w:rPr>
        <w:t xml:space="preserve"> under Article 2a in conjunction with Article </w:t>
      </w:r>
      <w:r w:rsidR="006F58E1" w:rsidRPr="00A46EF7">
        <w:rPr>
          <w:rFonts w:eastAsia="Calibri"/>
          <w:sz w:val="22"/>
          <w:szCs w:val="22"/>
          <w:lang w:eastAsia="en-US"/>
        </w:rPr>
        <w:t>2 (7)</w:t>
      </w:r>
      <w:r w:rsidRPr="00A46EF7">
        <w:rPr>
          <w:rFonts w:eastAsia="Calibri"/>
          <w:sz w:val="22"/>
          <w:szCs w:val="22"/>
          <w:lang w:eastAsia="en-US"/>
        </w:rPr>
        <w:t xml:space="preserve"> of EMIR </w:t>
      </w:r>
      <w:r w:rsidR="006F58E1" w:rsidRPr="00A46EF7">
        <w:rPr>
          <w:rFonts w:eastAsia="Calibri"/>
          <w:sz w:val="22"/>
          <w:szCs w:val="22"/>
          <w:lang w:eastAsia="en-US"/>
        </w:rPr>
        <w:t>considerabl</w:t>
      </w:r>
      <w:r w:rsidR="00AD7FC2" w:rsidRPr="00A46EF7">
        <w:rPr>
          <w:rFonts w:eastAsia="Calibri"/>
          <w:sz w:val="22"/>
          <w:szCs w:val="22"/>
          <w:lang w:eastAsia="en-US"/>
        </w:rPr>
        <w:t>y</w:t>
      </w:r>
      <w:r w:rsidR="006F58E1" w:rsidRPr="00A46EF7">
        <w:rPr>
          <w:rFonts w:eastAsia="Calibri"/>
          <w:sz w:val="22"/>
          <w:szCs w:val="22"/>
          <w:lang w:eastAsia="en-US"/>
        </w:rPr>
        <w:t xml:space="preserve"> extends the population of global trading activities covered by the EMIR CCT calculation. In absence of such an equivalence decision, the contracts concluded on the concerned 3</w:t>
      </w:r>
      <w:r w:rsidR="006F58E1" w:rsidRPr="00A46EF7">
        <w:rPr>
          <w:rFonts w:eastAsia="Calibri"/>
          <w:sz w:val="22"/>
          <w:szCs w:val="22"/>
          <w:vertAlign w:val="superscript"/>
          <w:lang w:eastAsia="en-US"/>
        </w:rPr>
        <w:t>rd</w:t>
      </w:r>
      <w:r w:rsidR="006F58E1" w:rsidRPr="00A46EF7">
        <w:rPr>
          <w:rFonts w:eastAsia="Calibri"/>
          <w:sz w:val="22"/>
          <w:szCs w:val="22"/>
          <w:lang w:eastAsia="en-US"/>
        </w:rPr>
        <w:t xml:space="preserve"> country venues are considered OTC and therefore counts towards the EMIR CCT, although they are usually centrally cleared. In practice, this materially increases the in-scope instruments as EU NFCs use </w:t>
      </w:r>
      <w:r w:rsidR="00E83138" w:rsidRPr="00A46EF7">
        <w:rPr>
          <w:rFonts w:eastAsia="Calibri"/>
          <w:sz w:val="22"/>
          <w:szCs w:val="22"/>
          <w:lang w:eastAsia="en-US"/>
        </w:rPr>
        <w:t>trading venues in many 3</w:t>
      </w:r>
      <w:r w:rsidR="00E83138" w:rsidRPr="00A46EF7">
        <w:rPr>
          <w:rFonts w:eastAsia="Calibri"/>
          <w:sz w:val="22"/>
          <w:szCs w:val="22"/>
          <w:vertAlign w:val="superscript"/>
          <w:lang w:eastAsia="en-US"/>
        </w:rPr>
        <w:t>rd</w:t>
      </w:r>
      <w:r w:rsidR="00E83138" w:rsidRPr="00A46EF7">
        <w:rPr>
          <w:rFonts w:eastAsia="Calibri"/>
          <w:sz w:val="22"/>
          <w:szCs w:val="22"/>
          <w:lang w:eastAsia="en-US"/>
        </w:rPr>
        <w:t xml:space="preserve"> countries, such as in the UK (IFEU and LME), </w:t>
      </w:r>
      <w:r w:rsidR="00E83138" w:rsidRPr="00A46EF7">
        <w:rPr>
          <w:rFonts w:eastAsia="Calibri"/>
          <w:bCs/>
          <w:sz w:val="22"/>
          <w:szCs w:val="22"/>
          <w:lang w:eastAsia="en-US"/>
        </w:rPr>
        <w:t>United Arab Emirates, China, Russia, Turkey and Brazil in the near future.</w:t>
      </w:r>
    </w:p>
    <w:p w14:paraId="0C7D7F1D" w14:textId="77777777" w:rsidR="00561AA2" w:rsidRDefault="0002460C" w:rsidP="005070CC">
      <w:pPr>
        <w:spacing w:before="120" w:after="120"/>
        <w:ind w:left="357"/>
        <w:jc w:val="both"/>
        <w:rPr>
          <w:rFonts w:eastAsia="Calibri"/>
          <w:bCs/>
          <w:sz w:val="22"/>
          <w:szCs w:val="22"/>
          <w:lang w:eastAsia="en-US"/>
        </w:rPr>
      </w:pPr>
      <w:r w:rsidRPr="00A46EF7">
        <w:rPr>
          <w:rFonts w:eastAsia="Calibri"/>
          <w:bCs/>
          <w:sz w:val="22"/>
          <w:szCs w:val="22"/>
          <w:lang w:eastAsia="en-US"/>
        </w:rPr>
        <w:t xml:space="preserve">Even if the Commission does start to make equivalence decisions under Article 2a, it is unlikely that they will cover all relevant jurisdictions or all relevant (future) commodity trading venues, so this situation will continue </w:t>
      </w:r>
      <w:r w:rsidR="00BB57A1" w:rsidRPr="00A46EF7">
        <w:rPr>
          <w:rFonts w:eastAsia="Calibri"/>
          <w:bCs/>
          <w:sz w:val="22"/>
          <w:szCs w:val="22"/>
          <w:lang w:eastAsia="en-US"/>
        </w:rPr>
        <w:t>as</w:t>
      </w:r>
      <w:r w:rsidRPr="00A46EF7">
        <w:rPr>
          <w:rFonts w:eastAsia="Calibri"/>
          <w:bCs/>
          <w:sz w:val="22"/>
          <w:szCs w:val="22"/>
          <w:lang w:eastAsia="en-US"/>
        </w:rPr>
        <w:t xml:space="preserve"> long as the definition of "OTC derivative" is linked to an equivalence decision.</w:t>
      </w:r>
    </w:p>
    <w:p w14:paraId="0C1DA6E6" w14:textId="25F062DD" w:rsidR="0066188F" w:rsidRPr="005A7CAE" w:rsidRDefault="00E83138" w:rsidP="005070CC">
      <w:pPr>
        <w:spacing w:before="120" w:after="120"/>
        <w:ind w:left="357"/>
        <w:jc w:val="both"/>
        <w:rPr>
          <w:rFonts w:eastAsia="Calibri"/>
          <w:bCs/>
          <w:sz w:val="22"/>
          <w:szCs w:val="22"/>
          <w:lang w:eastAsia="en-US"/>
        </w:rPr>
      </w:pPr>
      <w:r w:rsidRPr="005A7CAE">
        <w:rPr>
          <w:rFonts w:eastAsia="Calibri"/>
          <w:bCs/>
          <w:sz w:val="22"/>
          <w:szCs w:val="22"/>
          <w:lang w:eastAsia="en-US"/>
        </w:rPr>
        <w:t xml:space="preserve">Other jurisdictions </w:t>
      </w:r>
      <w:r w:rsidR="00692C72" w:rsidRPr="005A7CAE">
        <w:rPr>
          <w:rFonts w:eastAsia="Calibri"/>
          <w:bCs/>
          <w:sz w:val="22"/>
          <w:szCs w:val="22"/>
          <w:lang w:eastAsia="en-US"/>
        </w:rPr>
        <w:t xml:space="preserve">– </w:t>
      </w:r>
      <w:r w:rsidR="00561AA2" w:rsidRPr="005A7CAE">
        <w:rPr>
          <w:rFonts w:eastAsia="Calibri"/>
          <w:bCs/>
          <w:sz w:val="22"/>
          <w:szCs w:val="22"/>
          <w:lang w:eastAsia="en-US"/>
        </w:rPr>
        <w:t>cf.</w:t>
      </w:r>
      <w:r w:rsidR="00C352C8" w:rsidRPr="005A7CAE">
        <w:rPr>
          <w:rFonts w:eastAsia="Calibri"/>
          <w:bCs/>
          <w:sz w:val="22"/>
          <w:szCs w:val="22"/>
          <w:lang w:eastAsia="en-US"/>
        </w:rPr>
        <w:t xml:space="preserve"> jurisdictions in</w:t>
      </w:r>
      <w:r w:rsidR="00692C72" w:rsidRPr="005A7CAE">
        <w:rPr>
          <w:rFonts w:eastAsia="Calibri"/>
          <w:bCs/>
          <w:sz w:val="22"/>
          <w:szCs w:val="22"/>
          <w:lang w:eastAsia="en-US"/>
        </w:rPr>
        <w:t xml:space="preserve"> </w:t>
      </w:r>
      <w:r w:rsidRPr="005A7CAE">
        <w:rPr>
          <w:rFonts w:eastAsia="Calibri"/>
          <w:bCs/>
          <w:sz w:val="22"/>
          <w:szCs w:val="22"/>
          <w:lang w:eastAsia="en-US"/>
        </w:rPr>
        <w:t>nr. 4 b and c of</w:t>
      </w:r>
      <w:r w:rsidR="0063528E" w:rsidRPr="005A7CAE">
        <w:rPr>
          <w:rFonts w:eastAsia="Calibri"/>
          <w:bCs/>
          <w:sz w:val="22"/>
          <w:szCs w:val="22"/>
          <w:lang w:eastAsia="en-US"/>
        </w:rPr>
        <w:t xml:space="preserve"> table of</w:t>
      </w:r>
      <w:r w:rsidRPr="005A7CAE">
        <w:rPr>
          <w:rFonts w:eastAsia="Calibri"/>
          <w:bCs/>
          <w:sz w:val="22"/>
          <w:szCs w:val="22"/>
          <w:lang w:eastAsia="en-US"/>
        </w:rPr>
        <w:t xml:space="preserve"> </w:t>
      </w:r>
      <w:r w:rsidR="0063528E" w:rsidRPr="005A7CAE">
        <w:rPr>
          <w:rFonts w:eastAsia="Calibri"/>
          <w:bCs/>
          <w:sz w:val="22"/>
          <w:szCs w:val="22"/>
          <w:lang w:eastAsia="en-US"/>
        </w:rPr>
        <w:t>B</w:t>
      </w:r>
      <w:r w:rsidRPr="005A7CAE">
        <w:rPr>
          <w:rFonts w:eastAsia="Calibri"/>
          <w:bCs/>
          <w:sz w:val="22"/>
          <w:szCs w:val="22"/>
          <w:lang w:eastAsia="en-US"/>
        </w:rPr>
        <w:t xml:space="preserve">enchmark </w:t>
      </w:r>
      <w:r w:rsidR="0063528E" w:rsidRPr="005A7CAE">
        <w:rPr>
          <w:rFonts w:eastAsia="Calibri"/>
          <w:bCs/>
          <w:sz w:val="22"/>
          <w:szCs w:val="22"/>
          <w:lang w:eastAsia="en-US"/>
        </w:rPr>
        <w:t>Study</w:t>
      </w:r>
      <w:r w:rsidR="00561AA2" w:rsidRPr="005A7CAE">
        <w:rPr>
          <w:rFonts w:eastAsia="Calibri"/>
          <w:bCs/>
          <w:sz w:val="22"/>
          <w:szCs w:val="22"/>
          <w:lang w:eastAsia="en-US"/>
        </w:rPr>
        <w:t xml:space="preserve"> in Section 1</w:t>
      </w:r>
      <w:r w:rsidRPr="005A7CAE">
        <w:rPr>
          <w:rFonts w:eastAsia="Calibri"/>
          <w:bCs/>
          <w:sz w:val="22"/>
          <w:szCs w:val="22"/>
          <w:lang w:eastAsia="en-US"/>
        </w:rPr>
        <w:t xml:space="preserve"> above</w:t>
      </w:r>
      <w:r w:rsidR="00692C72" w:rsidRPr="005A7CAE">
        <w:rPr>
          <w:rFonts w:eastAsia="Calibri"/>
          <w:bCs/>
          <w:sz w:val="22"/>
          <w:szCs w:val="22"/>
          <w:lang w:eastAsia="en-US"/>
        </w:rPr>
        <w:t xml:space="preserve"> and Switzerland (</w:t>
      </w:r>
      <w:r w:rsidR="00561AA2" w:rsidRPr="005A7CAE">
        <w:rPr>
          <w:rFonts w:eastAsia="Calibri"/>
          <w:bCs/>
          <w:sz w:val="22"/>
          <w:szCs w:val="22"/>
          <w:lang w:eastAsia="en-US"/>
        </w:rPr>
        <w:t>cf.</w:t>
      </w:r>
      <w:r w:rsidR="00692C72" w:rsidRPr="005A7CAE">
        <w:rPr>
          <w:rFonts w:eastAsia="Calibri"/>
          <w:bCs/>
          <w:sz w:val="22"/>
          <w:szCs w:val="22"/>
          <w:lang w:eastAsia="en-US"/>
        </w:rPr>
        <w:t xml:space="preserve"> page 21 of attached Benchmark Study) –</w:t>
      </w:r>
      <w:r w:rsidRPr="005A7CAE">
        <w:rPr>
          <w:rFonts w:eastAsia="Calibri"/>
          <w:bCs/>
          <w:sz w:val="22"/>
          <w:szCs w:val="22"/>
          <w:lang w:eastAsia="en-US"/>
        </w:rPr>
        <w:t xml:space="preserve"> do not include </w:t>
      </w:r>
      <w:r w:rsidR="00692C72" w:rsidRPr="005A7CAE">
        <w:rPr>
          <w:rFonts w:eastAsia="Calibri"/>
          <w:bCs/>
          <w:sz w:val="22"/>
          <w:szCs w:val="22"/>
          <w:lang w:eastAsia="en-US"/>
        </w:rPr>
        <w:t>derivatives traded on 3</w:t>
      </w:r>
      <w:r w:rsidR="00692C72" w:rsidRPr="005A7CAE">
        <w:rPr>
          <w:rFonts w:eastAsia="Calibri"/>
          <w:bCs/>
          <w:sz w:val="22"/>
          <w:szCs w:val="22"/>
          <w:vertAlign w:val="superscript"/>
          <w:lang w:eastAsia="en-US"/>
        </w:rPr>
        <w:t>rd</w:t>
      </w:r>
      <w:r w:rsidR="00692C72" w:rsidRPr="005A7CAE">
        <w:rPr>
          <w:rFonts w:eastAsia="Calibri"/>
          <w:bCs/>
          <w:sz w:val="22"/>
          <w:szCs w:val="22"/>
          <w:lang w:eastAsia="en-US"/>
        </w:rPr>
        <w:t xml:space="preserve"> country venues in their threshold calculations</w:t>
      </w:r>
      <w:r w:rsidR="00080EAB" w:rsidRPr="005A7CAE">
        <w:rPr>
          <w:rFonts w:eastAsia="Calibri"/>
          <w:bCs/>
          <w:sz w:val="22"/>
          <w:szCs w:val="22"/>
          <w:lang w:eastAsia="en-US"/>
        </w:rPr>
        <w:t>.</w:t>
      </w:r>
    </w:p>
    <w:p w14:paraId="590A1536" w14:textId="09D26A38" w:rsidR="0002460C" w:rsidRPr="00A46EF7" w:rsidRDefault="0002460C" w:rsidP="005070CC">
      <w:pPr>
        <w:spacing w:before="120" w:after="120"/>
        <w:ind w:left="357"/>
        <w:jc w:val="both"/>
        <w:rPr>
          <w:rFonts w:eastAsia="Calibri"/>
          <w:sz w:val="22"/>
          <w:szCs w:val="22"/>
          <w:lang w:eastAsia="en-US"/>
        </w:rPr>
      </w:pPr>
      <w:r w:rsidRPr="00A46EF7">
        <w:rPr>
          <w:rFonts w:eastAsia="Calibri"/>
          <w:sz w:val="22"/>
          <w:szCs w:val="22"/>
          <w:lang w:eastAsia="en-US"/>
        </w:rPr>
        <w:t xml:space="preserve">In this context </w:t>
      </w:r>
      <w:r w:rsidR="007D6715">
        <w:rPr>
          <w:rFonts w:eastAsia="Calibri"/>
          <w:sz w:val="22"/>
          <w:szCs w:val="22"/>
          <w:lang w:eastAsia="en-US"/>
        </w:rPr>
        <w:t xml:space="preserve">we </w:t>
      </w:r>
      <w:r w:rsidRPr="00A46EF7">
        <w:rPr>
          <w:rFonts w:eastAsia="Calibri"/>
          <w:sz w:val="22"/>
          <w:szCs w:val="22"/>
          <w:lang w:eastAsia="en-US"/>
        </w:rPr>
        <w:t xml:space="preserve">consider that it is </w:t>
      </w:r>
      <w:r w:rsidR="00BB57A1" w:rsidRPr="00A46EF7">
        <w:rPr>
          <w:rFonts w:eastAsia="Calibri"/>
          <w:sz w:val="22"/>
          <w:szCs w:val="22"/>
          <w:lang w:eastAsia="en-US"/>
        </w:rPr>
        <w:t>neither</w:t>
      </w:r>
      <w:r w:rsidR="008F3136" w:rsidRPr="00A46EF7">
        <w:rPr>
          <w:rFonts w:eastAsia="Calibri"/>
          <w:sz w:val="22"/>
          <w:szCs w:val="22"/>
          <w:lang w:eastAsia="en-US"/>
        </w:rPr>
        <w:t xml:space="preserve"> </w:t>
      </w:r>
      <w:r w:rsidRPr="00A46EF7">
        <w:rPr>
          <w:rFonts w:eastAsia="Calibri"/>
          <w:sz w:val="22"/>
          <w:szCs w:val="22"/>
          <w:lang w:eastAsia="en-US"/>
        </w:rPr>
        <w:t xml:space="preserve">proportionate </w:t>
      </w:r>
      <w:r w:rsidR="00BB57A1" w:rsidRPr="00A46EF7">
        <w:rPr>
          <w:rFonts w:eastAsia="Calibri"/>
          <w:sz w:val="22"/>
          <w:szCs w:val="22"/>
          <w:lang w:eastAsia="en-US"/>
        </w:rPr>
        <w:t>n</w:t>
      </w:r>
      <w:r w:rsidRPr="00A46EF7">
        <w:rPr>
          <w:rFonts w:eastAsia="Calibri"/>
          <w:sz w:val="22"/>
          <w:szCs w:val="22"/>
          <w:lang w:eastAsia="en-US"/>
        </w:rPr>
        <w:t xml:space="preserve">or appropriate </w:t>
      </w:r>
      <w:r w:rsidRPr="00A46EF7">
        <w:rPr>
          <w:rFonts w:eastAsia="Calibri"/>
          <w:bCs/>
          <w:sz w:val="22"/>
          <w:szCs w:val="22"/>
          <w:lang w:eastAsia="en-US"/>
        </w:rPr>
        <w:t>to</w:t>
      </w:r>
      <w:r w:rsidRPr="00A46EF7">
        <w:rPr>
          <w:rFonts w:eastAsia="Calibri"/>
          <w:sz w:val="22"/>
          <w:szCs w:val="22"/>
          <w:lang w:eastAsia="en-US"/>
        </w:rPr>
        <w:t xml:space="preserve"> have an equivalence regime purely for the purpose of establishing whether a derivative contract should be considered OTC or not </w:t>
      </w:r>
      <w:r w:rsidR="008F3136" w:rsidRPr="00A46EF7">
        <w:rPr>
          <w:rFonts w:eastAsia="Calibri"/>
          <w:sz w:val="22"/>
          <w:szCs w:val="22"/>
          <w:lang w:eastAsia="en-US"/>
        </w:rPr>
        <w:t>for the purpose of the</w:t>
      </w:r>
      <w:r w:rsidRPr="00A46EF7">
        <w:rPr>
          <w:rFonts w:eastAsia="Calibri"/>
          <w:sz w:val="22"/>
          <w:szCs w:val="22"/>
          <w:lang w:eastAsia="en-US"/>
        </w:rPr>
        <w:t xml:space="preserve"> EMIR</w:t>
      </w:r>
      <w:r w:rsidR="008F3136" w:rsidRPr="00A46EF7">
        <w:rPr>
          <w:rFonts w:eastAsia="Calibri"/>
          <w:sz w:val="22"/>
          <w:szCs w:val="22"/>
          <w:lang w:eastAsia="en-US"/>
        </w:rPr>
        <w:t xml:space="preserve"> CCT calculations</w:t>
      </w:r>
      <w:r w:rsidR="00BB57A1" w:rsidRPr="00A46EF7">
        <w:rPr>
          <w:rFonts w:eastAsia="Calibri"/>
          <w:sz w:val="22"/>
          <w:szCs w:val="22"/>
          <w:lang w:eastAsia="en-US"/>
        </w:rPr>
        <w:t>.</w:t>
      </w:r>
      <w:r w:rsidRPr="00A46EF7">
        <w:rPr>
          <w:rFonts w:eastAsia="Calibri"/>
          <w:sz w:val="22"/>
          <w:szCs w:val="22"/>
          <w:lang w:eastAsia="en-US"/>
        </w:rPr>
        <w:t xml:space="preserve"> </w:t>
      </w:r>
      <w:r w:rsidR="00BB57A1" w:rsidRPr="00A46EF7">
        <w:rPr>
          <w:rFonts w:eastAsia="Calibri"/>
          <w:sz w:val="22"/>
          <w:szCs w:val="22"/>
          <w:lang w:eastAsia="en-US"/>
        </w:rPr>
        <w:t>W</w:t>
      </w:r>
      <w:r w:rsidRPr="00A46EF7">
        <w:rPr>
          <w:rFonts w:eastAsia="Calibri"/>
          <w:sz w:val="22"/>
          <w:szCs w:val="22"/>
          <w:lang w:eastAsia="en-US"/>
        </w:rPr>
        <w:t>e are concerned that the current lack of equivalence decisions is leading to unintended consequences for EU firms</w:t>
      </w:r>
    </w:p>
    <w:p w14:paraId="172CB005" w14:textId="0CE528D3" w:rsidR="00B936C9" w:rsidRPr="00A46EF7" w:rsidRDefault="00B936C9" w:rsidP="005070CC">
      <w:pPr>
        <w:pStyle w:val="ListParagraph"/>
        <w:numPr>
          <w:ilvl w:val="0"/>
          <w:numId w:val="49"/>
        </w:numPr>
        <w:spacing w:before="120" w:after="120"/>
        <w:ind w:left="357"/>
        <w:contextualSpacing w:val="0"/>
        <w:jc w:val="both"/>
        <w:rPr>
          <w:rFonts w:eastAsia="Calibri"/>
          <w:b/>
          <w:bCs/>
          <w:sz w:val="22"/>
          <w:szCs w:val="22"/>
          <w:lang w:eastAsia="en-US"/>
        </w:rPr>
      </w:pPr>
      <w:r w:rsidRPr="00A46EF7">
        <w:rPr>
          <w:rFonts w:eastAsia="Calibri"/>
          <w:b/>
          <w:bCs/>
          <w:sz w:val="22"/>
          <w:szCs w:val="22"/>
          <w:lang w:eastAsia="en-US"/>
        </w:rPr>
        <w:t xml:space="preserve">EMIR CCT </w:t>
      </w:r>
      <w:r w:rsidR="00283CAF" w:rsidRPr="00A46EF7">
        <w:rPr>
          <w:rFonts w:eastAsia="Calibri"/>
          <w:b/>
          <w:bCs/>
          <w:sz w:val="22"/>
          <w:szCs w:val="22"/>
          <w:lang w:eastAsia="en-US"/>
        </w:rPr>
        <w:t>calculation</w:t>
      </w:r>
      <w:r w:rsidRPr="00A46EF7">
        <w:rPr>
          <w:rFonts w:eastAsia="Calibri"/>
          <w:b/>
          <w:bCs/>
          <w:sz w:val="22"/>
          <w:szCs w:val="22"/>
          <w:lang w:eastAsia="en-US"/>
        </w:rPr>
        <w:t xml:space="preserve"> methods</w:t>
      </w:r>
      <w:r w:rsidR="0063198F" w:rsidRPr="00A46EF7">
        <w:rPr>
          <w:rFonts w:eastAsia="Calibri"/>
          <w:b/>
          <w:bCs/>
          <w:sz w:val="22"/>
          <w:szCs w:val="22"/>
          <w:lang w:eastAsia="en-US"/>
        </w:rPr>
        <w:t xml:space="preserve"> embedded in Level 1 and 2 of EMIR</w:t>
      </w:r>
      <w:r w:rsidRPr="00A46EF7">
        <w:rPr>
          <w:rFonts w:eastAsia="Calibri"/>
          <w:b/>
          <w:bCs/>
          <w:sz w:val="22"/>
          <w:szCs w:val="22"/>
          <w:lang w:eastAsia="en-US"/>
        </w:rPr>
        <w:t>:</w:t>
      </w:r>
    </w:p>
    <w:p w14:paraId="6F690721" w14:textId="34533860" w:rsidR="00FA5B0E" w:rsidRPr="00A46EF7" w:rsidRDefault="00FA5B0E" w:rsidP="005070CC">
      <w:pPr>
        <w:spacing w:before="120" w:after="120"/>
        <w:ind w:left="357"/>
        <w:jc w:val="both"/>
        <w:rPr>
          <w:rFonts w:eastAsia="Calibri"/>
          <w:sz w:val="22"/>
          <w:szCs w:val="22"/>
          <w:lang w:eastAsia="en-US"/>
        </w:rPr>
      </w:pPr>
      <w:r w:rsidRPr="00A46EF7">
        <w:rPr>
          <w:rFonts w:eastAsia="Calibri"/>
          <w:sz w:val="22"/>
          <w:szCs w:val="22"/>
          <w:lang w:eastAsia="en-US"/>
        </w:rPr>
        <w:lastRenderedPageBreak/>
        <w:t>In this sub-section we deal with some specific</w:t>
      </w:r>
      <w:r w:rsidR="007A3AA2" w:rsidRPr="00A46EF7">
        <w:rPr>
          <w:rFonts w:eastAsia="Calibri"/>
          <w:sz w:val="22"/>
          <w:szCs w:val="22"/>
          <w:lang w:eastAsia="en-US"/>
        </w:rPr>
        <w:t xml:space="preserve"> unhelpful</w:t>
      </w:r>
      <w:r w:rsidRPr="00A46EF7">
        <w:rPr>
          <w:rFonts w:eastAsia="Calibri"/>
          <w:sz w:val="22"/>
          <w:szCs w:val="22"/>
          <w:lang w:eastAsia="en-US"/>
        </w:rPr>
        <w:t xml:space="preserve"> technical aspects of the EMIR CCT calculation methods which reduce the </w:t>
      </w:r>
      <w:r w:rsidR="007A3AA2" w:rsidRPr="00A46EF7">
        <w:rPr>
          <w:rFonts w:eastAsia="Calibri"/>
          <w:sz w:val="22"/>
          <w:szCs w:val="22"/>
          <w:lang w:eastAsia="en-US"/>
        </w:rPr>
        <w:t xml:space="preserve">usefulness of </w:t>
      </w:r>
      <w:r w:rsidRPr="00A46EF7">
        <w:rPr>
          <w:rFonts w:eastAsia="Calibri"/>
          <w:sz w:val="22"/>
          <w:szCs w:val="22"/>
          <w:lang w:eastAsia="en-US"/>
        </w:rPr>
        <w:t>the EMIR CCT</w:t>
      </w:r>
      <w:r w:rsidR="007A3AA2" w:rsidRPr="00A46EF7">
        <w:rPr>
          <w:rFonts w:eastAsia="Calibri"/>
          <w:sz w:val="22"/>
          <w:szCs w:val="22"/>
          <w:lang w:eastAsia="en-US"/>
        </w:rPr>
        <w:t xml:space="preserve"> substantially</w:t>
      </w:r>
      <w:r w:rsidRPr="00A46EF7">
        <w:rPr>
          <w:rFonts w:eastAsia="Calibri"/>
          <w:sz w:val="22"/>
          <w:szCs w:val="22"/>
          <w:lang w:eastAsia="en-US"/>
        </w:rPr>
        <w:t>.</w:t>
      </w:r>
      <w:r w:rsidR="00027BA9" w:rsidRPr="00A46EF7">
        <w:rPr>
          <w:rFonts w:eastAsia="Calibri"/>
          <w:sz w:val="22"/>
          <w:szCs w:val="22"/>
          <w:lang w:eastAsia="en-US"/>
        </w:rPr>
        <w:t xml:space="preserve"> </w:t>
      </w:r>
      <w:r w:rsidR="00027BA9" w:rsidRPr="007B5BD6">
        <w:rPr>
          <w:rFonts w:eastAsia="Calibri"/>
          <w:b/>
          <w:bCs/>
          <w:sz w:val="22"/>
          <w:szCs w:val="22"/>
          <w:lang w:eastAsia="en-US"/>
        </w:rPr>
        <w:t>The current methodologies unduly inflate the gross notional values of OTC derivatives counting against the EMIR CCT.</w:t>
      </w:r>
    </w:p>
    <w:p w14:paraId="7E98F911" w14:textId="2916EC03" w:rsidR="00A36327" w:rsidRPr="007B5BD6" w:rsidRDefault="00B936C9" w:rsidP="005070CC">
      <w:pPr>
        <w:spacing w:before="120" w:after="120"/>
        <w:ind w:left="357"/>
        <w:jc w:val="both"/>
        <w:rPr>
          <w:rFonts w:eastAsia="Calibri"/>
          <w:b/>
          <w:bCs/>
          <w:sz w:val="22"/>
          <w:szCs w:val="22"/>
          <w:lang w:eastAsia="en-US"/>
        </w:rPr>
      </w:pPr>
      <w:r w:rsidRPr="007B5BD6">
        <w:rPr>
          <w:rFonts w:eastAsia="Calibri"/>
          <w:b/>
          <w:bCs/>
          <w:sz w:val="22"/>
          <w:szCs w:val="22"/>
          <w:lang w:eastAsia="en-US"/>
        </w:rPr>
        <w:t>Restrictive n</w:t>
      </w:r>
      <w:r w:rsidR="00864724" w:rsidRPr="007B5BD6">
        <w:rPr>
          <w:rFonts w:eastAsia="Calibri"/>
          <w:b/>
          <w:bCs/>
          <w:sz w:val="22"/>
          <w:szCs w:val="22"/>
          <w:lang w:eastAsia="en-US"/>
        </w:rPr>
        <w:t>etting</w:t>
      </w:r>
      <w:r w:rsidR="00B84AE4" w:rsidRPr="007B5BD6">
        <w:rPr>
          <w:rFonts w:eastAsia="Calibri"/>
          <w:b/>
          <w:bCs/>
          <w:sz w:val="22"/>
          <w:szCs w:val="22"/>
          <w:lang w:eastAsia="en-US"/>
        </w:rPr>
        <w:t xml:space="preserve"> under </w:t>
      </w:r>
      <w:r w:rsidR="00B43D1A" w:rsidRPr="007B5BD6">
        <w:rPr>
          <w:rFonts w:eastAsia="Calibri"/>
          <w:b/>
          <w:bCs/>
          <w:sz w:val="22"/>
          <w:szCs w:val="22"/>
          <w:lang w:eastAsia="en-US"/>
        </w:rPr>
        <w:t>ESMA’s EMIR QA</w:t>
      </w:r>
      <w:r w:rsidR="00A36327" w:rsidRPr="007B5BD6">
        <w:rPr>
          <w:rFonts w:eastAsia="Calibri"/>
          <w:b/>
          <w:bCs/>
          <w:sz w:val="22"/>
          <w:szCs w:val="22"/>
          <w:lang w:eastAsia="en-US"/>
        </w:rPr>
        <w:t>:</w:t>
      </w:r>
    </w:p>
    <w:p w14:paraId="09E49F44" w14:textId="77777777" w:rsidR="007B5BD6" w:rsidRDefault="00B43D1A" w:rsidP="005070CC">
      <w:pPr>
        <w:spacing w:before="120" w:after="120"/>
        <w:ind w:left="357"/>
        <w:jc w:val="both"/>
        <w:rPr>
          <w:sz w:val="22"/>
        </w:rPr>
      </w:pPr>
      <w:r w:rsidRPr="00A46EF7">
        <w:rPr>
          <w:sz w:val="22"/>
        </w:rPr>
        <w:t xml:space="preserve">Currently, </w:t>
      </w:r>
      <w:r w:rsidR="00464696" w:rsidRPr="00A46EF7">
        <w:rPr>
          <w:sz w:val="22"/>
        </w:rPr>
        <w:t>for the purpose of the EMIR CTT calculation</w:t>
      </w:r>
      <w:r w:rsidRPr="00A46EF7">
        <w:rPr>
          <w:sz w:val="22"/>
        </w:rPr>
        <w:t xml:space="preserve"> a very narrow understanding of netting</w:t>
      </w:r>
      <w:r w:rsidR="00464696" w:rsidRPr="00A46EF7">
        <w:rPr>
          <w:sz w:val="22"/>
        </w:rPr>
        <w:t xml:space="preserve"> i</w:t>
      </w:r>
      <w:r w:rsidR="00AD7FC2" w:rsidRPr="00A46EF7">
        <w:rPr>
          <w:sz w:val="22"/>
        </w:rPr>
        <w:t>s</w:t>
      </w:r>
      <w:r w:rsidR="00464696" w:rsidRPr="00A46EF7">
        <w:rPr>
          <w:sz w:val="22"/>
        </w:rPr>
        <w:t xml:space="preserve"> applicable (see ESMA QA (OTC Question 3 (f) )</w:t>
      </w:r>
      <w:r w:rsidRPr="00A46EF7">
        <w:rPr>
          <w:sz w:val="22"/>
        </w:rPr>
        <w:t>: Netting per contracts and counterparty should be understood as fully or partially offsetting contracts having exactly the same characteristics (type, underlying, maturity, etc.) with the only exception being the direction of the trade and notional amount (in case of partial offset) concluded with the same counterparty.</w:t>
      </w:r>
    </w:p>
    <w:p w14:paraId="1FCA7BD1" w14:textId="01D956D3" w:rsidR="0063528E" w:rsidRPr="00A46EF7" w:rsidRDefault="00464696" w:rsidP="005070CC">
      <w:pPr>
        <w:spacing w:before="120" w:after="120"/>
        <w:ind w:left="357"/>
        <w:jc w:val="both"/>
        <w:rPr>
          <w:sz w:val="22"/>
        </w:rPr>
      </w:pPr>
      <w:r w:rsidRPr="00A46EF7">
        <w:rPr>
          <w:sz w:val="22"/>
        </w:rPr>
        <w:t>Other regulations applicable to energy commodity trading firms display a</w:t>
      </w:r>
      <w:r w:rsidR="0061388F" w:rsidRPr="00A46EF7">
        <w:rPr>
          <w:sz w:val="22"/>
        </w:rPr>
        <w:t xml:space="preserve"> substantial</w:t>
      </w:r>
      <w:r w:rsidRPr="00A46EF7">
        <w:rPr>
          <w:sz w:val="22"/>
        </w:rPr>
        <w:t xml:space="preserve"> wider understanding of </w:t>
      </w:r>
      <w:r w:rsidR="0061388F" w:rsidRPr="00A46EF7">
        <w:rPr>
          <w:sz w:val="22"/>
        </w:rPr>
        <w:t>netting, in particular for the ancillary activity tests under the CDR 2017/592.</w:t>
      </w:r>
    </w:p>
    <w:p w14:paraId="27358A4A" w14:textId="2CFE6A8F" w:rsidR="00A36327" w:rsidRPr="007B5BD6" w:rsidRDefault="00B43D1A" w:rsidP="005070CC">
      <w:pPr>
        <w:spacing w:before="120" w:after="120"/>
        <w:ind w:left="357"/>
        <w:jc w:val="both"/>
        <w:rPr>
          <w:rFonts w:eastAsia="Calibri"/>
          <w:b/>
          <w:bCs/>
          <w:sz w:val="22"/>
          <w:szCs w:val="22"/>
          <w:lang w:eastAsia="en-US"/>
        </w:rPr>
      </w:pPr>
      <w:r w:rsidRPr="007B5BD6">
        <w:rPr>
          <w:rFonts w:eastAsia="Calibri"/>
          <w:b/>
          <w:bCs/>
          <w:sz w:val="22"/>
          <w:szCs w:val="22"/>
          <w:lang w:eastAsia="en-US"/>
        </w:rPr>
        <w:t xml:space="preserve">EMIR CCT calculation </w:t>
      </w:r>
      <w:r w:rsidR="00AD7FC2" w:rsidRPr="007B5BD6">
        <w:rPr>
          <w:rFonts w:eastAsia="Calibri"/>
          <w:b/>
          <w:bCs/>
          <w:sz w:val="22"/>
          <w:szCs w:val="22"/>
          <w:lang w:eastAsia="en-US"/>
        </w:rPr>
        <w:t>includes</w:t>
      </w:r>
      <w:r w:rsidR="00082FDA" w:rsidRPr="007B5BD6">
        <w:rPr>
          <w:rFonts w:eastAsia="Calibri"/>
          <w:b/>
          <w:bCs/>
          <w:sz w:val="22"/>
          <w:szCs w:val="22"/>
          <w:lang w:eastAsia="en-US"/>
        </w:rPr>
        <w:t xml:space="preserve"> centrally cleared derivatives</w:t>
      </w:r>
      <w:r w:rsidR="00A36327" w:rsidRPr="007B5BD6">
        <w:rPr>
          <w:rFonts w:eastAsia="Calibri"/>
          <w:b/>
          <w:bCs/>
          <w:sz w:val="22"/>
          <w:szCs w:val="22"/>
          <w:lang w:eastAsia="en-US"/>
        </w:rPr>
        <w:t>:</w:t>
      </w:r>
    </w:p>
    <w:p w14:paraId="19FEBCAF" w14:textId="1AE49590" w:rsidR="00724B98" w:rsidRPr="00A46EF7" w:rsidRDefault="00724B98" w:rsidP="005070CC">
      <w:pPr>
        <w:spacing w:before="120" w:after="120"/>
        <w:ind w:left="357"/>
        <w:jc w:val="both"/>
        <w:rPr>
          <w:rFonts w:eastAsia="Calibri"/>
          <w:sz w:val="22"/>
          <w:szCs w:val="22"/>
          <w:lang w:eastAsia="en-US"/>
        </w:rPr>
      </w:pPr>
      <w:r w:rsidRPr="00A46EF7">
        <w:rPr>
          <w:rFonts w:eastAsia="Calibri"/>
          <w:sz w:val="22"/>
          <w:szCs w:val="22"/>
          <w:lang w:eastAsia="en-US"/>
        </w:rPr>
        <w:t xml:space="preserve">EMIR CCT calculation </w:t>
      </w:r>
      <w:r w:rsidR="00AD7FC2" w:rsidRPr="00A46EF7">
        <w:rPr>
          <w:rFonts w:eastAsia="Calibri"/>
          <w:sz w:val="22"/>
          <w:szCs w:val="22"/>
          <w:lang w:eastAsia="en-US"/>
        </w:rPr>
        <w:t>includes</w:t>
      </w:r>
      <w:r w:rsidRPr="00A46EF7">
        <w:rPr>
          <w:rFonts w:eastAsia="Calibri"/>
          <w:sz w:val="22"/>
          <w:szCs w:val="22"/>
          <w:lang w:eastAsia="en-US"/>
        </w:rPr>
        <w:t xml:space="preserve"> OTC derivatives even if they are centrally cleared on EU CCPs or recognised 3</w:t>
      </w:r>
      <w:r w:rsidRPr="00A46EF7">
        <w:rPr>
          <w:rFonts w:eastAsia="Calibri"/>
          <w:sz w:val="22"/>
          <w:szCs w:val="22"/>
          <w:vertAlign w:val="superscript"/>
          <w:lang w:eastAsia="en-US"/>
        </w:rPr>
        <w:t>rd</w:t>
      </w:r>
      <w:r w:rsidRPr="00A46EF7">
        <w:rPr>
          <w:rFonts w:eastAsia="Calibri"/>
          <w:sz w:val="22"/>
          <w:szCs w:val="22"/>
          <w:lang w:eastAsia="en-US"/>
        </w:rPr>
        <w:t xml:space="preserve"> country CCPs and hence in cases where the counterparty credit risk is fully mitigated.</w:t>
      </w:r>
      <w:r w:rsidR="000E6508" w:rsidRPr="00A46EF7">
        <w:rPr>
          <w:rFonts w:eastAsia="Calibri"/>
          <w:sz w:val="22"/>
          <w:szCs w:val="22"/>
          <w:lang w:eastAsia="en-US"/>
        </w:rPr>
        <w:t xml:space="preserve"> </w:t>
      </w:r>
    </w:p>
    <w:p w14:paraId="388DE374" w14:textId="589A678C" w:rsidR="00B43D1A" w:rsidRPr="00A46EF7" w:rsidRDefault="000F6233" w:rsidP="005070CC">
      <w:pPr>
        <w:spacing w:before="120" w:after="120"/>
        <w:ind w:left="357"/>
        <w:jc w:val="both"/>
        <w:rPr>
          <w:sz w:val="22"/>
        </w:rPr>
      </w:pPr>
      <w:r w:rsidRPr="00A46EF7">
        <w:rPr>
          <w:rFonts w:eastAsia="Calibri"/>
          <w:sz w:val="22"/>
          <w:szCs w:val="22"/>
          <w:lang w:eastAsia="en-US"/>
        </w:rPr>
        <w:t>The Level 1 text of EMIR (</w:t>
      </w:r>
      <w:r w:rsidR="00A769EF" w:rsidRPr="00A46EF7">
        <w:rPr>
          <w:rFonts w:eastAsia="Calibri"/>
          <w:sz w:val="22"/>
          <w:szCs w:val="22"/>
          <w:lang w:eastAsia="en-US"/>
        </w:rPr>
        <w:t>Articles 2 (7), 2a (1), 10 (1) provides that derivative contracts, which are not traded on EU regulated markets or</w:t>
      </w:r>
      <w:r w:rsidR="00724B98" w:rsidRPr="00A46EF7">
        <w:rPr>
          <w:rFonts w:eastAsia="Calibri"/>
          <w:sz w:val="22"/>
          <w:szCs w:val="22"/>
          <w:lang w:eastAsia="en-US"/>
        </w:rPr>
        <w:t xml:space="preserve"> on</w:t>
      </w:r>
      <w:r w:rsidR="00A769EF" w:rsidRPr="00A46EF7">
        <w:rPr>
          <w:rFonts w:eastAsia="Calibri"/>
          <w:sz w:val="22"/>
          <w:szCs w:val="22"/>
          <w:lang w:eastAsia="en-US"/>
        </w:rPr>
        <w:t xml:space="preserve"> equivalent 3</w:t>
      </w:r>
      <w:r w:rsidR="00A769EF" w:rsidRPr="00A46EF7">
        <w:rPr>
          <w:rFonts w:eastAsia="Calibri"/>
          <w:sz w:val="22"/>
          <w:szCs w:val="22"/>
          <w:vertAlign w:val="superscript"/>
          <w:lang w:eastAsia="en-US"/>
        </w:rPr>
        <w:t>rd</w:t>
      </w:r>
      <w:r w:rsidR="00A769EF" w:rsidRPr="00A46EF7">
        <w:rPr>
          <w:rFonts w:eastAsia="Calibri"/>
          <w:sz w:val="22"/>
          <w:szCs w:val="22"/>
          <w:lang w:eastAsia="en-US"/>
        </w:rPr>
        <w:t xml:space="preserve"> country exchange, are OTC Derivatives which count against the EMIR CCT. </w:t>
      </w:r>
      <w:r w:rsidR="00745347" w:rsidRPr="00A46EF7">
        <w:rPr>
          <w:rFonts w:eastAsia="Calibri"/>
          <w:sz w:val="22"/>
          <w:szCs w:val="22"/>
          <w:lang w:eastAsia="en-US"/>
        </w:rPr>
        <w:t>Bilaterally concluded OTC Derivatives</w:t>
      </w:r>
      <w:r w:rsidR="00082842" w:rsidRPr="00A46EF7">
        <w:rPr>
          <w:rFonts w:eastAsia="Calibri"/>
          <w:sz w:val="22"/>
          <w:szCs w:val="22"/>
          <w:lang w:eastAsia="en-US"/>
        </w:rPr>
        <w:t>, such as block trades,</w:t>
      </w:r>
      <w:r w:rsidR="00745347" w:rsidRPr="00A46EF7">
        <w:rPr>
          <w:rFonts w:eastAsia="Calibri"/>
          <w:sz w:val="22"/>
          <w:szCs w:val="22"/>
          <w:lang w:eastAsia="en-US"/>
        </w:rPr>
        <w:t xml:space="preserve"> which are </w:t>
      </w:r>
      <w:r w:rsidR="00745347" w:rsidRPr="00A46EF7">
        <w:rPr>
          <w:sz w:val="22"/>
        </w:rPr>
        <w:t>subsequently</w:t>
      </w:r>
      <w:r w:rsidR="00745347" w:rsidRPr="00A46EF7">
        <w:rPr>
          <w:rFonts w:eastAsia="Calibri"/>
          <w:sz w:val="22"/>
          <w:szCs w:val="22"/>
          <w:lang w:eastAsia="en-US"/>
        </w:rPr>
        <w:t xml:space="preserve"> registered and executed at EU or equivalent </w:t>
      </w:r>
      <w:r w:rsidR="00082842" w:rsidRPr="00A46EF7">
        <w:rPr>
          <w:rFonts w:eastAsia="Calibri"/>
          <w:sz w:val="22"/>
          <w:szCs w:val="22"/>
          <w:lang w:eastAsia="en-US"/>
        </w:rPr>
        <w:t>3</w:t>
      </w:r>
      <w:r w:rsidR="00082842" w:rsidRPr="00A46EF7">
        <w:rPr>
          <w:rFonts w:eastAsia="Calibri"/>
          <w:sz w:val="22"/>
          <w:szCs w:val="22"/>
          <w:vertAlign w:val="superscript"/>
          <w:lang w:eastAsia="en-US"/>
        </w:rPr>
        <w:t>rd</w:t>
      </w:r>
      <w:r w:rsidR="00082842" w:rsidRPr="00A46EF7">
        <w:rPr>
          <w:rFonts w:eastAsia="Calibri"/>
          <w:sz w:val="22"/>
          <w:szCs w:val="22"/>
          <w:lang w:eastAsia="en-US"/>
        </w:rPr>
        <w:t xml:space="preserve"> country </w:t>
      </w:r>
      <w:r w:rsidR="00745347" w:rsidRPr="00A46EF7">
        <w:rPr>
          <w:rFonts w:eastAsia="Calibri"/>
          <w:sz w:val="22"/>
          <w:szCs w:val="22"/>
          <w:lang w:eastAsia="en-US"/>
        </w:rPr>
        <w:t xml:space="preserve">exchanges and then centrally cleared </w:t>
      </w:r>
      <w:r w:rsidR="00082842" w:rsidRPr="00A46EF7">
        <w:rPr>
          <w:rFonts w:eastAsia="Calibri"/>
          <w:sz w:val="22"/>
          <w:szCs w:val="22"/>
          <w:lang w:eastAsia="en-US"/>
        </w:rPr>
        <w:t xml:space="preserve">are therefore not OTC Derivatives for the purpose of the EMIR CCT calculation (ESMA EMIR QA, OTC Question 1 </w:t>
      </w:r>
      <w:r w:rsidR="0014051D" w:rsidRPr="00A46EF7">
        <w:rPr>
          <w:rFonts w:eastAsia="Calibri"/>
          <w:sz w:val="22"/>
          <w:szCs w:val="22"/>
          <w:lang w:eastAsia="en-US"/>
        </w:rPr>
        <w:t>(</w:t>
      </w:r>
      <w:r w:rsidR="00082842" w:rsidRPr="00A46EF7">
        <w:rPr>
          <w:rFonts w:eastAsia="Calibri"/>
          <w:sz w:val="22"/>
          <w:szCs w:val="22"/>
          <w:lang w:eastAsia="en-US"/>
        </w:rPr>
        <w:t>d</w:t>
      </w:r>
      <w:r w:rsidR="0014051D" w:rsidRPr="00A46EF7">
        <w:rPr>
          <w:rFonts w:eastAsia="Calibri"/>
          <w:sz w:val="22"/>
          <w:szCs w:val="22"/>
          <w:lang w:eastAsia="en-US"/>
        </w:rPr>
        <w:t xml:space="preserve">) </w:t>
      </w:r>
      <w:r w:rsidR="00082842" w:rsidRPr="00A46EF7">
        <w:rPr>
          <w:rFonts w:eastAsia="Calibri"/>
          <w:sz w:val="22"/>
          <w:szCs w:val="22"/>
          <w:lang w:eastAsia="en-US"/>
        </w:rPr>
        <w:t>). However, OTC Derivatives which do not meet the latter conditions</w:t>
      </w:r>
      <w:r w:rsidR="00724B98" w:rsidRPr="00A46EF7">
        <w:rPr>
          <w:rFonts w:eastAsia="Calibri"/>
          <w:sz w:val="22"/>
          <w:szCs w:val="22"/>
          <w:lang w:eastAsia="en-US"/>
        </w:rPr>
        <w:t xml:space="preserve"> (i.e., they are not</w:t>
      </w:r>
      <w:r w:rsidR="00082842" w:rsidRPr="00A46EF7">
        <w:rPr>
          <w:rFonts w:eastAsia="Calibri"/>
          <w:sz w:val="22"/>
          <w:szCs w:val="22"/>
          <w:lang w:eastAsia="en-US"/>
        </w:rPr>
        <w:t xml:space="preserve"> </w:t>
      </w:r>
      <w:r w:rsidR="00082842" w:rsidRPr="00A46EF7">
        <w:rPr>
          <w:sz w:val="22"/>
          <w:szCs w:val="20"/>
        </w:rPr>
        <w:t xml:space="preserve">executed on </w:t>
      </w:r>
      <w:r w:rsidR="00724B98" w:rsidRPr="00A46EF7">
        <w:rPr>
          <w:sz w:val="22"/>
          <w:szCs w:val="20"/>
        </w:rPr>
        <w:t>a</w:t>
      </w:r>
      <w:r w:rsidR="007E6863" w:rsidRPr="00A46EF7">
        <w:rPr>
          <w:sz w:val="22"/>
          <w:szCs w:val="20"/>
        </w:rPr>
        <w:t>n</w:t>
      </w:r>
      <w:r w:rsidR="00724B98" w:rsidRPr="00A46EF7">
        <w:rPr>
          <w:sz w:val="22"/>
          <w:szCs w:val="20"/>
        </w:rPr>
        <w:t xml:space="preserve"> EU</w:t>
      </w:r>
      <w:r w:rsidR="00082842" w:rsidRPr="00A46EF7">
        <w:rPr>
          <w:sz w:val="22"/>
          <w:szCs w:val="20"/>
        </w:rPr>
        <w:t xml:space="preserve"> regulated market</w:t>
      </w:r>
      <w:r w:rsidR="00724B98" w:rsidRPr="00A46EF7">
        <w:rPr>
          <w:sz w:val="22"/>
          <w:szCs w:val="20"/>
        </w:rPr>
        <w:t xml:space="preserve"> or equivalent 3</w:t>
      </w:r>
      <w:r w:rsidR="00724B98" w:rsidRPr="00A46EF7">
        <w:rPr>
          <w:sz w:val="22"/>
          <w:szCs w:val="20"/>
          <w:vertAlign w:val="superscript"/>
        </w:rPr>
        <w:t>rd</w:t>
      </w:r>
      <w:r w:rsidR="00724B98" w:rsidRPr="00A46EF7">
        <w:rPr>
          <w:sz w:val="22"/>
          <w:szCs w:val="20"/>
        </w:rPr>
        <w:t xml:space="preserve"> country exchange</w:t>
      </w:r>
      <w:r w:rsidR="00082842" w:rsidRPr="00A46EF7">
        <w:rPr>
          <w:sz w:val="22"/>
          <w:szCs w:val="20"/>
        </w:rPr>
        <w:t xml:space="preserve"> and are not governed by the rules of an exchange at the point of execution</w:t>
      </w:r>
      <w:r w:rsidR="00724B98" w:rsidRPr="00A46EF7">
        <w:rPr>
          <w:sz w:val="22"/>
          <w:szCs w:val="20"/>
        </w:rPr>
        <w:t>)</w:t>
      </w:r>
      <w:r w:rsidR="00082842" w:rsidRPr="00A46EF7">
        <w:rPr>
          <w:sz w:val="22"/>
          <w:szCs w:val="20"/>
        </w:rPr>
        <w:t xml:space="preserve"> should be considered OTC</w:t>
      </w:r>
      <w:r w:rsidR="00724B98" w:rsidRPr="00A46EF7">
        <w:rPr>
          <w:sz w:val="22"/>
          <w:szCs w:val="20"/>
        </w:rPr>
        <w:t xml:space="preserve"> Derivatives, even if they are centrally cleared at an EU CCP or recognised 3</w:t>
      </w:r>
      <w:r w:rsidR="00724B98" w:rsidRPr="00A46EF7">
        <w:rPr>
          <w:sz w:val="22"/>
          <w:szCs w:val="20"/>
          <w:vertAlign w:val="superscript"/>
        </w:rPr>
        <w:t>rd</w:t>
      </w:r>
      <w:r w:rsidR="00724B98" w:rsidRPr="00A46EF7">
        <w:rPr>
          <w:sz w:val="22"/>
          <w:szCs w:val="20"/>
        </w:rPr>
        <w:t xml:space="preserve"> country CCP.</w:t>
      </w:r>
      <w:r w:rsidR="00082842" w:rsidRPr="00A46EF7">
        <w:rPr>
          <w:sz w:val="22"/>
          <w:szCs w:val="20"/>
        </w:rPr>
        <w:t xml:space="preserve"> </w:t>
      </w:r>
      <w:r w:rsidR="007E6863" w:rsidRPr="00A46EF7">
        <w:rPr>
          <w:sz w:val="22"/>
          <w:szCs w:val="20"/>
        </w:rPr>
        <w:t>This is the case for example for transactions entered into at</w:t>
      </w:r>
      <w:r w:rsidR="0014051D" w:rsidRPr="00A46EF7">
        <w:rPr>
          <w:sz w:val="22"/>
          <w:szCs w:val="20"/>
        </w:rPr>
        <w:t xml:space="preserve"> the non-equivalent</w:t>
      </w:r>
      <w:r w:rsidR="007E6863" w:rsidRPr="00A46EF7">
        <w:rPr>
          <w:sz w:val="22"/>
          <w:szCs w:val="20"/>
        </w:rPr>
        <w:t xml:space="preserve"> IFEU and LME which are subsequently centrally cleared at the recognised CCP of these exchanges.</w:t>
      </w:r>
      <w:r w:rsidR="000E6508" w:rsidRPr="00A46EF7">
        <w:rPr>
          <w:sz w:val="22"/>
          <w:szCs w:val="20"/>
        </w:rPr>
        <w:t xml:space="preserve"> Also OTC Derivatives centrally cleared on a voluntary basis on such a CCP remain OTC derivatives for the purpose of the EMIR CCT calculations (ESMA</w:t>
      </w:r>
      <w:r w:rsidR="0014051D" w:rsidRPr="00A46EF7">
        <w:rPr>
          <w:sz w:val="22"/>
          <w:szCs w:val="20"/>
        </w:rPr>
        <w:t xml:space="preserve"> EMIR QA, OTC Question 3 (d) (2) )</w:t>
      </w:r>
      <w:r w:rsidR="000E6508" w:rsidRPr="00A46EF7">
        <w:rPr>
          <w:sz w:val="22"/>
          <w:szCs w:val="20"/>
        </w:rPr>
        <w:t>.</w:t>
      </w:r>
    </w:p>
    <w:p w14:paraId="023E57D7" w14:textId="4B61D7EA" w:rsidR="00FC7651" w:rsidRPr="007B5BD6" w:rsidRDefault="00DA29DF" w:rsidP="005070CC">
      <w:pPr>
        <w:spacing w:before="120" w:after="120"/>
        <w:ind w:left="357"/>
        <w:jc w:val="both"/>
        <w:rPr>
          <w:rFonts w:eastAsia="Calibri"/>
          <w:b/>
          <w:bCs/>
          <w:sz w:val="22"/>
          <w:szCs w:val="22"/>
          <w:lang w:eastAsia="en-US"/>
        </w:rPr>
      </w:pPr>
      <w:r w:rsidRPr="007B5BD6">
        <w:rPr>
          <w:rFonts w:eastAsia="Calibri"/>
          <w:b/>
          <w:bCs/>
          <w:sz w:val="22"/>
          <w:szCs w:val="22"/>
          <w:lang w:eastAsia="en-US"/>
        </w:rPr>
        <w:t xml:space="preserve">EMIR CCT calculation </w:t>
      </w:r>
      <w:r w:rsidR="00AD7FC2" w:rsidRPr="007B5BD6">
        <w:rPr>
          <w:rFonts w:eastAsia="Calibri"/>
          <w:b/>
          <w:bCs/>
          <w:sz w:val="22"/>
          <w:szCs w:val="22"/>
          <w:lang w:eastAsia="en-US"/>
        </w:rPr>
        <w:t>includes</w:t>
      </w:r>
      <w:r w:rsidR="00FC7651" w:rsidRPr="007B5BD6">
        <w:rPr>
          <w:rFonts w:eastAsia="Calibri"/>
          <w:b/>
          <w:bCs/>
          <w:sz w:val="22"/>
          <w:szCs w:val="22"/>
          <w:lang w:eastAsia="en-US"/>
        </w:rPr>
        <w:t xml:space="preserve"> intragroup transactions:</w:t>
      </w:r>
    </w:p>
    <w:p w14:paraId="0A27D7E5" w14:textId="76E0DEBA" w:rsidR="002507B5" w:rsidRPr="00A46EF7" w:rsidRDefault="0013217B" w:rsidP="005070CC">
      <w:pPr>
        <w:spacing w:before="120" w:after="120"/>
        <w:ind w:left="357"/>
        <w:jc w:val="both"/>
        <w:rPr>
          <w:rFonts w:eastAsia="Calibri"/>
          <w:sz w:val="22"/>
          <w:szCs w:val="22"/>
          <w:lang w:eastAsia="en-US"/>
        </w:rPr>
      </w:pPr>
      <w:r w:rsidRPr="00A46EF7">
        <w:rPr>
          <w:rFonts w:eastAsia="Calibri"/>
          <w:sz w:val="22"/>
          <w:szCs w:val="22"/>
          <w:lang w:eastAsia="en-US"/>
        </w:rPr>
        <w:t>The EMIR CCT calculation under the Level 1 text of EMIR (Article 10 (3) )</w:t>
      </w:r>
      <w:r w:rsidR="0063528E" w:rsidRPr="00A46EF7">
        <w:rPr>
          <w:rFonts w:eastAsia="Calibri"/>
          <w:sz w:val="22"/>
          <w:szCs w:val="22"/>
          <w:lang w:eastAsia="en-US"/>
        </w:rPr>
        <w:t xml:space="preserve"> includes intragroup transactions</w:t>
      </w:r>
      <w:r w:rsidR="000E6508" w:rsidRPr="00A46EF7">
        <w:rPr>
          <w:rFonts w:eastAsia="Calibri"/>
          <w:sz w:val="22"/>
          <w:szCs w:val="22"/>
          <w:lang w:eastAsia="en-US"/>
        </w:rPr>
        <w:t xml:space="preserve"> </w:t>
      </w:r>
      <w:r w:rsidR="00DE2486" w:rsidRPr="00A46EF7">
        <w:rPr>
          <w:rFonts w:eastAsia="Calibri"/>
          <w:sz w:val="22"/>
          <w:szCs w:val="22"/>
          <w:lang w:eastAsia="en-US"/>
        </w:rPr>
        <w:t>and this inflates the gross notional values of OTC derivatives counting against the EMIR CCT.</w:t>
      </w:r>
    </w:p>
    <w:p w14:paraId="641DF3A1" w14:textId="020C6CBE" w:rsidR="002507B5" w:rsidRPr="00A46EF7" w:rsidRDefault="000E6508" w:rsidP="005070CC">
      <w:pPr>
        <w:spacing w:before="120" w:after="120"/>
        <w:ind w:left="357"/>
        <w:jc w:val="both"/>
        <w:rPr>
          <w:sz w:val="22"/>
          <w:szCs w:val="20"/>
        </w:rPr>
      </w:pPr>
      <w:r w:rsidRPr="00A46EF7">
        <w:rPr>
          <w:rFonts w:eastAsia="Calibri"/>
          <w:sz w:val="22"/>
          <w:szCs w:val="22"/>
          <w:lang w:val="en-US" w:eastAsia="en-US"/>
        </w:rPr>
        <w:t xml:space="preserve">ESMA provides that </w:t>
      </w:r>
      <w:r w:rsidRPr="00A46EF7">
        <w:rPr>
          <w:sz w:val="22"/>
          <w:szCs w:val="20"/>
        </w:rPr>
        <w:t>if two NFCs belonging to the same group enter into an intragroup transaction with each other, which does not fall within the hedging definition, both sides of the transaction should be counted</w:t>
      </w:r>
      <w:r w:rsidR="002507B5" w:rsidRPr="00A46EF7">
        <w:rPr>
          <w:sz w:val="22"/>
          <w:szCs w:val="20"/>
        </w:rPr>
        <w:t xml:space="preserve"> </w:t>
      </w:r>
      <w:r w:rsidR="002507B5" w:rsidRPr="00A46EF7">
        <w:rPr>
          <w:rFonts w:eastAsia="Calibri"/>
          <w:sz w:val="22"/>
          <w:szCs w:val="22"/>
          <w:lang w:eastAsia="en-US"/>
        </w:rPr>
        <w:t>(ESMA EMIR QA, OTC Question 3 (d) (1))</w:t>
      </w:r>
      <w:r w:rsidRPr="00A46EF7">
        <w:rPr>
          <w:sz w:val="22"/>
          <w:szCs w:val="20"/>
        </w:rPr>
        <w:t xml:space="preserve">. The total contribution to the group-level threshold calculation would therefore be twice the notional </w:t>
      </w:r>
      <w:r w:rsidR="00AD7FC2" w:rsidRPr="00A46EF7">
        <w:rPr>
          <w:sz w:val="22"/>
          <w:szCs w:val="20"/>
        </w:rPr>
        <w:t xml:space="preserve">amount </w:t>
      </w:r>
      <w:r w:rsidRPr="00A46EF7">
        <w:rPr>
          <w:sz w:val="22"/>
          <w:szCs w:val="20"/>
        </w:rPr>
        <w:t>of the contract.</w:t>
      </w:r>
    </w:p>
    <w:p w14:paraId="2C9FA8B5" w14:textId="1D2C2204" w:rsidR="002507B5" w:rsidRPr="00A46EF7" w:rsidRDefault="002507B5" w:rsidP="005070CC">
      <w:pPr>
        <w:spacing w:before="120" w:after="120"/>
        <w:ind w:left="357"/>
        <w:jc w:val="both"/>
        <w:rPr>
          <w:sz w:val="22"/>
        </w:rPr>
      </w:pPr>
      <w:r w:rsidRPr="00A46EF7">
        <w:rPr>
          <w:rFonts w:eastAsia="Calibri"/>
          <w:sz w:val="22"/>
          <w:szCs w:val="22"/>
          <w:lang w:val="en-US" w:eastAsia="en-US"/>
        </w:rPr>
        <w:t>This effect i</w:t>
      </w:r>
      <w:r w:rsidR="00AD7FC2" w:rsidRPr="00A46EF7">
        <w:rPr>
          <w:rFonts w:eastAsia="Calibri"/>
          <w:sz w:val="22"/>
          <w:szCs w:val="22"/>
          <w:lang w:val="en-US" w:eastAsia="en-US"/>
        </w:rPr>
        <w:t>s</w:t>
      </w:r>
      <w:r w:rsidRPr="00A46EF7">
        <w:rPr>
          <w:rFonts w:eastAsia="Calibri"/>
          <w:sz w:val="22"/>
          <w:szCs w:val="22"/>
          <w:lang w:val="en-US" w:eastAsia="en-US"/>
        </w:rPr>
        <w:t xml:space="preserve"> compounded</w:t>
      </w:r>
      <w:r w:rsidRPr="00A46EF7">
        <w:rPr>
          <w:sz w:val="22"/>
          <w:szCs w:val="20"/>
        </w:rPr>
        <w:t xml:space="preserve"> for non-financial groups, which typically </w:t>
      </w:r>
      <w:r w:rsidR="00AD7FC2" w:rsidRPr="00A46EF7">
        <w:rPr>
          <w:sz w:val="22"/>
          <w:szCs w:val="20"/>
        </w:rPr>
        <w:t>use</w:t>
      </w:r>
      <w:r w:rsidRPr="00A46EF7">
        <w:rPr>
          <w:sz w:val="22"/>
          <w:szCs w:val="20"/>
        </w:rPr>
        <w:t xml:space="preserve"> one</w:t>
      </w:r>
      <w:r w:rsidR="00BB2728" w:rsidRPr="00A46EF7">
        <w:rPr>
          <w:sz w:val="22"/>
          <w:szCs w:val="20"/>
        </w:rPr>
        <w:t xml:space="preserve"> trading</w:t>
      </w:r>
      <w:r w:rsidRPr="00A46EF7">
        <w:rPr>
          <w:sz w:val="22"/>
          <w:szCs w:val="20"/>
        </w:rPr>
        <w:t xml:space="preserve"> entity as access to the markets that is specialised in dealing in commodity derivatives </w:t>
      </w:r>
      <w:r w:rsidR="00487A8D" w:rsidRPr="00A46EF7">
        <w:rPr>
          <w:sz w:val="22"/>
          <w:szCs w:val="20"/>
        </w:rPr>
        <w:t xml:space="preserve">(the “trading entity”) </w:t>
      </w:r>
      <w:r w:rsidRPr="00A46EF7">
        <w:rPr>
          <w:sz w:val="22"/>
          <w:szCs w:val="20"/>
        </w:rPr>
        <w:t xml:space="preserve">with entities outside the group. </w:t>
      </w:r>
      <w:r w:rsidR="00C020FA" w:rsidRPr="00A46EF7">
        <w:rPr>
          <w:sz w:val="22"/>
          <w:szCs w:val="20"/>
        </w:rPr>
        <w:t>If this</w:t>
      </w:r>
      <w:r w:rsidRPr="00A46EF7">
        <w:rPr>
          <w:sz w:val="22"/>
          <w:szCs w:val="20"/>
        </w:rPr>
        <w:t xml:space="preserve"> trading entity enters into external derivative contracts which mirror</w:t>
      </w:r>
      <w:r w:rsidR="00C020FA" w:rsidRPr="00A46EF7">
        <w:rPr>
          <w:sz w:val="22"/>
          <w:szCs w:val="20"/>
        </w:rPr>
        <w:t>s</w:t>
      </w:r>
      <w:r w:rsidRPr="00A46EF7">
        <w:rPr>
          <w:sz w:val="22"/>
          <w:szCs w:val="20"/>
        </w:rPr>
        <w:t xml:space="preserve"> </w:t>
      </w:r>
      <w:r w:rsidR="00C020FA" w:rsidRPr="00A46EF7">
        <w:rPr>
          <w:sz w:val="22"/>
          <w:szCs w:val="20"/>
        </w:rPr>
        <w:t>one or more</w:t>
      </w:r>
      <w:r w:rsidRPr="00A46EF7">
        <w:rPr>
          <w:sz w:val="22"/>
          <w:szCs w:val="20"/>
        </w:rPr>
        <w:t xml:space="preserve"> </w:t>
      </w:r>
      <w:r w:rsidR="00C020FA" w:rsidRPr="00A46EF7">
        <w:rPr>
          <w:sz w:val="22"/>
          <w:szCs w:val="20"/>
        </w:rPr>
        <w:t>non-hedging intragroup</w:t>
      </w:r>
      <w:r w:rsidRPr="00A46EF7">
        <w:rPr>
          <w:sz w:val="22"/>
          <w:szCs w:val="20"/>
        </w:rPr>
        <w:t xml:space="preserve"> derivative contract</w:t>
      </w:r>
      <w:r w:rsidR="00C020FA" w:rsidRPr="00A46EF7">
        <w:rPr>
          <w:sz w:val="22"/>
          <w:szCs w:val="20"/>
        </w:rPr>
        <w:t xml:space="preserve">s, then the EMIR CCT calculation would therefore </w:t>
      </w:r>
      <w:r w:rsidR="00AD7FC2" w:rsidRPr="00A46EF7">
        <w:rPr>
          <w:sz w:val="22"/>
          <w:szCs w:val="20"/>
        </w:rPr>
        <w:t xml:space="preserve">amount to </w:t>
      </w:r>
      <w:r w:rsidR="00C020FA" w:rsidRPr="00A46EF7">
        <w:rPr>
          <w:sz w:val="22"/>
          <w:szCs w:val="20"/>
        </w:rPr>
        <w:t xml:space="preserve">3 times the </w:t>
      </w:r>
      <w:r w:rsidR="00BB57A1" w:rsidRPr="00A46EF7">
        <w:rPr>
          <w:sz w:val="22"/>
          <w:szCs w:val="20"/>
        </w:rPr>
        <w:t xml:space="preserve">notional </w:t>
      </w:r>
      <w:r w:rsidR="00AD7FC2" w:rsidRPr="00A46EF7">
        <w:rPr>
          <w:sz w:val="22"/>
          <w:szCs w:val="20"/>
        </w:rPr>
        <w:t>amounts</w:t>
      </w:r>
      <w:r w:rsidR="00C020FA" w:rsidRPr="00A46EF7">
        <w:rPr>
          <w:sz w:val="22"/>
          <w:szCs w:val="20"/>
        </w:rPr>
        <w:t xml:space="preserve"> of these contracts </w:t>
      </w:r>
      <w:r w:rsidR="00C020FA" w:rsidRPr="00A46EF7">
        <w:rPr>
          <w:rFonts w:eastAsia="Calibri"/>
          <w:sz w:val="22"/>
          <w:szCs w:val="22"/>
          <w:lang w:eastAsia="en-US"/>
        </w:rPr>
        <w:t>(ESMA EMIR QA, OTC Question 3 (e)).</w:t>
      </w:r>
      <w:r w:rsidRPr="00A46EF7">
        <w:rPr>
          <w:sz w:val="22"/>
          <w:szCs w:val="20"/>
        </w:rPr>
        <w:t xml:space="preserve"> </w:t>
      </w:r>
    </w:p>
    <w:p w14:paraId="2924D978" w14:textId="4A7D4425" w:rsidR="0013217B" w:rsidRPr="00A46EF7" w:rsidRDefault="000E6508" w:rsidP="005070CC">
      <w:pPr>
        <w:spacing w:before="120" w:after="120"/>
        <w:ind w:left="357"/>
        <w:jc w:val="both"/>
        <w:rPr>
          <w:sz w:val="22"/>
          <w:szCs w:val="20"/>
        </w:rPr>
      </w:pPr>
      <w:r w:rsidRPr="00A46EF7">
        <w:rPr>
          <w:rFonts w:eastAsia="Calibri"/>
          <w:sz w:val="22"/>
          <w:szCs w:val="22"/>
          <w:lang w:val="en-US" w:eastAsia="en-US"/>
        </w:rPr>
        <w:lastRenderedPageBreak/>
        <w:t xml:space="preserve">Therefore, the effects of the low EMIR CCT are compounded by the fact that intercompany transactions are not exempted from the EU EMIR </w:t>
      </w:r>
      <w:r w:rsidR="00926559" w:rsidRPr="00A46EF7">
        <w:rPr>
          <w:rFonts w:eastAsia="Calibri"/>
          <w:sz w:val="22"/>
          <w:szCs w:val="22"/>
          <w:lang w:val="en-US" w:eastAsia="en-US"/>
        </w:rPr>
        <w:t>CCT</w:t>
      </w:r>
      <w:r w:rsidRPr="00A46EF7">
        <w:rPr>
          <w:rFonts w:eastAsia="Calibri"/>
          <w:sz w:val="22"/>
          <w:szCs w:val="22"/>
          <w:lang w:val="en-US" w:eastAsia="en-US"/>
        </w:rPr>
        <w:t xml:space="preserve">, while in other jurisdictions, such as the U.S. or Australia, intra-group transactions do not count for the purpose of </w:t>
      </w:r>
      <w:r w:rsidRPr="00A46EF7">
        <w:rPr>
          <w:rFonts w:eastAsia="Calibri"/>
          <w:dstrike/>
          <w:sz w:val="22"/>
          <w:szCs w:val="22"/>
          <w:lang w:val="en-US" w:eastAsia="en-US"/>
        </w:rPr>
        <w:t>the</w:t>
      </w:r>
      <w:r w:rsidRPr="00A46EF7">
        <w:rPr>
          <w:rFonts w:eastAsia="Calibri"/>
          <w:sz w:val="22"/>
          <w:szCs w:val="22"/>
          <w:lang w:val="en-US" w:eastAsia="en-US"/>
        </w:rPr>
        <w:t xml:space="preserve"> clearing threshold calculations (see nr. 6 of Table Benchmark Study above).</w:t>
      </w:r>
    </w:p>
    <w:p w14:paraId="1595676F" w14:textId="649AEC2E" w:rsidR="00283CAF" w:rsidRPr="007B5BD6" w:rsidRDefault="00A619C6" w:rsidP="005070CC">
      <w:pPr>
        <w:spacing w:before="120" w:after="120"/>
        <w:ind w:left="357"/>
        <w:jc w:val="both"/>
        <w:rPr>
          <w:rFonts w:eastAsia="Calibri"/>
          <w:b/>
          <w:bCs/>
          <w:sz w:val="22"/>
          <w:szCs w:val="22"/>
          <w:lang w:eastAsia="en-US"/>
        </w:rPr>
      </w:pPr>
      <w:r w:rsidRPr="007B5BD6">
        <w:rPr>
          <w:rFonts w:eastAsia="Calibri"/>
          <w:b/>
          <w:bCs/>
          <w:sz w:val="22"/>
          <w:szCs w:val="22"/>
          <w:lang w:eastAsia="en-US"/>
        </w:rPr>
        <w:t xml:space="preserve">EMIR CCT </w:t>
      </w:r>
      <w:r w:rsidR="00082FDA" w:rsidRPr="007B5BD6">
        <w:rPr>
          <w:rFonts w:eastAsia="Calibri"/>
          <w:b/>
          <w:bCs/>
          <w:sz w:val="22"/>
          <w:szCs w:val="22"/>
          <w:lang w:eastAsia="en-US"/>
        </w:rPr>
        <w:t>calculation</w:t>
      </w:r>
      <w:r w:rsidR="00A36327" w:rsidRPr="007B5BD6">
        <w:rPr>
          <w:rFonts w:eastAsia="Calibri"/>
          <w:b/>
          <w:bCs/>
          <w:sz w:val="22"/>
          <w:szCs w:val="22"/>
          <w:lang w:eastAsia="en-US"/>
        </w:rPr>
        <w:t>s</w:t>
      </w:r>
      <w:r w:rsidRPr="007B5BD6">
        <w:rPr>
          <w:rFonts w:eastAsia="Calibri"/>
          <w:b/>
          <w:bCs/>
          <w:sz w:val="22"/>
          <w:szCs w:val="22"/>
          <w:lang w:eastAsia="en-US"/>
        </w:rPr>
        <w:t xml:space="preserve"> based on outstanding notional exposure under Level 1 text of EMIR</w:t>
      </w:r>
      <w:r w:rsidR="00A36327" w:rsidRPr="007B5BD6">
        <w:rPr>
          <w:rFonts w:eastAsia="Calibri"/>
          <w:b/>
          <w:bCs/>
          <w:sz w:val="22"/>
          <w:szCs w:val="22"/>
          <w:lang w:eastAsia="en-US"/>
        </w:rPr>
        <w:t>:</w:t>
      </w:r>
    </w:p>
    <w:p w14:paraId="09C8D0AB" w14:textId="308EEEAF" w:rsidR="00122F9C" w:rsidRPr="00A46EF7" w:rsidRDefault="00A619C6" w:rsidP="005070CC">
      <w:pPr>
        <w:spacing w:before="120" w:after="120"/>
        <w:ind w:left="357"/>
        <w:jc w:val="both"/>
        <w:rPr>
          <w:sz w:val="22"/>
        </w:rPr>
      </w:pPr>
      <w:r w:rsidRPr="00A46EF7">
        <w:rPr>
          <w:sz w:val="22"/>
        </w:rPr>
        <w:t>The calculation of the EMIR CCT under Article 10 (3) of EMIR is based on a</w:t>
      </w:r>
      <w:r w:rsidR="00012E94" w:rsidRPr="00A46EF7">
        <w:rPr>
          <w:sz w:val="22"/>
        </w:rPr>
        <w:t>n</w:t>
      </w:r>
      <w:r w:rsidRPr="00A46EF7">
        <w:rPr>
          <w:sz w:val="22"/>
        </w:rPr>
        <w:t xml:space="preserve"> outstanding notional exposure, i.e., shall be calculated by averaging the aggregated month-end outstanding notional values for the previous 12 months resulting from all relevant OTC derivatives contracts (ESMA EMIR QA, OTC Question </w:t>
      </w:r>
      <w:r w:rsidR="00B21F09" w:rsidRPr="00A46EF7">
        <w:rPr>
          <w:sz w:val="22"/>
        </w:rPr>
        <w:t>3 (a))</w:t>
      </w:r>
      <w:r w:rsidRPr="00A46EF7">
        <w:rPr>
          <w:sz w:val="22"/>
        </w:rPr>
        <w:t>.</w:t>
      </w:r>
      <w:r w:rsidR="00B21F09" w:rsidRPr="00A46EF7">
        <w:rPr>
          <w:sz w:val="22"/>
        </w:rPr>
        <w:t xml:space="preserve"> For example, the remaining outstanding notional exposure of a 10 year OTC swap counts during its entire duration against the EMIR CCT calculation. </w:t>
      </w:r>
    </w:p>
    <w:p w14:paraId="349031E3" w14:textId="11FC0096" w:rsidR="000F6233" w:rsidRPr="005A7CAE" w:rsidRDefault="00B21F09" w:rsidP="005070CC">
      <w:pPr>
        <w:spacing w:before="120" w:after="120"/>
        <w:ind w:left="357"/>
        <w:jc w:val="both"/>
        <w:rPr>
          <w:rFonts w:eastAsia="Calibri"/>
          <w:sz w:val="22"/>
          <w:szCs w:val="22"/>
          <w:lang w:eastAsia="en-US"/>
        </w:rPr>
      </w:pPr>
      <w:r w:rsidRPr="005A7CAE">
        <w:rPr>
          <w:sz w:val="22"/>
        </w:rPr>
        <w:t>U</w:t>
      </w:r>
      <w:r w:rsidR="00122F9C" w:rsidRPr="005A7CAE">
        <w:rPr>
          <w:sz w:val="22"/>
        </w:rPr>
        <w:t xml:space="preserve">nlike under EMIR, </w:t>
      </w:r>
      <w:r w:rsidRPr="005A7CAE">
        <w:rPr>
          <w:sz w:val="22"/>
        </w:rPr>
        <w:t xml:space="preserve">under the U.S. DFA </w:t>
      </w:r>
      <w:r w:rsidR="00122F9C" w:rsidRPr="005A7CAE">
        <w:rPr>
          <w:sz w:val="22"/>
        </w:rPr>
        <w:t>only swaps that have been entered into in the previous 12 months count against the threshold. Therefore, swaps entered into for a period of more than a year will drop out on a rolling basis. Any double or multiple counting of existing swaps and the respective open positions – as under EMIR – is avoided</w:t>
      </w:r>
      <w:r w:rsidRPr="005A7CAE">
        <w:rPr>
          <w:sz w:val="22"/>
        </w:rPr>
        <w:t xml:space="preserve"> (see page </w:t>
      </w:r>
      <w:r w:rsidR="003E4D12" w:rsidRPr="005A7CAE">
        <w:rPr>
          <w:sz w:val="22"/>
        </w:rPr>
        <w:t>36</w:t>
      </w:r>
      <w:r w:rsidRPr="005A7CAE">
        <w:rPr>
          <w:sz w:val="22"/>
        </w:rPr>
        <w:t xml:space="preserve"> of</w:t>
      </w:r>
      <w:r w:rsidR="00012E94" w:rsidRPr="005A7CAE">
        <w:rPr>
          <w:sz w:val="22"/>
        </w:rPr>
        <w:t xml:space="preserve"> attached</w:t>
      </w:r>
      <w:r w:rsidRPr="005A7CAE">
        <w:rPr>
          <w:sz w:val="22"/>
        </w:rPr>
        <w:t xml:space="preserve"> </w:t>
      </w:r>
      <w:r w:rsidRPr="005A7CAE">
        <w:rPr>
          <w:sz w:val="22"/>
          <w:u w:val="single"/>
        </w:rPr>
        <w:t>Benchmark Study</w:t>
      </w:r>
      <w:r w:rsidRPr="005A7CAE">
        <w:rPr>
          <w:sz w:val="22"/>
        </w:rPr>
        <w:t>)</w:t>
      </w:r>
      <w:r w:rsidR="00122F9C" w:rsidRPr="005A7CAE">
        <w:rPr>
          <w:sz w:val="22"/>
        </w:rPr>
        <w:t xml:space="preserve">. In fact, the </w:t>
      </w:r>
      <w:r w:rsidR="003E6D0C" w:rsidRPr="005A7CAE">
        <w:rPr>
          <w:sz w:val="22"/>
        </w:rPr>
        <w:t xml:space="preserve">USD 8 Billion </w:t>
      </w:r>
      <w:r w:rsidR="00122F9C" w:rsidRPr="005A7CAE">
        <w:rPr>
          <w:sz w:val="22"/>
        </w:rPr>
        <w:t>threshold under the Dodd-Frank</w:t>
      </w:r>
      <w:r w:rsidR="00AD7FC2" w:rsidRPr="005A7CAE">
        <w:rPr>
          <w:sz w:val="22"/>
        </w:rPr>
        <w:t xml:space="preserve"> Act</w:t>
      </w:r>
      <w:r w:rsidR="00122F9C" w:rsidRPr="005A7CAE">
        <w:rPr>
          <w:sz w:val="22"/>
        </w:rPr>
        <w:t xml:space="preserve"> measures the dealing activity of a person rather than the size of actual open positions</w:t>
      </w:r>
    </w:p>
    <w:p w14:paraId="169D9040" w14:textId="666373BE" w:rsidR="00082FDA" w:rsidRPr="007B5BD6" w:rsidRDefault="00B936C9" w:rsidP="005070CC">
      <w:pPr>
        <w:pStyle w:val="ListParagraph"/>
        <w:numPr>
          <w:ilvl w:val="0"/>
          <w:numId w:val="49"/>
        </w:numPr>
        <w:spacing w:before="120" w:after="120"/>
        <w:ind w:left="357"/>
        <w:contextualSpacing w:val="0"/>
        <w:jc w:val="both"/>
        <w:rPr>
          <w:rFonts w:eastAsia="Calibri"/>
          <w:b/>
          <w:bCs/>
          <w:sz w:val="22"/>
          <w:szCs w:val="22"/>
          <w:lang w:eastAsia="en-US"/>
        </w:rPr>
      </w:pPr>
      <w:r w:rsidRPr="007B5BD6">
        <w:rPr>
          <w:rFonts w:eastAsia="Calibri"/>
          <w:b/>
          <w:bCs/>
          <w:sz w:val="22"/>
          <w:szCs w:val="22"/>
          <w:lang w:eastAsia="en-US"/>
        </w:rPr>
        <w:t>Definition of Hedging:</w:t>
      </w:r>
    </w:p>
    <w:p w14:paraId="105C3F68" w14:textId="3959C12C" w:rsidR="00B936C9" w:rsidRPr="00A46EF7" w:rsidRDefault="00B936C9" w:rsidP="005070CC">
      <w:pPr>
        <w:spacing w:before="120" w:after="120"/>
        <w:ind w:left="357"/>
        <w:jc w:val="both"/>
        <w:rPr>
          <w:rFonts w:eastAsia="Calibri"/>
          <w:sz w:val="22"/>
          <w:szCs w:val="22"/>
          <w:lang w:eastAsia="en-US"/>
        </w:rPr>
      </w:pPr>
      <w:r w:rsidRPr="00A46EF7">
        <w:rPr>
          <w:rFonts w:eastAsia="Calibri"/>
          <w:sz w:val="22"/>
          <w:szCs w:val="22"/>
          <w:lang w:eastAsia="en-US"/>
        </w:rPr>
        <w:t xml:space="preserve">Please see our response to </w:t>
      </w:r>
      <w:r w:rsidR="006A0AE6" w:rsidRPr="00A46EF7">
        <w:rPr>
          <w:rFonts w:eastAsia="Calibri"/>
          <w:sz w:val="22"/>
          <w:szCs w:val="22"/>
          <w:lang w:eastAsia="en-US"/>
        </w:rPr>
        <w:t>Q</w:t>
      </w:r>
      <w:r w:rsidRPr="00A46EF7">
        <w:rPr>
          <w:rFonts w:eastAsia="Calibri"/>
          <w:sz w:val="22"/>
          <w:szCs w:val="22"/>
          <w:lang w:eastAsia="en-US"/>
        </w:rPr>
        <w:t>uestion 2</w:t>
      </w:r>
      <w:r w:rsidR="006A0AE6" w:rsidRPr="00A46EF7">
        <w:rPr>
          <w:rFonts w:eastAsia="Calibri"/>
          <w:sz w:val="22"/>
          <w:szCs w:val="22"/>
          <w:lang w:eastAsia="en-US"/>
        </w:rPr>
        <w:t xml:space="preserve"> above</w:t>
      </w:r>
      <w:r w:rsidRPr="00A46EF7">
        <w:rPr>
          <w:rFonts w:eastAsia="Calibri"/>
          <w:sz w:val="22"/>
          <w:szCs w:val="22"/>
          <w:lang w:eastAsia="en-US"/>
        </w:rPr>
        <w:t>.</w:t>
      </w:r>
    </w:p>
    <w:bookmarkEnd w:id="19"/>
    <w:bookmarkEnd w:id="20"/>
    <w:p w14:paraId="1ADAD873" w14:textId="1854467E" w:rsidR="008373A4" w:rsidRPr="00B008F4" w:rsidRDefault="008373A4" w:rsidP="005070CC">
      <w:pPr>
        <w:spacing w:before="120" w:after="120"/>
        <w:ind w:left="357"/>
        <w:jc w:val="both"/>
        <w:rPr>
          <w:rFonts w:eastAsia="Calibri"/>
          <w:sz w:val="22"/>
          <w:szCs w:val="22"/>
          <w:lang w:eastAsia="en-US"/>
        </w:rPr>
      </w:pPr>
    </w:p>
    <w:permEnd w:id="548757607"/>
    <w:p w14:paraId="7F05ED60" w14:textId="77777777" w:rsidR="0062022D" w:rsidRDefault="0062022D" w:rsidP="0062022D"/>
    <w:p w14:paraId="2D4015E7" w14:textId="689CC30F" w:rsidR="0062022D" w:rsidRPr="004648DA" w:rsidRDefault="0062022D" w:rsidP="0062022D">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00A263DF" w:rsidRPr="004648DA">
        <w:rPr>
          <w:lang w:val="es-ES"/>
        </w:rPr>
        <w:t>6</w:t>
      </w:r>
      <w:r w:rsidRPr="004648DA">
        <w:rPr>
          <w:lang w:val="es-ES"/>
        </w:rPr>
        <w:t>&gt;</w:t>
      </w:r>
    </w:p>
    <w:p w14:paraId="0E950AC0" w14:textId="77777777" w:rsidR="0062022D" w:rsidRPr="004648DA" w:rsidRDefault="0062022D" w:rsidP="009003B8">
      <w:pPr>
        <w:jc w:val="both"/>
        <w:rPr>
          <w:i/>
          <w:lang w:val="es-ES"/>
        </w:rPr>
      </w:pPr>
    </w:p>
    <w:p w14:paraId="06CA1456" w14:textId="4945A76D" w:rsidR="002E1760" w:rsidRPr="00431DA4" w:rsidRDefault="004648DA" w:rsidP="00293D78">
      <w:pPr>
        <w:pStyle w:val="CPQuestions"/>
      </w:pPr>
      <w:r w:rsidRPr="00ED3D8A">
        <w:t>Considering the current coverage provided by the clearing thresholds in relation to credit derivatives and the different type of counterparties (FCs and NFCs); is there any aspect or issue you consider ESMA should look into or pay attention to?  Please, in your answer, provide as granular details and any relevant data to illustrate your response</w:t>
      </w:r>
      <w:r w:rsidR="00A263DF">
        <w:t>.</w:t>
      </w:r>
    </w:p>
    <w:p w14:paraId="117ADDA5" w14:textId="1327D851" w:rsidR="00A263DF" w:rsidRPr="006C2D5A" w:rsidRDefault="00A263DF" w:rsidP="00A263DF">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Pr="006C2D5A">
        <w:rPr>
          <w:lang w:val="es-ES"/>
        </w:rPr>
        <w:t>7&gt;</w:t>
      </w:r>
    </w:p>
    <w:p w14:paraId="61A1D6E5" w14:textId="1873E6D9" w:rsidR="00A263DF" w:rsidRDefault="00A263DF" w:rsidP="00A263DF">
      <w:permStart w:id="1600484054" w:edGrp="everyone"/>
      <w:r>
        <w:t>TYPE YOUR TEXT HERE</w:t>
      </w:r>
      <w:permEnd w:id="1600484054"/>
    </w:p>
    <w:p w14:paraId="56C64114" w14:textId="0402E969" w:rsidR="00A263DF" w:rsidRPr="004648DA" w:rsidRDefault="00A263DF" w:rsidP="00A263DF">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Pr="004648DA">
        <w:rPr>
          <w:lang w:val="es-ES"/>
        </w:rPr>
        <w:t>7&gt;</w:t>
      </w:r>
    </w:p>
    <w:p w14:paraId="0EBB791B" w14:textId="77777777" w:rsidR="00C228C1" w:rsidRPr="004648DA" w:rsidRDefault="00C228C1" w:rsidP="00A263DF">
      <w:pPr>
        <w:rPr>
          <w:lang w:val="es-ES"/>
        </w:rPr>
      </w:pPr>
    </w:p>
    <w:p w14:paraId="4921B64F" w14:textId="35020D71" w:rsidR="002E1760" w:rsidRPr="00431DA4" w:rsidRDefault="004648DA" w:rsidP="00293D78">
      <w:pPr>
        <w:pStyle w:val="CPQuestions"/>
      </w:pPr>
      <w:r w:rsidRPr="00425096">
        <w:t>Considering the current coverage provided by the clearing thresholds in relation to interest rate derivatives and the different type of counterparties (FCs and NFCs); is there any aspect or issue you consider ESMA should look into or pay attention to?  Please, in your answer, provide as granular details and any relevant data to illustrate your response</w:t>
      </w:r>
      <w:r w:rsidR="008418E3">
        <w:t>.</w:t>
      </w:r>
    </w:p>
    <w:p w14:paraId="2D5BC2B3" w14:textId="45F7500C" w:rsidR="00A263DF" w:rsidRPr="006C2D5A" w:rsidRDefault="00A263DF" w:rsidP="00A263DF">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00C228C1" w:rsidRPr="006C2D5A">
        <w:rPr>
          <w:lang w:val="es-ES"/>
        </w:rPr>
        <w:t>8</w:t>
      </w:r>
      <w:r w:rsidRPr="006C2D5A">
        <w:rPr>
          <w:lang w:val="es-ES"/>
        </w:rPr>
        <w:t>&gt;</w:t>
      </w:r>
    </w:p>
    <w:p w14:paraId="08B2B9C1" w14:textId="2C5169BD" w:rsidR="00A229BD" w:rsidRDefault="00A263DF" w:rsidP="00A229BD">
      <w:permStart w:id="1768257119" w:edGrp="everyone"/>
      <w:r>
        <w:t>TYPE YOUR TEXT HERE</w:t>
      </w:r>
    </w:p>
    <w:permEnd w:id="1768257119"/>
    <w:p w14:paraId="2F990B64" w14:textId="77777777" w:rsidR="00A263DF" w:rsidRDefault="00A263DF" w:rsidP="00A263DF"/>
    <w:p w14:paraId="75E63E7F" w14:textId="08643D0D" w:rsidR="00A263DF" w:rsidRPr="004648DA" w:rsidRDefault="00A263DF" w:rsidP="00A263DF">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00C228C1" w:rsidRPr="004648DA">
        <w:rPr>
          <w:lang w:val="es-ES"/>
        </w:rPr>
        <w:t>8</w:t>
      </w:r>
      <w:r w:rsidRPr="004648DA">
        <w:rPr>
          <w:lang w:val="es-ES"/>
        </w:rPr>
        <w:t>&gt;</w:t>
      </w:r>
    </w:p>
    <w:p w14:paraId="1CF89443" w14:textId="77777777" w:rsidR="00C228C1" w:rsidRPr="004648DA" w:rsidRDefault="00C228C1" w:rsidP="00A263DF">
      <w:pPr>
        <w:rPr>
          <w:lang w:val="es-ES"/>
        </w:rPr>
      </w:pPr>
    </w:p>
    <w:p w14:paraId="075C8737" w14:textId="35EE7028" w:rsidR="002E1760" w:rsidRPr="00431DA4" w:rsidRDefault="004648DA" w:rsidP="00293D78">
      <w:pPr>
        <w:pStyle w:val="CPQuestions"/>
      </w:pPr>
      <w:r w:rsidRPr="00ED3D8A">
        <w:lastRenderedPageBreak/>
        <w:t>Considering the current coverage provided by the clearing thresholds in relation to commodity derivatives and the different type of counterparties (FCs and NFCs); is there any aspect or issue you consider ESMA should look into or pay attention to?  Please, in your answer, provide as granular details and any relevant data to illustrate your response</w:t>
      </w:r>
      <w:r w:rsidR="008418E3">
        <w:t>.</w:t>
      </w:r>
    </w:p>
    <w:p w14:paraId="03BBF74A" w14:textId="483E9893" w:rsidR="002E1760" w:rsidRPr="006C2D5A" w:rsidRDefault="002E1760" w:rsidP="002E1760">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Pr="006C2D5A">
        <w:rPr>
          <w:lang w:val="es-ES"/>
        </w:rPr>
        <w:t>9&gt;</w:t>
      </w:r>
    </w:p>
    <w:p w14:paraId="5D0A8F19" w14:textId="6A92F7AB" w:rsidR="002E1760" w:rsidRPr="00A46EF7" w:rsidRDefault="002E1760" w:rsidP="002E1760">
      <w:permStart w:id="1767771289" w:edGrp="everyone"/>
      <w:r w:rsidRPr="00A46EF7">
        <w:t>TYPE YOUR TEXT HERE</w:t>
      </w:r>
    </w:p>
    <w:p w14:paraId="64A72861" w14:textId="0E3B7FA6" w:rsidR="003B4FD6" w:rsidRPr="00146962" w:rsidRDefault="007D6715" w:rsidP="003B4FD6">
      <w:pPr>
        <w:spacing w:before="120" w:after="120"/>
        <w:jc w:val="both"/>
        <w:rPr>
          <w:b/>
          <w:bCs/>
          <w:sz w:val="22"/>
        </w:rPr>
      </w:pPr>
      <w:r>
        <w:rPr>
          <w:b/>
          <w:bCs/>
          <w:sz w:val="22"/>
        </w:rPr>
        <w:t xml:space="preserve">We </w:t>
      </w:r>
      <w:r w:rsidR="003B4FD6" w:rsidRPr="00146962">
        <w:rPr>
          <w:b/>
          <w:bCs/>
          <w:sz w:val="22"/>
        </w:rPr>
        <w:t xml:space="preserve">believe that ESMA should not focus on the EU perspective when performing the data analysis, but instead take a global approach for the following reasons: </w:t>
      </w:r>
    </w:p>
    <w:p w14:paraId="7BC4F2A4" w14:textId="7E5705A8" w:rsidR="003B4FD6" w:rsidRPr="00A46EF7" w:rsidRDefault="003B4FD6" w:rsidP="003B4FD6">
      <w:pPr>
        <w:pStyle w:val="ListParagraph"/>
        <w:numPr>
          <w:ilvl w:val="0"/>
          <w:numId w:val="58"/>
        </w:numPr>
        <w:spacing w:before="120" w:after="120"/>
        <w:contextualSpacing w:val="0"/>
        <w:jc w:val="both"/>
        <w:rPr>
          <w:sz w:val="22"/>
        </w:rPr>
      </w:pPr>
      <w:r w:rsidRPr="00A46EF7">
        <w:rPr>
          <w:sz w:val="22"/>
        </w:rPr>
        <w:t xml:space="preserve">The EMIR Commodity Clearing Threshold (“EMIR CCT”) calculation has a global scope. This is because under EMIR all world-wide energy and commodity derivatives activities count against the EMIR CCT, even if no EU-product, EU-venue or EU-entity is involved. </w:t>
      </w:r>
    </w:p>
    <w:p w14:paraId="4D9D82E0" w14:textId="4133C020" w:rsidR="003B4FD6" w:rsidRPr="00A46EF7" w:rsidRDefault="003B4FD6" w:rsidP="003B4FD6">
      <w:pPr>
        <w:pStyle w:val="ListParagraph"/>
        <w:numPr>
          <w:ilvl w:val="0"/>
          <w:numId w:val="58"/>
        </w:numPr>
        <w:spacing w:before="120" w:after="120"/>
        <w:contextualSpacing w:val="0"/>
        <w:jc w:val="both"/>
        <w:rPr>
          <w:sz w:val="22"/>
        </w:rPr>
      </w:pPr>
      <w:r w:rsidRPr="00A46EF7">
        <w:rPr>
          <w:sz w:val="22"/>
        </w:rPr>
        <w:t>Energy and commodity markets are global markets. Limiting the analysis to EU27 energy and commodity markets, underestimate</w:t>
      </w:r>
      <w:r w:rsidR="00646692" w:rsidRPr="00A46EF7">
        <w:rPr>
          <w:sz w:val="22"/>
        </w:rPr>
        <w:t>s</w:t>
      </w:r>
      <w:r w:rsidRPr="00A46EF7">
        <w:rPr>
          <w:sz w:val="22"/>
        </w:rPr>
        <w:t xml:space="preserve"> the size of these markets which are actually global in nature and therefore overestimates the relative importance of EU27 NFCs in these global markets.</w:t>
      </w:r>
    </w:p>
    <w:p w14:paraId="2EB2AA9C" w14:textId="14AE2592" w:rsidR="003B4FD6" w:rsidRPr="005A7CAE" w:rsidRDefault="003B4FD6" w:rsidP="003B4FD6">
      <w:pPr>
        <w:pStyle w:val="ListParagraph"/>
        <w:numPr>
          <w:ilvl w:val="0"/>
          <w:numId w:val="58"/>
        </w:numPr>
        <w:spacing w:before="120" w:after="120"/>
        <w:jc w:val="both"/>
        <w:rPr>
          <w:sz w:val="22"/>
        </w:rPr>
      </w:pPr>
      <w:r w:rsidRPr="005A7CAE">
        <w:rPr>
          <w:sz w:val="22"/>
        </w:rPr>
        <w:t xml:space="preserve">A </w:t>
      </w:r>
      <w:r w:rsidR="000B2674" w:rsidRPr="005A7CAE">
        <w:rPr>
          <w:sz w:val="22"/>
        </w:rPr>
        <w:t xml:space="preserve">focus that is </w:t>
      </w:r>
      <w:r w:rsidRPr="005A7CAE">
        <w:rPr>
          <w:sz w:val="22"/>
        </w:rPr>
        <w:t>too narrow ultimately overestimates the systemic relevance of commodity trading by EU NFCs (see also our response to Q 12 where we argue that NFCs are not systemic relevant) and leads to too strict (low) clearing thresholds.</w:t>
      </w:r>
    </w:p>
    <w:p w14:paraId="167EC7F6" w14:textId="783EBA8E" w:rsidR="00633B08" w:rsidRPr="00A46EF7" w:rsidRDefault="003B4FD6" w:rsidP="003B4FD6">
      <w:pPr>
        <w:spacing w:before="120" w:after="120"/>
        <w:jc w:val="both"/>
        <w:rPr>
          <w:sz w:val="22"/>
        </w:rPr>
      </w:pPr>
      <w:r w:rsidRPr="00A46EF7">
        <w:rPr>
          <w:sz w:val="22"/>
        </w:rPr>
        <w:t>It is noted that ESMA might not have access to the same data</w:t>
      </w:r>
      <w:r w:rsidR="00646692" w:rsidRPr="00A46EF7">
        <w:rPr>
          <w:sz w:val="22"/>
        </w:rPr>
        <w:t xml:space="preserve"> with regard to trades conducted</w:t>
      </w:r>
      <w:r w:rsidRPr="00A46EF7">
        <w:rPr>
          <w:sz w:val="22"/>
        </w:rPr>
        <w:t xml:space="preserve"> outside the EEA. However, a possible work-around could be a comparison of the EU trading data with derivative trading statistics from other jurisdictions (e.g. the US), to gauge the relative size of respective geographic market segments and </w:t>
      </w:r>
      <w:r w:rsidR="00C10DFE" w:rsidRPr="00A46EF7">
        <w:rPr>
          <w:sz w:val="22"/>
        </w:rPr>
        <w:t>thereby</w:t>
      </w:r>
      <w:r w:rsidRPr="00A46EF7">
        <w:rPr>
          <w:sz w:val="22"/>
        </w:rPr>
        <w:t xml:space="preserve"> the size of the overall global market.</w:t>
      </w:r>
    </w:p>
    <w:p w14:paraId="1382C3CD" w14:textId="77777777" w:rsidR="0026750E" w:rsidRPr="00A46EF7" w:rsidRDefault="0026750E" w:rsidP="008A4CF5">
      <w:pPr>
        <w:ind w:left="360"/>
      </w:pPr>
    </w:p>
    <w:permEnd w:id="1767771289"/>
    <w:p w14:paraId="4FDA3207" w14:textId="77777777" w:rsidR="002E1760" w:rsidRDefault="002E1760" w:rsidP="002E1760"/>
    <w:p w14:paraId="79209B47" w14:textId="62ED12DD" w:rsidR="002E1760" w:rsidRPr="004648DA" w:rsidRDefault="002E1760" w:rsidP="002E1760">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Pr="004648DA">
        <w:rPr>
          <w:lang w:val="es-ES"/>
        </w:rPr>
        <w:t>9&gt;</w:t>
      </w:r>
    </w:p>
    <w:p w14:paraId="72F1F3E4" w14:textId="77777777" w:rsidR="00C228C1" w:rsidRPr="004648DA" w:rsidRDefault="00C228C1" w:rsidP="002E1760">
      <w:pPr>
        <w:rPr>
          <w:lang w:val="es-ES"/>
        </w:rPr>
      </w:pPr>
    </w:p>
    <w:p w14:paraId="472670D5" w14:textId="1A4AE006" w:rsidR="002E1760" w:rsidRPr="00431DA4" w:rsidRDefault="004648DA" w:rsidP="00293D78">
      <w:pPr>
        <w:pStyle w:val="CPQuestions"/>
      </w:pPr>
      <w:r w:rsidRPr="00ED3D8A">
        <w:t>Considering the current coverage provided by the clearing thresholds in relation to equity derivatives and the different type of counterparties (FCs and NFCs); is there any aspect or issue you consider ESMA should look into or pay attention to?  Please, in your answer, provide as granular details and any relevant data to illustrate your response</w:t>
      </w:r>
      <w:r w:rsidR="00FC7836">
        <w:t>.</w:t>
      </w:r>
    </w:p>
    <w:p w14:paraId="28C370B9" w14:textId="364C2F3B" w:rsidR="008418E3" w:rsidRPr="006C2D5A" w:rsidRDefault="008418E3" w:rsidP="008418E3">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Pr="006C2D5A">
        <w:rPr>
          <w:lang w:val="es-ES"/>
        </w:rPr>
        <w:t>10&gt;</w:t>
      </w:r>
    </w:p>
    <w:p w14:paraId="6CC83EC6" w14:textId="77777777" w:rsidR="008418E3" w:rsidRDefault="008418E3" w:rsidP="008418E3">
      <w:permStart w:id="349206319" w:edGrp="everyone"/>
      <w:r>
        <w:t>TYPE YOUR TEXT HERE</w:t>
      </w:r>
      <w:permEnd w:id="349206319"/>
    </w:p>
    <w:p w14:paraId="591D1C67" w14:textId="73F3409A" w:rsidR="008418E3" w:rsidRPr="004648DA" w:rsidRDefault="008418E3" w:rsidP="008418E3">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Pr="004648DA">
        <w:rPr>
          <w:lang w:val="es-ES"/>
        </w:rPr>
        <w:t>10&gt;</w:t>
      </w:r>
    </w:p>
    <w:p w14:paraId="4CD7799A" w14:textId="77777777" w:rsidR="00C228C1" w:rsidRPr="004648DA" w:rsidRDefault="00C228C1" w:rsidP="008418E3">
      <w:pPr>
        <w:rPr>
          <w:lang w:val="es-ES"/>
        </w:rPr>
      </w:pPr>
    </w:p>
    <w:p w14:paraId="0160EF27" w14:textId="615AF5D7" w:rsidR="009003B8" w:rsidRDefault="004648DA" w:rsidP="00293D78">
      <w:pPr>
        <w:pStyle w:val="CPQuestions"/>
      </w:pPr>
      <w:r>
        <w:t>Considering the current coverage provided by the clearing thresholds in relation to currency derivatives and the different type of counterparties (FCs and NFCs); is there any aspect or issue you consider ESMA should look into or pay attention to? Please, in your answer, provide as granular details and any relevant data to illustrate your response</w:t>
      </w:r>
      <w:r w:rsidR="00292E82">
        <w:t>.</w:t>
      </w:r>
    </w:p>
    <w:p w14:paraId="7EC35559" w14:textId="0522E787" w:rsidR="00F469F8" w:rsidRPr="006C2D5A" w:rsidRDefault="00F469F8" w:rsidP="00F469F8">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Pr="006C2D5A">
        <w:rPr>
          <w:lang w:val="es-ES"/>
        </w:rPr>
        <w:t>11&gt;</w:t>
      </w:r>
    </w:p>
    <w:p w14:paraId="26AE41A7" w14:textId="77777777" w:rsidR="00F469F8" w:rsidRDefault="00F469F8" w:rsidP="00F469F8">
      <w:permStart w:id="408818572" w:edGrp="everyone"/>
      <w:r>
        <w:lastRenderedPageBreak/>
        <w:t>TYPE YOUR TEXT HERE</w:t>
      </w:r>
      <w:permEnd w:id="408818572"/>
    </w:p>
    <w:p w14:paraId="06196E86" w14:textId="24B8C19B" w:rsidR="00F469F8" w:rsidRPr="004648DA" w:rsidRDefault="00F469F8" w:rsidP="00F469F8">
      <w:pPr>
        <w:rPr>
          <w:lang w:val="es-ES"/>
        </w:rPr>
      </w:pPr>
      <w:r w:rsidRPr="004648DA">
        <w:rPr>
          <w:lang w:val="es-ES"/>
        </w:rPr>
        <w:t>&lt;ESMA_QUESTION_</w:t>
      </w:r>
      <w:r w:rsidR="004648DA" w:rsidRPr="004648DA">
        <w:rPr>
          <w:rFonts w:cs="Arial"/>
          <w:lang w:val="es-ES"/>
        </w:rPr>
        <w:t xml:space="preserve"> DP_EMIR_CTs</w:t>
      </w:r>
      <w:r w:rsidR="00F107EF" w:rsidRPr="004648DA">
        <w:rPr>
          <w:lang w:val="es-ES"/>
        </w:rPr>
        <w:t>_</w:t>
      </w:r>
      <w:r w:rsidRPr="004648DA">
        <w:rPr>
          <w:lang w:val="es-ES"/>
        </w:rPr>
        <w:t>11&gt;</w:t>
      </w:r>
    </w:p>
    <w:p w14:paraId="18B1CFC4" w14:textId="77777777" w:rsidR="00C228C1" w:rsidRPr="004648DA" w:rsidRDefault="00C228C1" w:rsidP="00F469F8">
      <w:pPr>
        <w:rPr>
          <w:lang w:val="es-ES"/>
        </w:rPr>
      </w:pPr>
    </w:p>
    <w:p w14:paraId="787C57CF" w14:textId="5C29364A" w:rsidR="00F469F8" w:rsidRDefault="004648DA" w:rsidP="00F469F8">
      <w:pPr>
        <w:pStyle w:val="CPQuestions"/>
      </w:pPr>
      <w:r>
        <w:t>Beyond the different treatments between FCs and NFCs in the calculation, are there differences between the different types of counterparties that might justify a different calibration of the actual clearing thresholds? In addition, please consider if a different calibration of the current clearing thresholds by type of counterparty should apply in the same manner to all asset classes. Please provide any supporting data that might help illustrate your response</w:t>
      </w:r>
      <w:r w:rsidR="00F469F8">
        <w:t>.</w:t>
      </w:r>
    </w:p>
    <w:p w14:paraId="55419696" w14:textId="68198CCC" w:rsidR="00F469F8" w:rsidRPr="006C2D5A" w:rsidRDefault="00F469F8" w:rsidP="00F469F8">
      <w:pPr>
        <w:rPr>
          <w:lang w:val="es-ES"/>
        </w:rPr>
      </w:pPr>
      <w:r w:rsidRPr="006C2D5A">
        <w:rPr>
          <w:lang w:val="es-ES"/>
        </w:rPr>
        <w:t>&lt;ESMA_QUESTION_</w:t>
      </w:r>
      <w:r w:rsidR="004648DA" w:rsidRPr="004648DA">
        <w:rPr>
          <w:rFonts w:cs="Arial"/>
          <w:lang w:val="es-ES"/>
        </w:rPr>
        <w:t xml:space="preserve"> DP_EMIR_CTs</w:t>
      </w:r>
      <w:r w:rsidR="00F107EF" w:rsidRPr="006C2D5A">
        <w:rPr>
          <w:lang w:val="es-ES"/>
        </w:rPr>
        <w:t>_</w:t>
      </w:r>
      <w:r w:rsidRPr="006C2D5A">
        <w:rPr>
          <w:lang w:val="es-ES"/>
        </w:rPr>
        <w:t>1</w:t>
      </w:r>
      <w:r w:rsidR="002868FC" w:rsidRPr="006C2D5A">
        <w:rPr>
          <w:lang w:val="es-ES"/>
        </w:rPr>
        <w:t>2</w:t>
      </w:r>
      <w:r w:rsidRPr="006C2D5A">
        <w:rPr>
          <w:lang w:val="es-ES"/>
        </w:rPr>
        <w:t>&gt;</w:t>
      </w:r>
    </w:p>
    <w:p w14:paraId="503AD208" w14:textId="21354D62" w:rsidR="00F469F8" w:rsidRPr="00A46EF7" w:rsidRDefault="00F469F8" w:rsidP="00F469F8">
      <w:permStart w:id="276172944" w:edGrp="everyone"/>
      <w:r w:rsidRPr="00A46EF7">
        <w:t>TYPE YOUR TEXT HERE</w:t>
      </w:r>
    </w:p>
    <w:p w14:paraId="7A39FB8A" w14:textId="708E94D6" w:rsidR="003B4FD6" w:rsidRPr="005B3970" w:rsidRDefault="007D6715" w:rsidP="003B4FD6">
      <w:pPr>
        <w:spacing w:before="120" w:after="120"/>
        <w:jc w:val="both"/>
        <w:rPr>
          <w:b/>
          <w:bCs/>
          <w:sz w:val="22"/>
          <w:szCs w:val="22"/>
        </w:rPr>
      </w:pPr>
      <w:r>
        <w:rPr>
          <w:b/>
          <w:bCs/>
          <w:sz w:val="22"/>
          <w:szCs w:val="22"/>
        </w:rPr>
        <w:t xml:space="preserve">We </w:t>
      </w:r>
      <w:r w:rsidR="003B4FD6" w:rsidRPr="005B3970">
        <w:rPr>
          <w:b/>
          <w:bCs/>
          <w:sz w:val="22"/>
          <w:szCs w:val="22"/>
        </w:rPr>
        <w:t>believe – in line with advice by the Committee of European Banking Supervisors (“CEBS”), academic literature and current market data – that the current (</w:t>
      </w:r>
      <w:r w:rsidR="00C10DFE" w:rsidRPr="005B3970">
        <w:rPr>
          <w:b/>
          <w:bCs/>
          <w:sz w:val="22"/>
          <w:szCs w:val="22"/>
        </w:rPr>
        <w:t>by global standards, quite</w:t>
      </w:r>
      <w:r w:rsidR="003B4FD6" w:rsidRPr="005B3970">
        <w:rPr>
          <w:b/>
          <w:bCs/>
          <w:sz w:val="22"/>
          <w:szCs w:val="22"/>
        </w:rPr>
        <w:t xml:space="preserve"> low) EMIR commodity clearing threshold of €3 billion can be increased to a substantially higher level without jeopardising the stability of the wider financial markets:</w:t>
      </w:r>
    </w:p>
    <w:p w14:paraId="1D73D58C" w14:textId="77777777" w:rsidR="003B4FD6" w:rsidRPr="00A46EF7" w:rsidRDefault="003B4FD6" w:rsidP="003B4FD6">
      <w:pPr>
        <w:pStyle w:val="ListParagraph"/>
        <w:numPr>
          <w:ilvl w:val="0"/>
          <w:numId w:val="59"/>
        </w:numPr>
        <w:spacing w:before="120" w:after="120"/>
        <w:contextualSpacing w:val="0"/>
        <w:jc w:val="both"/>
        <w:rPr>
          <w:sz w:val="22"/>
          <w:szCs w:val="22"/>
        </w:rPr>
      </w:pPr>
      <w:r w:rsidRPr="00A46EF7">
        <w:rPr>
          <w:sz w:val="22"/>
          <w:szCs w:val="22"/>
        </w:rPr>
        <w:t>The size of the commodity derivatives markets is very small compared to other derivatives markets – Commodity derivatives account for only 1% of the outstanding notional value in 2020 (see ESMA Annual Statistics, Figure ASRD.4), while almost 80% come from interest rate derivatives. The stability of the financial sector (a key objective of EMIR) is therefore mainly dependent on asset classes other than commodities.</w:t>
      </w:r>
    </w:p>
    <w:p w14:paraId="7FD40B6F" w14:textId="77777777" w:rsidR="003B4FD6" w:rsidRPr="00A46EF7" w:rsidRDefault="003B4FD6" w:rsidP="003B4FD6">
      <w:pPr>
        <w:pStyle w:val="ListParagraph"/>
        <w:numPr>
          <w:ilvl w:val="0"/>
          <w:numId w:val="59"/>
        </w:numPr>
        <w:spacing w:before="120" w:after="120"/>
        <w:contextualSpacing w:val="0"/>
        <w:jc w:val="both"/>
        <w:rPr>
          <w:sz w:val="22"/>
          <w:szCs w:val="22"/>
        </w:rPr>
      </w:pPr>
      <w:r w:rsidRPr="00A46EF7">
        <w:rPr>
          <w:sz w:val="22"/>
          <w:szCs w:val="22"/>
        </w:rPr>
        <w:t>NFCs account for the largest shares of counterparties in commodity derivatives – NFC accounted for 39% of the total notional amount in commodity derivatives in 2020 (see ESMA Annual Statistics, Figure ASRD.19). The level of the commodity clearing threshold therefore mainly affects the non-financial sector.</w:t>
      </w:r>
    </w:p>
    <w:p w14:paraId="04C7AEA5" w14:textId="63763E69" w:rsidR="003B4FD6" w:rsidRPr="00A46EF7" w:rsidRDefault="003B4FD6" w:rsidP="003B4FD6">
      <w:pPr>
        <w:pStyle w:val="ListParagraph"/>
        <w:numPr>
          <w:ilvl w:val="0"/>
          <w:numId w:val="59"/>
        </w:numPr>
        <w:spacing w:before="120" w:after="120"/>
        <w:contextualSpacing w:val="0"/>
        <w:jc w:val="both"/>
        <w:rPr>
          <w:sz w:val="22"/>
          <w:szCs w:val="22"/>
        </w:rPr>
      </w:pPr>
      <w:r w:rsidRPr="00A46EF7">
        <w:rPr>
          <w:sz w:val="22"/>
          <w:szCs w:val="22"/>
        </w:rPr>
        <w:t xml:space="preserve">NFCs active on the energy and commodity markets are not of systemic importance for the wider traditional financial markets. A failure of a non-financial commodity trading firm would not trigger a “broader contagion” of the financial sector, for example, triggering the failure of a systemically important financial institution. This view is supported by numerous independent analyses. For example, the Advice of the Committee of European Banking Supervisors (“CEBS”) of 10th October 2007 to the EU Commission (“CEBS-Advice”; page 2, ref. 12) clearly stated that </w:t>
      </w:r>
      <w:r w:rsidRPr="00A46EF7">
        <w:rPr>
          <w:i/>
          <w:iCs/>
          <w:sz w:val="22"/>
          <w:szCs w:val="22"/>
        </w:rPr>
        <w:t>“… systemic risk concerns … appear significantly smaller relative to the systemic risks posed by banks and ISD financial investment firms. In the commodities case studies examined in this report, systemic concerns were limited and contained</w:t>
      </w:r>
      <w:r w:rsidRPr="00A46EF7">
        <w:rPr>
          <w:sz w:val="22"/>
          <w:szCs w:val="22"/>
        </w:rPr>
        <w:t xml:space="preserve">.” This analysis is still valid today </w:t>
      </w:r>
      <w:r w:rsidR="006A3C6B" w:rsidRPr="00A46EF7">
        <w:rPr>
          <w:sz w:val="22"/>
          <w:szCs w:val="22"/>
        </w:rPr>
        <w:t>because</w:t>
      </w:r>
      <w:r w:rsidRPr="00A46EF7">
        <w:rPr>
          <w:sz w:val="22"/>
          <w:szCs w:val="22"/>
        </w:rPr>
        <w:t xml:space="preserve"> the characteristics and nature of commercial activities generally undertaken by commodity trading firms have not changed fundamentally. Further independent, more recent analysis confirms that commodity trading firms are unlikely to create systemic risk (</w:t>
      </w:r>
      <w:hyperlink r:id="rId34" w:history="1">
        <w:r w:rsidRPr="00A46EF7">
          <w:rPr>
            <w:rStyle w:val="Hyperlink"/>
            <w:color w:val="auto"/>
            <w:sz w:val="22"/>
            <w:szCs w:val="22"/>
            <w:highlight w:val="yellow"/>
          </w:rPr>
          <w:t>link</w:t>
        </w:r>
      </w:hyperlink>
      <w:r w:rsidRPr="00A46EF7">
        <w:rPr>
          <w:sz w:val="22"/>
          <w:szCs w:val="22"/>
        </w:rPr>
        <w:t xml:space="preserve">). ESMA seems to share this view in its consultation paper (see para. 157: </w:t>
      </w:r>
      <w:r w:rsidRPr="00A46EF7">
        <w:rPr>
          <w:i/>
          <w:iCs/>
          <w:sz w:val="22"/>
          <w:szCs w:val="22"/>
        </w:rPr>
        <w:t>“[…]</w:t>
      </w:r>
      <w:r w:rsidR="006A3C6B" w:rsidRPr="00A46EF7">
        <w:rPr>
          <w:i/>
          <w:iCs/>
          <w:sz w:val="22"/>
          <w:szCs w:val="22"/>
        </w:rPr>
        <w:t xml:space="preserve"> </w:t>
      </w:r>
      <w:r w:rsidRPr="00A46EF7">
        <w:rPr>
          <w:i/>
          <w:iCs/>
          <w:sz w:val="22"/>
          <w:szCs w:val="22"/>
        </w:rPr>
        <w:t>the absolute number of NFCs trading with commodity derivatives […] is lower than for other asset classes, which suggest NFCs are less significant from a systemic risk perspective</w:t>
      </w:r>
      <w:r w:rsidR="005357F8" w:rsidRPr="00A46EF7">
        <w:rPr>
          <w:i/>
          <w:iCs/>
          <w:sz w:val="22"/>
          <w:szCs w:val="22"/>
        </w:rPr>
        <w:t>.</w:t>
      </w:r>
      <w:r w:rsidR="005357F8" w:rsidRPr="00A46EF7">
        <w:rPr>
          <w:sz w:val="22"/>
          <w:szCs w:val="22"/>
        </w:rPr>
        <w:t>”</w:t>
      </w:r>
      <w:r w:rsidRPr="00A46EF7">
        <w:rPr>
          <w:sz w:val="22"/>
          <w:szCs w:val="22"/>
        </w:rPr>
        <w:t>).</w:t>
      </w:r>
    </w:p>
    <w:p w14:paraId="230B8437" w14:textId="4A452905" w:rsidR="00B1648C" w:rsidRPr="00A46EF7" w:rsidRDefault="003B4FD6" w:rsidP="00F469F8">
      <w:pPr>
        <w:pStyle w:val="ListParagraph"/>
        <w:numPr>
          <w:ilvl w:val="0"/>
          <w:numId w:val="59"/>
        </w:numPr>
        <w:spacing w:before="120" w:after="120"/>
        <w:contextualSpacing w:val="0"/>
        <w:jc w:val="both"/>
        <w:rPr>
          <w:sz w:val="22"/>
          <w:szCs w:val="22"/>
        </w:rPr>
      </w:pPr>
      <w:r w:rsidRPr="00A46EF7">
        <w:rPr>
          <w:sz w:val="22"/>
          <w:szCs w:val="22"/>
        </w:rPr>
        <w:t xml:space="preserve">These arguments are supported by empirical evidence provided by </w:t>
      </w:r>
      <w:proofErr w:type="spellStart"/>
      <w:r w:rsidRPr="00A46EF7">
        <w:rPr>
          <w:sz w:val="22"/>
          <w:szCs w:val="22"/>
        </w:rPr>
        <w:t>Kerste</w:t>
      </w:r>
      <w:proofErr w:type="spellEnd"/>
      <w:r w:rsidRPr="00A46EF7">
        <w:rPr>
          <w:sz w:val="22"/>
          <w:szCs w:val="22"/>
        </w:rPr>
        <w:t xml:space="preserve"> et al. (</w:t>
      </w:r>
      <w:hyperlink r:id="rId35" w:history="1">
        <w:r w:rsidRPr="00A46EF7">
          <w:rPr>
            <w:rStyle w:val="Hyperlink"/>
            <w:color w:val="auto"/>
            <w:sz w:val="22"/>
            <w:szCs w:val="22"/>
          </w:rPr>
          <w:t>link</w:t>
        </w:r>
      </w:hyperlink>
      <w:r w:rsidRPr="00A46EF7">
        <w:rPr>
          <w:sz w:val="22"/>
          <w:szCs w:val="22"/>
        </w:rPr>
        <w:t>), which shows that the high use of commodity derivatives in the energy sector does not imply high contagion risk from the energy sector towards the banking sector. Indeed, the correlation between defaults in the energy sector and defaults in the banking sector is comparable to that between the banking sector and the food and construction sector</w:t>
      </w:r>
      <w:r w:rsidR="005357F8" w:rsidRPr="00A46EF7">
        <w:rPr>
          <w:sz w:val="22"/>
          <w:szCs w:val="22"/>
        </w:rPr>
        <w:t>s</w:t>
      </w:r>
      <w:r w:rsidRPr="00A46EF7">
        <w:rPr>
          <w:sz w:val="22"/>
          <w:szCs w:val="22"/>
        </w:rPr>
        <w:t>.</w:t>
      </w:r>
    </w:p>
    <w:p w14:paraId="28DA4D5F" w14:textId="77777777" w:rsidR="003B4FD6" w:rsidRPr="00A46EF7" w:rsidRDefault="003B4FD6" w:rsidP="00F469F8"/>
    <w:permEnd w:id="276172944"/>
    <w:p w14:paraId="7F81634F" w14:textId="77777777" w:rsidR="00F469F8" w:rsidRDefault="00F469F8" w:rsidP="00F469F8"/>
    <w:p w14:paraId="7B985911" w14:textId="796659E2" w:rsidR="00F469F8" w:rsidRPr="004648DA" w:rsidRDefault="00F469F8" w:rsidP="00F469F8">
      <w:pPr>
        <w:rPr>
          <w:lang w:val="es-ES"/>
        </w:rPr>
      </w:pPr>
      <w:r w:rsidRPr="004648DA">
        <w:rPr>
          <w:lang w:val="es-ES"/>
        </w:rPr>
        <w:lastRenderedPageBreak/>
        <w:t>&lt;ESMA_QUESTION_</w:t>
      </w:r>
      <w:r w:rsidR="004648DA" w:rsidRPr="004648DA">
        <w:rPr>
          <w:lang w:val="es-ES"/>
        </w:rPr>
        <w:t>DP_EMIR_CTs</w:t>
      </w:r>
      <w:r w:rsidR="00F107EF" w:rsidRPr="004648DA">
        <w:rPr>
          <w:lang w:val="es-ES"/>
        </w:rPr>
        <w:t>_</w:t>
      </w:r>
      <w:r w:rsidRPr="004648DA">
        <w:rPr>
          <w:lang w:val="es-ES"/>
        </w:rPr>
        <w:t>1</w:t>
      </w:r>
      <w:r w:rsidR="002868FC" w:rsidRPr="004648DA">
        <w:rPr>
          <w:lang w:val="es-ES"/>
        </w:rPr>
        <w:t>2</w:t>
      </w:r>
      <w:r w:rsidRPr="004648DA">
        <w:rPr>
          <w:lang w:val="es-ES"/>
        </w:rPr>
        <w:t>&gt;</w:t>
      </w:r>
    </w:p>
    <w:p w14:paraId="1E9DCB0D" w14:textId="77777777" w:rsidR="009003B8" w:rsidRPr="004648DA" w:rsidRDefault="009003B8" w:rsidP="002E1760">
      <w:pPr>
        <w:rPr>
          <w:lang w:val="es-ES"/>
        </w:rPr>
      </w:pPr>
    </w:p>
    <w:p w14:paraId="26837E87" w14:textId="7834EC9D" w:rsidR="00646C30" w:rsidRDefault="004648DA" w:rsidP="00646C30">
      <w:pPr>
        <w:pStyle w:val="CPQuestions"/>
      </w:pPr>
      <w:r w:rsidRPr="00ED3D8A">
        <w:rPr>
          <w:rFonts w:cs="Arial"/>
          <w:lang w:val="en-US"/>
        </w:rPr>
        <w:t>Looking at the simulations presented in the paper and at the impact they would have, do you have any views on the sensitivities of the thresholds</w:t>
      </w:r>
      <w:r w:rsidR="00C228C1">
        <w:t>?</w:t>
      </w:r>
    </w:p>
    <w:p w14:paraId="1D99BB7D" w14:textId="38F01FFA" w:rsidR="00646C30" w:rsidRPr="006C2D5A" w:rsidRDefault="00646C30" w:rsidP="00646C30">
      <w:pPr>
        <w:rPr>
          <w:lang w:val="es-ES"/>
        </w:rPr>
      </w:pPr>
      <w:r w:rsidRPr="006C2D5A">
        <w:rPr>
          <w:lang w:val="es-ES"/>
        </w:rPr>
        <w:t>&lt;ESMA_QUESTION_</w:t>
      </w:r>
      <w:r w:rsidR="004648DA">
        <w:rPr>
          <w:lang w:val="es-ES"/>
        </w:rPr>
        <w:t>DP_EMIR_CTs</w:t>
      </w:r>
      <w:r w:rsidR="00F107EF" w:rsidRPr="006C2D5A">
        <w:rPr>
          <w:lang w:val="es-ES"/>
        </w:rPr>
        <w:t>_</w:t>
      </w:r>
      <w:r w:rsidRPr="006C2D5A">
        <w:rPr>
          <w:lang w:val="es-ES"/>
        </w:rPr>
        <w:t>1</w:t>
      </w:r>
      <w:r w:rsidR="00101BF1" w:rsidRPr="006C2D5A">
        <w:rPr>
          <w:lang w:val="es-ES"/>
        </w:rPr>
        <w:t>3</w:t>
      </w:r>
      <w:r w:rsidRPr="006C2D5A">
        <w:rPr>
          <w:lang w:val="es-ES"/>
        </w:rPr>
        <w:t>&gt;</w:t>
      </w:r>
    </w:p>
    <w:p w14:paraId="2DBA77F6" w14:textId="74B791CD" w:rsidR="00646C30" w:rsidRDefault="00646C30" w:rsidP="00646C30">
      <w:permStart w:id="507131457" w:edGrp="everyone"/>
      <w:r>
        <w:t>TYPE YOUR TEXT HERE</w:t>
      </w:r>
    </w:p>
    <w:p w14:paraId="6505D0F2" w14:textId="77777777" w:rsidR="00976AF9" w:rsidRPr="00A46EF7" w:rsidRDefault="00976AF9" w:rsidP="00976AF9">
      <w:pPr>
        <w:spacing w:before="120" w:after="120"/>
        <w:jc w:val="both"/>
        <w:rPr>
          <w:sz w:val="22"/>
          <w:szCs w:val="22"/>
        </w:rPr>
      </w:pPr>
      <w:r w:rsidRPr="00A46EF7">
        <w:rPr>
          <w:sz w:val="22"/>
          <w:szCs w:val="22"/>
        </w:rPr>
        <w:t xml:space="preserve">ESMA’s consultation paper (see Section 10) presents simulation results for variation of the current clearing thresholds (decrease by €0.5 billion and increase by €0.5 and €1.0 billion). ESMA intends to analyse the impact of a potential change in the clearing threshold on share of FCs and NFCs which are captured by the threshold (p. 4). </w:t>
      </w:r>
    </w:p>
    <w:p w14:paraId="2B2DB21A" w14:textId="77777777" w:rsidR="00976AF9" w:rsidRPr="00A46EF7" w:rsidRDefault="00976AF9" w:rsidP="00976AF9">
      <w:pPr>
        <w:spacing w:before="120" w:after="120"/>
        <w:jc w:val="both"/>
        <w:rPr>
          <w:sz w:val="22"/>
          <w:szCs w:val="22"/>
        </w:rPr>
      </w:pPr>
      <w:r w:rsidRPr="00A46EF7">
        <w:rPr>
          <w:sz w:val="22"/>
          <w:szCs w:val="22"/>
        </w:rPr>
        <w:t xml:space="preserve">We understand that ESMA conducts a </w:t>
      </w:r>
      <w:r w:rsidRPr="00A46EF7">
        <w:rPr>
          <w:i/>
          <w:iCs/>
          <w:sz w:val="22"/>
          <w:szCs w:val="22"/>
        </w:rPr>
        <w:t>ceteris-paribus</w:t>
      </w:r>
      <w:r w:rsidRPr="00A46EF7">
        <w:rPr>
          <w:sz w:val="22"/>
          <w:szCs w:val="22"/>
        </w:rPr>
        <w:t xml:space="preserve"> calculation where it determines the shares of counterparties (notional value) below and above different levels of clearing thresholds based on the following observed trading data which is kept constant:</w:t>
      </w:r>
    </w:p>
    <w:p w14:paraId="13164F4A" w14:textId="77777777" w:rsidR="00976AF9" w:rsidRPr="00A46EF7" w:rsidRDefault="00976AF9" w:rsidP="00976AF9">
      <w:pPr>
        <w:pStyle w:val="ListParagraph"/>
        <w:numPr>
          <w:ilvl w:val="0"/>
          <w:numId w:val="61"/>
        </w:numPr>
        <w:spacing w:before="120" w:after="120"/>
        <w:contextualSpacing w:val="0"/>
        <w:jc w:val="both"/>
        <w:rPr>
          <w:sz w:val="22"/>
          <w:szCs w:val="22"/>
        </w:rPr>
      </w:pPr>
      <w:r w:rsidRPr="00A46EF7">
        <w:rPr>
          <w:sz w:val="22"/>
          <w:szCs w:val="22"/>
        </w:rPr>
        <w:t xml:space="preserve">Observed trading data for the year 2020, i.e. when FCs and NCFs were subject to the current clearing thresholds (e.g. €3 billion for commodities). </w:t>
      </w:r>
    </w:p>
    <w:p w14:paraId="59EC7411" w14:textId="77777777" w:rsidR="00976AF9" w:rsidRPr="00A46EF7" w:rsidRDefault="00976AF9" w:rsidP="00976AF9">
      <w:pPr>
        <w:pStyle w:val="ListParagraph"/>
        <w:numPr>
          <w:ilvl w:val="0"/>
          <w:numId w:val="61"/>
        </w:numPr>
        <w:spacing w:before="120" w:after="120"/>
        <w:contextualSpacing w:val="0"/>
        <w:jc w:val="both"/>
        <w:rPr>
          <w:sz w:val="22"/>
          <w:szCs w:val="22"/>
        </w:rPr>
      </w:pPr>
      <w:r w:rsidRPr="00A46EF7">
        <w:rPr>
          <w:sz w:val="22"/>
          <w:szCs w:val="22"/>
        </w:rPr>
        <w:t xml:space="preserve">Not capturing the non-equivalence of UK exchanges (effective 1 January 2021); </w:t>
      </w:r>
    </w:p>
    <w:p w14:paraId="5F2D9421" w14:textId="77777777" w:rsidR="00976AF9" w:rsidRPr="00A46EF7" w:rsidRDefault="00976AF9" w:rsidP="00976AF9">
      <w:pPr>
        <w:pStyle w:val="ListParagraph"/>
        <w:numPr>
          <w:ilvl w:val="0"/>
          <w:numId w:val="61"/>
        </w:numPr>
        <w:spacing w:before="120" w:after="120"/>
        <w:contextualSpacing w:val="0"/>
        <w:jc w:val="both"/>
        <w:rPr>
          <w:sz w:val="22"/>
          <w:szCs w:val="22"/>
        </w:rPr>
      </w:pPr>
      <w:r w:rsidRPr="00A46EF7">
        <w:rPr>
          <w:sz w:val="22"/>
          <w:szCs w:val="22"/>
        </w:rPr>
        <w:t xml:space="preserve">Not capturing the recent price increase for commodities (in particular in the second half of 2021, see our response to Q 6). </w:t>
      </w:r>
    </w:p>
    <w:p w14:paraId="72989BAA" w14:textId="77777777" w:rsidR="00976AF9" w:rsidRPr="00A46EF7" w:rsidRDefault="00976AF9" w:rsidP="00976AF9">
      <w:pPr>
        <w:pStyle w:val="ListParagraph"/>
        <w:numPr>
          <w:ilvl w:val="0"/>
          <w:numId w:val="61"/>
        </w:numPr>
        <w:spacing w:before="120" w:after="120"/>
        <w:contextualSpacing w:val="0"/>
        <w:jc w:val="both"/>
        <w:rPr>
          <w:sz w:val="22"/>
          <w:szCs w:val="22"/>
        </w:rPr>
      </w:pPr>
      <w:r w:rsidRPr="00A46EF7">
        <w:rPr>
          <w:sz w:val="22"/>
          <w:szCs w:val="22"/>
        </w:rPr>
        <w:t>The data also only comprises trades reported to trade repository (TR) in the EEA, i.e. excluding trades of EEA entities outside the EEA area (para 192).</w:t>
      </w:r>
    </w:p>
    <w:p w14:paraId="6398B541" w14:textId="77777777" w:rsidR="00976AF9" w:rsidRPr="00A46EF7" w:rsidRDefault="00976AF9" w:rsidP="00976AF9">
      <w:pPr>
        <w:spacing w:before="120" w:after="120"/>
        <w:jc w:val="both"/>
        <w:rPr>
          <w:sz w:val="22"/>
          <w:szCs w:val="22"/>
        </w:rPr>
      </w:pPr>
      <w:r w:rsidRPr="00A46EF7">
        <w:rPr>
          <w:sz w:val="22"/>
          <w:szCs w:val="22"/>
        </w:rPr>
        <w:t>ESMA concludes that none of the variations of the commodity clearing threshold analysed in the consultation paper would have a material impact on the share of NFCs and notional value below or above the clearing threshold (para. 195, 202 and 209). This conclusion is flawed for several reasons:</w:t>
      </w:r>
    </w:p>
    <w:p w14:paraId="746E590D" w14:textId="77777777" w:rsidR="00976AF9" w:rsidRPr="00A46EF7" w:rsidRDefault="00976AF9" w:rsidP="00976AF9">
      <w:pPr>
        <w:pStyle w:val="ListParagraph"/>
        <w:numPr>
          <w:ilvl w:val="0"/>
          <w:numId w:val="60"/>
        </w:numPr>
        <w:spacing w:before="120" w:after="120"/>
        <w:contextualSpacing w:val="0"/>
        <w:jc w:val="both"/>
        <w:rPr>
          <w:sz w:val="22"/>
          <w:szCs w:val="22"/>
        </w:rPr>
      </w:pPr>
      <w:r w:rsidRPr="00A46EF7">
        <w:rPr>
          <w:sz w:val="22"/>
          <w:szCs w:val="22"/>
        </w:rPr>
        <w:t xml:space="preserve">ESMA uses a static approach which takes the trading behaviour of NFCs (with the given low level of CCT at €3 billion) as given, and only varies the level of the clearing threshold. This type of analysis is misleading since the trading behaviour of NFCs is not exogenous to the level of the CCT and depends on the level of the clearing threshold itself: </w:t>
      </w:r>
    </w:p>
    <w:p w14:paraId="485B2AC7" w14:textId="5A438DB7" w:rsidR="00976AF9" w:rsidRPr="00A46EF7" w:rsidRDefault="00976AF9" w:rsidP="00976AF9">
      <w:pPr>
        <w:pStyle w:val="ListParagraph"/>
        <w:numPr>
          <w:ilvl w:val="1"/>
          <w:numId w:val="60"/>
        </w:numPr>
        <w:spacing w:before="120" w:after="120"/>
        <w:contextualSpacing w:val="0"/>
        <w:jc w:val="both"/>
        <w:rPr>
          <w:sz w:val="22"/>
          <w:szCs w:val="22"/>
        </w:rPr>
      </w:pPr>
      <w:r w:rsidRPr="00A46EF7">
        <w:rPr>
          <w:sz w:val="22"/>
          <w:szCs w:val="22"/>
        </w:rPr>
        <w:t>NFC-</w:t>
      </w:r>
      <w:r w:rsidR="005357F8" w:rsidRPr="00A46EF7">
        <w:rPr>
          <w:sz w:val="22"/>
          <w:szCs w:val="22"/>
        </w:rPr>
        <w:t>s</w:t>
      </w:r>
      <w:r w:rsidRPr="00A46EF7">
        <w:rPr>
          <w:sz w:val="22"/>
          <w:szCs w:val="22"/>
        </w:rPr>
        <w:t xml:space="preserve"> (98% of the companies) either have no significant derivative trading business or implement strict limits to avoid becoming NFC+ (to avoid costs, see above). These internal limits typically contain a safety margin which results in effective utilisation of the clearing threshold well below 100%. For example, a limit utilisation of 80% (€2.4 billion notional value for commodity derivatives) would still be outside the range analyses by ESMA (€2.5-4 billion). However, increasing the threshold by €1 billion would allow an NFC- with a utilisation limit of 80% to increase its derivatives trading volume from currently €2.4 billion (=80%*€3 billion) to €3.2 billion (=80%*€4 billion). </w:t>
      </w:r>
    </w:p>
    <w:p w14:paraId="6C84F33A" w14:textId="4B9EFB17" w:rsidR="00976AF9" w:rsidRPr="00A46EF7" w:rsidRDefault="00976AF9" w:rsidP="00976AF9">
      <w:pPr>
        <w:pStyle w:val="ListParagraph"/>
        <w:numPr>
          <w:ilvl w:val="1"/>
          <w:numId w:val="60"/>
        </w:numPr>
        <w:spacing w:before="120" w:after="120"/>
        <w:contextualSpacing w:val="0"/>
        <w:jc w:val="both"/>
        <w:rPr>
          <w:sz w:val="22"/>
          <w:szCs w:val="22"/>
        </w:rPr>
      </w:pPr>
      <w:r w:rsidRPr="00A46EF7">
        <w:rPr>
          <w:sz w:val="22"/>
          <w:szCs w:val="22"/>
        </w:rPr>
        <w:t xml:space="preserve">The small fraction of NFC+ (2%, see Fig. 50) </w:t>
      </w:r>
      <w:r w:rsidR="005357F8" w:rsidRPr="00A46EF7">
        <w:rPr>
          <w:sz w:val="22"/>
          <w:szCs w:val="22"/>
        </w:rPr>
        <w:t xml:space="preserve">which </w:t>
      </w:r>
      <w:r w:rsidRPr="00A46EF7">
        <w:rPr>
          <w:sz w:val="22"/>
          <w:szCs w:val="22"/>
        </w:rPr>
        <w:t>incur significant costs for their NFC+ status (see our response to Q4). Becoming</w:t>
      </w:r>
      <w:r w:rsidR="005357F8" w:rsidRPr="00A46EF7">
        <w:rPr>
          <w:sz w:val="22"/>
          <w:szCs w:val="22"/>
        </w:rPr>
        <w:t xml:space="preserve"> an</w:t>
      </w:r>
      <w:r w:rsidRPr="00A46EF7">
        <w:rPr>
          <w:sz w:val="22"/>
          <w:szCs w:val="22"/>
        </w:rPr>
        <w:t xml:space="preserve"> NFC+ is therefore only commercially sensible if these companies exceed the threshold by a significant margin to compensate for the additional NFC+ costs. Otherwise, an NFC could limit its derivative trading to a value slightly below the clearing threshold and avoid the costs </w:t>
      </w:r>
      <w:r w:rsidR="005357F8" w:rsidRPr="00A46EF7">
        <w:rPr>
          <w:sz w:val="22"/>
          <w:szCs w:val="22"/>
        </w:rPr>
        <w:t>associated with</w:t>
      </w:r>
      <w:r w:rsidRPr="00A46EF7">
        <w:rPr>
          <w:sz w:val="22"/>
          <w:szCs w:val="22"/>
        </w:rPr>
        <w:t xml:space="preserve"> NFC+ status. It is therefore a consequence of the current EMIR regulation that none of the NFC+ companies are within close range of the clearing threshold (they would rather tend to lie some distance below to accommodate some headroom). An </w:t>
      </w:r>
      <w:r w:rsidRPr="00A46EF7">
        <w:rPr>
          <w:sz w:val="22"/>
          <w:szCs w:val="22"/>
        </w:rPr>
        <w:lastRenderedPageBreak/>
        <w:t>increase of the commodity clearing threshold to a level comparable to other jurisdictions (for example $8 billion in the US) could incentivise current NFC+</w:t>
      </w:r>
      <w:r w:rsidR="005357F8" w:rsidRPr="00A46EF7">
        <w:rPr>
          <w:sz w:val="22"/>
          <w:szCs w:val="22"/>
        </w:rPr>
        <w:t>s</w:t>
      </w:r>
      <w:r w:rsidRPr="00A46EF7">
        <w:rPr>
          <w:sz w:val="22"/>
          <w:szCs w:val="22"/>
        </w:rPr>
        <w:t xml:space="preserve"> to reduce their derivative trading in order to become </w:t>
      </w:r>
      <w:r w:rsidR="005357F8" w:rsidRPr="00A46EF7">
        <w:rPr>
          <w:sz w:val="22"/>
          <w:szCs w:val="22"/>
        </w:rPr>
        <w:t xml:space="preserve">an </w:t>
      </w:r>
      <w:r w:rsidRPr="00A46EF7">
        <w:rPr>
          <w:sz w:val="22"/>
          <w:szCs w:val="22"/>
        </w:rPr>
        <w:t xml:space="preserve">NFC-. </w:t>
      </w:r>
    </w:p>
    <w:p w14:paraId="4373D73B" w14:textId="50754FB6" w:rsidR="00976AF9" w:rsidRPr="00A46EF7" w:rsidRDefault="00976AF9" w:rsidP="00976AF9">
      <w:pPr>
        <w:pStyle w:val="ListParagraph"/>
        <w:numPr>
          <w:ilvl w:val="0"/>
          <w:numId w:val="60"/>
        </w:numPr>
        <w:spacing w:before="120" w:after="120"/>
        <w:contextualSpacing w:val="0"/>
        <w:jc w:val="both"/>
        <w:rPr>
          <w:sz w:val="22"/>
          <w:szCs w:val="22"/>
        </w:rPr>
      </w:pPr>
      <w:r w:rsidRPr="00A46EF7">
        <w:rPr>
          <w:sz w:val="22"/>
          <w:szCs w:val="22"/>
        </w:rPr>
        <w:t xml:space="preserve">ESMA also does not present the results as curves, showing when and by how much a certain amount would actually affect NFCs. Instead, ESMA reports only results for three points on that curve. It is not clear from this analysis where current derivatives volumes lie and at what level of the threshold changes would be expected. But at any rate, analysis based on static data that reflects companies’ behaviour under existing thresholds is relatively </w:t>
      </w:r>
      <w:r w:rsidR="005357F8" w:rsidRPr="00A46EF7">
        <w:rPr>
          <w:sz w:val="22"/>
          <w:szCs w:val="22"/>
        </w:rPr>
        <w:t>insignificant</w:t>
      </w:r>
      <w:r w:rsidRPr="00A46EF7">
        <w:rPr>
          <w:sz w:val="22"/>
          <w:szCs w:val="22"/>
        </w:rPr>
        <w:t>.</w:t>
      </w:r>
    </w:p>
    <w:p w14:paraId="4E14C049" w14:textId="3F824A8B" w:rsidR="00976AF9" w:rsidRPr="00A46EF7" w:rsidRDefault="00976AF9" w:rsidP="00976AF9">
      <w:pPr>
        <w:pStyle w:val="ListParagraph"/>
        <w:numPr>
          <w:ilvl w:val="0"/>
          <w:numId w:val="60"/>
        </w:numPr>
        <w:spacing w:before="120" w:after="120"/>
        <w:contextualSpacing w:val="0"/>
        <w:jc w:val="both"/>
        <w:rPr>
          <w:sz w:val="22"/>
          <w:szCs w:val="22"/>
        </w:rPr>
      </w:pPr>
      <w:r w:rsidRPr="00A46EF7">
        <w:rPr>
          <w:sz w:val="22"/>
          <w:szCs w:val="22"/>
        </w:rPr>
        <w:t xml:space="preserve">The simulations conducted by ESMA also do not consider important recent developments: ESMA </w:t>
      </w:r>
      <w:r w:rsidR="005357F8" w:rsidRPr="00A46EF7">
        <w:rPr>
          <w:sz w:val="22"/>
          <w:szCs w:val="22"/>
        </w:rPr>
        <w:t xml:space="preserve">utilizing only </w:t>
      </w:r>
      <w:r w:rsidRPr="00A46EF7">
        <w:rPr>
          <w:sz w:val="22"/>
          <w:szCs w:val="22"/>
        </w:rPr>
        <w:t>trading data for the year 2020, before the surge in commodity prices such as for CO2, gas and electricity. This means that the volumes (as measured in energy units rather than €bn) of commodity derivates tradable</w:t>
      </w:r>
      <w:r w:rsidR="008A7BE3" w:rsidRPr="00A46EF7">
        <w:rPr>
          <w:sz w:val="22"/>
          <w:szCs w:val="22"/>
        </w:rPr>
        <w:t xml:space="preserve"> needed</w:t>
      </w:r>
      <w:r w:rsidRPr="00A46EF7">
        <w:rPr>
          <w:sz w:val="22"/>
          <w:szCs w:val="22"/>
        </w:rPr>
        <w:t xml:space="preserve"> to stay below the clearing threshold would be significantly lower in 2021. Due to the non-equivalence of UK exchanges – which are among the most liquid commodity exchanges worldwide – all trades there fall under future clearing thresholds. Eliminating UK trades from the analysed data (para. 31) does not enhance the comparability with future results (as claimed by ESMA) – instead these trading volumes should have been allocated to uncleared OTC trades (as they would be treated under current regulation). This would have brought NFCs closer or even above the clearing threshold.</w:t>
      </w:r>
    </w:p>
    <w:p w14:paraId="282E5A58" w14:textId="58127A5E" w:rsidR="00976AF9" w:rsidRPr="00A46EF7" w:rsidRDefault="00976AF9" w:rsidP="00976AF9">
      <w:pPr>
        <w:spacing w:before="120" w:after="120"/>
        <w:jc w:val="both"/>
        <w:rPr>
          <w:sz w:val="22"/>
          <w:szCs w:val="22"/>
        </w:rPr>
      </w:pPr>
      <w:r w:rsidRPr="00A46EF7">
        <w:rPr>
          <w:sz w:val="22"/>
          <w:szCs w:val="22"/>
        </w:rPr>
        <w:t>If ESMA wants to analyse the impact of higher clearing thresholds, it needs to consider the effects of clearing thresholds on trading behaviour. For example, this could be captured in a like-for-like comparison with NFCs in other jurisdictions with higher thresholds (</w:t>
      </w:r>
      <w:r w:rsidR="008A7BE3" w:rsidRPr="00A46EF7">
        <w:rPr>
          <w:sz w:val="22"/>
          <w:szCs w:val="22"/>
        </w:rPr>
        <w:t>for example,</w:t>
      </w:r>
      <w:r w:rsidRPr="00A46EF7">
        <w:rPr>
          <w:sz w:val="22"/>
          <w:szCs w:val="22"/>
        </w:rPr>
        <w:t xml:space="preserve"> the US, Singapore</w:t>
      </w:r>
      <w:r w:rsidR="008A7BE3" w:rsidRPr="00A46EF7">
        <w:rPr>
          <w:sz w:val="22"/>
          <w:szCs w:val="22"/>
        </w:rPr>
        <w:t xml:space="preserve"> and </w:t>
      </w:r>
      <w:r w:rsidRPr="00A46EF7">
        <w:rPr>
          <w:sz w:val="22"/>
          <w:szCs w:val="22"/>
        </w:rPr>
        <w:t>Australia).</w:t>
      </w:r>
    </w:p>
    <w:p w14:paraId="4F3C8DB9" w14:textId="77777777" w:rsidR="00976AF9" w:rsidRPr="00A46EF7" w:rsidRDefault="00976AF9" w:rsidP="00976AF9">
      <w:pPr>
        <w:pStyle w:val="ListParagraph"/>
      </w:pPr>
    </w:p>
    <w:permEnd w:id="507131457"/>
    <w:p w14:paraId="7DD8F656" w14:textId="77777777" w:rsidR="00646C30" w:rsidRDefault="00646C30" w:rsidP="00646C30"/>
    <w:p w14:paraId="6598F221" w14:textId="0F233E4E" w:rsidR="00646C30" w:rsidRPr="004648DA" w:rsidRDefault="00646C30" w:rsidP="00646C30">
      <w:pPr>
        <w:rPr>
          <w:lang w:val="es-ES"/>
        </w:rPr>
      </w:pPr>
      <w:r w:rsidRPr="004648DA">
        <w:rPr>
          <w:lang w:val="es-ES"/>
        </w:rPr>
        <w:t>&lt;ESMA_QUESTION_</w:t>
      </w:r>
      <w:r w:rsidR="004648DA" w:rsidRPr="004648DA">
        <w:rPr>
          <w:lang w:val="es-ES"/>
        </w:rPr>
        <w:t>DP_EMIR_CTs</w:t>
      </w:r>
      <w:r w:rsidR="00F107EF" w:rsidRPr="004648DA">
        <w:rPr>
          <w:lang w:val="es-ES"/>
        </w:rPr>
        <w:t>_</w:t>
      </w:r>
      <w:r w:rsidRPr="004648DA">
        <w:rPr>
          <w:lang w:val="es-ES"/>
        </w:rPr>
        <w:t>1</w:t>
      </w:r>
      <w:r w:rsidR="002F1683" w:rsidRPr="004648DA">
        <w:rPr>
          <w:lang w:val="es-ES"/>
        </w:rPr>
        <w:t>3</w:t>
      </w:r>
      <w:r w:rsidRPr="004648DA">
        <w:rPr>
          <w:lang w:val="es-ES"/>
        </w:rPr>
        <w:t>&gt;</w:t>
      </w:r>
    </w:p>
    <w:p w14:paraId="378DCD0E" w14:textId="77777777" w:rsidR="002868FC" w:rsidRPr="004648DA" w:rsidRDefault="002868FC" w:rsidP="002E1760">
      <w:pPr>
        <w:rPr>
          <w:lang w:val="es-ES"/>
        </w:rPr>
      </w:pPr>
    </w:p>
    <w:p w14:paraId="3FC13B15" w14:textId="77777777" w:rsidR="00646C30" w:rsidRPr="004648DA" w:rsidRDefault="00646C30" w:rsidP="002E1760">
      <w:pPr>
        <w:rPr>
          <w:lang w:val="es-ES"/>
        </w:rPr>
      </w:pPr>
    </w:p>
    <w:sectPr w:rsidR="00646C30" w:rsidRPr="004648DA" w:rsidSect="00A8728B">
      <w:headerReference w:type="even" r:id="rId36"/>
      <w:headerReference w:type="first" r:id="rId37"/>
      <w:footerReference w:type="first" r:id="rId38"/>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29A5C" w14:textId="77777777" w:rsidR="00ED5250" w:rsidRDefault="00ED5250">
      <w:r>
        <w:separator/>
      </w:r>
    </w:p>
    <w:p w14:paraId="5C588F31" w14:textId="77777777" w:rsidR="00ED5250" w:rsidRDefault="00ED5250"/>
  </w:endnote>
  <w:endnote w:type="continuationSeparator" w:id="0">
    <w:p w14:paraId="0549B457" w14:textId="77777777" w:rsidR="00ED5250" w:rsidRDefault="00ED5250">
      <w:r>
        <w:continuationSeparator/>
      </w:r>
    </w:p>
    <w:p w14:paraId="77981D7B" w14:textId="77777777" w:rsidR="00ED5250" w:rsidRDefault="00ED5250"/>
  </w:endnote>
  <w:endnote w:type="continuationNotice" w:id="1">
    <w:p w14:paraId="772A2CC2" w14:textId="77777777" w:rsidR="00ED5250" w:rsidRDefault="00ED52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00"/>
    <w:family w:val="swiss"/>
    <w:pitch w:val="variable"/>
    <w:sig w:usb0="E1000AEF"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6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52963" w14:textId="77777777" w:rsidR="00000308" w:rsidRDefault="000003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6C452B" w:rsidRPr="00616B9B" w14:paraId="2156CD92" w14:textId="77777777" w:rsidTr="00315E96">
      <w:trPr>
        <w:trHeight w:val="284"/>
      </w:trPr>
      <w:tc>
        <w:tcPr>
          <w:tcW w:w="8460" w:type="dxa"/>
        </w:tcPr>
        <w:p w14:paraId="7EF54571" w14:textId="77777777" w:rsidR="006C452B" w:rsidRPr="00315E96" w:rsidRDefault="006C452B" w:rsidP="00315E96">
          <w:pPr>
            <w:pStyle w:val="00Footer"/>
            <w:rPr>
              <w:lang w:val="fr-FR"/>
            </w:rPr>
          </w:pPr>
        </w:p>
      </w:tc>
      <w:tc>
        <w:tcPr>
          <w:tcW w:w="952" w:type="dxa"/>
        </w:tcPr>
        <w:p w14:paraId="2275EECC" w14:textId="77777777" w:rsidR="006C452B" w:rsidRPr="00616B9B" w:rsidRDefault="006C452B"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1A191C21" w14:textId="77777777" w:rsidR="006C452B" w:rsidRDefault="006C45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C807E" w14:textId="77777777" w:rsidR="006C452B" w:rsidRDefault="006C452B" w:rsidP="00B61CD3">
    <w:pPr>
      <w:pStyle w:val="Footer"/>
      <w:tabs>
        <w:tab w:val="clear" w:pos="4536"/>
        <w:tab w:val="clear" w:pos="9072"/>
        <w:tab w:val="left" w:pos="8227"/>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2C49E" w14:textId="77777777" w:rsidR="006C452B" w:rsidRDefault="006C4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8309B" w14:textId="77777777" w:rsidR="00ED5250" w:rsidRDefault="00ED5250">
      <w:r>
        <w:separator/>
      </w:r>
    </w:p>
    <w:p w14:paraId="0B4D71F2" w14:textId="77777777" w:rsidR="00ED5250" w:rsidRDefault="00ED5250"/>
  </w:footnote>
  <w:footnote w:type="continuationSeparator" w:id="0">
    <w:p w14:paraId="19C4D948" w14:textId="77777777" w:rsidR="00ED5250" w:rsidRDefault="00ED5250">
      <w:r>
        <w:continuationSeparator/>
      </w:r>
    </w:p>
    <w:p w14:paraId="2FD05F12" w14:textId="77777777" w:rsidR="00ED5250" w:rsidRDefault="00ED5250"/>
  </w:footnote>
  <w:footnote w:type="continuationNotice" w:id="1">
    <w:p w14:paraId="7FEDB1EA" w14:textId="77777777" w:rsidR="00ED5250" w:rsidRDefault="00ED5250"/>
  </w:footnote>
  <w:footnote w:id="2">
    <w:p w14:paraId="4112EBFE" w14:textId="77777777" w:rsidR="006C452B" w:rsidRPr="000B7BE8" w:rsidRDefault="006C452B" w:rsidP="000A13DF">
      <w:pPr>
        <w:pStyle w:val="FootnoteText"/>
        <w:rPr>
          <w:lang w:val="en-US"/>
        </w:rPr>
      </w:pPr>
      <w:r>
        <w:rPr>
          <w:rStyle w:val="FootnoteReference"/>
        </w:rPr>
        <w:footnoteRef/>
      </w:r>
      <w:r w:rsidRPr="000B7BE8">
        <w:rPr>
          <w:lang w:val="en-US"/>
        </w:rPr>
        <w:t xml:space="preserve"> F</w:t>
      </w:r>
      <w:r>
        <w:rPr>
          <w:lang w:val="en-US"/>
        </w:rPr>
        <w:t>or further information on the development of NBP and TTF:</w:t>
      </w:r>
      <w:r w:rsidRPr="00424321">
        <w:rPr>
          <w:lang w:val="en-US"/>
        </w:rPr>
        <w:t xml:space="preserve"> </w:t>
      </w:r>
      <w:hyperlink r:id="rId1" w:history="1">
        <w:r w:rsidRPr="003B01FD">
          <w:rPr>
            <w:rStyle w:val="Hyperlink"/>
            <w:lang w:val="en-US"/>
          </w:rPr>
          <w:t>https://www.oxfordenergy.org/wpcms/wp-content/uploads/2020/05/European-Traded-gas-hubs-the-supremacy-of-TTF.pdf</w:t>
        </w:r>
      </w:hyperlink>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3C34F" w14:textId="77777777" w:rsidR="00000308" w:rsidRDefault="000003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BAFB" w14:textId="77777777" w:rsidR="006C452B" w:rsidRDefault="006C452B">
    <w:pPr>
      <w:pStyle w:val="Header"/>
    </w:pPr>
    <w:r>
      <w:rPr>
        <w:noProof/>
        <w:lang w:eastAsia="en-GB"/>
      </w:rPr>
      <w:drawing>
        <wp:anchor distT="0" distB="0" distL="114300" distR="114300" simplePos="0" relativeHeight="251658240" behindDoc="0" locked="0" layoutInCell="1" allowOverlap="1" wp14:anchorId="4A0C2F0A" wp14:editId="507575C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45339F98" wp14:editId="687E575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49205"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94631" w14:textId="77777777" w:rsidR="006C452B" w:rsidRDefault="006C452B" w:rsidP="00013CCE">
    <w:pPr>
      <w:pStyle w:val="Header"/>
      <w:jc w:val="right"/>
    </w:pPr>
    <w:r>
      <w:rPr>
        <w:noProof/>
        <w:lang w:eastAsia="en-GB"/>
      </w:rPr>
      <w:drawing>
        <wp:anchor distT="0" distB="0" distL="114300" distR="114300" simplePos="0" relativeHeight="251657216" behindDoc="0" locked="0" layoutInCell="1" allowOverlap="1" wp14:anchorId="51E8BB1B" wp14:editId="685EDE3C">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1A80A56D" wp14:editId="54570337">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96225" w14:textId="77777777" w:rsidR="006C452B" w:rsidRDefault="006C452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6C452B" w:rsidRPr="002F4496" w14:paraId="124FAE55" w14:textId="77777777" w:rsidTr="000C06C9">
      <w:trPr>
        <w:trHeight w:val="284"/>
      </w:trPr>
      <w:tc>
        <w:tcPr>
          <w:tcW w:w="8460" w:type="dxa"/>
        </w:tcPr>
        <w:p w14:paraId="3F7B8663" w14:textId="77777777" w:rsidR="006C452B" w:rsidRPr="000C3B6D" w:rsidRDefault="006C452B" w:rsidP="000C06C9">
          <w:pPr>
            <w:pStyle w:val="00Footer"/>
            <w:rPr>
              <w:lang w:val="fr-FR"/>
            </w:rPr>
          </w:pPr>
        </w:p>
      </w:tc>
      <w:tc>
        <w:tcPr>
          <w:tcW w:w="952" w:type="dxa"/>
        </w:tcPr>
        <w:p w14:paraId="00DF51BF" w14:textId="77777777" w:rsidR="006C452B" w:rsidRPr="00146B34" w:rsidRDefault="006C452B" w:rsidP="000C06C9">
          <w:pPr>
            <w:pStyle w:val="00aPagenumber"/>
            <w:rPr>
              <w:lang w:val="fr-FR"/>
            </w:rPr>
          </w:pPr>
        </w:p>
      </w:tc>
    </w:tr>
  </w:tbl>
  <w:p w14:paraId="15DFB139" w14:textId="77777777" w:rsidR="006C452B" w:rsidRPr="00DB46C3" w:rsidRDefault="006C452B">
    <w:pPr>
      <w:rPr>
        <w:lang w:val="fr-FR"/>
      </w:rPr>
    </w:pPr>
  </w:p>
  <w:p w14:paraId="419E9B7B" w14:textId="77777777" w:rsidR="006C452B" w:rsidRPr="002F4496" w:rsidRDefault="006C452B">
    <w:pPr>
      <w:pStyle w:val="Header"/>
      <w:rPr>
        <w:lang w:val="fr-FR"/>
      </w:rPr>
    </w:pPr>
  </w:p>
  <w:p w14:paraId="7CBF8F9D" w14:textId="77777777" w:rsidR="006C452B" w:rsidRPr="002F4496" w:rsidRDefault="006C452B" w:rsidP="000C06C9">
    <w:pPr>
      <w:pStyle w:val="Header"/>
      <w:tabs>
        <w:tab w:val="clear" w:pos="4536"/>
        <w:tab w:val="clear" w:pos="9072"/>
        <w:tab w:val="left" w:pos="8227"/>
      </w:tabs>
      <w:rPr>
        <w:lang w:val="fr-FR"/>
      </w:rPr>
    </w:pPr>
  </w:p>
  <w:p w14:paraId="5BF57EF5" w14:textId="77777777" w:rsidR="006C452B" w:rsidRPr="002F4496" w:rsidRDefault="006C452B" w:rsidP="00583885">
    <w:pPr>
      <w:pStyle w:val="Header"/>
      <w:jc w:val="right"/>
      <w:rPr>
        <w:lang w:val="fr-FR"/>
      </w:rPr>
    </w:pPr>
  </w:p>
  <w:p w14:paraId="74145FD5" w14:textId="77777777" w:rsidR="006C452B" w:rsidRPr="002F4496" w:rsidRDefault="006C452B">
    <w:pPr>
      <w:pStyle w:val="Header"/>
      <w:rPr>
        <w:lang w:val="fr-FR"/>
      </w:rPr>
    </w:pPr>
  </w:p>
  <w:p w14:paraId="4CAD5E9F" w14:textId="77777777" w:rsidR="006C452B" w:rsidRPr="002F4496" w:rsidRDefault="006C452B">
    <w:pPr>
      <w:pStyle w:val="Header"/>
      <w:rPr>
        <w:lang w:val="fr-FR"/>
      </w:rPr>
    </w:pPr>
  </w:p>
  <w:p w14:paraId="3213D780" w14:textId="77777777" w:rsidR="006C452B" w:rsidRPr="002F4496" w:rsidRDefault="006C452B">
    <w:pPr>
      <w:pStyle w:val="Header"/>
      <w:rPr>
        <w:lang w:val="fr-FR"/>
      </w:rPr>
    </w:pPr>
  </w:p>
  <w:p w14:paraId="3E3F05E5" w14:textId="77777777" w:rsidR="006C452B" w:rsidRPr="002F4496" w:rsidRDefault="006C452B">
    <w:pPr>
      <w:pStyle w:val="Header"/>
      <w:rPr>
        <w:highlight w:val="yellow"/>
        <w:lang w:val="fr-FR"/>
      </w:rPr>
    </w:pPr>
  </w:p>
  <w:p w14:paraId="12D1E51B" w14:textId="77777777" w:rsidR="006C452B" w:rsidRDefault="006C452B">
    <w:pPr>
      <w:pStyle w:val="Header"/>
    </w:pPr>
    <w:r>
      <w:rPr>
        <w:noProof/>
        <w:lang w:eastAsia="en-GB"/>
      </w:rPr>
      <mc:AlternateContent>
        <mc:Choice Requires="wps">
          <w:drawing>
            <wp:anchor distT="0" distB="0" distL="114299" distR="114299" simplePos="0" relativeHeight="251660288" behindDoc="0" locked="0" layoutInCell="1" allowOverlap="1" wp14:anchorId="29232CCC" wp14:editId="457A6374">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09A1A"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03462EB6" wp14:editId="367AC03A">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D55A0C"/>
    <w:multiLevelType w:val="hybridMultilevel"/>
    <w:tmpl w:val="B574D3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A97BE0"/>
    <w:multiLevelType w:val="hybridMultilevel"/>
    <w:tmpl w:val="3CA29E8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08C109AF"/>
    <w:multiLevelType w:val="hybridMultilevel"/>
    <w:tmpl w:val="524201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A435C6D"/>
    <w:multiLevelType w:val="hybridMultilevel"/>
    <w:tmpl w:val="961AFD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440E5D"/>
    <w:multiLevelType w:val="hybridMultilevel"/>
    <w:tmpl w:val="D9D456A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C91698"/>
    <w:multiLevelType w:val="hybridMultilevel"/>
    <w:tmpl w:val="F70AE9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B512028"/>
    <w:multiLevelType w:val="hybridMultilevel"/>
    <w:tmpl w:val="8714A82E"/>
    <w:lvl w:ilvl="0" w:tplc="747C4F06">
      <w:start w:val="1"/>
      <w:numFmt w:val="lowerLetter"/>
      <w:lvlText w:val="%1)"/>
      <w:lvlJc w:val="left"/>
      <w:pPr>
        <w:ind w:left="360" w:hanging="360"/>
      </w:pPr>
      <w:rPr>
        <w:rFonts w:asciiTheme="minorHAnsi" w:eastAsia="Calibri" w:hAnsiTheme="minorHAnsi" w:cstheme="minorHAnsi"/>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11"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1CF354A"/>
    <w:multiLevelType w:val="hybridMultilevel"/>
    <w:tmpl w:val="73529E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25B37A9"/>
    <w:multiLevelType w:val="hybridMultilevel"/>
    <w:tmpl w:val="21F2CB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26763318"/>
    <w:multiLevelType w:val="hybridMultilevel"/>
    <w:tmpl w:val="C2C812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15:restartNumberingAfterBreak="0">
    <w:nsid w:val="2EDB3634"/>
    <w:multiLevelType w:val="hybridMultilevel"/>
    <w:tmpl w:val="4FA8520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32A17CC7"/>
    <w:multiLevelType w:val="hybridMultilevel"/>
    <w:tmpl w:val="656A3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57C1E48"/>
    <w:multiLevelType w:val="hybridMultilevel"/>
    <w:tmpl w:val="ED521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0462EC"/>
    <w:multiLevelType w:val="hybridMultilevel"/>
    <w:tmpl w:val="6F4A06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26"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30" w15:restartNumberingAfterBreak="0">
    <w:nsid w:val="3D1920CB"/>
    <w:multiLevelType w:val="hybridMultilevel"/>
    <w:tmpl w:val="6FCC40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3F1F3E90"/>
    <w:multiLevelType w:val="hybridMultilevel"/>
    <w:tmpl w:val="CA4AEBF2"/>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3FF97D57"/>
    <w:multiLevelType w:val="hybridMultilevel"/>
    <w:tmpl w:val="4AB68EB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41521A77"/>
    <w:multiLevelType w:val="hybridMultilevel"/>
    <w:tmpl w:val="7C50995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35"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6"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8"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4E085AC3"/>
    <w:multiLevelType w:val="hybridMultilevel"/>
    <w:tmpl w:val="88466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42" w15:restartNumberingAfterBreak="0">
    <w:nsid w:val="550F795E"/>
    <w:multiLevelType w:val="hybridMultilevel"/>
    <w:tmpl w:val="AEB62B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45" w15:restartNumberingAfterBreak="0">
    <w:nsid w:val="585E4CCD"/>
    <w:multiLevelType w:val="hybridMultilevel"/>
    <w:tmpl w:val="45AC43E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9"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51" w15:restartNumberingAfterBreak="0">
    <w:nsid w:val="64321098"/>
    <w:multiLevelType w:val="hybridMultilevel"/>
    <w:tmpl w:val="849CBEB0"/>
    <w:lvl w:ilvl="0" w:tplc="48569EC8">
      <w:start w:val="1"/>
      <w:numFmt w:val="decimal"/>
      <w:pStyle w:val="PAIAContinuousNumbering"/>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83214C3"/>
    <w:multiLevelType w:val="hybridMultilevel"/>
    <w:tmpl w:val="778E19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5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8" w15:restartNumberingAfterBreak="0">
    <w:nsid w:val="73E02D76"/>
    <w:multiLevelType w:val="hybridMultilevel"/>
    <w:tmpl w:val="C432331C"/>
    <w:lvl w:ilvl="0" w:tplc="DD6AB8A4">
      <w:start w:val="1"/>
      <w:numFmt w:val="bullet"/>
      <w:pStyle w:val="BulletedList"/>
      <w:lvlText w:val=""/>
      <w:lvlJc w:val="left"/>
      <w:pPr>
        <w:ind w:left="1437" w:hanging="720"/>
      </w:pPr>
      <w:rPr>
        <w:rFonts w:ascii="Symbol" w:hAnsi="Symbol" w:hint="default"/>
      </w:rPr>
    </w:lvl>
    <w:lvl w:ilvl="1" w:tplc="211C884C">
      <w:start w:val="1"/>
      <w:numFmt w:val="bullet"/>
      <w:lvlText w:val="o"/>
      <w:lvlJc w:val="left"/>
      <w:pPr>
        <w:ind w:left="2157" w:hanging="360"/>
      </w:pPr>
      <w:rPr>
        <w:rFonts w:ascii="Courier New" w:hAnsi="Courier New" w:cs="Courier New" w:hint="default"/>
        <w:color w:val="auto"/>
      </w:rPr>
    </w:lvl>
    <w:lvl w:ilvl="2" w:tplc="04090005">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5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6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61" w15:restartNumberingAfterBreak="0">
    <w:nsid w:val="7E9E59D0"/>
    <w:multiLevelType w:val="hybridMultilevel"/>
    <w:tmpl w:val="67F6B4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8"/>
  </w:num>
  <w:num w:numId="2">
    <w:abstractNumId w:val="34"/>
  </w:num>
  <w:num w:numId="3">
    <w:abstractNumId w:val="23"/>
  </w:num>
  <w:num w:numId="4">
    <w:abstractNumId w:val="40"/>
  </w:num>
  <w:num w:numId="5">
    <w:abstractNumId w:val="43"/>
  </w:num>
  <w:num w:numId="6">
    <w:abstractNumId w:val="0"/>
  </w:num>
  <w:num w:numId="7">
    <w:abstractNumId w:val="10"/>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0"/>
  </w:num>
  <w:num w:numId="1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num>
  <w:num w:numId="13">
    <w:abstractNumId w:val="49"/>
  </w:num>
  <w:num w:numId="14">
    <w:abstractNumId w:val="38"/>
  </w:num>
  <w:num w:numId="15">
    <w:abstractNumId w:val="19"/>
  </w:num>
  <w:num w:numId="16">
    <w:abstractNumId w:val="1"/>
  </w:num>
  <w:num w:numId="17">
    <w:abstractNumId w:val="26"/>
  </w:num>
  <w:num w:numId="18">
    <w:abstractNumId w:val="27"/>
  </w:num>
  <w:num w:numId="19">
    <w:abstractNumId w:val="29"/>
  </w:num>
  <w:num w:numId="20">
    <w:abstractNumId w:val="44"/>
  </w:num>
  <w:num w:numId="21">
    <w:abstractNumId w:val="57"/>
  </w:num>
  <w:num w:numId="22">
    <w:abstractNumId w:val="41"/>
  </w:num>
  <w:num w:numId="23">
    <w:abstractNumId w:val="18"/>
  </w:num>
  <w:num w:numId="24">
    <w:abstractNumId w:val="48"/>
  </w:num>
  <w:num w:numId="25">
    <w:abstractNumId w:val="47"/>
  </w:num>
  <w:num w:numId="26">
    <w:abstractNumId w:val="35"/>
  </w:num>
  <w:num w:numId="27">
    <w:abstractNumId w:val="53"/>
  </w:num>
  <w:num w:numId="28">
    <w:abstractNumId w:val="60"/>
  </w:num>
  <w:num w:numId="29">
    <w:abstractNumId w:val="15"/>
  </w:num>
  <w:num w:numId="30">
    <w:abstractNumId w:val="7"/>
  </w:num>
  <w:num w:numId="31">
    <w:abstractNumId w:val="37"/>
  </w:num>
  <w:num w:numId="32">
    <w:abstractNumId w:val="36"/>
  </w:num>
  <w:num w:numId="33">
    <w:abstractNumId w:val="55"/>
  </w:num>
  <w:num w:numId="34">
    <w:abstractNumId w:val="54"/>
  </w:num>
  <w:num w:numId="35">
    <w:abstractNumId w:val="11"/>
  </w:num>
  <w:num w:numId="36">
    <w:abstractNumId w:val="56"/>
  </w:num>
  <w:num w:numId="37">
    <w:abstractNumId w:val="21"/>
  </w:num>
  <w:num w:numId="38">
    <w:abstractNumId w:val="5"/>
  </w:num>
  <w:num w:numId="39">
    <w:abstractNumId w:val="52"/>
  </w:num>
  <w:num w:numId="40">
    <w:abstractNumId w:val="20"/>
  </w:num>
  <w:num w:numId="41">
    <w:abstractNumId w:val="13"/>
  </w:num>
  <w:num w:numId="42">
    <w:abstractNumId w:val="61"/>
  </w:num>
  <w:num w:numId="43">
    <w:abstractNumId w:val="9"/>
  </w:num>
  <w:num w:numId="44">
    <w:abstractNumId w:val="30"/>
  </w:num>
  <w:num w:numId="45">
    <w:abstractNumId w:val="31"/>
  </w:num>
  <w:num w:numId="46">
    <w:abstractNumId w:val="3"/>
  </w:num>
  <w:num w:numId="47">
    <w:abstractNumId w:val="45"/>
  </w:num>
  <w:num w:numId="48">
    <w:abstractNumId w:val="6"/>
  </w:num>
  <w:num w:numId="49">
    <w:abstractNumId w:val="33"/>
  </w:num>
  <w:num w:numId="50">
    <w:abstractNumId w:val="4"/>
  </w:num>
  <w:num w:numId="51">
    <w:abstractNumId w:val="8"/>
  </w:num>
  <w:num w:numId="52">
    <w:abstractNumId w:val="58"/>
  </w:num>
  <w:num w:numId="53">
    <w:abstractNumId w:val="51"/>
  </w:num>
  <w:num w:numId="54">
    <w:abstractNumId w:val="17"/>
  </w:num>
  <w:num w:numId="55">
    <w:abstractNumId w:val="42"/>
  </w:num>
  <w:num w:numId="56">
    <w:abstractNumId w:val="32"/>
  </w:num>
  <w:num w:numId="57">
    <w:abstractNumId w:val="24"/>
  </w:num>
  <w:num w:numId="58">
    <w:abstractNumId w:val="39"/>
  </w:num>
  <w:num w:numId="59">
    <w:abstractNumId w:val="2"/>
  </w:num>
  <w:num w:numId="60">
    <w:abstractNumId w:val="14"/>
  </w:num>
  <w:num w:numId="61">
    <w:abstractNumId w:val="2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paA8q7oc5iK+hjxM5j4YuFtAgUHmYZp93wJym7jn0Dr5tP6YbraqZC+l3OygXVZ9T9wSuOEa7XLn1gz3wmX42w==" w:salt="WZRSxJUKWYNPhHhTEZiS4A=="/>
  <w:defaultTabStop w:val="709"/>
  <w:autoHyphenation/>
  <w:hyphenationZone w:val="567"/>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308"/>
    <w:rsid w:val="000006AD"/>
    <w:rsid w:val="00001490"/>
    <w:rsid w:val="00001584"/>
    <w:rsid w:val="00002232"/>
    <w:rsid w:val="00002491"/>
    <w:rsid w:val="0000378E"/>
    <w:rsid w:val="00003AEB"/>
    <w:rsid w:val="000049D8"/>
    <w:rsid w:val="00005BBA"/>
    <w:rsid w:val="00005D8C"/>
    <w:rsid w:val="00006C2B"/>
    <w:rsid w:val="00007014"/>
    <w:rsid w:val="00007968"/>
    <w:rsid w:val="0001067A"/>
    <w:rsid w:val="0001295C"/>
    <w:rsid w:val="00012BE1"/>
    <w:rsid w:val="00012E94"/>
    <w:rsid w:val="00013CCE"/>
    <w:rsid w:val="000140D5"/>
    <w:rsid w:val="0001410B"/>
    <w:rsid w:val="000141D6"/>
    <w:rsid w:val="00014A68"/>
    <w:rsid w:val="00014A95"/>
    <w:rsid w:val="00015B5E"/>
    <w:rsid w:val="00015F1D"/>
    <w:rsid w:val="0001659F"/>
    <w:rsid w:val="00016750"/>
    <w:rsid w:val="0001774B"/>
    <w:rsid w:val="00020230"/>
    <w:rsid w:val="00020D0F"/>
    <w:rsid w:val="000215EB"/>
    <w:rsid w:val="00021E83"/>
    <w:rsid w:val="00023713"/>
    <w:rsid w:val="00023C4D"/>
    <w:rsid w:val="0002460C"/>
    <w:rsid w:val="00025E71"/>
    <w:rsid w:val="00026226"/>
    <w:rsid w:val="00026269"/>
    <w:rsid w:val="000262C5"/>
    <w:rsid w:val="0002664E"/>
    <w:rsid w:val="00027154"/>
    <w:rsid w:val="00027A85"/>
    <w:rsid w:val="00027BA9"/>
    <w:rsid w:val="00027ECF"/>
    <w:rsid w:val="000303BE"/>
    <w:rsid w:val="00030ABB"/>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19E9"/>
    <w:rsid w:val="000621DE"/>
    <w:rsid w:val="00062293"/>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84B"/>
    <w:rsid w:val="00074979"/>
    <w:rsid w:val="000749F0"/>
    <w:rsid w:val="0007579D"/>
    <w:rsid w:val="0007609D"/>
    <w:rsid w:val="00077C67"/>
    <w:rsid w:val="00077DF2"/>
    <w:rsid w:val="00080976"/>
    <w:rsid w:val="00080EAB"/>
    <w:rsid w:val="00081CEB"/>
    <w:rsid w:val="00081E60"/>
    <w:rsid w:val="00082842"/>
    <w:rsid w:val="00082D8E"/>
    <w:rsid w:val="00082E31"/>
    <w:rsid w:val="00082FDA"/>
    <w:rsid w:val="00083AA3"/>
    <w:rsid w:val="00085947"/>
    <w:rsid w:val="000868FE"/>
    <w:rsid w:val="0008760B"/>
    <w:rsid w:val="000878D1"/>
    <w:rsid w:val="00087FC6"/>
    <w:rsid w:val="00091A3E"/>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0E55"/>
    <w:rsid w:val="000A13DF"/>
    <w:rsid w:val="000A1BD2"/>
    <w:rsid w:val="000A2127"/>
    <w:rsid w:val="000A24CC"/>
    <w:rsid w:val="000A358F"/>
    <w:rsid w:val="000A3D45"/>
    <w:rsid w:val="000A43CC"/>
    <w:rsid w:val="000A7314"/>
    <w:rsid w:val="000A7B53"/>
    <w:rsid w:val="000A7B64"/>
    <w:rsid w:val="000B005F"/>
    <w:rsid w:val="000B2674"/>
    <w:rsid w:val="000B275C"/>
    <w:rsid w:val="000B2C3D"/>
    <w:rsid w:val="000B55C0"/>
    <w:rsid w:val="000B5DF2"/>
    <w:rsid w:val="000C06C9"/>
    <w:rsid w:val="000C1DCC"/>
    <w:rsid w:val="000C1FBC"/>
    <w:rsid w:val="000C263C"/>
    <w:rsid w:val="000C2B6A"/>
    <w:rsid w:val="000C2F88"/>
    <w:rsid w:val="000C55C8"/>
    <w:rsid w:val="000C57C4"/>
    <w:rsid w:val="000C5FD3"/>
    <w:rsid w:val="000C701D"/>
    <w:rsid w:val="000C7C4A"/>
    <w:rsid w:val="000D17AA"/>
    <w:rsid w:val="000D28E3"/>
    <w:rsid w:val="000D2D0B"/>
    <w:rsid w:val="000D4660"/>
    <w:rsid w:val="000D6614"/>
    <w:rsid w:val="000D705D"/>
    <w:rsid w:val="000D71F1"/>
    <w:rsid w:val="000D7EB9"/>
    <w:rsid w:val="000E0223"/>
    <w:rsid w:val="000E0CF3"/>
    <w:rsid w:val="000E18A8"/>
    <w:rsid w:val="000E1AEC"/>
    <w:rsid w:val="000E3937"/>
    <w:rsid w:val="000E4926"/>
    <w:rsid w:val="000E49B7"/>
    <w:rsid w:val="000E5F7F"/>
    <w:rsid w:val="000E6177"/>
    <w:rsid w:val="000E6508"/>
    <w:rsid w:val="000E7086"/>
    <w:rsid w:val="000E7C65"/>
    <w:rsid w:val="000F04D2"/>
    <w:rsid w:val="000F32E6"/>
    <w:rsid w:val="000F55B7"/>
    <w:rsid w:val="000F604F"/>
    <w:rsid w:val="000F6233"/>
    <w:rsid w:val="000F7399"/>
    <w:rsid w:val="00100497"/>
    <w:rsid w:val="00101BF1"/>
    <w:rsid w:val="001027F1"/>
    <w:rsid w:val="00102808"/>
    <w:rsid w:val="00104F2E"/>
    <w:rsid w:val="001072DD"/>
    <w:rsid w:val="00110D7A"/>
    <w:rsid w:val="00111464"/>
    <w:rsid w:val="0011167D"/>
    <w:rsid w:val="00111E36"/>
    <w:rsid w:val="00112892"/>
    <w:rsid w:val="00112E48"/>
    <w:rsid w:val="001130EA"/>
    <w:rsid w:val="0011324D"/>
    <w:rsid w:val="001138E8"/>
    <w:rsid w:val="00114259"/>
    <w:rsid w:val="00114ACC"/>
    <w:rsid w:val="001164F7"/>
    <w:rsid w:val="001168B2"/>
    <w:rsid w:val="00117C20"/>
    <w:rsid w:val="00120F0E"/>
    <w:rsid w:val="00121A5D"/>
    <w:rsid w:val="00121BED"/>
    <w:rsid w:val="00122F9C"/>
    <w:rsid w:val="00123199"/>
    <w:rsid w:val="00123D39"/>
    <w:rsid w:val="001244CD"/>
    <w:rsid w:val="0012566F"/>
    <w:rsid w:val="001262B1"/>
    <w:rsid w:val="00126B2A"/>
    <w:rsid w:val="00130F41"/>
    <w:rsid w:val="00130FAF"/>
    <w:rsid w:val="00131487"/>
    <w:rsid w:val="00131985"/>
    <w:rsid w:val="0013217B"/>
    <w:rsid w:val="00135F2B"/>
    <w:rsid w:val="00136A35"/>
    <w:rsid w:val="001372DD"/>
    <w:rsid w:val="0014051D"/>
    <w:rsid w:val="001405BA"/>
    <w:rsid w:val="00141497"/>
    <w:rsid w:val="0014253A"/>
    <w:rsid w:val="001425C8"/>
    <w:rsid w:val="001431AE"/>
    <w:rsid w:val="00143B87"/>
    <w:rsid w:val="001459E3"/>
    <w:rsid w:val="00146962"/>
    <w:rsid w:val="00146A0B"/>
    <w:rsid w:val="00146F38"/>
    <w:rsid w:val="0014761E"/>
    <w:rsid w:val="00151907"/>
    <w:rsid w:val="00152D0A"/>
    <w:rsid w:val="001544C8"/>
    <w:rsid w:val="00155FAB"/>
    <w:rsid w:val="0015663C"/>
    <w:rsid w:val="001567A1"/>
    <w:rsid w:val="00156857"/>
    <w:rsid w:val="00157E79"/>
    <w:rsid w:val="00157EED"/>
    <w:rsid w:val="0016087A"/>
    <w:rsid w:val="0016098D"/>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90D"/>
    <w:rsid w:val="00173AC7"/>
    <w:rsid w:val="001745D7"/>
    <w:rsid w:val="00175754"/>
    <w:rsid w:val="00176982"/>
    <w:rsid w:val="0017701C"/>
    <w:rsid w:val="001779DA"/>
    <w:rsid w:val="00181264"/>
    <w:rsid w:val="00181BD1"/>
    <w:rsid w:val="0018204A"/>
    <w:rsid w:val="00182F7C"/>
    <w:rsid w:val="001831C0"/>
    <w:rsid w:val="00183253"/>
    <w:rsid w:val="001843B5"/>
    <w:rsid w:val="00186829"/>
    <w:rsid w:val="001868CA"/>
    <w:rsid w:val="00187304"/>
    <w:rsid w:val="001875BE"/>
    <w:rsid w:val="0019017A"/>
    <w:rsid w:val="00190B8C"/>
    <w:rsid w:val="00190FF8"/>
    <w:rsid w:val="00191E1D"/>
    <w:rsid w:val="0019311A"/>
    <w:rsid w:val="0019508A"/>
    <w:rsid w:val="001960D8"/>
    <w:rsid w:val="0019686D"/>
    <w:rsid w:val="001A1642"/>
    <w:rsid w:val="001A2985"/>
    <w:rsid w:val="001A371B"/>
    <w:rsid w:val="001A4766"/>
    <w:rsid w:val="001A67D4"/>
    <w:rsid w:val="001A6A0D"/>
    <w:rsid w:val="001A6C51"/>
    <w:rsid w:val="001A6FAA"/>
    <w:rsid w:val="001A7D73"/>
    <w:rsid w:val="001A7F8A"/>
    <w:rsid w:val="001B0363"/>
    <w:rsid w:val="001B03DB"/>
    <w:rsid w:val="001B0A82"/>
    <w:rsid w:val="001B1355"/>
    <w:rsid w:val="001B2FC9"/>
    <w:rsid w:val="001B3138"/>
    <w:rsid w:val="001B31B8"/>
    <w:rsid w:val="001B4E4B"/>
    <w:rsid w:val="001B50AC"/>
    <w:rsid w:val="001B5E05"/>
    <w:rsid w:val="001B6D68"/>
    <w:rsid w:val="001B6F2E"/>
    <w:rsid w:val="001B7FA0"/>
    <w:rsid w:val="001C0344"/>
    <w:rsid w:val="001C0F2A"/>
    <w:rsid w:val="001C1A59"/>
    <w:rsid w:val="001C270F"/>
    <w:rsid w:val="001C2D7E"/>
    <w:rsid w:val="001C314F"/>
    <w:rsid w:val="001C3EDA"/>
    <w:rsid w:val="001C4679"/>
    <w:rsid w:val="001C4886"/>
    <w:rsid w:val="001C5770"/>
    <w:rsid w:val="001C6195"/>
    <w:rsid w:val="001D000A"/>
    <w:rsid w:val="001D0883"/>
    <w:rsid w:val="001D2205"/>
    <w:rsid w:val="001D2695"/>
    <w:rsid w:val="001D363B"/>
    <w:rsid w:val="001D3A1F"/>
    <w:rsid w:val="001D3FB6"/>
    <w:rsid w:val="001D4230"/>
    <w:rsid w:val="001D4550"/>
    <w:rsid w:val="001D5498"/>
    <w:rsid w:val="001D5BAF"/>
    <w:rsid w:val="001D6401"/>
    <w:rsid w:val="001D66C9"/>
    <w:rsid w:val="001D722A"/>
    <w:rsid w:val="001D7D45"/>
    <w:rsid w:val="001E04FC"/>
    <w:rsid w:val="001E0C4C"/>
    <w:rsid w:val="001E407D"/>
    <w:rsid w:val="001E40FB"/>
    <w:rsid w:val="001E66EC"/>
    <w:rsid w:val="001E68C5"/>
    <w:rsid w:val="001F0F63"/>
    <w:rsid w:val="001F21A2"/>
    <w:rsid w:val="001F3996"/>
    <w:rsid w:val="001F44A4"/>
    <w:rsid w:val="001F579D"/>
    <w:rsid w:val="001F65EF"/>
    <w:rsid w:val="001F697B"/>
    <w:rsid w:val="002005A6"/>
    <w:rsid w:val="00200C87"/>
    <w:rsid w:val="00204CBC"/>
    <w:rsid w:val="002051F1"/>
    <w:rsid w:val="0020639D"/>
    <w:rsid w:val="002067BA"/>
    <w:rsid w:val="0021058D"/>
    <w:rsid w:val="00211E2F"/>
    <w:rsid w:val="00211E9E"/>
    <w:rsid w:val="00214FB4"/>
    <w:rsid w:val="00215940"/>
    <w:rsid w:val="00215CDC"/>
    <w:rsid w:val="00216FDD"/>
    <w:rsid w:val="002175C8"/>
    <w:rsid w:val="00217C23"/>
    <w:rsid w:val="00220561"/>
    <w:rsid w:val="00220CE4"/>
    <w:rsid w:val="00221F46"/>
    <w:rsid w:val="00222D9B"/>
    <w:rsid w:val="00223788"/>
    <w:rsid w:val="00223D11"/>
    <w:rsid w:val="002242D3"/>
    <w:rsid w:val="00224616"/>
    <w:rsid w:val="00227C1A"/>
    <w:rsid w:val="002301E6"/>
    <w:rsid w:val="00232C5B"/>
    <w:rsid w:val="00232F90"/>
    <w:rsid w:val="00233B08"/>
    <w:rsid w:val="00233C3B"/>
    <w:rsid w:val="0023499C"/>
    <w:rsid w:val="002354EC"/>
    <w:rsid w:val="00235CE3"/>
    <w:rsid w:val="0023636A"/>
    <w:rsid w:val="00236F34"/>
    <w:rsid w:val="002372F7"/>
    <w:rsid w:val="00240651"/>
    <w:rsid w:val="00240803"/>
    <w:rsid w:val="0024118D"/>
    <w:rsid w:val="0024226B"/>
    <w:rsid w:val="002430B6"/>
    <w:rsid w:val="0024426D"/>
    <w:rsid w:val="00244F1D"/>
    <w:rsid w:val="00245004"/>
    <w:rsid w:val="00245FB4"/>
    <w:rsid w:val="002507B5"/>
    <w:rsid w:val="00250898"/>
    <w:rsid w:val="0025147B"/>
    <w:rsid w:val="00251EA9"/>
    <w:rsid w:val="0025276A"/>
    <w:rsid w:val="00252843"/>
    <w:rsid w:val="002543F8"/>
    <w:rsid w:val="002551A4"/>
    <w:rsid w:val="002559F3"/>
    <w:rsid w:val="00256DFE"/>
    <w:rsid w:val="00261D56"/>
    <w:rsid w:val="00261FD3"/>
    <w:rsid w:val="00263505"/>
    <w:rsid w:val="00264077"/>
    <w:rsid w:val="00266B9A"/>
    <w:rsid w:val="0026750E"/>
    <w:rsid w:val="00270E54"/>
    <w:rsid w:val="002724EA"/>
    <w:rsid w:val="00273633"/>
    <w:rsid w:val="00273681"/>
    <w:rsid w:val="002754B5"/>
    <w:rsid w:val="002764C5"/>
    <w:rsid w:val="00276A5A"/>
    <w:rsid w:val="002772AE"/>
    <w:rsid w:val="00277EFB"/>
    <w:rsid w:val="00280613"/>
    <w:rsid w:val="002819C4"/>
    <w:rsid w:val="002826A6"/>
    <w:rsid w:val="0028274D"/>
    <w:rsid w:val="00282B96"/>
    <w:rsid w:val="002833D6"/>
    <w:rsid w:val="00283CAF"/>
    <w:rsid w:val="00283F51"/>
    <w:rsid w:val="00286064"/>
    <w:rsid w:val="002867B1"/>
    <w:rsid w:val="002868FC"/>
    <w:rsid w:val="00287BBB"/>
    <w:rsid w:val="00287E3B"/>
    <w:rsid w:val="00290638"/>
    <w:rsid w:val="00291763"/>
    <w:rsid w:val="00291D80"/>
    <w:rsid w:val="00292E82"/>
    <w:rsid w:val="00293156"/>
    <w:rsid w:val="00293BE7"/>
    <w:rsid w:val="00293D78"/>
    <w:rsid w:val="002946B9"/>
    <w:rsid w:val="002946DC"/>
    <w:rsid w:val="002A0C82"/>
    <w:rsid w:val="002A0CD8"/>
    <w:rsid w:val="002A13EB"/>
    <w:rsid w:val="002A35EF"/>
    <w:rsid w:val="002A3DE0"/>
    <w:rsid w:val="002A40EA"/>
    <w:rsid w:val="002A46E8"/>
    <w:rsid w:val="002A491C"/>
    <w:rsid w:val="002A4C8E"/>
    <w:rsid w:val="002A7396"/>
    <w:rsid w:val="002B1FEF"/>
    <w:rsid w:val="002B2DF8"/>
    <w:rsid w:val="002B2E53"/>
    <w:rsid w:val="002B354F"/>
    <w:rsid w:val="002B3614"/>
    <w:rsid w:val="002B45D1"/>
    <w:rsid w:val="002B4ED8"/>
    <w:rsid w:val="002B4FAA"/>
    <w:rsid w:val="002B52C2"/>
    <w:rsid w:val="002B68A1"/>
    <w:rsid w:val="002B7656"/>
    <w:rsid w:val="002C0642"/>
    <w:rsid w:val="002C1492"/>
    <w:rsid w:val="002C1A8D"/>
    <w:rsid w:val="002C1E8B"/>
    <w:rsid w:val="002C2EFE"/>
    <w:rsid w:val="002C53AA"/>
    <w:rsid w:val="002C5B2D"/>
    <w:rsid w:val="002C6AF9"/>
    <w:rsid w:val="002C7DFC"/>
    <w:rsid w:val="002D08B8"/>
    <w:rsid w:val="002D14F3"/>
    <w:rsid w:val="002D16E4"/>
    <w:rsid w:val="002D2FEF"/>
    <w:rsid w:val="002D36C2"/>
    <w:rsid w:val="002D3BAC"/>
    <w:rsid w:val="002D3FCB"/>
    <w:rsid w:val="002D4FEF"/>
    <w:rsid w:val="002D502D"/>
    <w:rsid w:val="002D63F5"/>
    <w:rsid w:val="002D6D7E"/>
    <w:rsid w:val="002D6E1A"/>
    <w:rsid w:val="002E036D"/>
    <w:rsid w:val="002E1517"/>
    <w:rsid w:val="002E1760"/>
    <w:rsid w:val="002E1B22"/>
    <w:rsid w:val="002E387F"/>
    <w:rsid w:val="002E4B78"/>
    <w:rsid w:val="002E5549"/>
    <w:rsid w:val="002E76FC"/>
    <w:rsid w:val="002E7CFF"/>
    <w:rsid w:val="002E7F4B"/>
    <w:rsid w:val="002F0C91"/>
    <w:rsid w:val="002F0E3E"/>
    <w:rsid w:val="002F1683"/>
    <w:rsid w:val="002F1B19"/>
    <w:rsid w:val="002F1FBF"/>
    <w:rsid w:val="002F23CF"/>
    <w:rsid w:val="002F4139"/>
    <w:rsid w:val="002F5120"/>
    <w:rsid w:val="002F6D28"/>
    <w:rsid w:val="00300624"/>
    <w:rsid w:val="00300F56"/>
    <w:rsid w:val="00301006"/>
    <w:rsid w:val="00301144"/>
    <w:rsid w:val="00301C2B"/>
    <w:rsid w:val="0030247F"/>
    <w:rsid w:val="00304A71"/>
    <w:rsid w:val="003066C8"/>
    <w:rsid w:val="0030739D"/>
    <w:rsid w:val="00307AFB"/>
    <w:rsid w:val="00311184"/>
    <w:rsid w:val="00311E05"/>
    <w:rsid w:val="00312675"/>
    <w:rsid w:val="00314013"/>
    <w:rsid w:val="00314945"/>
    <w:rsid w:val="00315389"/>
    <w:rsid w:val="00315746"/>
    <w:rsid w:val="00315E96"/>
    <w:rsid w:val="00317CD3"/>
    <w:rsid w:val="00317FC8"/>
    <w:rsid w:val="003220B3"/>
    <w:rsid w:val="003223D7"/>
    <w:rsid w:val="00323D9F"/>
    <w:rsid w:val="00324FDB"/>
    <w:rsid w:val="00325F48"/>
    <w:rsid w:val="0032795C"/>
    <w:rsid w:val="0033194F"/>
    <w:rsid w:val="00332304"/>
    <w:rsid w:val="00332406"/>
    <w:rsid w:val="00332D8D"/>
    <w:rsid w:val="00332DBE"/>
    <w:rsid w:val="00335DDA"/>
    <w:rsid w:val="00336B56"/>
    <w:rsid w:val="00341B25"/>
    <w:rsid w:val="00341EC0"/>
    <w:rsid w:val="0034240C"/>
    <w:rsid w:val="00344496"/>
    <w:rsid w:val="00345968"/>
    <w:rsid w:val="00346BD2"/>
    <w:rsid w:val="00347667"/>
    <w:rsid w:val="003507E2"/>
    <w:rsid w:val="003522B2"/>
    <w:rsid w:val="00352331"/>
    <w:rsid w:val="003523FA"/>
    <w:rsid w:val="0035455E"/>
    <w:rsid w:val="00354A6F"/>
    <w:rsid w:val="00354B48"/>
    <w:rsid w:val="00355789"/>
    <w:rsid w:val="00356FD4"/>
    <w:rsid w:val="003609B6"/>
    <w:rsid w:val="00361119"/>
    <w:rsid w:val="003646E4"/>
    <w:rsid w:val="0036538D"/>
    <w:rsid w:val="00365D12"/>
    <w:rsid w:val="00366E20"/>
    <w:rsid w:val="0037018D"/>
    <w:rsid w:val="00372299"/>
    <w:rsid w:val="00372F02"/>
    <w:rsid w:val="00373729"/>
    <w:rsid w:val="00373B76"/>
    <w:rsid w:val="00373C91"/>
    <w:rsid w:val="003748F0"/>
    <w:rsid w:val="003755C6"/>
    <w:rsid w:val="00375AEF"/>
    <w:rsid w:val="00376367"/>
    <w:rsid w:val="00376B02"/>
    <w:rsid w:val="0037733A"/>
    <w:rsid w:val="003776DC"/>
    <w:rsid w:val="003779C1"/>
    <w:rsid w:val="00380FEC"/>
    <w:rsid w:val="00381226"/>
    <w:rsid w:val="00381B1B"/>
    <w:rsid w:val="00381FF6"/>
    <w:rsid w:val="003833B1"/>
    <w:rsid w:val="00383D7D"/>
    <w:rsid w:val="00384CCE"/>
    <w:rsid w:val="00385823"/>
    <w:rsid w:val="003865E5"/>
    <w:rsid w:val="00387EFD"/>
    <w:rsid w:val="003926C1"/>
    <w:rsid w:val="00392900"/>
    <w:rsid w:val="00393357"/>
    <w:rsid w:val="00394FB4"/>
    <w:rsid w:val="00395668"/>
    <w:rsid w:val="00395E7B"/>
    <w:rsid w:val="00395F4C"/>
    <w:rsid w:val="00396011"/>
    <w:rsid w:val="003A51C5"/>
    <w:rsid w:val="003A5DAC"/>
    <w:rsid w:val="003A6591"/>
    <w:rsid w:val="003A6E9A"/>
    <w:rsid w:val="003B08C8"/>
    <w:rsid w:val="003B10A6"/>
    <w:rsid w:val="003B2567"/>
    <w:rsid w:val="003B3007"/>
    <w:rsid w:val="003B3048"/>
    <w:rsid w:val="003B381A"/>
    <w:rsid w:val="003B4976"/>
    <w:rsid w:val="003B4B3F"/>
    <w:rsid w:val="003B4FD6"/>
    <w:rsid w:val="003B6258"/>
    <w:rsid w:val="003B7A99"/>
    <w:rsid w:val="003C0343"/>
    <w:rsid w:val="003C17F6"/>
    <w:rsid w:val="003C1810"/>
    <w:rsid w:val="003C1C32"/>
    <w:rsid w:val="003C2A58"/>
    <w:rsid w:val="003C3C8D"/>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4D12"/>
    <w:rsid w:val="003E50EA"/>
    <w:rsid w:val="003E5164"/>
    <w:rsid w:val="003E68C7"/>
    <w:rsid w:val="003E6D0C"/>
    <w:rsid w:val="003E79B0"/>
    <w:rsid w:val="003F0403"/>
    <w:rsid w:val="003F1094"/>
    <w:rsid w:val="003F1B60"/>
    <w:rsid w:val="003F2E45"/>
    <w:rsid w:val="003F3EFE"/>
    <w:rsid w:val="003F40B8"/>
    <w:rsid w:val="003F4994"/>
    <w:rsid w:val="003F5C06"/>
    <w:rsid w:val="00400195"/>
    <w:rsid w:val="0040254B"/>
    <w:rsid w:val="00403086"/>
    <w:rsid w:val="00403460"/>
    <w:rsid w:val="004040FF"/>
    <w:rsid w:val="00404284"/>
    <w:rsid w:val="004042C4"/>
    <w:rsid w:val="00406E90"/>
    <w:rsid w:val="00407BF2"/>
    <w:rsid w:val="00410240"/>
    <w:rsid w:val="00410770"/>
    <w:rsid w:val="0041137B"/>
    <w:rsid w:val="00412253"/>
    <w:rsid w:val="0041314C"/>
    <w:rsid w:val="004137CC"/>
    <w:rsid w:val="004142ED"/>
    <w:rsid w:val="0041634D"/>
    <w:rsid w:val="00416ABC"/>
    <w:rsid w:val="00416CF6"/>
    <w:rsid w:val="00416E7F"/>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E81"/>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55DCB"/>
    <w:rsid w:val="0045778F"/>
    <w:rsid w:val="00460905"/>
    <w:rsid w:val="00461E35"/>
    <w:rsid w:val="004621DB"/>
    <w:rsid w:val="004634A7"/>
    <w:rsid w:val="00463787"/>
    <w:rsid w:val="00464696"/>
    <w:rsid w:val="004648DA"/>
    <w:rsid w:val="00466926"/>
    <w:rsid w:val="00466FDA"/>
    <w:rsid w:val="004671D0"/>
    <w:rsid w:val="004674D1"/>
    <w:rsid w:val="00470773"/>
    <w:rsid w:val="0047160D"/>
    <w:rsid w:val="00471FF9"/>
    <w:rsid w:val="0047217E"/>
    <w:rsid w:val="00473E74"/>
    <w:rsid w:val="00473FEF"/>
    <w:rsid w:val="0047441D"/>
    <w:rsid w:val="00474B86"/>
    <w:rsid w:val="00475826"/>
    <w:rsid w:val="00475B8E"/>
    <w:rsid w:val="0047671F"/>
    <w:rsid w:val="0048104E"/>
    <w:rsid w:val="004814BB"/>
    <w:rsid w:val="004815DA"/>
    <w:rsid w:val="00482458"/>
    <w:rsid w:val="00482ACF"/>
    <w:rsid w:val="00482E20"/>
    <w:rsid w:val="004837ED"/>
    <w:rsid w:val="00483942"/>
    <w:rsid w:val="004843CE"/>
    <w:rsid w:val="00485142"/>
    <w:rsid w:val="004852A7"/>
    <w:rsid w:val="00486C17"/>
    <w:rsid w:val="00486DE2"/>
    <w:rsid w:val="00487117"/>
    <w:rsid w:val="00487A32"/>
    <w:rsid w:val="00487A8D"/>
    <w:rsid w:val="00487A91"/>
    <w:rsid w:val="00487FAC"/>
    <w:rsid w:val="004901E5"/>
    <w:rsid w:val="0049027D"/>
    <w:rsid w:val="004903D4"/>
    <w:rsid w:val="0049052B"/>
    <w:rsid w:val="00492457"/>
    <w:rsid w:val="004924A8"/>
    <w:rsid w:val="00492E10"/>
    <w:rsid w:val="004934E9"/>
    <w:rsid w:val="0049385B"/>
    <w:rsid w:val="00494737"/>
    <w:rsid w:val="00494D5C"/>
    <w:rsid w:val="00495A6A"/>
    <w:rsid w:val="004964F6"/>
    <w:rsid w:val="00496821"/>
    <w:rsid w:val="00497750"/>
    <w:rsid w:val="00497B44"/>
    <w:rsid w:val="004A00E5"/>
    <w:rsid w:val="004A01A7"/>
    <w:rsid w:val="004A0D09"/>
    <w:rsid w:val="004A116E"/>
    <w:rsid w:val="004A1951"/>
    <w:rsid w:val="004A2654"/>
    <w:rsid w:val="004A357F"/>
    <w:rsid w:val="004A3DAD"/>
    <w:rsid w:val="004A5BE3"/>
    <w:rsid w:val="004A6FAF"/>
    <w:rsid w:val="004B0335"/>
    <w:rsid w:val="004B0F1C"/>
    <w:rsid w:val="004B1E61"/>
    <w:rsid w:val="004B21AB"/>
    <w:rsid w:val="004B59E0"/>
    <w:rsid w:val="004B667B"/>
    <w:rsid w:val="004B71C7"/>
    <w:rsid w:val="004B7EC4"/>
    <w:rsid w:val="004C03AA"/>
    <w:rsid w:val="004C0B9A"/>
    <w:rsid w:val="004C14E7"/>
    <w:rsid w:val="004C1686"/>
    <w:rsid w:val="004C185D"/>
    <w:rsid w:val="004C1D89"/>
    <w:rsid w:val="004C2A94"/>
    <w:rsid w:val="004C2CD0"/>
    <w:rsid w:val="004C3DAB"/>
    <w:rsid w:val="004C5766"/>
    <w:rsid w:val="004C5F54"/>
    <w:rsid w:val="004C6E76"/>
    <w:rsid w:val="004C77DD"/>
    <w:rsid w:val="004C7800"/>
    <w:rsid w:val="004C7826"/>
    <w:rsid w:val="004C7B33"/>
    <w:rsid w:val="004D1410"/>
    <w:rsid w:val="004D1478"/>
    <w:rsid w:val="004D188F"/>
    <w:rsid w:val="004D19EE"/>
    <w:rsid w:val="004D1CF2"/>
    <w:rsid w:val="004D2D3A"/>
    <w:rsid w:val="004D374D"/>
    <w:rsid w:val="004D3DEC"/>
    <w:rsid w:val="004D42C8"/>
    <w:rsid w:val="004D4F57"/>
    <w:rsid w:val="004D5054"/>
    <w:rsid w:val="004D50F6"/>
    <w:rsid w:val="004D5A0D"/>
    <w:rsid w:val="004D6C6F"/>
    <w:rsid w:val="004D7910"/>
    <w:rsid w:val="004D7DEA"/>
    <w:rsid w:val="004E0A28"/>
    <w:rsid w:val="004E0CA0"/>
    <w:rsid w:val="004E1237"/>
    <w:rsid w:val="004E1A0F"/>
    <w:rsid w:val="004E1F1B"/>
    <w:rsid w:val="004E2E89"/>
    <w:rsid w:val="004E33C2"/>
    <w:rsid w:val="004E3B9A"/>
    <w:rsid w:val="004E49B0"/>
    <w:rsid w:val="004E5A4A"/>
    <w:rsid w:val="004E62DE"/>
    <w:rsid w:val="004E6B05"/>
    <w:rsid w:val="004E76A1"/>
    <w:rsid w:val="004F05DE"/>
    <w:rsid w:val="004F0C45"/>
    <w:rsid w:val="004F1A0C"/>
    <w:rsid w:val="004F2471"/>
    <w:rsid w:val="004F6376"/>
    <w:rsid w:val="004F6A93"/>
    <w:rsid w:val="004F6F14"/>
    <w:rsid w:val="004F728D"/>
    <w:rsid w:val="004F76D9"/>
    <w:rsid w:val="004F79A6"/>
    <w:rsid w:val="00501BF5"/>
    <w:rsid w:val="00501D8B"/>
    <w:rsid w:val="00503A3E"/>
    <w:rsid w:val="00503F59"/>
    <w:rsid w:val="005045EA"/>
    <w:rsid w:val="005049A7"/>
    <w:rsid w:val="005053B2"/>
    <w:rsid w:val="00506331"/>
    <w:rsid w:val="005070CC"/>
    <w:rsid w:val="00507D11"/>
    <w:rsid w:val="00510662"/>
    <w:rsid w:val="005109B7"/>
    <w:rsid w:val="00510A19"/>
    <w:rsid w:val="00511AAB"/>
    <w:rsid w:val="005127C9"/>
    <w:rsid w:val="00514D10"/>
    <w:rsid w:val="00516783"/>
    <w:rsid w:val="005171FB"/>
    <w:rsid w:val="0051725D"/>
    <w:rsid w:val="00517EF8"/>
    <w:rsid w:val="00520083"/>
    <w:rsid w:val="0052029E"/>
    <w:rsid w:val="0052076A"/>
    <w:rsid w:val="00520A2C"/>
    <w:rsid w:val="00520E25"/>
    <w:rsid w:val="0052183D"/>
    <w:rsid w:val="00522B01"/>
    <w:rsid w:val="00522F44"/>
    <w:rsid w:val="0052360A"/>
    <w:rsid w:val="005242BA"/>
    <w:rsid w:val="005243B8"/>
    <w:rsid w:val="005252DD"/>
    <w:rsid w:val="00526961"/>
    <w:rsid w:val="00527602"/>
    <w:rsid w:val="00530A8D"/>
    <w:rsid w:val="00530C18"/>
    <w:rsid w:val="00531C6D"/>
    <w:rsid w:val="00532EF4"/>
    <w:rsid w:val="005347CE"/>
    <w:rsid w:val="00535477"/>
    <w:rsid w:val="005357F8"/>
    <w:rsid w:val="00535DEA"/>
    <w:rsid w:val="0053723A"/>
    <w:rsid w:val="00537636"/>
    <w:rsid w:val="00537B1D"/>
    <w:rsid w:val="00540191"/>
    <w:rsid w:val="00540A2A"/>
    <w:rsid w:val="00541F27"/>
    <w:rsid w:val="00542297"/>
    <w:rsid w:val="005424BC"/>
    <w:rsid w:val="00542A28"/>
    <w:rsid w:val="005441D4"/>
    <w:rsid w:val="0054562F"/>
    <w:rsid w:val="0054672D"/>
    <w:rsid w:val="00550F4E"/>
    <w:rsid w:val="00551E98"/>
    <w:rsid w:val="005532B5"/>
    <w:rsid w:val="0055343C"/>
    <w:rsid w:val="00554A05"/>
    <w:rsid w:val="00555849"/>
    <w:rsid w:val="005559A8"/>
    <w:rsid w:val="00557048"/>
    <w:rsid w:val="00557A8C"/>
    <w:rsid w:val="00557BC8"/>
    <w:rsid w:val="00557FB5"/>
    <w:rsid w:val="0056072E"/>
    <w:rsid w:val="00561AA2"/>
    <w:rsid w:val="00561AED"/>
    <w:rsid w:val="00563D84"/>
    <w:rsid w:val="005648A8"/>
    <w:rsid w:val="00564DE3"/>
    <w:rsid w:val="00564E44"/>
    <w:rsid w:val="00566136"/>
    <w:rsid w:val="0056641D"/>
    <w:rsid w:val="00566549"/>
    <w:rsid w:val="00566C6A"/>
    <w:rsid w:val="00566CE5"/>
    <w:rsid w:val="00566D36"/>
    <w:rsid w:val="00572AF0"/>
    <w:rsid w:val="00572E09"/>
    <w:rsid w:val="00573569"/>
    <w:rsid w:val="00573807"/>
    <w:rsid w:val="00573871"/>
    <w:rsid w:val="0057389E"/>
    <w:rsid w:val="00574586"/>
    <w:rsid w:val="005765C0"/>
    <w:rsid w:val="005773E8"/>
    <w:rsid w:val="005778DE"/>
    <w:rsid w:val="005803F9"/>
    <w:rsid w:val="00580B3F"/>
    <w:rsid w:val="00581067"/>
    <w:rsid w:val="005825F2"/>
    <w:rsid w:val="005830A8"/>
    <w:rsid w:val="00583885"/>
    <w:rsid w:val="00584691"/>
    <w:rsid w:val="00585AB2"/>
    <w:rsid w:val="00586022"/>
    <w:rsid w:val="005860AF"/>
    <w:rsid w:val="00587F1D"/>
    <w:rsid w:val="00590348"/>
    <w:rsid w:val="00590947"/>
    <w:rsid w:val="00591161"/>
    <w:rsid w:val="00592318"/>
    <w:rsid w:val="00593133"/>
    <w:rsid w:val="00594089"/>
    <w:rsid w:val="0059575D"/>
    <w:rsid w:val="00596825"/>
    <w:rsid w:val="005972DC"/>
    <w:rsid w:val="005A06A0"/>
    <w:rsid w:val="005A150A"/>
    <w:rsid w:val="005A2B3E"/>
    <w:rsid w:val="005A3644"/>
    <w:rsid w:val="005A4087"/>
    <w:rsid w:val="005A4B18"/>
    <w:rsid w:val="005A537E"/>
    <w:rsid w:val="005A59BF"/>
    <w:rsid w:val="005A6AA2"/>
    <w:rsid w:val="005A6F43"/>
    <w:rsid w:val="005A767D"/>
    <w:rsid w:val="005A7CAE"/>
    <w:rsid w:val="005B00F1"/>
    <w:rsid w:val="005B0CE7"/>
    <w:rsid w:val="005B0F4A"/>
    <w:rsid w:val="005B10E2"/>
    <w:rsid w:val="005B1803"/>
    <w:rsid w:val="005B2EB7"/>
    <w:rsid w:val="005B3970"/>
    <w:rsid w:val="005B4079"/>
    <w:rsid w:val="005B428E"/>
    <w:rsid w:val="005B5B3C"/>
    <w:rsid w:val="005B64B8"/>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AF2"/>
    <w:rsid w:val="005C663C"/>
    <w:rsid w:val="005C670B"/>
    <w:rsid w:val="005C7A18"/>
    <w:rsid w:val="005D0750"/>
    <w:rsid w:val="005D1023"/>
    <w:rsid w:val="005D1114"/>
    <w:rsid w:val="005D148F"/>
    <w:rsid w:val="005D2AD2"/>
    <w:rsid w:val="005D4A86"/>
    <w:rsid w:val="005D5D07"/>
    <w:rsid w:val="005D5EB1"/>
    <w:rsid w:val="005D6A29"/>
    <w:rsid w:val="005E0151"/>
    <w:rsid w:val="005E0481"/>
    <w:rsid w:val="005E10BF"/>
    <w:rsid w:val="005E1834"/>
    <w:rsid w:val="005E49E5"/>
    <w:rsid w:val="005E5481"/>
    <w:rsid w:val="005E55E4"/>
    <w:rsid w:val="005E5D38"/>
    <w:rsid w:val="005E5F51"/>
    <w:rsid w:val="005E6C5F"/>
    <w:rsid w:val="005E7636"/>
    <w:rsid w:val="005F028E"/>
    <w:rsid w:val="005F04B4"/>
    <w:rsid w:val="005F07D3"/>
    <w:rsid w:val="005F11A4"/>
    <w:rsid w:val="005F19F8"/>
    <w:rsid w:val="005F3FB1"/>
    <w:rsid w:val="005F4C33"/>
    <w:rsid w:val="005F5412"/>
    <w:rsid w:val="005F5ACF"/>
    <w:rsid w:val="005F60DC"/>
    <w:rsid w:val="006000DD"/>
    <w:rsid w:val="00600E84"/>
    <w:rsid w:val="00600F63"/>
    <w:rsid w:val="006012E1"/>
    <w:rsid w:val="00602253"/>
    <w:rsid w:val="006023E1"/>
    <w:rsid w:val="00602ABB"/>
    <w:rsid w:val="00605531"/>
    <w:rsid w:val="00605748"/>
    <w:rsid w:val="00606240"/>
    <w:rsid w:val="00606383"/>
    <w:rsid w:val="006063FF"/>
    <w:rsid w:val="0060674A"/>
    <w:rsid w:val="00606F77"/>
    <w:rsid w:val="00607832"/>
    <w:rsid w:val="0060784B"/>
    <w:rsid w:val="00610254"/>
    <w:rsid w:val="006105FB"/>
    <w:rsid w:val="00610F94"/>
    <w:rsid w:val="00611293"/>
    <w:rsid w:val="0061135E"/>
    <w:rsid w:val="00611F21"/>
    <w:rsid w:val="0061263A"/>
    <w:rsid w:val="00612C41"/>
    <w:rsid w:val="00613239"/>
    <w:rsid w:val="00613818"/>
    <w:rsid w:val="0061388F"/>
    <w:rsid w:val="006145DE"/>
    <w:rsid w:val="0061478E"/>
    <w:rsid w:val="00614F25"/>
    <w:rsid w:val="0061551F"/>
    <w:rsid w:val="00616A11"/>
    <w:rsid w:val="00616B9B"/>
    <w:rsid w:val="00617520"/>
    <w:rsid w:val="006177C2"/>
    <w:rsid w:val="0062022D"/>
    <w:rsid w:val="00620D7C"/>
    <w:rsid w:val="00621089"/>
    <w:rsid w:val="00621C9D"/>
    <w:rsid w:val="00621E1F"/>
    <w:rsid w:val="00622873"/>
    <w:rsid w:val="006228B2"/>
    <w:rsid w:val="006228E1"/>
    <w:rsid w:val="00622E32"/>
    <w:rsid w:val="00623688"/>
    <w:rsid w:val="006247E0"/>
    <w:rsid w:val="00625F82"/>
    <w:rsid w:val="00627999"/>
    <w:rsid w:val="00627E90"/>
    <w:rsid w:val="00630FF7"/>
    <w:rsid w:val="0063198F"/>
    <w:rsid w:val="00632F21"/>
    <w:rsid w:val="00633433"/>
    <w:rsid w:val="00633B08"/>
    <w:rsid w:val="006341B5"/>
    <w:rsid w:val="006346C9"/>
    <w:rsid w:val="00634727"/>
    <w:rsid w:val="00634B64"/>
    <w:rsid w:val="0063528E"/>
    <w:rsid w:val="0063578C"/>
    <w:rsid w:val="0063642C"/>
    <w:rsid w:val="0063681E"/>
    <w:rsid w:val="00636FF9"/>
    <w:rsid w:val="00640663"/>
    <w:rsid w:val="00640DCD"/>
    <w:rsid w:val="006410A9"/>
    <w:rsid w:val="00641DC3"/>
    <w:rsid w:val="00642972"/>
    <w:rsid w:val="00644F4D"/>
    <w:rsid w:val="00646692"/>
    <w:rsid w:val="006469B1"/>
    <w:rsid w:val="00646C0D"/>
    <w:rsid w:val="00646C30"/>
    <w:rsid w:val="00647190"/>
    <w:rsid w:val="006476F7"/>
    <w:rsid w:val="0064779E"/>
    <w:rsid w:val="006501FA"/>
    <w:rsid w:val="006509B0"/>
    <w:rsid w:val="006521F3"/>
    <w:rsid w:val="006524D5"/>
    <w:rsid w:val="00652BBD"/>
    <w:rsid w:val="00653633"/>
    <w:rsid w:val="00653F69"/>
    <w:rsid w:val="00654936"/>
    <w:rsid w:val="00655485"/>
    <w:rsid w:val="006558B3"/>
    <w:rsid w:val="00660BF0"/>
    <w:rsid w:val="0066188F"/>
    <w:rsid w:val="0066189C"/>
    <w:rsid w:val="006630CF"/>
    <w:rsid w:val="00663EFF"/>
    <w:rsid w:val="00664FFB"/>
    <w:rsid w:val="00666F74"/>
    <w:rsid w:val="00667D66"/>
    <w:rsid w:val="00667FEA"/>
    <w:rsid w:val="006710D2"/>
    <w:rsid w:val="00671A8B"/>
    <w:rsid w:val="00671F53"/>
    <w:rsid w:val="006725A0"/>
    <w:rsid w:val="00674628"/>
    <w:rsid w:val="00674E5D"/>
    <w:rsid w:val="0067555E"/>
    <w:rsid w:val="00677FAD"/>
    <w:rsid w:val="006802DE"/>
    <w:rsid w:val="0068032D"/>
    <w:rsid w:val="0068068C"/>
    <w:rsid w:val="00680EE8"/>
    <w:rsid w:val="00681115"/>
    <w:rsid w:val="006817E8"/>
    <w:rsid w:val="00683920"/>
    <w:rsid w:val="00685147"/>
    <w:rsid w:val="00685653"/>
    <w:rsid w:val="0068590D"/>
    <w:rsid w:val="00685A89"/>
    <w:rsid w:val="00685D73"/>
    <w:rsid w:val="00685F3A"/>
    <w:rsid w:val="006861B3"/>
    <w:rsid w:val="00686FA2"/>
    <w:rsid w:val="006870C5"/>
    <w:rsid w:val="00690F0E"/>
    <w:rsid w:val="006911C0"/>
    <w:rsid w:val="00691B7C"/>
    <w:rsid w:val="00691F03"/>
    <w:rsid w:val="006921D5"/>
    <w:rsid w:val="00692C72"/>
    <w:rsid w:val="00694094"/>
    <w:rsid w:val="00694B73"/>
    <w:rsid w:val="00694C62"/>
    <w:rsid w:val="00694DF2"/>
    <w:rsid w:val="00695F80"/>
    <w:rsid w:val="006966CD"/>
    <w:rsid w:val="00696735"/>
    <w:rsid w:val="00696E27"/>
    <w:rsid w:val="0069780E"/>
    <w:rsid w:val="006A0AE6"/>
    <w:rsid w:val="006A18AC"/>
    <w:rsid w:val="006A2CA2"/>
    <w:rsid w:val="006A3C6B"/>
    <w:rsid w:val="006A5853"/>
    <w:rsid w:val="006A5C81"/>
    <w:rsid w:val="006A6909"/>
    <w:rsid w:val="006A6B20"/>
    <w:rsid w:val="006B1AE8"/>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2D5A"/>
    <w:rsid w:val="006C4334"/>
    <w:rsid w:val="006C44C6"/>
    <w:rsid w:val="006C452B"/>
    <w:rsid w:val="006C4B0F"/>
    <w:rsid w:val="006C5E96"/>
    <w:rsid w:val="006D1B73"/>
    <w:rsid w:val="006D22F0"/>
    <w:rsid w:val="006D399F"/>
    <w:rsid w:val="006D3A16"/>
    <w:rsid w:val="006D4F0C"/>
    <w:rsid w:val="006D5645"/>
    <w:rsid w:val="006E0737"/>
    <w:rsid w:val="006E0C8A"/>
    <w:rsid w:val="006E1C40"/>
    <w:rsid w:val="006E2A23"/>
    <w:rsid w:val="006E35E5"/>
    <w:rsid w:val="006E3C72"/>
    <w:rsid w:val="006E4F20"/>
    <w:rsid w:val="006E5E2E"/>
    <w:rsid w:val="006E649A"/>
    <w:rsid w:val="006F08DC"/>
    <w:rsid w:val="006F2628"/>
    <w:rsid w:val="006F3948"/>
    <w:rsid w:val="006F4403"/>
    <w:rsid w:val="006F45EC"/>
    <w:rsid w:val="006F47B8"/>
    <w:rsid w:val="006F47D2"/>
    <w:rsid w:val="006F4B04"/>
    <w:rsid w:val="006F5456"/>
    <w:rsid w:val="006F57F2"/>
    <w:rsid w:val="006F58E1"/>
    <w:rsid w:val="006F6468"/>
    <w:rsid w:val="006F71FA"/>
    <w:rsid w:val="00700247"/>
    <w:rsid w:val="00701051"/>
    <w:rsid w:val="00701E69"/>
    <w:rsid w:val="007021C2"/>
    <w:rsid w:val="00702502"/>
    <w:rsid w:val="00702CD6"/>
    <w:rsid w:val="007033A8"/>
    <w:rsid w:val="0070421B"/>
    <w:rsid w:val="007043F0"/>
    <w:rsid w:val="0070482E"/>
    <w:rsid w:val="00704D25"/>
    <w:rsid w:val="00710519"/>
    <w:rsid w:val="00710F6E"/>
    <w:rsid w:val="00711640"/>
    <w:rsid w:val="00711663"/>
    <w:rsid w:val="007116B4"/>
    <w:rsid w:val="00712580"/>
    <w:rsid w:val="007133E4"/>
    <w:rsid w:val="00713788"/>
    <w:rsid w:val="00713940"/>
    <w:rsid w:val="007148AF"/>
    <w:rsid w:val="007151A2"/>
    <w:rsid w:val="00715AEB"/>
    <w:rsid w:val="00716774"/>
    <w:rsid w:val="0071740A"/>
    <w:rsid w:val="007209DD"/>
    <w:rsid w:val="00722E49"/>
    <w:rsid w:val="00723A08"/>
    <w:rsid w:val="00723B5C"/>
    <w:rsid w:val="00723CEE"/>
    <w:rsid w:val="00724391"/>
    <w:rsid w:val="00724B98"/>
    <w:rsid w:val="00724C18"/>
    <w:rsid w:val="00725FB1"/>
    <w:rsid w:val="00726529"/>
    <w:rsid w:val="00726630"/>
    <w:rsid w:val="007274AF"/>
    <w:rsid w:val="00727F73"/>
    <w:rsid w:val="00730705"/>
    <w:rsid w:val="00730944"/>
    <w:rsid w:val="00730A2E"/>
    <w:rsid w:val="0073161B"/>
    <w:rsid w:val="0073248E"/>
    <w:rsid w:val="00732ABA"/>
    <w:rsid w:val="00733EE9"/>
    <w:rsid w:val="00735B8E"/>
    <w:rsid w:val="00736651"/>
    <w:rsid w:val="0073673C"/>
    <w:rsid w:val="00736935"/>
    <w:rsid w:val="007408ED"/>
    <w:rsid w:val="00741BA1"/>
    <w:rsid w:val="00742147"/>
    <w:rsid w:val="007434B1"/>
    <w:rsid w:val="00743DE7"/>
    <w:rsid w:val="00744D8A"/>
    <w:rsid w:val="0074509E"/>
    <w:rsid w:val="00745347"/>
    <w:rsid w:val="00745B9F"/>
    <w:rsid w:val="0074726F"/>
    <w:rsid w:val="00752D4F"/>
    <w:rsid w:val="0075409F"/>
    <w:rsid w:val="0075525A"/>
    <w:rsid w:val="00755609"/>
    <w:rsid w:val="00755986"/>
    <w:rsid w:val="00755C86"/>
    <w:rsid w:val="00755E19"/>
    <w:rsid w:val="00756758"/>
    <w:rsid w:val="00756BFF"/>
    <w:rsid w:val="00756D77"/>
    <w:rsid w:val="00757EA5"/>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6B7"/>
    <w:rsid w:val="00791EB4"/>
    <w:rsid w:val="007928F1"/>
    <w:rsid w:val="00793417"/>
    <w:rsid w:val="0079357D"/>
    <w:rsid w:val="007937CC"/>
    <w:rsid w:val="00793A31"/>
    <w:rsid w:val="0079485D"/>
    <w:rsid w:val="00794979"/>
    <w:rsid w:val="007956B7"/>
    <w:rsid w:val="00795F1A"/>
    <w:rsid w:val="00796EDE"/>
    <w:rsid w:val="00797297"/>
    <w:rsid w:val="007974B3"/>
    <w:rsid w:val="00797875"/>
    <w:rsid w:val="007A076C"/>
    <w:rsid w:val="007A1143"/>
    <w:rsid w:val="007A2140"/>
    <w:rsid w:val="007A23E2"/>
    <w:rsid w:val="007A31A5"/>
    <w:rsid w:val="007A337B"/>
    <w:rsid w:val="007A3AA2"/>
    <w:rsid w:val="007A411B"/>
    <w:rsid w:val="007A45E6"/>
    <w:rsid w:val="007A4B28"/>
    <w:rsid w:val="007A5C2C"/>
    <w:rsid w:val="007A7678"/>
    <w:rsid w:val="007B0CD8"/>
    <w:rsid w:val="007B0DE0"/>
    <w:rsid w:val="007B21DE"/>
    <w:rsid w:val="007B2BB9"/>
    <w:rsid w:val="007B43E8"/>
    <w:rsid w:val="007B4740"/>
    <w:rsid w:val="007B502C"/>
    <w:rsid w:val="007B5BD6"/>
    <w:rsid w:val="007B5F3B"/>
    <w:rsid w:val="007C02B0"/>
    <w:rsid w:val="007C063E"/>
    <w:rsid w:val="007C1901"/>
    <w:rsid w:val="007C49C0"/>
    <w:rsid w:val="007C55C1"/>
    <w:rsid w:val="007C5738"/>
    <w:rsid w:val="007C5772"/>
    <w:rsid w:val="007C5AC3"/>
    <w:rsid w:val="007C6FC4"/>
    <w:rsid w:val="007C7233"/>
    <w:rsid w:val="007D0774"/>
    <w:rsid w:val="007D10E8"/>
    <w:rsid w:val="007D10EE"/>
    <w:rsid w:val="007D1193"/>
    <w:rsid w:val="007D20E6"/>
    <w:rsid w:val="007D21D5"/>
    <w:rsid w:val="007D3E8D"/>
    <w:rsid w:val="007D4A9A"/>
    <w:rsid w:val="007D5915"/>
    <w:rsid w:val="007D5B4F"/>
    <w:rsid w:val="007D5C30"/>
    <w:rsid w:val="007D6715"/>
    <w:rsid w:val="007D77AB"/>
    <w:rsid w:val="007E0072"/>
    <w:rsid w:val="007E0660"/>
    <w:rsid w:val="007E0F9E"/>
    <w:rsid w:val="007E1411"/>
    <w:rsid w:val="007E179B"/>
    <w:rsid w:val="007E1882"/>
    <w:rsid w:val="007E1BB4"/>
    <w:rsid w:val="007E2077"/>
    <w:rsid w:val="007E3514"/>
    <w:rsid w:val="007E4AAA"/>
    <w:rsid w:val="007E4BD2"/>
    <w:rsid w:val="007E4C29"/>
    <w:rsid w:val="007E571E"/>
    <w:rsid w:val="007E5E44"/>
    <w:rsid w:val="007E6863"/>
    <w:rsid w:val="007E6F89"/>
    <w:rsid w:val="007F0DDA"/>
    <w:rsid w:val="007F1939"/>
    <w:rsid w:val="007F2636"/>
    <w:rsid w:val="007F365C"/>
    <w:rsid w:val="007F41E3"/>
    <w:rsid w:val="007F5066"/>
    <w:rsid w:val="007F621C"/>
    <w:rsid w:val="007F7155"/>
    <w:rsid w:val="00800C28"/>
    <w:rsid w:val="00801D1E"/>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48D"/>
    <w:rsid w:val="00812657"/>
    <w:rsid w:val="00812FD7"/>
    <w:rsid w:val="0081386C"/>
    <w:rsid w:val="008147D3"/>
    <w:rsid w:val="00816767"/>
    <w:rsid w:val="00820623"/>
    <w:rsid w:val="0082108F"/>
    <w:rsid w:val="00821747"/>
    <w:rsid w:val="008229A3"/>
    <w:rsid w:val="00822DFB"/>
    <w:rsid w:val="00822F64"/>
    <w:rsid w:val="00824AA7"/>
    <w:rsid w:val="008253A6"/>
    <w:rsid w:val="00825A6B"/>
    <w:rsid w:val="00825C50"/>
    <w:rsid w:val="00826577"/>
    <w:rsid w:val="00827439"/>
    <w:rsid w:val="00827C79"/>
    <w:rsid w:val="0083003F"/>
    <w:rsid w:val="00831077"/>
    <w:rsid w:val="00831A4A"/>
    <w:rsid w:val="00831BA6"/>
    <w:rsid w:val="00832134"/>
    <w:rsid w:val="0083219E"/>
    <w:rsid w:val="008324B3"/>
    <w:rsid w:val="0083497C"/>
    <w:rsid w:val="008352A6"/>
    <w:rsid w:val="00835B5B"/>
    <w:rsid w:val="008367AE"/>
    <w:rsid w:val="00836BE2"/>
    <w:rsid w:val="00836E50"/>
    <w:rsid w:val="008373A4"/>
    <w:rsid w:val="00840477"/>
    <w:rsid w:val="0084121D"/>
    <w:rsid w:val="008418E3"/>
    <w:rsid w:val="008419C1"/>
    <w:rsid w:val="00844515"/>
    <w:rsid w:val="0084465A"/>
    <w:rsid w:val="00844DFF"/>
    <w:rsid w:val="00845D87"/>
    <w:rsid w:val="00846C3A"/>
    <w:rsid w:val="00847779"/>
    <w:rsid w:val="008477BF"/>
    <w:rsid w:val="008503DA"/>
    <w:rsid w:val="00850B68"/>
    <w:rsid w:val="00850E82"/>
    <w:rsid w:val="0085122D"/>
    <w:rsid w:val="008519E8"/>
    <w:rsid w:val="008525FF"/>
    <w:rsid w:val="00852C03"/>
    <w:rsid w:val="00853FA8"/>
    <w:rsid w:val="00855480"/>
    <w:rsid w:val="0085590C"/>
    <w:rsid w:val="008575EB"/>
    <w:rsid w:val="00860648"/>
    <w:rsid w:val="00862DDD"/>
    <w:rsid w:val="0086326D"/>
    <w:rsid w:val="00863CC1"/>
    <w:rsid w:val="00864724"/>
    <w:rsid w:val="00865B01"/>
    <w:rsid w:val="00866D7A"/>
    <w:rsid w:val="00866EE3"/>
    <w:rsid w:val="00871F04"/>
    <w:rsid w:val="008741F7"/>
    <w:rsid w:val="008746C1"/>
    <w:rsid w:val="008749D8"/>
    <w:rsid w:val="00876F57"/>
    <w:rsid w:val="00880224"/>
    <w:rsid w:val="0088244C"/>
    <w:rsid w:val="00882586"/>
    <w:rsid w:val="00883367"/>
    <w:rsid w:val="00884C47"/>
    <w:rsid w:val="008857AB"/>
    <w:rsid w:val="00885E6F"/>
    <w:rsid w:val="008861AC"/>
    <w:rsid w:val="008868E4"/>
    <w:rsid w:val="00886A60"/>
    <w:rsid w:val="0088759B"/>
    <w:rsid w:val="008909B4"/>
    <w:rsid w:val="008922E8"/>
    <w:rsid w:val="00893916"/>
    <w:rsid w:val="00893E57"/>
    <w:rsid w:val="0089442C"/>
    <w:rsid w:val="00895818"/>
    <w:rsid w:val="008A21C2"/>
    <w:rsid w:val="008A2585"/>
    <w:rsid w:val="008A2718"/>
    <w:rsid w:val="008A3DC2"/>
    <w:rsid w:val="008A4CF5"/>
    <w:rsid w:val="008A4CF6"/>
    <w:rsid w:val="008A4E42"/>
    <w:rsid w:val="008A51AA"/>
    <w:rsid w:val="008A6A12"/>
    <w:rsid w:val="008A7BE3"/>
    <w:rsid w:val="008B0DC6"/>
    <w:rsid w:val="008B2B9E"/>
    <w:rsid w:val="008B31F5"/>
    <w:rsid w:val="008B4C79"/>
    <w:rsid w:val="008B5D2D"/>
    <w:rsid w:val="008B6361"/>
    <w:rsid w:val="008B659D"/>
    <w:rsid w:val="008C0320"/>
    <w:rsid w:val="008C1077"/>
    <w:rsid w:val="008C2753"/>
    <w:rsid w:val="008C2A81"/>
    <w:rsid w:val="008C34B8"/>
    <w:rsid w:val="008C3863"/>
    <w:rsid w:val="008C3B6B"/>
    <w:rsid w:val="008C4BDC"/>
    <w:rsid w:val="008C50FF"/>
    <w:rsid w:val="008C5435"/>
    <w:rsid w:val="008C6BD1"/>
    <w:rsid w:val="008D2DB5"/>
    <w:rsid w:val="008D3F10"/>
    <w:rsid w:val="008D42F4"/>
    <w:rsid w:val="008D611D"/>
    <w:rsid w:val="008D6CF9"/>
    <w:rsid w:val="008E1B6A"/>
    <w:rsid w:val="008E3054"/>
    <w:rsid w:val="008E32FF"/>
    <w:rsid w:val="008E557A"/>
    <w:rsid w:val="008E5625"/>
    <w:rsid w:val="008E5C5B"/>
    <w:rsid w:val="008E6A37"/>
    <w:rsid w:val="008F0354"/>
    <w:rsid w:val="008F085A"/>
    <w:rsid w:val="008F1462"/>
    <w:rsid w:val="008F2413"/>
    <w:rsid w:val="008F248D"/>
    <w:rsid w:val="008F3136"/>
    <w:rsid w:val="008F4B2C"/>
    <w:rsid w:val="008F4C08"/>
    <w:rsid w:val="008F5D92"/>
    <w:rsid w:val="008F6851"/>
    <w:rsid w:val="008F7BC4"/>
    <w:rsid w:val="009003B8"/>
    <w:rsid w:val="00900D64"/>
    <w:rsid w:val="00900E7A"/>
    <w:rsid w:val="00903E11"/>
    <w:rsid w:val="00903EBE"/>
    <w:rsid w:val="009041DE"/>
    <w:rsid w:val="00904C75"/>
    <w:rsid w:val="009054CF"/>
    <w:rsid w:val="00905D59"/>
    <w:rsid w:val="009062CA"/>
    <w:rsid w:val="00906782"/>
    <w:rsid w:val="00907631"/>
    <w:rsid w:val="00907776"/>
    <w:rsid w:val="00907865"/>
    <w:rsid w:val="00907D8F"/>
    <w:rsid w:val="00910509"/>
    <w:rsid w:val="00911D09"/>
    <w:rsid w:val="00913401"/>
    <w:rsid w:val="009134B0"/>
    <w:rsid w:val="00913567"/>
    <w:rsid w:val="009137B6"/>
    <w:rsid w:val="00913A52"/>
    <w:rsid w:val="009143F6"/>
    <w:rsid w:val="0091453F"/>
    <w:rsid w:val="009149BF"/>
    <w:rsid w:val="00915EBA"/>
    <w:rsid w:val="00916AAB"/>
    <w:rsid w:val="00917093"/>
    <w:rsid w:val="0092030E"/>
    <w:rsid w:val="0092134F"/>
    <w:rsid w:val="009217B1"/>
    <w:rsid w:val="00921A42"/>
    <w:rsid w:val="009223BB"/>
    <w:rsid w:val="00922491"/>
    <w:rsid w:val="00923BCF"/>
    <w:rsid w:val="009248CA"/>
    <w:rsid w:val="009251B8"/>
    <w:rsid w:val="00925AEC"/>
    <w:rsid w:val="00925E27"/>
    <w:rsid w:val="009260C9"/>
    <w:rsid w:val="00926559"/>
    <w:rsid w:val="0092751A"/>
    <w:rsid w:val="00927805"/>
    <w:rsid w:val="009305C4"/>
    <w:rsid w:val="00931A67"/>
    <w:rsid w:val="00931FAF"/>
    <w:rsid w:val="00932478"/>
    <w:rsid w:val="0093253D"/>
    <w:rsid w:val="00933D49"/>
    <w:rsid w:val="00935D62"/>
    <w:rsid w:val="009360F6"/>
    <w:rsid w:val="009371DC"/>
    <w:rsid w:val="0093759D"/>
    <w:rsid w:val="00940239"/>
    <w:rsid w:val="00942BD6"/>
    <w:rsid w:val="00942DED"/>
    <w:rsid w:val="009436AE"/>
    <w:rsid w:val="00944404"/>
    <w:rsid w:val="009452D7"/>
    <w:rsid w:val="00945FD1"/>
    <w:rsid w:val="00946CCC"/>
    <w:rsid w:val="00947AE7"/>
    <w:rsid w:val="009503E5"/>
    <w:rsid w:val="00950C3A"/>
    <w:rsid w:val="00950F71"/>
    <w:rsid w:val="009515FF"/>
    <w:rsid w:val="00952F2C"/>
    <w:rsid w:val="009532E3"/>
    <w:rsid w:val="00953615"/>
    <w:rsid w:val="00954BAF"/>
    <w:rsid w:val="00954F58"/>
    <w:rsid w:val="00955F48"/>
    <w:rsid w:val="009560B3"/>
    <w:rsid w:val="0095745E"/>
    <w:rsid w:val="00957CE0"/>
    <w:rsid w:val="0096002E"/>
    <w:rsid w:val="0096039E"/>
    <w:rsid w:val="00962712"/>
    <w:rsid w:val="00962CEF"/>
    <w:rsid w:val="00963766"/>
    <w:rsid w:val="00963FDF"/>
    <w:rsid w:val="00964C32"/>
    <w:rsid w:val="0096528F"/>
    <w:rsid w:val="009653F2"/>
    <w:rsid w:val="009661DF"/>
    <w:rsid w:val="009667BD"/>
    <w:rsid w:val="009675EC"/>
    <w:rsid w:val="00967CE2"/>
    <w:rsid w:val="00971DA3"/>
    <w:rsid w:val="00972161"/>
    <w:rsid w:val="0097261B"/>
    <w:rsid w:val="00973C21"/>
    <w:rsid w:val="00974881"/>
    <w:rsid w:val="00975B77"/>
    <w:rsid w:val="0097606C"/>
    <w:rsid w:val="00976739"/>
    <w:rsid w:val="00976AF9"/>
    <w:rsid w:val="009771D1"/>
    <w:rsid w:val="0098012D"/>
    <w:rsid w:val="00980845"/>
    <w:rsid w:val="00981BD9"/>
    <w:rsid w:val="0098225F"/>
    <w:rsid w:val="00982AA2"/>
    <w:rsid w:val="00983A3C"/>
    <w:rsid w:val="00983EFA"/>
    <w:rsid w:val="00984C15"/>
    <w:rsid w:val="00987829"/>
    <w:rsid w:val="00987F7A"/>
    <w:rsid w:val="00991276"/>
    <w:rsid w:val="009923E7"/>
    <w:rsid w:val="00992697"/>
    <w:rsid w:val="00992D4E"/>
    <w:rsid w:val="009934BB"/>
    <w:rsid w:val="00994621"/>
    <w:rsid w:val="009947FF"/>
    <w:rsid w:val="00994FB2"/>
    <w:rsid w:val="00995029"/>
    <w:rsid w:val="0099544B"/>
    <w:rsid w:val="009A07A6"/>
    <w:rsid w:val="009A0D56"/>
    <w:rsid w:val="009A3005"/>
    <w:rsid w:val="009A31B9"/>
    <w:rsid w:val="009A4D4F"/>
    <w:rsid w:val="009A53D8"/>
    <w:rsid w:val="009A578F"/>
    <w:rsid w:val="009A597F"/>
    <w:rsid w:val="009A6700"/>
    <w:rsid w:val="009A7B72"/>
    <w:rsid w:val="009A7F49"/>
    <w:rsid w:val="009B03C4"/>
    <w:rsid w:val="009B0AA2"/>
    <w:rsid w:val="009B1D02"/>
    <w:rsid w:val="009B7133"/>
    <w:rsid w:val="009B7658"/>
    <w:rsid w:val="009B7CD1"/>
    <w:rsid w:val="009B7E22"/>
    <w:rsid w:val="009B7E78"/>
    <w:rsid w:val="009B7F1B"/>
    <w:rsid w:val="009C01BA"/>
    <w:rsid w:val="009C10FE"/>
    <w:rsid w:val="009C13BC"/>
    <w:rsid w:val="009C1CA4"/>
    <w:rsid w:val="009C2532"/>
    <w:rsid w:val="009C2BA4"/>
    <w:rsid w:val="009C6091"/>
    <w:rsid w:val="009C634F"/>
    <w:rsid w:val="009D0219"/>
    <w:rsid w:val="009D0D55"/>
    <w:rsid w:val="009D2295"/>
    <w:rsid w:val="009D2511"/>
    <w:rsid w:val="009D3E7C"/>
    <w:rsid w:val="009D54DF"/>
    <w:rsid w:val="009D55CA"/>
    <w:rsid w:val="009D5B35"/>
    <w:rsid w:val="009D5EF0"/>
    <w:rsid w:val="009D6401"/>
    <w:rsid w:val="009E0711"/>
    <w:rsid w:val="009E1917"/>
    <w:rsid w:val="009E3594"/>
    <w:rsid w:val="009E4713"/>
    <w:rsid w:val="009E5E0A"/>
    <w:rsid w:val="009E6B77"/>
    <w:rsid w:val="009E6D9B"/>
    <w:rsid w:val="009E7724"/>
    <w:rsid w:val="009E7D1F"/>
    <w:rsid w:val="009F0A21"/>
    <w:rsid w:val="009F1D82"/>
    <w:rsid w:val="009F37AA"/>
    <w:rsid w:val="009F544C"/>
    <w:rsid w:val="009F55E4"/>
    <w:rsid w:val="009F5731"/>
    <w:rsid w:val="009F6321"/>
    <w:rsid w:val="009F6378"/>
    <w:rsid w:val="009F6950"/>
    <w:rsid w:val="009F6A96"/>
    <w:rsid w:val="009F7669"/>
    <w:rsid w:val="009F7F00"/>
    <w:rsid w:val="009F7F45"/>
    <w:rsid w:val="009F7FD5"/>
    <w:rsid w:val="00A005D4"/>
    <w:rsid w:val="00A0083C"/>
    <w:rsid w:val="00A01650"/>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16E4"/>
    <w:rsid w:val="00A229BD"/>
    <w:rsid w:val="00A24269"/>
    <w:rsid w:val="00A243E4"/>
    <w:rsid w:val="00A25392"/>
    <w:rsid w:val="00A25ED4"/>
    <w:rsid w:val="00A2615A"/>
    <w:rsid w:val="00A263DF"/>
    <w:rsid w:val="00A26C5C"/>
    <w:rsid w:val="00A3026E"/>
    <w:rsid w:val="00A30BDE"/>
    <w:rsid w:val="00A3131C"/>
    <w:rsid w:val="00A31F14"/>
    <w:rsid w:val="00A324DC"/>
    <w:rsid w:val="00A32B5A"/>
    <w:rsid w:val="00A33CCC"/>
    <w:rsid w:val="00A33ECB"/>
    <w:rsid w:val="00A34DE0"/>
    <w:rsid w:val="00A35728"/>
    <w:rsid w:val="00A36327"/>
    <w:rsid w:val="00A36EE3"/>
    <w:rsid w:val="00A37435"/>
    <w:rsid w:val="00A4173D"/>
    <w:rsid w:val="00A41A95"/>
    <w:rsid w:val="00A4248B"/>
    <w:rsid w:val="00A4376E"/>
    <w:rsid w:val="00A4572B"/>
    <w:rsid w:val="00A45E17"/>
    <w:rsid w:val="00A46246"/>
    <w:rsid w:val="00A46349"/>
    <w:rsid w:val="00A46D5E"/>
    <w:rsid w:val="00A46EF7"/>
    <w:rsid w:val="00A50847"/>
    <w:rsid w:val="00A512C7"/>
    <w:rsid w:val="00A5131C"/>
    <w:rsid w:val="00A522B7"/>
    <w:rsid w:val="00A52887"/>
    <w:rsid w:val="00A52EBB"/>
    <w:rsid w:val="00A52F2A"/>
    <w:rsid w:val="00A54BFF"/>
    <w:rsid w:val="00A54C63"/>
    <w:rsid w:val="00A54FBB"/>
    <w:rsid w:val="00A555A0"/>
    <w:rsid w:val="00A55BB1"/>
    <w:rsid w:val="00A55D71"/>
    <w:rsid w:val="00A55FD6"/>
    <w:rsid w:val="00A5619C"/>
    <w:rsid w:val="00A564CD"/>
    <w:rsid w:val="00A564CE"/>
    <w:rsid w:val="00A5675F"/>
    <w:rsid w:val="00A604A1"/>
    <w:rsid w:val="00A609CC"/>
    <w:rsid w:val="00A60D6F"/>
    <w:rsid w:val="00A61009"/>
    <w:rsid w:val="00A61762"/>
    <w:rsid w:val="00A61938"/>
    <w:rsid w:val="00A61985"/>
    <w:rsid w:val="00A619C6"/>
    <w:rsid w:val="00A61CFD"/>
    <w:rsid w:val="00A62B73"/>
    <w:rsid w:val="00A62B86"/>
    <w:rsid w:val="00A63C96"/>
    <w:rsid w:val="00A64E98"/>
    <w:rsid w:val="00A65805"/>
    <w:rsid w:val="00A66BEE"/>
    <w:rsid w:val="00A6719A"/>
    <w:rsid w:val="00A671C9"/>
    <w:rsid w:val="00A67DFD"/>
    <w:rsid w:val="00A71070"/>
    <w:rsid w:val="00A73256"/>
    <w:rsid w:val="00A74F9F"/>
    <w:rsid w:val="00A750B3"/>
    <w:rsid w:val="00A75559"/>
    <w:rsid w:val="00A7623D"/>
    <w:rsid w:val="00A769EF"/>
    <w:rsid w:val="00A8217C"/>
    <w:rsid w:val="00A822B3"/>
    <w:rsid w:val="00A824A7"/>
    <w:rsid w:val="00A83644"/>
    <w:rsid w:val="00A83C07"/>
    <w:rsid w:val="00A83F40"/>
    <w:rsid w:val="00A84945"/>
    <w:rsid w:val="00A85543"/>
    <w:rsid w:val="00A8728B"/>
    <w:rsid w:val="00A91682"/>
    <w:rsid w:val="00A91AAB"/>
    <w:rsid w:val="00A92125"/>
    <w:rsid w:val="00A92E4A"/>
    <w:rsid w:val="00A958CA"/>
    <w:rsid w:val="00A95F20"/>
    <w:rsid w:val="00A966B6"/>
    <w:rsid w:val="00A96B46"/>
    <w:rsid w:val="00A96D0B"/>
    <w:rsid w:val="00AA003B"/>
    <w:rsid w:val="00AA016B"/>
    <w:rsid w:val="00AA15DD"/>
    <w:rsid w:val="00AA1C09"/>
    <w:rsid w:val="00AA2F67"/>
    <w:rsid w:val="00AA3569"/>
    <w:rsid w:val="00AA5F4C"/>
    <w:rsid w:val="00AA615C"/>
    <w:rsid w:val="00AA6711"/>
    <w:rsid w:val="00AA7A6E"/>
    <w:rsid w:val="00AA7C97"/>
    <w:rsid w:val="00AB19FA"/>
    <w:rsid w:val="00AB2AEC"/>
    <w:rsid w:val="00AB2DC1"/>
    <w:rsid w:val="00AB3102"/>
    <w:rsid w:val="00AB3D9A"/>
    <w:rsid w:val="00AB4824"/>
    <w:rsid w:val="00AB4B1D"/>
    <w:rsid w:val="00AB62AA"/>
    <w:rsid w:val="00AB6B5E"/>
    <w:rsid w:val="00AC047F"/>
    <w:rsid w:val="00AC2245"/>
    <w:rsid w:val="00AC3447"/>
    <w:rsid w:val="00AC3934"/>
    <w:rsid w:val="00AC50C8"/>
    <w:rsid w:val="00AC5581"/>
    <w:rsid w:val="00AC56AD"/>
    <w:rsid w:val="00AC6153"/>
    <w:rsid w:val="00AC61BE"/>
    <w:rsid w:val="00AD0C8A"/>
    <w:rsid w:val="00AD0CB4"/>
    <w:rsid w:val="00AD1497"/>
    <w:rsid w:val="00AD1CE0"/>
    <w:rsid w:val="00AD1FF2"/>
    <w:rsid w:val="00AD271C"/>
    <w:rsid w:val="00AD2A21"/>
    <w:rsid w:val="00AD3B43"/>
    <w:rsid w:val="00AD4FF2"/>
    <w:rsid w:val="00AD506C"/>
    <w:rsid w:val="00AD6BE5"/>
    <w:rsid w:val="00AD7328"/>
    <w:rsid w:val="00AD783E"/>
    <w:rsid w:val="00AD7FC2"/>
    <w:rsid w:val="00AE11B8"/>
    <w:rsid w:val="00AE1393"/>
    <w:rsid w:val="00AE34D5"/>
    <w:rsid w:val="00AE3BC6"/>
    <w:rsid w:val="00AE41BD"/>
    <w:rsid w:val="00AE4D4F"/>
    <w:rsid w:val="00AE627C"/>
    <w:rsid w:val="00AE62B0"/>
    <w:rsid w:val="00AE68A2"/>
    <w:rsid w:val="00AE70E5"/>
    <w:rsid w:val="00AF0029"/>
    <w:rsid w:val="00AF0354"/>
    <w:rsid w:val="00AF0521"/>
    <w:rsid w:val="00AF1236"/>
    <w:rsid w:val="00AF2838"/>
    <w:rsid w:val="00AF3C29"/>
    <w:rsid w:val="00AF3FAD"/>
    <w:rsid w:val="00AF4401"/>
    <w:rsid w:val="00AF4463"/>
    <w:rsid w:val="00AF53CB"/>
    <w:rsid w:val="00AF65C5"/>
    <w:rsid w:val="00AF7EDC"/>
    <w:rsid w:val="00B0083B"/>
    <w:rsid w:val="00B008F4"/>
    <w:rsid w:val="00B02253"/>
    <w:rsid w:val="00B02317"/>
    <w:rsid w:val="00B02593"/>
    <w:rsid w:val="00B03CE2"/>
    <w:rsid w:val="00B04989"/>
    <w:rsid w:val="00B06544"/>
    <w:rsid w:val="00B105F2"/>
    <w:rsid w:val="00B10991"/>
    <w:rsid w:val="00B12128"/>
    <w:rsid w:val="00B12945"/>
    <w:rsid w:val="00B12C1E"/>
    <w:rsid w:val="00B1467D"/>
    <w:rsid w:val="00B155DF"/>
    <w:rsid w:val="00B156CF"/>
    <w:rsid w:val="00B1570E"/>
    <w:rsid w:val="00B1648C"/>
    <w:rsid w:val="00B176B9"/>
    <w:rsid w:val="00B17AD5"/>
    <w:rsid w:val="00B17DC8"/>
    <w:rsid w:val="00B17E1E"/>
    <w:rsid w:val="00B207F1"/>
    <w:rsid w:val="00B20A42"/>
    <w:rsid w:val="00B20BDE"/>
    <w:rsid w:val="00B20C41"/>
    <w:rsid w:val="00B20DB3"/>
    <w:rsid w:val="00B2138D"/>
    <w:rsid w:val="00B21768"/>
    <w:rsid w:val="00B21F09"/>
    <w:rsid w:val="00B23F86"/>
    <w:rsid w:val="00B248A0"/>
    <w:rsid w:val="00B24B42"/>
    <w:rsid w:val="00B24DC6"/>
    <w:rsid w:val="00B24E30"/>
    <w:rsid w:val="00B258F3"/>
    <w:rsid w:val="00B26234"/>
    <w:rsid w:val="00B2659C"/>
    <w:rsid w:val="00B26B13"/>
    <w:rsid w:val="00B26BD2"/>
    <w:rsid w:val="00B26FD7"/>
    <w:rsid w:val="00B270AB"/>
    <w:rsid w:val="00B2725B"/>
    <w:rsid w:val="00B306FC"/>
    <w:rsid w:val="00B309D2"/>
    <w:rsid w:val="00B30A5D"/>
    <w:rsid w:val="00B30E4F"/>
    <w:rsid w:val="00B3124F"/>
    <w:rsid w:val="00B32415"/>
    <w:rsid w:val="00B33294"/>
    <w:rsid w:val="00B33657"/>
    <w:rsid w:val="00B345EF"/>
    <w:rsid w:val="00B34885"/>
    <w:rsid w:val="00B34D68"/>
    <w:rsid w:val="00B35603"/>
    <w:rsid w:val="00B36117"/>
    <w:rsid w:val="00B362E3"/>
    <w:rsid w:val="00B37C73"/>
    <w:rsid w:val="00B4009B"/>
    <w:rsid w:val="00B400A1"/>
    <w:rsid w:val="00B40A2B"/>
    <w:rsid w:val="00B420CB"/>
    <w:rsid w:val="00B43D1A"/>
    <w:rsid w:val="00B4401C"/>
    <w:rsid w:val="00B44802"/>
    <w:rsid w:val="00B44A96"/>
    <w:rsid w:val="00B455D1"/>
    <w:rsid w:val="00B45CF6"/>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5718B"/>
    <w:rsid w:val="00B60D27"/>
    <w:rsid w:val="00B619E4"/>
    <w:rsid w:val="00B61CD3"/>
    <w:rsid w:val="00B61D0B"/>
    <w:rsid w:val="00B6351C"/>
    <w:rsid w:val="00B6439A"/>
    <w:rsid w:val="00B6443B"/>
    <w:rsid w:val="00B6517B"/>
    <w:rsid w:val="00B6559F"/>
    <w:rsid w:val="00B65E71"/>
    <w:rsid w:val="00B66C26"/>
    <w:rsid w:val="00B67829"/>
    <w:rsid w:val="00B71FB3"/>
    <w:rsid w:val="00B72157"/>
    <w:rsid w:val="00B73492"/>
    <w:rsid w:val="00B73A4B"/>
    <w:rsid w:val="00B7512A"/>
    <w:rsid w:val="00B759FD"/>
    <w:rsid w:val="00B76548"/>
    <w:rsid w:val="00B76BED"/>
    <w:rsid w:val="00B806E6"/>
    <w:rsid w:val="00B82110"/>
    <w:rsid w:val="00B8282F"/>
    <w:rsid w:val="00B82DC1"/>
    <w:rsid w:val="00B835D5"/>
    <w:rsid w:val="00B84028"/>
    <w:rsid w:val="00B84307"/>
    <w:rsid w:val="00B8430D"/>
    <w:rsid w:val="00B84AE4"/>
    <w:rsid w:val="00B85661"/>
    <w:rsid w:val="00B85675"/>
    <w:rsid w:val="00B858BF"/>
    <w:rsid w:val="00B85C8A"/>
    <w:rsid w:val="00B86FBD"/>
    <w:rsid w:val="00B87E90"/>
    <w:rsid w:val="00B91B86"/>
    <w:rsid w:val="00B927CA"/>
    <w:rsid w:val="00B928AE"/>
    <w:rsid w:val="00B936C9"/>
    <w:rsid w:val="00B93CDA"/>
    <w:rsid w:val="00B942E9"/>
    <w:rsid w:val="00B9433A"/>
    <w:rsid w:val="00B948EE"/>
    <w:rsid w:val="00B94BF3"/>
    <w:rsid w:val="00B94F90"/>
    <w:rsid w:val="00B95990"/>
    <w:rsid w:val="00B95DC5"/>
    <w:rsid w:val="00B96E28"/>
    <w:rsid w:val="00B97E34"/>
    <w:rsid w:val="00B97FEF"/>
    <w:rsid w:val="00BA12E8"/>
    <w:rsid w:val="00BA1354"/>
    <w:rsid w:val="00BA24F8"/>
    <w:rsid w:val="00BA2B5A"/>
    <w:rsid w:val="00BA2E74"/>
    <w:rsid w:val="00BA31AA"/>
    <w:rsid w:val="00BA45D8"/>
    <w:rsid w:val="00BA5828"/>
    <w:rsid w:val="00BA64B3"/>
    <w:rsid w:val="00BA754A"/>
    <w:rsid w:val="00BA7820"/>
    <w:rsid w:val="00BA794C"/>
    <w:rsid w:val="00BB09FB"/>
    <w:rsid w:val="00BB0D81"/>
    <w:rsid w:val="00BB238D"/>
    <w:rsid w:val="00BB2728"/>
    <w:rsid w:val="00BB37CC"/>
    <w:rsid w:val="00BB48C4"/>
    <w:rsid w:val="00BB524F"/>
    <w:rsid w:val="00BB57A1"/>
    <w:rsid w:val="00BB593B"/>
    <w:rsid w:val="00BB6907"/>
    <w:rsid w:val="00BB7A20"/>
    <w:rsid w:val="00BC15B1"/>
    <w:rsid w:val="00BC3C06"/>
    <w:rsid w:val="00BC459F"/>
    <w:rsid w:val="00BC4E8B"/>
    <w:rsid w:val="00BC5622"/>
    <w:rsid w:val="00BC6060"/>
    <w:rsid w:val="00BC6A9F"/>
    <w:rsid w:val="00BC7897"/>
    <w:rsid w:val="00BD00D8"/>
    <w:rsid w:val="00BD06D7"/>
    <w:rsid w:val="00BD0F35"/>
    <w:rsid w:val="00BD2703"/>
    <w:rsid w:val="00BD3B4F"/>
    <w:rsid w:val="00BD3DD4"/>
    <w:rsid w:val="00BD45A4"/>
    <w:rsid w:val="00BD4A5F"/>
    <w:rsid w:val="00BD59AA"/>
    <w:rsid w:val="00BD65E6"/>
    <w:rsid w:val="00BD6AF7"/>
    <w:rsid w:val="00BE19EF"/>
    <w:rsid w:val="00BE425B"/>
    <w:rsid w:val="00BE51BB"/>
    <w:rsid w:val="00BE5EDF"/>
    <w:rsid w:val="00BE7595"/>
    <w:rsid w:val="00BE77D3"/>
    <w:rsid w:val="00BF0138"/>
    <w:rsid w:val="00BF114B"/>
    <w:rsid w:val="00BF1620"/>
    <w:rsid w:val="00BF1AC3"/>
    <w:rsid w:val="00BF1C78"/>
    <w:rsid w:val="00BF373A"/>
    <w:rsid w:val="00BF409D"/>
    <w:rsid w:val="00BF5148"/>
    <w:rsid w:val="00BF62D2"/>
    <w:rsid w:val="00BF6D9E"/>
    <w:rsid w:val="00BF71BB"/>
    <w:rsid w:val="00BF76F7"/>
    <w:rsid w:val="00BF7AA9"/>
    <w:rsid w:val="00BF7C9F"/>
    <w:rsid w:val="00C00012"/>
    <w:rsid w:val="00C000A5"/>
    <w:rsid w:val="00C006B4"/>
    <w:rsid w:val="00C00938"/>
    <w:rsid w:val="00C00E2A"/>
    <w:rsid w:val="00C020FA"/>
    <w:rsid w:val="00C025B9"/>
    <w:rsid w:val="00C044B4"/>
    <w:rsid w:val="00C0505C"/>
    <w:rsid w:val="00C05105"/>
    <w:rsid w:val="00C05A5D"/>
    <w:rsid w:val="00C0654A"/>
    <w:rsid w:val="00C06DE3"/>
    <w:rsid w:val="00C06F97"/>
    <w:rsid w:val="00C073EA"/>
    <w:rsid w:val="00C10703"/>
    <w:rsid w:val="00C10BE6"/>
    <w:rsid w:val="00C10DFE"/>
    <w:rsid w:val="00C11296"/>
    <w:rsid w:val="00C11905"/>
    <w:rsid w:val="00C1234A"/>
    <w:rsid w:val="00C123D9"/>
    <w:rsid w:val="00C12661"/>
    <w:rsid w:val="00C126E3"/>
    <w:rsid w:val="00C1330F"/>
    <w:rsid w:val="00C13DE2"/>
    <w:rsid w:val="00C13ED7"/>
    <w:rsid w:val="00C14615"/>
    <w:rsid w:val="00C14F48"/>
    <w:rsid w:val="00C15296"/>
    <w:rsid w:val="00C17750"/>
    <w:rsid w:val="00C2094B"/>
    <w:rsid w:val="00C20DC5"/>
    <w:rsid w:val="00C2140B"/>
    <w:rsid w:val="00C228C1"/>
    <w:rsid w:val="00C2294E"/>
    <w:rsid w:val="00C22A5B"/>
    <w:rsid w:val="00C23412"/>
    <w:rsid w:val="00C24C41"/>
    <w:rsid w:val="00C25F79"/>
    <w:rsid w:val="00C264C7"/>
    <w:rsid w:val="00C2682A"/>
    <w:rsid w:val="00C271C4"/>
    <w:rsid w:val="00C274F3"/>
    <w:rsid w:val="00C27700"/>
    <w:rsid w:val="00C30A54"/>
    <w:rsid w:val="00C316F7"/>
    <w:rsid w:val="00C31B7F"/>
    <w:rsid w:val="00C31DF0"/>
    <w:rsid w:val="00C3350A"/>
    <w:rsid w:val="00C33916"/>
    <w:rsid w:val="00C33BCF"/>
    <w:rsid w:val="00C352C8"/>
    <w:rsid w:val="00C353A0"/>
    <w:rsid w:val="00C368D7"/>
    <w:rsid w:val="00C36FD1"/>
    <w:rsid w:val="00C371A5"/>
    <w:rsid w:val="00C400B0"/>
    <w:rsid w:val="00C413FC"/>
    <w:rsid w:val="00C41C06"/>
    <w:rsid w:val="00C42424"/>
    <w:rsid w:val="00C43AC9"/>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64A3"/>
    <w:rsid w:val="00C570B3"/>
    <w:rsid w:val="00C6009F"/>
    <w:rsid w:val="00C60417"/>
    <w:rsid w:val="00C6046F"/>
    <w:rsid w:val="00C638C2"/>
    <w:rsid w:val="00C63FB8"/>
    <w:rsid w:val="00C651D4"/>
    <w:rsid w:val="00C6669E"/>
    <w:rsid w:val="00C672B0"/>
    <w:rsid w:val="00C729C7"/>
    <w:rsid w:val="00C77421"/>
    <w:rsid w:val="00C777AD"/>
    <w:rsid w:val="00C80C53"/>
    <w:rsid w:val="00C81195"/>
    <w:rsid w:val="00C81798"/>
    <w:rsid w:val="00C81CF9"/>
    <w:rsid w:val="00C82671"/>
    <w:rsid w:val="00C85387"/>
    <w:rsid w:val="00C85E52"/>
    <w:rsid w:val="00C86471"/>
    <w:rsid w:val="00C8677B"/>
    <w:rsid w:val="00C86F96"/>
    <w:rsid w:val="00C87743"/>
    <w:rsid w:val="00C909C6"/>
    <w:rsid w:val="00C915C7"/>
    <w:rsid w:val="00C923B7"/>
    <w:rsid w:val="00C94D4C"/>
    <w:rsid w:val="00C958B5"/>
    <w:rsid w:val="00C96C1E"/>
    <w:rsid w:val="00C96CA4"/>
    <w:rsid w:val="00C97408"/>
    <w:rsid w:val="00C97754"/>
    <w:rsid w:val="00CA012C"/>
    <w:rsid w:val="00CA0AA6"/>
    <w:rsid w:val="00CA2897"/>
    <w:rsid w:val="00CA30ED"/>
    <w:rsid w:val="00CA44F3"/>
    <w:rsid w:val="00CA484C"/>
    <w:rsid w:val="00CA582C"/>
    <w:rsid w:val="00CA6077"/>
    <w:rsid w:val="00CA690F"/>
    <w:rsid w:val="00CA715B"/>
    <w:rsid w:val="00CA7988"/>
    <w:rsid w:val="00CA7BA2"/>
    <w:rsid w:val="00CB0B78"/>
    <w:rsid w:val="00CB12A5"/>
    <w:rsid w:val="00CB17FA"/>
    <w:rsid w:val="00CB23D8"/>
    <w:rsid w:val="00CB2ED9"/>
    <w:rsid w:val="00CB36A5"/>
    <w:rsid w:val="00CB4C13"/>
    <w:rsid w:val="00CB56B4"/>
    <w:rsid w:val="00CB7286"/>
    <w:rsid w:val="00CB7947"/>
    <w:rsid w:val="00CC1783"/>
    <w:rsid w:val="00CC3B46"/>
    <w:rsid w:val="00CC3D8B"/>
    <w:rsid w:val="00CC4ACB"/>
    <w:rsid w:val="00CC4E27"/>
    <w:rsid w:val="00CC570C"/>
    <w:rsid w:val="00CC62B6"/>
    <w:rsid w:val="00CC76AA"/>
    <w:rsid w:val="00CC7CD2"/>
    <w:rsid w:val="00CD05BB"/>
    <w:rsid w:val="00CD05CF"/>
    <w:rsid w:val="00CD07C7"/>
    <w:rsid w:val="00CD1EF3"/>
    <w:rsid w:val="00CD1FAE"/>
    <w:rsid w:val="00CD232F"/>
    <w:rsid w:val="00CD279E"/>
    <w:rsid w:val="00CD2F92"/>
    <w:rsid w:val="00CD3BFB"/>
    <w:rsid w:val="00CD4EB0"/>
    <w:rsid w:val="00CD512D"/>
    <w:rsid w:val="00CD5831"/>
    <w:rsid w:val="00CD6F6E"/>
    <w:rsid w:val="00CE00D7"/>
    <w:rsid w:val="00CE157F"/>
    <w:rsid w:val="00CE1966"/>
    <w:rsid w:val="00CE1ED4"/>
    <w:rsid w:val="00CE2216"/>
    <w:rsid w:val="00CE2C90"/>
    <w:rsid w:val="00CE3014"/>
    <w:rsid w:val="00CE30E5"/>
    <w:rsid w:val="00CE6FC6"/>
    <w:rsid w:val="00CF063C"/>
    <w:rsid w:val="00CF2056"/>
    <w:rsid w:val="00CF4471"/>
    <w:rsid w:val="00CF51C0"/>
    <w:rsid w:val="00CF5B2A"/>
    <w:rsid w:val="00CF5F57"/>
    <w:rsid w:val="00CF64A7"/>
    <w:rsid w:val="00CF6730"/>
    <w:rsid w:val="00CF706A"/>
    <w:rsid w:val="00CF70E5"/>
    <w:rsid w:val="00CF7CEC"/>
    <w:rsid w:val="00D00B0F"/>
    <w:rsid w:val="00D01BF4"/>
    <w:rsid w:val="00D0272C"/>
    <w:rsid w:val="00D0396B"/>
    <w:rsid w:val="00D045CE"/>
    <w:rsid w:val="00D05082"/>
    <w:rsid w:val="00D057C9"/>
    <w:rsid w:val="00D06163"/>
    <w:rsid w:val="00D06937"/>
    <w:rsid w:val="00D07AFD"/>
    <w:rsid w:val="00D1081D"/>
    <w:rsid w:val="00D11749"/>
    <w:rsid w:val="00D12A7D"/>
    <w:rsid w:val="00D137FD"/>
    <w:rsid w:val="00D13AB0"/>
    <w:rsid w:val="00D1519E"/>
    <w:rsid w:val="00D152B7"/>
    <w:rsid w:val="00D15981"/>
    <w:rsid w:val="00D15F96"/>
    <w:rsid w:val="00D16CFC"/>
    <w:rsid w:val="00D16EDC"/>
    <w:rsid w:val="00D17FDE"/>
    <w:rsid w:val="00D201CB"/>
    <w:rsid w:val="00D22285"/>
    <w:rsid w:val="00D22786"/>
    <w:rsid w:val="00D228B4"/>
    <w:rsid w:val="00D22BE1"/>
    <w:rsid w:val="00D25AC4"/>
    <w:rsid w:val="00D305F6"/>
    <w:rsid w:val="00D30B25"/>
    <w:rsid w:val="00D31254"/>
    <w:rsid w:val="00D3175A"/>
    <w:rsid w:val="00D31A00"/>
    <w:rsid w:val="00D323E4"/>
    <w:rsid w:val="00D32871"/>
    <w:rsid w:val="00D329F6"/>
    <w:rsid w:val="00D33881"/>
    <w:rsid w:val="00D34282"/>
    <w:rsid w:val="00D366B1"/>
    <w:rsid w:val="00D37AE0"/>
    <w:rsid w:val="00D403BD"/>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5058"/>
    <w:rsid w:val="00D556D9"/>
    <w:rsid w:val="00D56AC0"/>
    <w:rsid w:val="00D57C37"/>
    <w:rsid w:val="00D6081B"/>
    <w:rsid w:val="00D60960"/>
    <w:rsid w:val="00D6240A"/>
    <w:rsid w:val="00D63093"/>
    <w:rsid w:val="00D63599"/>
    <w:rsid w:val="00D63EBD"/>
    <w:rsid w:val="00D66F10"/>
    <w:rsid w:val="00D67101"/>
    <w:rsid w:val="00D7000A"/>
    <w:rsid w:val="00D71B45"/>
    <w:rsid w:val="00D71F8A"/>
    <w:rsid w:val="00D75603"/>
    <w:rsid w:val="00D75FEE"/>
    <w:rsid w:val="00D76652"/>
    <w:rsid w:val="00D76933"/>
    <w:rsid w:val="00D76D88"/>
    <w:rsid w:val="00D77CC9"/>
    <w:rsid w:val="00D81F18"/>
    <w:rsid w:val="00D82BCD"/>
    <w:rsid w:val="00D83D4B"/>
    <w:rsid w:val="00D86C62"/>
    <w:rsid w:val="00D86D7B"/>
    <w:rsid w:val="00D871C6"/>
    <w:rsid w:val="00D87AB5"/>
    <w:rsid w:val="00D87FC6"/>
    <w:rsid w:val="00D91010"/>
    <w:rsid w:val="00D9143D"/>
    <w:rsid w:val="00D920D1"/>
    <w:rsid w:val="00D9474A"/>
    <w:rsid w:val="00D94998"/>
    <w:rsid w:val="00D97FF6"/>
    <w:rsid w:val="00DA0FA7"/>
    <w:rsid w:val="00DA12B0"/>
    <w:rsid w:val="00DA20D5"/>
    <w:rsid w:val="00DA23C6"/>
    <w:rsid w:val="00DA2900"/>
    <w:rsid w:val="00DA29DF"/>
    <w:rsid w:val="00DA2BA0"/>
    <w:rsid w:val="00DA39AD"/>
    <w:rsid w:val="00DA5B13"/>
    <w:rsid w:val="00DA6616"/>
    <w:rsid w:val="00DA6917"/>
    <w:rsid w:val="00DA6926"/>
    <w:rsid w:val="00DA7183"/>
    <w:rsid w:val="00DA7B0D"/>
    <w:rsid w:val="00DB060C"/>
    <w:rsid w:val="00DB0965"/>
    <w:rsid w:val="00DB0E47"/>
    <w:rsid w:val="00DB2BDD"/>
    <w:rsid w:val="00DB2C6A"/>
    <w:rsid w:val="00DB2F94"/>
    <w:rsid w:val="00DB35FF"/>
    <w:rsid w:val="00DB4121"/>
    <w:rsid w:val="00DB46C3"/>
    <w:rsid w:val="00DB5742"/>
    <w:rsid w:val="00DB5EDF"/>
    <w:rsid w:val="00DB6C46"/>
    <w:rsid w:val="00DB72B8"/>
    <w:rsid w:val="00DC16AF"/>
    <w:rsid w:val="00DC1CC9"/>
    <w:rsid w:val="00DC2A9A"/>
    <w:rsid w:val="00DC2E2E"/>
    <w:rsid w:val="00DC4D68"/>
    <w:rsid w:val="00DC6463"/>
    <w:rsid w:val="00DC7822"/>
    <w:rsid w:val="00DC7AF1"/>
    <w:rsid w:val="00DD15DA"/>
    <w:rsid w:val="00DD2CDA"/>
    <w:rsid w:val="00DD2D92"/>
    <w:rsid w:val="00DD3026"/>
    <w:rsid w:val="00DD33DC"/>
    <w:rsid w:val="00DD3BB0"/>
    <w:rsid w:val="00DD4358"/>
    <w:rsid w:val="00DD549B"/>
    <w:rsid w:val="00DD61F5"/>
    <w:rsid w:val="00DD6325"/>
    <w:rsid w:val="00DD6481"/>
    <w:rsid w:val="00DD7418"/>
    <w:rsid w:val="00DE0A2B"/>
    <w:rsid w:val="00DE2486"/>
    <w:rsid w:val="00DE60B3"/>
    <w:rsid w:val="00DE64A6"/>
    <w:rsid w:val="00DE66EB"/>
    <w:rsid w:val="00DE7035"/>
    <w:rsid w:val="00DF029C"/>
    <w:rsid w:val="00DF0DC0"/>
    <w:rsid w:val="00DF12E3"/>
    <w:rsid w:val="00DF1A2A"/>
    <w:rsid w:val="00DF2A20"/>
    <w:rsid w:val="00DF3F0E"/>
    <w:rsid w:val="00DF3F1D"/>
    <w:rsid w:val="00DF595C"/>
    <w:rsid w:val="00DF76C9"/>
    <w:rsid w:val="00DF7EA7"/>
    <w:rsid w:val="00E004B6"/>
    <w:rsid w:val="00E02058"/>
    <w:rsid w:val="00E04548"/>
    <w:rsid w:val="00E04712"/>
    <w:rsid w:val="00E0484E"/>
    <w:rsid w:val="00E063F8"/>
    <w:rsid w:val="00E114D6"/>
    <w:rsid w:val="00E1166E"/>
    <w:rsid w:val="00E11DBD"/>
    <w:rsid w:val="00E13211"/>
    <w:rsid w:val="00E15760"/>
    <w:rsid w:val="00E15D92"/>
    <w:rsid w:val="00E16FB5"/>
    <w:rsid w:val="00E179D6"/>
    <w:rsid w:val="00E21407"/>
    <w:rsid w:val="00E21A2F"/>
    <w:rsid w:val="00E22668"/>
    <w:rsid w:val="00E227D3"/>
    <w:rsid w:val="00E22BFF"/>
    <w:rsid w:val="00E22CB0"/>
    <w:rsid w:val="00E23798"/>
    <w:rsid w:val="00E25503"/>
    <w:rsid w:val="00E2585D"/>
    <w:rsid w:val="00E25DBD"/>
    <w:rsid w:val="00E25FA2"/>
    <w:rsid w:val="00E2723D"/>
    <w:rsid w:val="00E278C9"/>
    <w:rsid w:val="00E27C77"/>
    <w:rsid w:val="00E3179E"/>
    <w:rsid w:val="00E32AC9"/>
    <w:rsid w:val="00E32FF6"/>
    <w:rsid w:val="00E354DA"/>
    <w:rsid w:val="00E354F5"/>
    <w:rsid w:val="00E357E2"/>
    <w:rsid w:val="00E3687E"/>
    <w:rsid w:val="00E40974"/>
    <w:rsid w:val="00E40AAB"/>
    <w:rsid w:val="00E41205"/>
    <w:rsid w:val="00E41F32"/>
    <w:rsid w:val="00E42608"/>
    <w:rsid w:val="00E43536"/>
    <w:rsid w:val="00E43DA3"/>
    <w:rsid w:val="00E44B80"/>
    <w:rsid w:val="00E45938"/>
    <w:rsid w:val="00E47430"/>
    <w:rsid w:val="00E47F8F"/>
    <w:rsid w:val="00E50FB7"/>
    <w:rsid w:val="00E5199F"/>
    <w:rsid w:val="00E5220E"/>
    <w:rsid w:val="00E526DF"/>
    <w:rsid w:val="00E52957"/>
    <w:rsid w:val="00E52F41"/>
    <w:rsid w:val="00E532FD"/>
    <w:rsid w:val="00E53C15"/>
    <w:rsid w:val="00E5406A"/>
    <w:rsid w:val="00E54EE6"/>
    <w:rsid w:val="00E56715"/>
    <w:rsid w:val="00E56C2C"/>
    <w:rsid w:val="00E57F8E"/>
    <w:rsid w:val="00E611C8"/>
    <w:rsid w:val="00E611E4"/>
    <w:rsid w:val="00E6344A"/>
    <w:rsid w:val="00E63995"/>
    <w:rsid w:val="00E64E69"/>
    <w:rsid w:val="00E64FB7"/>
    <w:rsid w:val="00E669A1"/>
    <w:rsid w:val="00E679BA"/>
    <w:rsid w:val="00E67DCE"/>
    <w:rsid w:val="00E70243"/>
    <w:rsid w:val="00E718A0"/>
    <w:rsid w:val="00E72CC6"/>
    <w:rsid w:val="00E73D44"/>
    <w:rsid w:val="00E74659"/>
    <w:rsid w:val="00E7494A"/>
    <w:rsid w:val="00E74BE2"/>
    <w:rsid w:val="00E74C66"/>
    <w:rsid w:val="00E75933"/>
    <w:rsid w:val="00E77A1B"/>
    <w:rsid w:val="00E808BE"/>
    <w:rsid w:val="00E81E36"/>
    <w:rsid w:val="00E81E40"/>
    <w:rsid w:val="00E82ECE"/>
    <w:rsid w:val="00E83138"/>
    <w:rsid w:val="00E859CD"/>
    <w:rsid w:val="00E85A6A"/>
    <w:rsid w:val="00E85FAA"/>
    <w:rsid w:val="00E86998"/>
    <w:rsid w:val="00E8713B"/>
    <w:rsid w:val="00E90774"/>
    <w:rsid w:val="00E90C61"/>
    <w:rsid w:val="00E92A82"/>
    <w:rsid w:val="00E92AA8"/>
    <w:rsid w:val="00E9344E"/>
    <w:rsid w:val="00E93E39"/>
    <w:rsid w:val="00E94391"/>
    <w:rsid w:val="00E97291"/>
    <w:rsid w:val="00E97E2B"/>
    <w:rsid w:val="00EA08CA"/>
    <w:rsid w:val="00EA0C0C"/>
    <w:rsid w:val="00EA2AEA"/>
    <w:rsid w:val="00EA332B"/>
    <w:rsid w:val="00EA3D36"/>
    <w:rsid w:val="00EA402D"/>
    <w:rsid w:val="00EA40AA"/>
    <w:rsid w:val="00EA4CF3"/>
    <w:rsid w:val="00EA57E2"/>
    <w:rsid w:val="00EA7186"/>
    <w:rsid w:val="00EB018B"/>
    <w:rsid w:val="00EB1003"/>
    <w:rsid w:val="00EB167E"/>
    <w:rsid w:val="00EB24ED"/>
    <w:rsid w:val="00EB2A00"/>
    <w:rsid w:val="00EB309B"/>
    <w:rsid w:val="00EB3AA2"/>
    <w:rsid w:val="00EB424F"/>
    <w:rsid w:val="00EB4763"/>
    <w:rsid w:val="00EB492A"/>
    <w:rsid w:val="00EB6CB7"/>
    <w:rsid w:val="00EC078B"/>
    <w:rsid w:val="00EC07A0"/>
    <w:rsid w:val="00EC08E4"/>
    <w:rsid w:val="00EC0A61"/>
    <w:rsid w:val="00EC0AF0"/>
    <w:rsid w:val="00EC2F22"/>
    <w:rsid w:val="00EC3CB4"/>
    <w:rsid w:val="00EC443E"/>
    <w:rsid w:val="00EC4C61"/>
    <w:rsid w:val="00EC4D83"/>
    <w:rsid w:val="00EC4EEE"/>
    <w:rsid w:val="00EC634F"/>
    <w:rsid w:val="00EC6848"/>
    <w:rsid w:val="00EC6C6E"/>
    <w:rsid w:val="00EC7B97"/>
    <w:rsid w:val="00ED049C"/>
    <w:rsid w:val="00ED07B7"/>
    <w:rsid w:val="00ED19D7"/>
    <w:rsid w:val="00ED2167"/>
    <w:rsid w:val="00ED351E"/>
    <w:rsid w:val="00ED4B27"/>
    <w:rsid w:val="00ED5250"/>
    <w:rsid w:val="00ED543C"/>
    <w:rsid w:val="00ED55E5"/>
    <w:rsid w:val="00ED616A"/>
    <w:rsid w:val="00ED6BA4"/>
    <w:rsid w:val="00ED7A58"/>
    <w:rsid w:val="00ED7DA7"/>
    <w:rsid w:val="00EE0598"/>
    <w:rsid w:val="00EE26F6"/>
    <w:rsid w:val="00EE311C"/>
    <w:rsid w:val="00EE56FF"/>
    <w:rsid w:val="00EE5886"/>
    <w:rsid w:val="00EE5FBF"/>
    <w:rsid w:val="00EE6472"/>
    <w:rsid w:val="00EE6573"/>
    <w:rsid w:val="00EE76F2"/>
    <w:rsid w:val="00EF0769"/>
    <w:rsid w:val="00EF0D7C"/>
    <w:rsid w:val="00EF314C"/>
    <w:rsid w:val="00EF383B"/>
    <w:rsid w:val="00EF40E2"/>
    <w:rsid w:val="00EF4723"/>
    <w:rsid w:val="00EF61C1"/>
    <w:rsid w:val="00EF6E68"/>
    <w:rsid w:val="00EF76DB"/>
    <w:rsid w:val="00F005FD"/>
    <w:rsid w:val="00F016BE"/>
    <w:rsid w:val="00F02C04"/>
    <w:rsid w:val="00F02DC5"/>
    <w:rsid w:val="00F03AD8"/>
    <w:rsid w:val="00F03AF1"/>
    <w:rsid w:val="00F04BCD"/>
    <w:rsid w:val="00F05A8C"/>
    <w:rsid w:val="00F06211"/>
    <w:rsid w:val="00F067ED"/>
    <w:rsid w:val="00F107EF"/>
    <w:rsid w:val="00F10A54"/>
    <w:rsid w:val="00F119E0"/>
    <w:rsid w:val="00F123D0"/>
    <w:rsid w:val="00F13200"/>
    <w:rsid w:val="00F13411"/>
    <w:rsid w:val="00F143BA"/>
    <w:rsid w:val="00F14D98"/>
    <w:rsid w:val="00F17350"/>
    <w:rsid w:val="00F17B57"/>
    <w:rsid w:val="00F2081B"/>
    <w:rsid w:val="00F20A43"/>
    <w:rsid w:val="00F20C51"/>
    <w:rsid w:val="00F21049"/>
    <w:rsid w:val="00F218AE"/>
    <w:rsid w:val="00F22232"/>
    <w:rsid w:val="00F2228E"/>
    <w:rsid w:val="00F22D3C"/>
    <w:rsid w:val="00F23D66"/>
    <w:rsid w:val="00F2473C"/>
    <w:rsid w:val="00F24E6F"/>
    <w:rsid w:val="00F2561B"/>
    <w:rsid w:val="00F26069"/>
    <w:rsid w:val="00F261A3"/>
    <w:rsid w:val="00F26834"/>
    <w:rsid w:val="00F26B7E"/>
    <w:rsid w:val="00F27D7D"/>
    <w:rsid w:val="00F27F26"/>
    <w:rsid w:val="00F3002B"/>
    <w:rsid w:val="00F30BC9"/>
    <w:rsid w:val="00F32462"/>
    <w:rsid w:val="00F32FF7"/>
    <w:rsid w:val="00F33E60"/>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8D8"/>
    <w:rsid w:val="00F53E59"/>
    <w:rsid w:val="00F53EB3"/>
    <w:rsid w:val="00F5475B"/>
    <w:rsid w:val="00F55397"/>
    <w:rsid w:val="00F55600"/>
    <w:rsid w:val="00F574D0"/>
    <w:rsid w:val="00F6031F"/>
    <w:rsid w:val="00F61664"/>
    <w:rsid w:val="00F61B99"/>
    <w:rsid w:val="00F62043"/>
    <w:rsid w:val="00F64C45"/>
    <w:rsid w:val="00F6502B"/>
    <w:rsid w:val="00F6612A"/>
    <w:rsid w:val="00F66724"/>
    <w:rsid w:val="00F668D7"/>
    <w:rsid w:val="00F67F04"/>
    <w:rsid w:val="00F70082"/>
    <w:rsid w:val="00F70207"/>
    <w:rsid w:val="00F702CB"/>
    <w:rsid w:val="00F7063D"/>
    <w:rsid w:val="00F71AC2"/>
    <w:rsid w:val="00F739D4"/>
    <w:rsid w:val="00F769FF"/>
    <w:rsid w:val="00F77D43"/>
    <w:rsid w:val="00F803B0"/>
    <w:rsid w:val="00F80953"/>
    <w:rsid w:val="00F80A0A"/>
    <w:rsid w:val="00F80B5C"/>
    <w:rsid w:val="00F81312"/>
    <w:rsid w:val="00F81B90"/>
    <w:rsid w:val="00F81E6F"/>
    <w:rsid w:val="00F82FF3"/>
    <w:rsid w:val="00F83D44"/>
    <w:rsid w:val="00F8453C"/>
    <w:rsid w:val="00F84D4C"/>
    <w:rsid w:val="00F85A4E"/>
    <w:rsid w:val="00F8657D"/>
    <w:rsid w:val="00F8730F"/>
    <w:rsid w:val="00F87897"/>
    <w:rsid w:val="00F87DA3"/>
    <w:rsid w:val="00F90004"/>
    <w:rsid w:val="00F90EF4"/>
    <w:rsid w:val="00F917BF"/>
    <w:rsid w:val="00F919C4"/>
    <w:rsid w:val="00F920B4"/>
    <w:rsid w:val="00F9260D"/>
    <w:rsid w:val="00F92727"/>
    <w:rsid w:val="00F930B6"/>
    <w:rsid w:val="00F93CCF"/>
    <w:rsid w:val="00F94307"/>
    <w:rsid w:val="00F9580B"/>
    <w:rsid w:val="00F95F15"/>
    <w:rsid w:val="00F96834"/>
    <w:rsid w:val="00F975CA"/>
    <w:rsid w:val="00FA0B60"/>
    <w:rsid w:val="00FA1C3D"/>
    <w:rsid w:val="00FA2528"/>
    <w:rsid w:val="00FA40BE"/>
    <w:rsid w:val="00FA5372"/>
    <w:rsid w:val="00FA5524"/>
    <w:rsid w:val="00FA5535"/>
    <w:rsid w:val="00FA5B0E"/>
    <w:rsid w:val="00FA6C1B"/>
    <w:rsid w:val="00FA7206"/>
    <w:rsid w:val="00FA7EFB"/>
    <w:rsid w:val="00FB01F8"/>
    <w:rsid w:val="00FB0816"/>
    <w:rsid w:val="00FB08C2"/>
    <w:rsid w:val="00FB3DD1"/>
    <w:rsid w:val="00FB3E1B"/>
    <w:rsid w:val="00FB3F5E"/>
    <w:rsid w:val="00FB4B9C"/>
    <w:rsid w:val="00FB51FD"/>
    <w:rsid w:val="00FB5667"/>
    <w:rsid w:val="00FB7A97"/>
    <w:rsid w:val="00FC1226"/>
    <w:rsid w:val="00FC1601"/>
    <w:rsid w:val="00FC1B9B"/>
    <w:rsid w:val="00FC318D"/>
    <w:rsid w:val="00FC36CF"/>
    <w:rsid w:val="00FC40BC"/>
    <w:rsid w:val="00FC41FC"/>
    <w:rsid w:val="00FC4F6E"/>
    <w:rsid w:val="00FC506C"/>
    <w:rsid w:val="00FC578C"/>
    <w:rsid w:val="00FC5A37"/>
    <w:rsid w:val="00FC6BFF"/>
    <w:rsid w:val="00FC72A6"/>
    <w:rsid w:val="00FC7651"/>
    <w:rsid w:val="00FC7836"/>
    <w:rsid w:val="00FC7D74"/>
    <w:rsid w:val="00FD13EA"/>
    <w:rsid w:val="00FD2893"/>
    <w:rsid w:val="00FD5EC4"/>
    <w:rsid w:val="00FD6383"/>
    <w:rsid w:val="00FD7858"/>
    <w:rsid w:val="00FD7A8D"/>
    <w:rsid w:val="00FE1330"/>
    <w:rsid w:val="00FE1CE5"/>
    <w:rsid w:val="00FE2832"/>
    <w:rsid w:val="00FE2D38"/>
    <w:rsid w:val="00FE3929"/>
    <w:rsid w:val="00FE3E32"/>
    <w:rsid w:val="00FE43F6"/>
    <w:rsid w:val="00FE6C7B"/>
    <w:rsid w:val="00FF0178"/>
    <w:rsid w:val="00FF097B"/>
    <w:rsid w:val="00FF0B6E"/>
    <w:rsid w:val="00FF1C1B"/>
    <w:rsid w:val="00FF2067"/>
    <w:rsid w:val="00FF39EA"/>
    <w:rsid w:val="00FF3BC4"/>
    <w:rsid w:val="00FF4B66"/>
    <w:rsid w:val="00FF5459"/>
    <w:rsid w:val="00FF5939"/>
    <w:rsid w:val="00FF688E"/>
    <w:rsid w:val="00FF6DB4"/>
    <w:rsid w:val="00FF7A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B438DF3"/>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46F38"/>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5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uiPriority w:val="99"/>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LutherBodyText">
    <w:name w:val="Luther Body Text"/>
    <w:basedOn w:val="Normal"/>
    <w:link w:val="LutherBodyTextChar"/>
    <w:qFormat/>
    <w:rsid w:val="00FF5459"/>
    <w:pPr>
      <w:spacing w:before="120" w:after="240" w:line="320" w:lineRule="atLeast"/>
      <w:jc w:val="both"/>
    </w:pPr>
    <w:rPr>
      <w:rFonts w:eastAsiaTheme="minorHAnsi" w:cstheme="minorBidi"/>
      <w:sz w:val="22"/>
      <w:szCs w:val="22"/>
      <w:lang w:val="de-DE" w:eastAsia="en-US"/>
    </w:rPr>
  </w:style>
  <w:style w:type="character" w:customStyle="1" w:styleId="LutherBodyTextChar">
    <w:name w:val="Luther Body Text Char"/>
    <w:basedOn w:val="DefaultParagraphFont"/>
    <w:link w:val="LutherBodyText"/>
    <w:rsid w:val="00FF5459"/>
    <w:rPr>
      <w:rFonts w:ascii="Arial" w:eastAsiaTheme="minorHAnsi" w:hAnsi="Arial" w:cstheme="minorBidi"/>
      <w:sz w:val="22"/>
      <w:szCs w:val="22"/>
      <w:lang w:val="de-DE" w:eastAsia="en-US"/>
    </w:rPr>
  </w:style>
  <w:style w:type="paragraph" w:customStyle="1" w:styleId="BulletedList">
    <w:name w:val="Bulleted List"/>
    <w:basedOn w:val="Normal"/>
    <w:uiPriority w:val="99"/>
    <w:qFormat/>
    <w:rsid w:val="00916AAB"/>
    <w:pPr>
      <w:numPr>
        <w:numId w:val="52"/>
      </w:numPr>
      <w:spacing w:after="240"/>
    </w:pPr>
    <w:rPr>
      <w:rFonts w:ascii="Calibri" w:eastAsiaTheme="minorHAnsi" w:hAnsi="Calibri" w:cs="Calibri"/>
      <w:sz w:val="22"/>
      <w:szCs w:val="22"/>
      <w:lang w:eastAsia="en-US"/>
    </w:rPr>
  </w:style>
  <w:style w:type="paragraph" w:customStyle="1" w:styleId="PAIAContinuousNumbering">
    <w:name w:val="PA / IA Continuous Numbering"/>
    <w:rsid w:val="00916AAB"/>
    <w:pPr>
      <w:numPr>
        <w:numId w:val="53"/>
      </w:numPr>
      <w:spacing w:after="240" w:line="360" w:lineRule="auto"/>
    </w:pPr>
    <w:rPr>
      <w:sz w:val="24"/>
      <w:szCs w:val="24"/>
      <w:lang w:eastAsia="en-US"/>
    </w:rPr>
  </w:style>
  <w:style w:type="character" w:styleId="UnresolvedMention">
    <w:name w:val="Unresolved Mention"/>
    <w:basedOn w:val="DefaultParagraphFont"/>
    <w:uiPriority w:val="99"/>
    <w:semiHidden/>
    <w:unhideWhenUsed/>
    <w:rsid w:val="000246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21466081">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82355060">
      <w:bodyDiv w:val="1"/>
      <w:marLeft w:val="0"/>
      <w:marRight w:val="0"/>
      <w:marTop w:val="0"/>
      <w:marBottom w:val="0"/>
      <w:divBdr>
        <w:top w:val="none" w:sz="0" w:space="0" w:color="auto"/>
        <w:left w:val="none" w:sz="0" w:space="0" w:color="auto"/>
        <w:bottom w:val="none" w:sz="0" w:space="0" w:color="auto"/>
        <w:right w:val="none" w:sz="0" w:space="0" w:color="auto"/>
      </w:divBdr>
      <w:divsChild>
        <w:div w:id="1926644833">
          <w:marLeft w:val="0"/>
          <w:marRight w:val="0"/>
          <w:marTop w:val="0"/>
          <w:marBottom w:val="0"/>
          <w:divBdr>
            <w:top w:val="none" w:sz="0" w:space="0" w:color="auto"/>
            <w:left w:val="none" w:sz="0" w:space="0" w:color="auto"/>
            <w:bottom w:val="none" w:sz="0" w:space="0" w:color="auto"/>
            <w:right w:val="none" w:sz="0" w:space="0" w:color="auto"/>
          </w:divBdr>
          <w:divsChild>
            <w:div w:id="1327780499">
              <w:marLeft w:val="0"/>
              <w:marRight w:val="0"/>
              <w:marTop w:val="0"/>
              <w:marBottom w:val="0"/>
              <w:divBdr>
                <w:top w:val="none" w:sz="0" w:space="0" w:color="auto"/>
                <w:left w:val="none" w:sz="0" w:space="0" w:color="auto"/>
                <w:bottom w:val="none" w:sz="0" w:space="0" w:color="auto"/>
                <w:right w:val="none" w:sz="0" w:space="0" w:color="auto"/>
              </w:divBdr>
              <w:divsChild>
                <w:div w:id="66421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464929164">
      <w:bodyDiv w:val="1"/>
      <w:marLeft w:val="0"/>
      <w:marRight w:val="0"/>
      <w:marTop w:val="0"/>
      <w:marBottom w:val="0"/>
      <w:divBdr>
        <w:top w:val="none" w:sz="0" w:space="0" w:color="auto"/>
        <w:left w:val="none" w:sz="0" w:space="0" w:color="auto"/>
        <w:bottom w:val="none" w:sz="0" w:space="0" w:color="auto"/>
        <w:right w:val="none" w:sz="0" w:space="0" w:color="auto"/>
      </w:divBdr>
      <w:divsChild>
        <w:div w:id="1733651382">
          <w:marLeft w:val="0"/>
          <w:marRight w:val="0"/>
          <w:marTop w:val="0"/>
          <w:marBottom w:val="0"/>
          <w:divBdr>
            <w:top w:val="none" w:sz="0" w:space="0" w:color="auto"/>
            <w:left w:val="none" w:sz="0" w:space="0" w:color="auto"/>
            <w:bottom w:val="none" w:sz="0" w:space="0" w:color="auto"/>
            <w:right w:val="none" w:sz="0" w:space="0" w:color="auto"/>
          </w:divBdr>
          <w:divsChild>
            <w:div w:id="2042054066">
              <w:marLeft w:val="0"/>
              <w:marRight w:val="0"/>
              <w:marTop w:val="0"/>
              <w:marBottom w:val="0"/>
              <w:divBdr>
                <w:top w:val="none" w:sz="0" w:space="0" w:color="auto"/>
                <w:left w:val="none" w:sz="0" w:space="0" w:color="auto"/>
                <w:bottom w:val="none" w:sz="0" w:space="0" w:color="auto"/>
                <w:right w:val="none" w:sz="0" w:space="0" w:color="auto"/>
              </w:divBdr>
              <w:divsChild>
                <w:div w:id="162715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428705">
      <w:bodyDiv w:val="1"/>
      <w:marLeft w:val="0"/>
      <w:marRight w:val="0"/>
      <w:marTop w:val="0"/>
      <w:marBottom w:val="0"/>
      <w:divBdr>
        <w:top w:val="none" w:sz="0" w:space="0" w:color="auto"/>
        <w:left w:val="none" w:sz="0" w:space="0" w:color="auto"/>
        <w:bottom w:val="none" w:sz="0" w:space="0" w:color="auto"/>
        <w:right w:val="none" w:sz="0" w:space="0" w:color="auto"/>
      </w:divBdr>
      <w:divsChild>
        <w:div w:id="1860970494">
          <w:marLeft w:val="0"/>
          <w:marRight w:val="0"/>
          <w:marTop w:val="0"/>
          <w:marBottom w:val="0"/>
          <w:divBdr>
            <w:top w:val="none" w:sz="0" w:space="0" w:color="auto"/>
            <w:left w:val="none" w:sz="0" w:space="0" w:color="auto"/>
            <w:bottom w:val="none" w:sz="0" w:space="0" w:color="auto"/>
            <w:right w:val="none" w:sz="0" w:space="0" w:color="auto"/>
          </w:divBdr>
          <w:divsChild>
            <w:div w:id="1346439061">
              <w:marLeft w:val="0"/>
              <w:marRight w:val="0"/>
              <w:marTop w:val="0"/>
              <w:marBottom w:val="0"/>
              <w:divBdr>
                <w:top w:val="none" w:sz="0" w:space="0" w:color="auto"/>
                <w:left w:val="none" w:sz="0" w:space="0" w:color="auto"/>
                <w:bottom w:val="none" w:sz="0" w:space="0" w:color="auto"/>
                <w:right w:val="none" w:sz="0" w:space="0" w:color="auto"/>
              </w:divBdr>
              <w:divsChild>
                <w:div w:id="206185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50279049">
      <w:bodyDiv w:val="1"/>
      <w:marLeft w:val="0"/>
      <w:marRight w:val="0"/>
      <w:marTop w:val="0"/>
      <w:marBottom w:val="0"/>
      <w:divBdr>
        <w:top w:val="none" w:sz="0" w:space="0" w:color="auto"/>
        <w:left w:val="none" w:sz="0" w:space="0" w:color="auto"/>
        <w:bottom w:val="none" w:sz="0" w:space="0" w:color="auto"/>
        <w:right w:val="none" w:sz="0" w:space="0" w:color="auto"/>
      </w:divBdr>
      <w:divsChild>
        <w:div w:id="529031047">
          <w:marLeft w:val="0"/>
          <w:marRight w:val="0"/>
          <w:marTop w:val="0"/>
          <w:marBottom w:val="0"/>
          <w:divBdr>
            <w:top w:val="none" w:sz="0" w:space="0" w:color="auto"/>
            <w:left w:val="none" w:sz="0" w:space="0" w:color="auto"/>
            <w:bottom w:val="none" w:sz="0" w:space="0" w:color="auto"/>
            <w:right w:val="none" w:sz="0" w:space="0" w:color="auto"/>
          </w:divBdr>
          <w:divsChild>
            <w:div w:id="545486624">
              <w:marLeft w:val="0"/>
              <w:marRight w:val="0"/>
              <w:marTop w:val="0"/>
              <w:marBottom w:val="0"/>
              <w:divBdr>
                <w:top w:val="none" w:sz="0" w:space="0" w:color="auto"/>
                <w:left w:val="none" w:sz="0" w:space="0" w:color="auto"/>
                <w:bottom w:val="none" w:sz="0" w:space="0" w:color="auto"/>
                <w:right w:val="none" w:sz="0" w:space="0" w:color="auto"/>
              </w:divBdr>
              <w:divsChild>
                <w:div w:id="181779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50170500">
      <w:bodyDiv w:val="1"/>
      <w:marLeft w:val="0"/>
      <w:marRight w:val="0"/>
      <w:marTop w:val="0"/>
      <w:marBottom w:val="0"/>
      <w:divBdr>
        <w:top w:val="none" w:sz="0" w:space="0" w:color="auto"/>
        <w:left w:val="none" w:sz="0" w:space="0" w:color="auto"/>
        <w:bottom w:val="none" w:sz="0" w:space="0" w:color="auto"/>
        <w:right w:val="none" w:sz="0" w:space="0" w:color="auto"/>
      </w:divBdr>
      <w:divsChild>
        <w:div w:id="570426101">
          <w:marLeft w:val="0"/>
          <w:marRight w:val="0"/>
          <w:marTop w:val="0"/>
          <w:marBottom w:val="0"/>
          <w:divBdr>
            <w:top w:val="none" w:sz="0" w:space="0" w:color="auto"/>
            <w:left w:val="none" w:sz="0" w:space="0" w:color="auto"/>
            <w:bottom w:val="none" w:sz="0" w:space="0" w:color="auto"/>
            <w:right w:val="none" w:sz="0" w:space="0" w:color="auto"/>
          </w:divBdr>
          <w:divsChild>
            <w:div w:id="190846581">
              <w:marLeft w:val="0"/>
              <w:marRight w:val="0"/>
              <w:marTop w:val="0"/>
              <w:marBottom w:val="0"/>
              <w:divBdr>
                <w:top w:val="none" w:sz="0" w:space="0" w:color="auto"/>
                <w:left w:val="none" w:sz="0" w:space="0" w:color="auto"/>
                <w:bottom w:val="none" w:sz="0" w:space="0" w:color="auto"/>
                <w:right w:val="none" w:sz="0" w:space="0" w:color="auto"/>
              </w:divBdr>
              <w:divsChild>
                <w:div w:id="73586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5.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sma.europa.eu/sites/default/files/library/esma70-1861941480-52_qa_on_emir_implementation.pdf" TargetMode="External"/><Relationship Id="rId34" Type="http://schemas.openxmlformats.org/officeDocument/2006/relationships/hyperlink" Target="https://www.trafigura.com/media/1207/2015_trafigura_not_too_big_to_fail_en.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image" Target="media/image4.png"/><Relationship Id="rId33" Type="http://schemas.openxmlformats.org/officeDocument/2006/relationships/image" Target="cid:35afc70c-c4e5-425a-8941-d4319123861e"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sma.europa.eu" TargetMode="External"/><Relationship Id="rId29"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chart" Target="charts/chart1.xml"/><Relationship Id="rId32" Type="http://schemas.openxmlformats.org/officeDocument/2006/relationships/image" Target="media/image9.png"/><Relationship Id="rId37" Type="http://schemas.openxmlformats.org/officeDocument/2006/relationships/header" Target="header5.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esma.europa.eu/sites/default/files/library/esma70-1861941480-52_qa_on_emir_implementation.pdf" TargetMode="External"/><Relationship Id="rId28" Type="http://schemas.openxmlformats.org/officeDocument/2006/relationships/image" Target="media/image7.gif"/><Relationship Id="rId36"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www.esma.europa.eu" TargetMode="External"/><Relationship Id="rId31" Type="http://schemas.openxmlformats.org/officeDocument/2006/relationships/image" Target="cid:291bc6ef-8c4b-43c6-9b20-1a8dbd9c74a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esma.europa.eu/sites/default/files/library/esma70-151-2392_letter_to_ec_-_emir_refit_-_hedging_exemption_in_the_calculation_of_the_clearing_thresholds.pdf" TargetMode="External"/><Relationship Id="rId27" Type="http://schemas.openxmlformats.org/officeDocument/2006/relationships/image" Target="media/image6.jpeg"/><Relationship Id="rId30" Type="http://schemas.openxmlformats.org/officeDocument/2006/relationships/image" Target="media/image8.png"/><Relationship Id="rId35" Type="http://schemas.openxmlformats.org/officeDocument/2006/relationships/hyperlink" Target="http://www.sciencedirect.com/science/article/abs/pii/S030142151400683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oxfordenergy.org/wpcms/wp-content/uploads/2020/05/European-Traded-gas-hubs-the-supremacy-of-TTF.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oleObject" Target="file:///C:\Users\R915219\Desktop\EUA_Dec21_KP.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1">
                <a:solidFill>
                  <a:sysClr val="windowText" lastClr="000000"/>
                </a:solidFill>
              </a:rPr>
              <a:t>Threshold</a:t>
            </a:r>
            <a:r>
              <a:rPr lang="en-US" sz="1000" b="1" baseline="0">
                <a:solidFill>
                  <a:sysClr val="windowText" lastClr="000000"/>
                </a:solidFill>
              </a:rPr>
              <a:t> comparison in EUR</a:t>
            </a:r>
            <a:endParaRPr lang="en-US" sz="10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5504042936336996E-2"/>
          <c:y val="0.13263157894736843"/>
          <c:w val="0.81182214611065995"/>
          <c:h val="0.72863356817239955"/>
        </c:manualLayout>
      </c:layout>
      <c:barChart>
        <c:barDir val="col"/>
        <c:grouping val="stacked"/>
        <c:varyColors val="0"/>
        <c:ser>
          <c:idx val="0"/>
          <c:order val="0"/>
          <c:tx>
            <c:strRef>
              <c:f>Sheet1!$B$1</c:f>
              <c:strCache>
                <c:ptCount val="1"/>
                <c:pt idx="0">
                  <c:v>Series 1</c:v>
                </c:pt>
              </c:strCache>
            </c:strRef>
          </c:tx>
          <c:spPr>
            <a:solidFill>
              <a:schemeClr val="accent1"/>
            </a:solidFill>
            <a:ln>
              <a:solidFill>
                <a:schemeClr val="tx1">
                  <a:alpha val="90000"/>
                </a:schemeClr>
              </a:solidFill>
            </a:ln>
            <a:effectLst/>
          </c:spPr>
          <c:invertIfNegative val="0"/>
          <c:dPt>
            <c:idx val="0"/>
            <c:invertIfNegative val="0"/>
            <c:bubble3D val="0"/>
            <c:spPr>
              <a:solidFill>
                <a:srgbClr val="FF0000"/>
              </a:solidFill>
              <a:ln>
                <a:solidFill>
                  <a:schemeClr val="tx1">
                    <a:alpha val="90000"/>
                  </a:schemeClr>
                </a:solidFill>
              </a:ln>
              <a:effectLst/>
            </c:spPr>
            <c:extLst>
              <c:ext xmlns:c16="http://schemas.microsoft.com/office/drawing/2014/chart" uri="{C3380CC4-5D6E-409C-BE32-E72D297353CC}">
                <c16:uniqueId val="{00000001-4EA6-4E0B-92E1-C0DAA9FE7B7F}"/>
              </c:ext>
            </c:extLst>
          </c:dPt>
          <c:dPt>
            <c:idx val="1"/>
            <c:invertIfNegative val="0"/>
            <c:bubble3D val="0"/>
            <c:spPr>
              <a:solidFill>
                <a:srgbClr val="FFFF00"/>
              </a:solidFill>
              <a:ln>
                <a:solidFill>
                  <a:schemeClr val="tx1">
                    <a:alpha val="90000"/>
                  </a:schemeClr>
                </a:solidFill>
              </a:ln>
              <a:effectLst/>
            </c:spPr>
            <c:extLst>
              <c:ext xmlns:c16="http://schemas.microsoft.com/office/drawing/2014/chart" uri="{C3380CC4-5D6E-409C-BE32-E72D297353CC}">
                <c16:uniqueId val="{00000003-4EA6-4E0B-92E1-C0DAA9FE7B7F}"/>
              </c:ext>
            </c:extLst>
          </c:dPt>
          <c:dPt>
            <c:idx val="2"/>
            <c:invertIfNegative val="0"/>
            <c:bubble3D val="0"/>
            <c:spPr>
              <a:solidFill>
                <a:srgbClr val="92D050"/>
              </a:solidFill>
              <a:ln>
                <a:solidFill>
                  <a:schemeClr val="tx1">
                    <a:alpha val="90000"/>
                  </a:schemeClr>
                </a:solidFill>
              </a:ln>
              <a:effectLst/>
            </c:spPr>
            <c:extLst>
              <c:ext xmlns:c16="http://schemas.microsoft.com/office/drawing/2014/chart" uri="{C3380CC4-5D6E-409C-BE32-E72D297353CC}">
                <c16:uniqueId val="{00000005-4EA6-4E0B-92E1-C0DAA9FE7B7F}"/>
              </c:ext>
            </c:extLst>
          </c:dPt>
          <c:dPt>
            <c:idx val="3"/>
            <c:invertIfNegative val="0"/>
            <c:bubble3D val="0"/>
            <c:spPr>
              <a:solidFill>
                <a:srgbClr val="33CC33"/>
              </a:solidFill>
              <a:ln>
                <a:solidFill>
                  <a:schemeClr val="tx1">
                    <a:alpha val="90000"/>
                  </a:schemeClr>
                </a:solidFill>
              </a:ln>
              <a:effectLst/>
            </c:spPr>
            <c:extLst>
              <c:ext xmlns:c16="http://schemas.microsoft.com/office/drawing/2014/chart" uri="{C3380CC4-5D6E-409C-BE32-E72D297353CC}">
                <c16:uniqueId val="{00000007-4EA6-4E0B-92E1-C0DAA9FE7B7F}"/>
              </c:ext>
            </c:extLst>
          </c:dPt>
          <c:cat>
            <c:strRef>
              <c:f>Sheet1!$A$2:$A$5</c:f>
              <c:strCache>
                <c:ptCount val="4"/>
                <c:pt idx="0">
                  <c:v>EU </c:v>
                </c:pt>
                <c:pt idx="1">
                  <c:v>US</c:v>
                </c:pt>
                <c:pt idx="2">
                  <c:v>SG</c:v>
                </c:pt>
                <c:pt idx="3">
                  <c:v>AUS</c:v>
                </c:pt>
              </c:strCache>
            </c:strRef>
          </c:cat>
          <c:val>
            <c:numRef>
              <c:f>Sheet1!$B$2:$B$5</c:f>
              <c:numCache>
                <c:formatCode>General</c:formatCode>
                <c:ptCount val="4"/>
                <c:pt idx="0">
                  <c:v>3</c:v>
                </c:pt>
                <c:pt idx="1">
                  <c:v>6.7</c:v>
                </c:pt>
                <c:pt idx="2">
                  <c:v>12.5</c:v>
                </c:pt>
                <c:pt idx="3">
                  <c:v>63.8</c:v>
                </c:pt>
              </c:numCache>
            </c:numRef>
          </c:val>
          <c:extLst>
            <c:ext xmlns:c16="http://schemas.microsoft.com/office/drawing/2014/chart" uri="{C3380CC4-5D6E-409C-BE32-E72D297353CC}">
              <c16:uniqueId val="{00000008-4EA6-4E0B-92E1-C0DAA9FE7B7F}"/>
            </c:ext>
          </c:extLst>
        </c:ser>
        <c:dLbls>
          <c:showLegendKey val="0"/>
          <c:showVal val="0"/>
          <c:showCatName val="0"/>
          <c:showSerName val="0"/>
          <c:showPercent val="0"/>
          <c:showBubbleSize val="0"/>
        </c:dLbls>
        <c:gapWidth val="134"/>
        <c:overlap val="79"/>
        <c:axId val="645231008"/>
        <c:axId val="645231336"/>
      </c:barChart>
      <c:catAx>
        <c:axId val="645231008"/>
        <c:scaling>
          <c:orientation val="minMax"/>
        </c:scaling>
        <c:delete val="1"/>
        <c:axPos val="b"/>
        <c:numFmt formatCode="General" sourceLinked="1"/>
        <c:majorTickMark val="none"/>
        <c:minorTickMark val="none"/>
        <c:tickLblPos val="nextTo"/>
        <c:crossAx val="645231336"/>
        <c:crosses val="autoZero"/>
        <c:auto val="1"/>
        <c:lblAlgn val="ctr"/>
        <c:lblOffset val="100"/>
        <c:noMultiLvlLbl val="0"/>
      </c:catAx>
      <c:valAx>
        <c:axId val="645231336"/>
        <c:scaling>
          <c:orientation val="minMax"/>
          <c:max val="70"/>
        </c:scaling>
        <c:delete val="0"/>
        <c:axPos val="l"/>
        <c:majorGridlines>
          <c:spPr>
            <a:ln w="9525" cap="flat" cmpd="sng" algn="ctr">
              <a:solidFill>
                <a:schemeClr val="tx1">
                  <a:lumMod val="15000"/>
                  <a:lumOff val="85000"/>
                </a:schemeClr>
              </a:solidFill>
              <a:round/>
            </a:ln>
            <a:effectLst/>
          </c:spPr>
        </c:majorGridlines>
        <c:numFmt formatCode="@"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5231008"/>
        <c:crosses val="autoZero"/>
        <c:crossBetween val="between"/>
      </c:valAx>
      <c:spPr>
        <a:noFill/>
        <a:ln>
          <a:noFill/>
        </a:ln>
        <a:effectLst/>
      </c:spPr>
    </c:plotArea>
    <c:legend>
      <c:legendPos val="b"/>
      <c:layout>
        <c:manualLayout>
          <c:xMode val="edge"/>
          <c:yMode val="edge"/>
          <c:x val="6.3610042018291083E-4"/>
          <c:y val="0.90758093659345218"/>
          <c:w val="0.98805886091592809"/>
          <c:h val="6.715590551181102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12700" cap="flat" cmpd="sng" algn="ctr">
      <a:solidFill>
        <a:schemeClr val="tx1">
          <a:lumMod val="15000"/>
          <a:lumOff val="85000"/>
          <a:alpha val="93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EUA ICE Future: Dec-21 (monthly average)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Sheet1!$M$7</c:f>
              <c:strCache>
                <c:ptCount val="1"/>
                <c:pt idx="0">
                  <c:v>Dec-21 monthly average</c:v>
                </c:pt>
              </c:strCache>
            </c:strRef>
          </c:tx>
          <c:spPr>
            <a:ln w="28575" cap="rnd">
              <a:solidFill>
                <a:schemeClr val="accent1"/>
              </a:solidFill>
              <a:round/>
            </a:ln>
            <a:effectLst/>
          </c:spPr>
          <c:marker>
            <c:symbol val="none"/>
          </c:marker>
          <c:cat>
            <c:numRef>
              <c:f>Sheet1!$K$9:$K$67</c:f>
              <c:numCache>
                <c:formatCode>m/d/yyyy</c:formatCode>
                <c:ptCount val="59"/>
                <c:pt idx="0">
                  <c:v>42767</c:v>
                </c:pt>
                <c:pt idx="1">
                  <c:v>42795</c:v>
                </c:pt>
                <c:pt idx="2">
                  <c:v>42826</c:v>
                </c:pt>
                <c:pt idx="3">
                  <c:v>42856</c:v>
                </c:pt>
                <c:pt idx="4">
                  <c:v>42887</c:v>
                </c:pt>
                <c:pt idx="5">
                  <c:v>42917</c:v>
                </c:pt>
                <c:pt idx="6">
                  <c:v>42948</c:v>
                </c:pt>
                <c:pt idx="7">
                  <c:v>42979</c:v>
                </c:pt>
                <c:pt idx="8">
                  <c:v>43009</c:v>
                </c:pt>
                <c:pt idx="9">
                  <c:v>43040</c:v>
                </c:pt>
                <c:pt idx="10">
                  <c:v>43070</c:v>
                </c:pt>
                <c:pt idx="11">
                  <c:v>43101</c:v>
                </c:pt>
                <c:pt idx="12">
                  <c:v>43132</c:v>
                </c:pt>
                <c:pt idx="13">
                  <c:v>43160</c:v>
                </c:pt>
                <c:pt idx="14">
                  <c:v>43191</c:v>
                </c:pt>
                <c:pt idx="15">
                  <c:v>43221</c:v>
                </c:pt>
                <c:pt idx="16">
                  <c:v>43252</c:v>
                </c:pt>
                <c:pt idx="17">
                  <c:v>43282</c:v>
                </c:pt>
                <c:pt idx="18">
                  <c:v>43313</c:v>
                </c:pt>
                <c:pt idx="19">
                  <c:v>43344</c:v>
                </c:pt>
                <c:pt idx="20">
                  <c:v>43374</c:v>
                </c:pt>
                <c:pt idx="21">
                  <c:v>43405</c:v>
                </c:pt>
                <c:pt idx="22">
                  <c:v>43435</c:v>
                </c:pt>
                <c:pt idx="23">
                  <c:v>43466</c:v>
                </c:pt>
                <c:pt idx="24">
                  <c:v>43497</c:v>
                </c:pt>
                <c:pt idx="25">
                  <c:v>43525</c:v>
                </c:pt>
                <c:pt idx="26">
                  <c:v>43556</c:v>
                </c:pt>
                <c:pt idx="27">
                  <c:v>43586</c:v>
                </c:pt>
                <c:pt idx="28">
                  <c:v>43617</c:v>
                </c:pt>
                <c:pt idx="29">
                  <c:v>43647</c:v>
                </c:pt>
                <c:pt idx="30">
                  <c:v>43678</c:v>
                </c:pt>
                <c:pt idx="31">
                  <c:v>43709</c:v>
                </c:pt>
                <c:pt idx="32">
                  <c:v>43739</c:v>
                </c:pt>
                <c:pt idx="33">
                  <c:v>43770</c:v>
                </c:pt>
                <c:pt idx="34">
                  <c:v>43800</c:v>
                </c:pt>
                <c:pt idx="35">
                  <c:v>43831</c:v>
                </c:pt>
                <c:pt idx="36">
                  <c:v>43862</c:v>
                </c:pt>
                <c:pt idx="37">
                  <c:v>43891</c:v>
                </c:pt>
                <c:pt idx="38">
                  <c:v>43922</c:v>
                </c:pt>
                <c:pt idx="39">
                  <c:v>43952</c:v>
                </c:pt>
                <c:pt idx="40">
                  <c:v>43983</c:v>
                </c:pt>
                <c:pt idx="41">
                  <c:v>44013</c:v>
                </c:pt>
                <c:pt idx="42">
                  <c:v>44044</c:v>
                </c:pt>
                <c:pt idx="43">
                  <c:v>44075</c:v>
                </c:pt>
                <c:pt idx="44">
                  <c:v>44105</c:v>
                </c:pt>
                <c:pt idx="45">
                  <c:v>44136</c:v>
                </c:pt>
                <c:pt idx="46">
                  <c:v>44166</c:v>
                </c:pt>
                <c:pt idx="47">
                  <c:v>44197</c:v>
                </c:pt>
                <c:pt idx="48">
                  <c:v>44228</c:v>
                </c:pt>
                <c:pt idx="49">
                  <c:v>44256</c:v>
                </c:pt>
                <c:pt idx="50">
                  <c:v>44287</c:v>
                </c:pt>
                <c:pt idx="51">
                  <c:v>44317</c:v>
                </c:pt>
                <c:pt idx="52">
                  <c:v>44348</c:v>
                </c:pt>
                <c:pt idx="53">
                  <c:v>44378</c:v>
                </c:pt>
                <c:pt idx="54">
                  <c:v>44409</c:v>
                </c:pt>
                <c:pt idx="55">
                  <c:v>44440</c:v>
                </c:pt>
                <c:pt idx="56">
                  <c:v>44470</c:v>
                </c:pt>
                <c:pt idx="57">
                  <c:v>44501</c:v>
                </c:pt>
                <c:pt idx="58">
                  <c:v>44531</c:v>
                </c:pt>
              </c:numCache>
            </c:numRef>
          </c:cat>
          <c:val>
            <c:numRef>
              <c:f>Sheet1!$M$9:$M$67</c:f>
              <c:numCache>
                <c:formatCode>General</c:formatCode>
                <c:ptCount val="59"/>
                <c:pt idx="0">
                  <c:v>5.4050000000000002</c:v>
                </c:pt>
                <c:pt idx="1">
                  <c:v>5.3717391304347828</c:v>
                </c:pt>
                <c:pt idx="2">
                  <c:v>5.059473684210527</c:v>
                </c:pt>
                <c:pt idx="3">
                  <c:v>4.9839130434782604</c:v>
                </c:pt>
                <c:pt idx="4">
                  <c:v>5.2713636363636356</c:v>
                </c:pt>
                <c:pt idx="5">
                  <c:v>5.6261904761904757</c:v>
                </c:pt>
                <c:pt idx="6">
                  <c:v>6.1543478260869566</c:v>
                </c:pt>
                <c:pt idx="7">
                  <c:v>7.2347619047619034</c:v>
                </c:pt>
                <c:pt idx="8">
                  <c:v>7.6590909090909101</c:v>
                </c:pt>
                <c:pt idx="9">
                  <c:v>7.9327272727272717</c:v>
                </c:pt>
                <c:pt idx="10">
                  <c:v>7.9250000000000016</c:v>
                </c:pt>
                <c:pt idx="11">
                  <c:v>8.6954545454545453</c:v>
                </c:pt>
                <c:pt idx="12">
                  <c:v>9.8895000000000017</c:v>
                </c:pt>
                <c:pt idx="13">
                  <c:v>11.966190476190476</c:v>
                </c:pt>
                <c:pt idx="14">
                  <c:v>13.971999999999998</c:v>
                </c:pt>
                <c:pt idx="15">
                  <c:v>15.575217391304346</c:v>
                </c:pt>
                <c:pt idx="16">
                  <c:v>16.194761904761908</c:v>
                </c:pt>
                <c:pt idx="17">
                  <c:v>17.54454545454545</c:v>
                </c:pt>
                <c:pt idx="18">
                  <c:v>20.286521739130432</c:v>
                </c:pt>
                <c:pt idx="19">
                  <c:v>23.183</c:v>
                </c:pt>
                <c:pt idx="20">
                  <c:v>21.769130434782607</c:v>
                </c:pt>
                <c:pt idx="21">
                  <c:v>20.760454545454543</c:v>
                </c:pt>
                <c:pt idx="22">
                  <c:v>24.352499999999999</c:v>
                </c:pt>
                <c:pt idx="23">
                  <c:v>24.521818181818176</c:v>
                </c:pt>
                <c:pt idx="24">
                  <c:v>22.026500000000002</c:v>
                </c:pt>
                <c:pt idx="25">
                  <c:v>22.895238095238096</c:v>
                </c:pt>
                <c:pt idx="26">
                  <c:v>26.539047619047615</c:v>
                </c:pt>
                <c:pt idx="27">
                  <c:v>26.18</c:v>
                </c:pt>
                <c:pt idx="28">
                  <c:v>25.9495</c:v>
                </c:pt>
                <c:pt idx="29">
                  <c:v>28.870434782608701</c:v>
                </c:pt>
                <c:pt idx="30">
                  <c:v>27.682272727272732</c:v>
                </c:pt>
                <c:pt idx="31">
                  <c:v>26.369047619047624</c:v>
                </c:pt>
                <c:pt idx="32">
                  <c:v>25.259999999999994</c:v>
                </c:pt>
                <c:pt idx="33">
                  <c:v>24.950476190476191</c:v>
                </c:pt>
                <c:pt idx="34">
                  <c:v>25.633500000000005</c:v>
                </c:pt>
                <c:pt idx="35">
                  <c:v>24.695909090909087</c:v>
                </c:pt>
                <c:pt idx="36">
                  <c:v>24.369499999999995</c:v>
                </c:pt>
                <c:pt idx="37">
                  <c:v>20.164545454545454</c:v>
                </c:pt>
                <c:pt idx="38">
                  <c:v>20.468000000000004</c:v>
                </c:pt>
                <c:pt idx="39">
                  <c:v>20.411904761904758</c:v>
                </c:pt>
                <c:pt idx="40">
                  <c:v>23.886818181818185</c:v>
                </c:pt>
                <c:pt idx="41">
                  <c:v>27.88217391304347</c:v>
                </c:pt>
                <c:pt idx="42">
                  <c:v>27.213333333333335</c:v>
                </c:pt>
                <c:pt idx="43">
                  <c:v>28.084090909090911</c:v>
                </c:pt>
                <c:pt idx="44">
                  <c:v>25.367727272727276</c:v>
                </c:pt>
                <c:pt idx="45">
                  <c:v>26.718571428571437</c:v>
                </c:pt>
                <c:pt idx="46">
                  <c:v>31.146818181818183</c:v>
                </c:pt>
                <c:pt idx="47">
                  <c:v>33.536500000000004</c:v>
                </c:pt>
                <c:pt idx="48">
                  <c:v>37.960499999999996</c:v>
                </c:pt>
                <c:pt idx="49">
                  <c:v>40.955652173913045</c:v>
                </c:pt>
                <c:pt idx="50">
                  <c:v>45.338000000000008</c:v>
                </c:pt>
                <c:pt idx="51">
                  <c:v>52.260000000000012</c:v>
                </c:pt>
                <c:pt idx="52">
                  <c:v>52.919090909090912</c:v>
                </c:pt>
                <c:pt idx="53">
                  <c:v>53.394545454545444</c:v>
                </c:pt>
                <c:pt idx="54">
                  <c:v>56.657727272727264</c:v>
                </c:pt>
                <c:pt idx="55">
                  <c:v>61.308181818181836</c:v>
                </c:pt>
                <c:pt idx="56">
                  <c:v>59.48238095238095</c:v>
                </c:pt>
                <c:pt idx="57">
                  <c:v>66.115909090909099</c:v>
                </c:pt>
                <c:pt idx="58">
                  <c:v>80.958571428571432</c:v>
                </c:pt>
              </c:numCache>
            </c:numRef>
          </c:val>
          <c:smooth val="0"/>
          <c:extLst>
            <c:ext xmlns:c16="http://schemas.microsoft.com/office/drawing/2014/chart" uri="{C3380CC4-5D6E-409C-BE32-E72D297353CC}">
              <c16:uniqueId val="{00000000-1901-440B-BA84-A91A7EC6ED7E}"/>
            </c:ext>
          </c:extLst>
        </c:ser>
        <c:dLbls>
          <c:showLegendKey val="0"/>
          <c:showVal val="0"/>
          <c:showCatName val="0"/>
          <c:showSerName val="0"/>
          <c:showPercent val="0"/>
          <c:showBubbleSize val="0"/>
        </c:dLbls>
        <c:smooth val="0"/>
        <c:axId val="539137151"/>
        <c:axId val="539137479"/>
      </c:lineChart>
      <c:dateAx>
        <c:axId val="539137151"/>
        <c:scaling>
          <c:orientation val="minMax"/>
        </c:scaling>
        <c:delete val="0"/>
        <c:axPos val="b"/>
        <c:numFmt formatCode="m/d/yy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9137479"/>
        <c:crosses val="autoZero"/>
        <c:auto val="1"/>
        <c:lblOffset val="100"/>
        <c:baseTimeUnit val="months"/>
        <c:majorUnit val="2"/>
        <c:majorTimeUnit val="months"/>
      </c:dateAx>
      <c:valAx>
        <c:axId val="539137479"/>
        <c:scaling>
          <c:orientation val="minMax"/>
        </c:scaling>
        <c:delete val="0"/>
        <c:axPos val="l"/>
        <c:majorGridlines>
          <c:spPr>
            <a:ln w="9525" cap="flat" cmpd="sng" algn="ctr">
              <a:solidFill>
                <a:schemeClr val="tx1">
                  <a:lumMod val="15000"/>
                  <a:lumOff val="85000"/>
                </a:schemeClr>
              </a:solidFill>
              <a:prstDash val="sysDash"/>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eur/t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913715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Custom 1">
    <a:dk1>
      <a:sysClr val="windowText" lastClr="000000"/>
    </a:dk1>
    <a:lt1>
      <a:sysClr val="window" lastClr="FFFFFF"/>
    </a:lt1>
    <a:dk2>
      <a:srgbClr val="000000"/>
    </a:dk2>
    <a:lt2>
      <a:srgbClr val="B2B2B2"/>
    </a:lt2>
    <a:accent1>
      <a:srgbClr val="C7114A"/>
    </a:accent1>
    <a:accent2>
      <a:srgbClr val="858585"/>
    </a:accent2>
    <a:accent3>
      <a:srgbClr val="A5A5A5"/>
    </a:accent3>
    <a:accent4>
      <a:srgbClr val="000000"/>
    </a:accent4>
    <a:accent5>
      <a:srgbClr val="D0D0D0"/>
    </a:accent5>
    <a:accent6>
      <a:srgbClr val="F65C8B"/>
    </a:accent6>
    <a:hlink>
      <a:srgbClr val="C7114A"/>
    </a:hlink>
    <a:folHlink>
      <a:srgbClr val="969696"/>
    </a:folHlink>
  </a:clrScheme>
  <a:fontScheme name="GEA Corporate_Font">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site Document" ma:contentTypeID="0x010100AE6B8B4649F0FA42BC4F4897A77999EC010300188820D3D298344EB8B4A088C96902B2" ma:contentTypeVersion="20" ma:contentTypeDescription="" ma:contentTypeScope="" ma:versionID="3d18ff5c61fdf076612af0601d73877d">
  <xsd:schema xmlns:xsd="http://www.w3.org/2001/XMLSchema" xmlns:xs="http://www.w3.org/2001/XMLSchema" xmlns:p="http://schemas.microsoft.com/office/2006/metadata/properties" xmlns:ns2="04e156a7-4389-4348-bdc5-772e1b15193f" targetNamespace="http://schemas.microsoft.com/office/2006/metadata/properties" ma:root="true" ma:fieldsID="84e9c40e3a454abbc6e6f60aa86b77e0" ns2:_="">
    <xsd:import namespace="04e156a7-4389-4348-bdc5-772e1b15193f"/>
    <xsd:element name="properties">
      <xsd:complexType>
        <xsd:sequence>
          <xsd:element name="documentManagement">
            <xsd:complexType>
              <xsd:all>
                <xsd:element ref="ns2:Year"/>
                <xsd:element ref="ns2:MeetingDate" minOccurs="0"/>
                <xsd:element ref="ns2:_dlc_DocIdUrl" minOccurs="0"/>
                <xsd:element ref="ns2:_dlc_DocIdPersistId" minOccurs="0"/>
                <xsd:element ref="ns2:j05422ce24ce4e4ab320b03641ea4418" minOccurs="0"/>
                <xsd:element ref="ns2:TaxCatchAll" minOccurs="0"/>
                <xsd:element ref="ns2:TaxCatchAllLabel" minOccurs="0"/>
                <xsd:element ref="ns2:i5bb2eea380a44bda7ee278cd0cc8b9c" minOccurs="0"/>
                <xsd:element ref="ns2:gda4d86408c5493e8985022410f7cd57" minOccurs="0"/>
                <xsd:element ref="ns2:_dlc_DocId" minOccurs="0"/>
                <xsd:element ref="ns2:ecffb14172554a4ba7481deb4c063ead" minOccurs="0"/>
                <xsd:element ref="ns2:c8637115ca234e04bb3384934748beb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156a7-4389-4348-bdc5-772e1b15193f" elementFormDefault="qualified">
    <xsd:import namespace="http://schemas.microsoft.com/office/2006/documentManagement/types"/>
    <xsd:import namespace="http://schemas.microsoft.com/office/infopath/2007/PartnerControls"/>
    <xsd:element name="Year" ma:index="4" ma:displayName="Year" ma:default="2016" ma:description="" ma:internalName="Year" ma:readOnly="false">
      <xsd:simpleType>
        <xsd:restriction base="dms:Text">
          <xsd:maxLength value="4"/>
        </xsd:restriction>
      </xsd:simpleType>
    </xsd:element>
    <xsd:element name="MeetingDate" ma:index="6" nillable="true" ma:displayName="Meeting Date" ma:description="" ma:format="DateOnly" ma:internalName="MeetingDate" ma:readOnly="false">
      <xsd:simpleType>
        <xsd:restriction base="dms:DateTime"/>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element name="j05422ce24ce4e4ab320b03641ea4418" ma:index="9" ma:taxonomy="true" ma:internalName="j05422ce24ce4e4ab320b03641ea4418" ma:taxonomyFieldName="DocumentType" ma:displayName="Document Type" ma:readOnly="false" ma:default="" ma:fieldId="{305422ce-24ce-4e4a-b320-b03641ea4418}"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e634e61-1f3b-42f6-a906-c1c71afec3e4}" ma:internalName="TaxCatchAll" ma:showField="CatchAllData"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e634e61-1f3b-42f6-a906-c1c71afec3e4}" ma:internalName="TaxCatchAllLabel" ma:readOnly="true" ma:showField="CatchAllDataLabel"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i5bb2eea380a44bda7ee278cd0cc8b9c" ma:index="13" ma:taxonomy="true" ma:internalName="i5bb2eea380a44bda7ee278cd0cc8b9c" ma:taxonomyFieldName="ConfidentialityLevel" ma:displayName="Confidentiality Level" ma:default="2;#Regular|07f1e362-856b-423d-bea6-a14079762141" ma:fieldId="{25bb2eea-380a-44bd-a7ee-278cd0cc8b9c}"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gda4d86408c5493e8985022410f7cd57" ma:index="16" nillable="true" ma:taxonomy="true" ma:internalName="gda4d86408c5493e8985022410f7cd57" ma:taxonomyFieldName="EsmaAudience" ma:displayName="Audience" ma:readOnly="false" ma:default="" ma:fieldId="{0da4d864-08c5-493e-8985-022410f7cd57}" ma:sspId="0ac1876e-32bf-4158-94e7-cdbcd053a335" ma:termSetId="b571f04a-7c01-4ca7-82ee-9fa9ce367c37"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ecffb14172554a4ba7481deb4c063ead" ma:index="20" nillable="true" ma:taxonomy="true" ma:internalName="ecffb14172554a4ba7481deb4c063ead" ma:taxonomyFieldName="Topic" ma:displayName="Topic" ma:readOnly="false" ma:default="" ma:fieldId="{ecffb141-7255-4a4b-a748-1deb4c063ead}" ma:sspId="0ac1876e-32bf-4158-94e7-cdbcd053a335" ma:termSetId="6abdd5a6-9549-415c-8347-3fdbcce9001d" ma:anchorId="00000000-0000-0000-0000-000000000000" ma:open="true" ma:isKeyword="false">
      <xsd:complexType>
        <xsd:sequence>
          <xsd:element ref="pc:Terms" minOccurs="0" maxOccurs="1"/>
        </xsd:sequence>
      </xsd:complexType>
    </xsd:element>
    <xsd:element name="c8637115ca234e04bb3384934748beb0" ma:index="23" ma:taxonomy="true" ma:internalName="c8637115ca234e04bb3384934748beb0" ma:taxonomyFieldName="TeamName" ma:displayName="Team Name" ma:readOnly="false" ma:default="1;#Communications|7759f44a-d057-4de2-8be6-5ed35b270d6d" ma:fieldId="{c8637115-ca23-4e04-bb33-84934748beb0}"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MeetingDate xmlns="04e156a7-4389-4348-bdc5-772e1b15193f" xsi:nil="true"/>
    <c8637115ca234e04bb3384934748beb0 xmlns="04e156a7-4389-4348-bdc5-772e1b15193f">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7759f44a-d057-4de2-8be6-5ed35b270d6d</TermId>
        </TermInfo>
      </Terms>
    </c8637115ca234e04bb3384934748beb0>
    <gda4d86408c5493e8985022410f7cd57 xmlns="04e156a7-4389-4348-bdc5-772e1b15193f">
      <Terms xmlns="http://schemas.microsoft.com/office/infopath/2007/PartnerControls"/>
    </gda4d86408c5493e8985022410f7cd57>
    <Year xmlns="04e156a7-4389-4348-bdc5-772e1b15193f">2016</Year>
    <i5bb2eea380a44bda7ee278cd0cc8b9c xmlns="04e156a7-4389-4348-bdc5-772e1b15193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5bb2eea380a44bda7ee278cd0cc8b9c>
    <ecffb14172554a4ba7481deb4c063ead xmlns="04e156a7-4389-4348-bdc5-772e1b15193f">
      <Terms xmlns="http://schemas.microsoft.com/office/infopath/2007/PartnerControls">
        <TermInfo xmlns="http://schemas.microsoft.com/office/infopath/2007/PartnerControls">
          <TermName xmlns="http://schemas.microsoft.com/office/infopath/2007/PartnerControls">Publications</TermName>
          <TermId xmlns="http://schemas.microsoft.com/office/infopath/2007/PartnerControls">e7965682-b06b-4956-a8ca-d94498dfae3d</TermId>
        </TermInfo>
      </Terms>
    </ecffb14172554a4ba7481deb4c063ead>
    <j05422ce24ce4e4ab320b03641ea4418 xmlns="04e156a7-4389-4348-bdc5-772e1b15193f">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j05422ce24ce4e4ab320b03641ea4418>
    <TaxCatchAll xmlns="04e156a7-4389-4348-bdc5-772e1b15193f">
      <Value>76</Value>
      <Value>2</Value>
      <Value>1</Value>
      <Value>85</Value>
    </TaxCatchAll>
    <_dlc_DocId xmlns="04e156a7-4389-4348-bdc5-772e1b15193f">ESMA71-1154262120-143</_dlc_DocId>
    <_dlc_DocIdUrl xmlns="04e156a7-4389-4348-bdc5-772e1b15193f">
      <Url>http://sherpa.esma.europa.eu/sites/COM/_layouts/15/DocIdRedir.aspx?ID=ESMA71-1154262120-143</Url>
      <Description>ESMA71-1154262120-143</Description>
    </_dlc_DocIdUrl>
  </documentManagement>
</p:properties>
</file>

<file path=customXml/itemProps1.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2.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3.xml><?xml version="1.0" encoding="utf-8"?>
<ds:datastoreItem xmlns:ds="http://schemas.openxmlformats.org/officeDocument/2006/customXml" ds:itemID="{F1A5CBCA-5C46-421F-82AE-43D33A5EF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156a7-4389-4348-bdc5-772e1b151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5.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6.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04e156a7-4389-4348-bdc5-772e1b15193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14287</Words>
  <Characters>81442</Characters>
  <Application>Microsoft Office Word</Application>
  <DocSecurity>8</DocSecurity>
  <Lines>678</Lines>
  <Paragraphs>191</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95538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SCHOCKAERT Maarten (Electrabel)</cp:lastModifiedBy>
  <cp:revision>2</cp:revision>
  <cp:lastPrinted>2021-11-30T08:19:00Z</cp:lastPrinted>
  <dcterms:created xsi:type="dcterms:W3CDTF">2022-01-19T10:18:00Z</dcterms:created>
  <dcterms:modified xsi:type="dcterms:W3CDTF">2022-01-19T10:18:00Z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0x010100AE6B8B4649F0FA42BC4F4897A77999EC010300188820D3D298344EB8B4A088C96902B2</vt:lpwstr>
  </property>
  <property fmtid="{D5CDD505-2E9C-101B-9397-08002B2CF9AE}" pid="3" name="_dlc_DocIdItemGuid">
    <vt:lpwstr>c461fb49-589e-4220-88a8-7ddc3aa23684</vt:lpwstr>
  </property>
  <property fmtid="{D5CDD505-2E9C-101B-9397-08002B2CF9AE}" pid="4" name="EsmaAudience">
    <vt:lpwstr/>
  </property>
  <property fmtid="{D5CDD505-2E9C-101B-9397-08002B2CF9AE}" pid="5" name="TeamName">
    <vt:lpwstr>1;#Communications|7759f44a-d057-4de2-8be6-5ed35b270d6d</vt:lpwstr>
  </property>
  <property fmtid="{D5CDD505-2E9C-101B-9397-08002B2CF9AE}" pid="6" name="Topic">
    <vt:lpwstr>76;#Publications|e7965682-b06b-4956-a8ca-d94498dfae3d</vt:lpwstr>
  </property>
  <property fmtid="{D5CDD505-2E9C-101B-9397-08002B2CF9AE}" pid="7" name="ConfidentialityLevel">
    <vt:lpwstr>2;#Regular|07f1e362-856b-423d-bea6-a14079762141</vt:lpwstr>
  </property>
  <property fmtid="{D5CDD505-2E9C-101B-9397-08002B2CF9AE}" pid="8" name="DocumentType">
    <vt:lpwstr>85;#Form / Request|efe27f23-61a2-47e7-916e-544dd02c80f4</vt:lpwstr>
  </property>
  <property fmtid="{D5CDD505-2E9C-101B-9397-08002B2CF9AE}" pid="9" name="MSIP_Label_c135c4ba-2280-41f8-be7d-6f21d368baa3_Enabled">
    <vt:lpwstr>true</vt:lpwstr>
  </property>
  <property fmtid="{D5CDD505-2E9C-101B-9397-08002B2CF9AE}" pid="10" name="MSIP_Label_c135c4ba-2280-41f8-be7d-6f21d368baa3_SetDate">
    <vt:lpwstr>2022-01-19T10:09:56Z</vt:lpwstr>
  </property>
  <property fmtid="{D5CDD505-2E9C-101B-9397-08002B2CF9AE}" pid="11" name="MSIP_Label_c135c4ba-2280-41f8-be7d-6f21d368baa3_Method">
    <vt:lpwstr>Standard</vt:lpwstr>
  </property>
  <property fmtid="{D5CDD505-2E9C-101B-9397-08002B2CF9AE}" pid="12" name="MSIP_Label_c135c4ba-2280-41f8-be7d-6f21d368baa3_Name">
    <vt:lpwstr>c135c4ba-2280-41f8-be7d-6f21d368baa3</vt:lpwstr>
  </property>
  <property fmtid="{D5CDD505-2E9C-101B-9397-08002B2CF9AE}" pid="13" name="MSIP_Label_c135c4ba-2280-41f8-be7d-6f21d368baa3_SiteId">
    <vt:lpwstr>24139d14-c62c-4c47-8bdd-ce71ea1d50cf</vt:lpwstr>
  </property>
  <property fmtid="{D5CDD505-2E9C-101B-9397-08002B2CF9AE}" pid="14" name="MSIP_Label_c135c4ba-2280-41f8-be7d-6f21d368baa3_ActionId">
    <vt:lpwstr>bfdb5d5f-8603-4def-90ce-514147d2fe65</vt:lpwstr>
  </property>
  <property fmtid="{D5CDD505-2E9C-101B-9397-08002B2CF9AE}" pid="15" name="MSIP_Label_c135c4ba-2280-41f8-be7d-6f21d368baa3_ContentBits">
    <vt:lpwstr>0</vt:lpwstr>
  </property>
</Properties>
</file>