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7BA33815" w14:textId="77777777" w:rsidTr="00315E96">
        <w:trPr>
          <w:trHeight w:val="284"/>
        </w:trPr>
        <w:tc>
          <w:tcPr>
            <w:tcW w:w="9412" w:type="dxa"/>
          </w:tcPr>
          <w:p w14:paraId="6CC278DA" w14:textId="1408D520"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6C2D5A">
              <w:rPr>
                <w:rFonts w:cs="Arial"/>
                <w:color w:val="FFFFFF" w:themeColor="background1"/>
                <w:sz w:val="22"/>
                <w:szCs w:val="22"/>
              </w:rPr>
              <w:t>17</w:t>
            </w:r>
            <w:r w:rsidR="00B61CD3">
              <w:rPr>
                <w:rFonts w:cs="Arial"/>
                <w:color w:val="FFFFFF" w:themeColor="background1"/>
                <w:sz w:val="22"/>
                <w:szCs w:val="22"/>
              </w:rPr>
              <w:t xml:space="preserve"> </w:t>
            </w:r>
            <w:r w:rsidR="006C2D5A">
              <w:rPr>
                <w:rFonts w:cs="Arial"/>
                <w:color w:val="FFFFFF" w:themeColor="background1"/>
                <w:sz w:val="22"/>
                <w:szCs w:val="22"/>
              </w:rPr>
              <w:t>November</w:t>
            </w:r>
            <w:r w:rsidR="00B61CD3">
              <w:rPr>
                <w:rFonts w:cs="Arial"/>
                <w:color w:val="FFFFFF" w:themeColor="background1"/>
                <w:sz w:val="22"/>
                <w:szCs w:val="22"/>
              </w:rPr>
              <w:t xml:space="preserve"> 202</w:t>
            </w:r>
            <w:r w:rsidR="006C2D5A">
              <w:rPr>
                <w:rFonts w:cs="Arial"/>
                <w:color w:val="FFFFFF" w:themeColor="background1"/>
                <w:sz w:val="22"/>
                <w:szCs w:val="22"/>
              </w:rPr>
              <w:t>1</w:t>
            </w:r>
          </w:p>
        </w:tc>
      </w:tr>
    </w:tbl>
    <w:p w14:paraId="3FAB6541" w14:textId="77777777" w:rsidR="00FD7A8D" w:rsidRPr="00616B9B" w:rsidRDefault="00FD7A8D" w:rsidP="00FD7A8D">
      <w:pPr>
        <w:rPr>
          <w:rFonts w:cs="Arial"/>
          <w:vanish/>
        </w:rPr>
      </w:pPr>
    </w:p>
    <w:tbl>
      <w:tblPr>
        <w:tblpPr w:leftFromText="8505" w:vertAnchor="page" w:horzAnchor="page" w:tblpX="1532" w:tblpY="4401"/>
        <w:tblW w:w="9113" w:type="dxa"/>
        <w:tblLayout w:type="fixed"/>
        <w:tblCellMar>
          <w:left w:w="0" w:type="dxa"/>
          <w:right w:w="0" w:type="dxa"/>
        </w:tblCellMar>
        <w:tblLook w:val="01E0" w:firstRow="1" w:lastRow="1" w:firstColumn="1" w:lastColumn="1" w:noHBand="0" w:noVBand="0"/>
      </w:tblPr>
      <w:tblGrid>
        <w:gridCol w:w="9113"/>
      </w:tblGrid>
      <w:tr w:rsidR="00060F72" w:rsidRPr="00616B9B" w14:paraId="75E3C024" w14:textId="77777777" w:rsidTr="006C2D5A">
        <w:trPr>
          <w:trHeight w:hRule="exact" w:val="1985"/>
        </w:trPr>
        <w:tc>
          <w:tcPr>
            <w:tcW w:w="9113" w:type="dxa"/>
            <w:vAlign w:val="bottom"/>
          </w:tcPr>
          <w:p w14:paraId="2D58508C" w14:textId="51699443" w:rsidR="00791EB4" w:rsidRDefault="00AE627C" w:rsidP="006C2D5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6C2D5A">
              <w:rPr>
                <w:rFonts w:cs="Arial"/>
              </w:rPr>
              <w:t xml:space="preserve">Discussion Paper </w:t>
            </w:r>
            <w:r w:rsidR="00F107EF" w:rsidRPr="00F107EF">
              <w:rPr>
                <w:rFonts w:cs="Arial"/>
              </w:rPr>
              <w:t xml:space="preserve">on the </w:t>
            </w:r>
            <w:r w:rsidR="006C2D5A">
              <w:rPr>
                <w:rFonts w:cs="Arial"/>
              </w:rPr>
              <w:t>review of the clearing thresholds under EMIR</w:t>
            </w:r>
          </w:p>
          <w:p w14:paraId="3016CDD9" w14:textId="77777777" w:rsidR="00B61CD3" w:rsidRPr="00616B9B" w:rsidRDefault="00B61CD3" w:rsidP="006C2D5A">
            <w:pPr>
              <w:pStyle w:val="01aDBTitle"/>
              <w:jc w:val="left"/>
              <w:rPr>
                <w:rFonts w:cs="Arial"/>
              </w:rPr>
            </w:pPr>
          </w:p>
        </w:tc>
      </w:tr>
      <w:tr w:rsidR="00060F72" w:rsidRPr="00616B9B" w14:paraId="1EE8FD41" w14:textId="77777777" w:rsidTr="006C2D5A">
        <w:trPr>
          <w:trHeight w:hRule="exact" w:val="605"/>
        </w:trPr>
        <w:tc>
          <w:tcPr>
            <w:tcW w:w="9113" w:type="dxa"/>
            <w:tcMar>
              <w:top w:w="142" w:type="dxa"/>
            </w:tcMar>
          </w:tcPr>
          <w:p w14:paraId="3D4F1BC4" w14:textId="77777777" w:rsidR="00D91010" w:rsidRPr="00616B9B" w:rsidRDefault="00013CCE" w:rsidP="006C2D5A">
            <w:pPr>
              <w:pStyle w:val="01bDBSubtitle"/>
              <w:rPr>
                <w:rFonts w:ascii="Arial" w:hAnsi="Arial" w:cs="Arial"/>
              </w:rPr>
            </w:pPr>
            <w:r w:rsidRPr="00616B9B">
              <w:rPr>
                <w:rFonts w:ascii="Arial" w:hAnsi="Arial" w:cs="Arial"/>
              </w:rPr>
              <w:t xml:space="preserve"> </w:t>
            </w:r>
          </w:p>
        </w:tc>
      </w:tr>
    </w:tbl>
    <w:p w14:paraId="6B48724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926DEB1" w14:textId="77777777" w:rsidTr="00315E96">
        <w:trPr>
          <w:trHeight w:hRule="exact" w:val="964"/>
        </w:trPr>
        <w:tc>
          <w:tcPr>
            <w:tcW w:w="2325" w:type="dxa"/>
          </w:tcPr>
          <w:p w14:paraId="55556C41" w14:textId="157648DD" w:rsidR="00620D7C" w:rsidRPr="00A52EBB" w:rsidRDefault="00620D7C" w:rsidP="00B1467D">
            <w:pPr>
              <w:pStyle w:val="02Date"/>
              <w:rPr>
                <w:rFonts w:cs="Arial"/>
              </w:rPr>
            </w:pPr>
            <w:r w:rsidRPr="00A52EBB">
              <w:rPr>
                <w:rFonts w:cs="Arial"/>
              </w:rPr>
              <w:lastRenderedPageBreak/>
              <w:t>Date:</w:t>
            </w:r>
            <w:r w:rsidR="00FD2893">
              <w:rPr>
                <w:rFonts w:cs="Arial"/>
              </w:rPr>
              <w:t xml:space="preserve"> </w:t>
            </w:r>
            <w:r w:rsidR="00FD2893" w:rsidRPr="00FD2893">
              <w:rPr>
                <w:rFonts w:cs="Arial"/>
              </w:rPr>
              <w:t>17 November 2021</w:t>
            </w:r>
          </w:p>
        </w:tc>
      </w:tr>
    </w:tbl>
    <w:p w14:paraId="733A0769"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143B428E" w14:textId="0C1916D2"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FD2893">
        <w:rPr>
          <w:rFonts w:cs="Arial"/>
        </w:rPr>
        <w:t>Discussio</w:t>
      </w:r>
      <w:r w:rsidR="000E49B7">
        <w:rPr>
          <w:rFonts w:cs="Arial"/>
        </w:rPr>
        <w:t xml:space="preserve">n Paper on the </w:t>
      </w:r>
      <w:r w:rsidR="00FD2893">
        <w:rPr>
          <w:rFonts w:cs="Arial"/>
        </w:rPr>
        <w:t>review of the clearing thresholds</w:t>
      </w:r>
      <w:r w:rsidR="00F107EF" w:rsidRPr="00F107EF">
        <w:rPr>
          <w:rFonts w:cs="Arial"/>
        </w:rPr>
        <w:t xml:space="preserve"> </w:t>
      </w:r>
      <w:r w:rsidR="00015B5E" w:rsidRPr="00EF0769">
        <w:rPr>
          <w:rFonts w:cs="Arial"/>
        </w:rPr>
        <w:t>published on the ESMA website</w:t>
      </w:r>
      <w:r w:rsidR="004E49B0" w:rsidRPr="00EF0769">
        <w:rPr>
          <w:rFonts w:cs="Arial"/>
        </w:rPr>
        <w:t>.</w:t>
      </w:r>
    </w:p>
    <w:p w14:paraId="4074FB5B" w14:textId="77777777" w:rsidR="001D000A" w:rsidRDefault="001D000A" w:rsidP="00F574D0">
      <w:pPr>
        <w:autoSpaceDE w:val="0"/>
        <w:autoSpaceDN w:val="0"/>
        <w:adjustRightInd w:val="0"/>
        <w:spacing w:before="120" w:after="120" w:line="276" w:lineRule="auto"/>
        <w:jc w:val="both"/>
        <w:rPr>
          <w:rStyle w:val="Strong4"/>
          <w:rFonts w:cs="Arial"/>
          <w:i/>
        </w:rPr>
      </w:pPr>
    </w:p>
    <w:p w14:paraId="62DBAD9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0A08541"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924D5F2"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25307BC2" w14:textId="50250CD1"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FD2893">
        <w:rPr>
          <w:rFonts w:cs="Arial"/>
        </w:rPr>
        <w:t>D</w:t>
      </w:r>
      <w:r w:rsidR="00227C1A">
        <w:rPr>
          <w:rFonts w:cs="Arial"/>
        </w:rPr>
        <w:t>P_</w:t>
      </w:r>
      <w:r w:rsidR="00FD2893">
        <w:rPr>
          <w:rFonts w:cs="Arial"/>
        </w:rPr>
        <w:t>EMIR</w:t>
      </w:r>
      <w:r w:rsidR="00F107EF">
        <w:rPr>
          <w:rFonts w:cs="Arial"/>
        </w:rPr>
        <w:t>_</w:t>
      </w:r>
      <w:r w:rsidR="00FD2893">
        <w:rPr>
          <w:rFonts w:cs="Arial"/>
        </w:rPr>
        <w:t>CTs</w:t>
      </w:r>
      <w:r w:rsidR="00F574D0" w:rsidRPr="00293D78">
        <w:rPr>
          <w:rFonts w:cs="Arial"/>
        </w:rPr>
        <w:t>&gt; - i.e. the response to one question has to be framed by the 2 tags corresponding to the question; and</w:t>
      </w:r>
    </w:p>
    <w:p w14:paraId="500888F5"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727B03C8"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744CF542"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4769CA81"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408A957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1F9612CA"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B5B8734" w14:textId="77777777" w:rsidR="001D000A" w:rsidRDefault="001D000A" w:rsidP="000D17AA">
      <w:pPr>
        <w:pStyle w:val="04BodyText"/>
        <w:spacing w:before="120" w:after="120"/>
        <w:jc w:val="left"/>
        <w:rPr>
          <w:rFonts w:cs="Arial"/>
          <w:b/>
        </w:rPr>
      </w:pPr>
    </w:p>
    <w:p w14:paraId="615EBC17" w14:textId="77777777" w:rsidR="000D17AA" w:rsidRPr="00EF0769" w:rsidRDefault="00606240" w:rsidP="000D17AA">
      <w:pPr>
        <w:pStyle w:val="04BodyText"/>
        <w:spacing w:before="120" w:after="120"/>
        <w:jc w:val="left"/>
        <w:rPr>
          <w:rFonts w:cs="Arial"/>
          <w:b/>
        </w:rPr>
      </w:pPr>
      <w:r>
        <w:rPr>
          <w:rFonts w:cs="Arial"/>
          <w:b/>
        </w:rPr>
        <w:t>Naming protocol</w:t>
      </w:r>
    </w:p>
    <w:p w14:paraId="0A62B545"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7D0D5A9" w14:textId="165F019C" w:rsidR="000D17AA" w:rsidRPr="00EF0769" w:rsidRDefault="00021E83" w:rsidP="000D17AA">
      <w:pPr>
        <w:pStyle w:val="04BodyText"/>
        <w:spacing w:before="120" w:after="120"/>
        <w:jc w:val="left"/>
        <w:rPr>
          <w:rFonts w:cs="Arial"/>
        </w:rPr>
      </w:pPr>
      <w:r w:rsidRPr="00EF0769">
        <w:rPr>
          <w:rFonts w:cs="Arial"/>
        </w:rPr>
        <w:t>ESMA_</w:t>
      </w:r>
      <w:r w:rsidR="00FD2893">
        <w:rPr>
          <w:rFonts w:cs="Arial"/>
        </w:rPr>
        <w:t>D</w:t>
      </w:r>
      <w:r w:rsidR="00227C1A">
        <w:rPr>
          <w:rFonts w:cs="Arial"/>
        </w:rPr>
        <w:t>P_</w:t>
      </w:r>
      <w:r w:rsidR="00FD2893">
        <w:rPr>
          <w:rFonts w:cs="Arial"/>
        </w:rPr>
        <w:t>EMIR_CTs</w:t>
      </w:r>
      <w:r w:rsidR="00227C1A">
        <w:rPr>
          <w:rFonts w:cs="Arial"/>
        </w:rPr>
        <w:t>_</w:t>
      </w:r>
      <w:r w:rsidRPr="00EF0769">
        <w:rPr>
          <w:rFonts w:cs="Arial"/>
        </w:rPr>
        <w:t>NAMEOFCOMPANY_NAMEOFDOCUMENT</w:t>
      </w:r>
      <w:r w:rsidR="000D17AA" w:rsidRPr="00EF0769">
        <w:rPr>
          <w:rFonts w:cs="Arial"/>
        </w:rPr>
        <w:t>.</w:t>
      </w:r>
    </w:p>
    <w:p w14:paraId="71A173B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211518B1" w14:textId="4855BCC1" w:rsidR="000D17AA" w:rsidRPr="00EF0769" w:rsidRDefault="00021E83" w:rsidP="00FD2893">
      <w:pPr>
        <w:pStyle w:val="04BodyText"/>
        <w:spacing w:before="120" w:after="120"/>
        <w:jc w:val="left"/>
        <w:rPr>
          <w:rFonts w:cs="Arial"/>
        </w:rPr>
      </w:pPr>
      <w:r w:rsidRPr="00EF0769">
        <w:rPr>
          <w:rFonts w:cs="Arial"/>
        </w:rPr>
        <w:t>ESMA_</w:t>
      </w:r>
      <w:r w:rsidR="00FD2893" w:rsidRPr="00FD2893">
        <w:rPr>
          <w:rFonts w:cs="Arial"/>
        </w:rPr>
        <w:t xml:space="preserve"> </w:t>
      </w:r>
      <w:r w:rsidR="00FD2893">
        <w:rPr>
          <w:rFonts w:cs="Arial"/>
        </w:rPr>
        <w:t>DP_EMIR_CTs_</w:t>
      </w:r>
      <w:r w:rsidRPr="00EF0769">
        <w:rPr>
          <w:rFonts w:cs="Arial"/>
        </w:rPr>
        <w:t xml:space="preserve">ESMA_REPLYFORM </w:t>
      </w:r>
    </w:p>
    <w:p w14:paraId="4160FAFE"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4089C10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7FC02DAB" w14:textId="3BA9E356"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FD2893">
        <w:rPr>
          <w:rFonts w:cs="Arial"/>
          <w:b/>
        </w:rPr>
        <w:t>9</w:t>
      </w:r>
      <w:r w:rsidR="00227C1A">
        <w:rPr>
          <w:rFonts w:cs="Arial"/>
          <w:b/>
        </w:rPr>
        <w:t xml:space="preserve"> </w:t>
      </w:r>
      <w:r w:rsidR="00FD2893">
        <w:rPr>
          <w:rFonts w:cs="Arial"/>
          <w:b/>
        </w:rPr>
        <w:t>January</w:t>
      </w:r>
      <w:r w:rsidR="00F107EF">
        <w:rPr>
          <w:rFonts w:cs="Arial"/>
          <w:b/>
        </w:rPr>
        <w:t xml:space="preserve"> 202</w:t>
      </w:r>
      <w:r w:rsidR="00FD2893">
        <w:rPr>
          <w:rFonts w:cs="Arial"/>
          <w:b/>
        </w:rPr>
        <w:t>1</w:t>
      </w:r>
      <w:r w:rsidR="00021E83" w:rsidRPr="00EF0769">
        <w:rPr>
          <w:rFonts w:cs="Arial"/>
          <w:b/>
        </w:rPr>
        <w:t>.</w:t>
      </w:r>
    </w:p>
    <w:p w14:paraId="0AA4F56E"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75683D9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B10F399"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45E11B9"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7DA9136"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1701CED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B69ACB5"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60136CF9"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644888C3" w14:textId="77777777" w:rsidR="00332304" w:rsidRDefault="00332304">
      <w:pPr>
        <w:rPr>
          <w:rFonts w:cs="Arial"/>
          <w:b/>
          <w:bCs/>
          <w:kern w:val="32"/>
          <w:sz w:val="24"/>
          <w:szCs w:val="32"/>
        </w:rPr>
      </w:pPr>
      <w:r>
        <w:br w:type="page"/>
      </w:r>
    </w:p>
    <w:p w14:paraId="4DB387CA"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91B647C" w14:textId="77777777" w:rsidTr="00FA5524">
        <w:tc>
          <w:tcPr>
            <w:tcW w:w="3929" w:type="dxa"/>
            <w:shd w:val="clear" w:color="auto" w:fill="auto"/>
          </w:tcPr>
          <w:p w14:paraId="7B6D403F" w14:textId="77777777" w:rsidR="00C2682A" w:rsidRPr="00E40A5C" w:rsidRDefault="00C2682A" w:rsidP="00FA5524">
            <w:pPr>
              <w:rPr>
                <w:rFonts w:cs="Arial"/>
                <w:sz w:val="22"/>
              </w:rPr>
            </w:pPr>
            <w:permStart w:id="908806099"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2946B85C" w14:textId="4ADD69AE" w:rsidR="00C2682A" w:rsidRPr="00AB6D88" w:rsidRDefault="00426C5C" w:rsidP="00FA5524">
                <w:pPr>
                  <w:rPr>
                    <w:rStyle w:val="PlaceholderText"/>
                    <w:rFonts w:cs="Arial"/>
                  </w:rPr>
                </w:pPr>
                <w:r>
                  <w:rPr>
                    <w:rStyle w:val="PlaceholderText"/>
                    <w:rFonts w:cs="Arial"/>
                  </w:rPr>
                  <w:t>Citadel</w:t>
                </w:r>
              </w:p>
            </w:tc>
          </w:sdtContent>
        </w:sdt>
      </w:tr>
      <w:tr w:rsidR="00C2682A" w:rsidRPr="00AB6D88" w14:paraId="1D9CBE45" w14:textId="77777777" w:rsidTr="00FA5524">
        <w:tc>
          <w:tcPr>
            <w:tcW w:w="3929" w:type="dxa"/>
            <w:shd w:val="clear" w:color="auto" w:fill="auto"/>
          </w:tcPr>
          <w:p w14:paraId="4AEAB254" w14:textId="77777777" w:rsidR="00C2682A" w:rsidRPr="00E40A5C" w:rsidRDefault="00C2682A" w:rsidP="00FA5524">
            <w:pPr>
              <w:rPr>
                <w:rFonts w:cs="Arial"/>
                <w:sz w:val="22"/>
              </w:rPr>
            </w:pPr>
            <w:permStart w:id="543449311" w:edGrp="everyone" w:colFirst="1" w:colLast="1"/>
            <w:permEnd w:id="908806099"/>
            <w:r w:rsidRPr="00E40A5C">
              <w:rPr>
                <w:rFonts w:cs="Arial"/>
                <w:sz w:val="22"/>
              </w:rPr>
              <w:t>Activity</w:t>
            </w:r>
          </w:p>
        </w:tc>
        <w:tc>
          <w:tcPr>
            <w:tcW w:w="5595" w:type="dxa"/>
            <w:shd w:val="clear" w:color="auto" w:fill="auto"/>
          </w:tcPr>
          <w:p w14:paraId="28C80CB8" w14:textId="529E500A" w:rsidR="00C2682A" w:rsidRPr="00AB6D88" w:rsidRDefault="008435BE"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26C5C">
                  <w:rPr>
                    <w:rFonts w:cs="Arial"/>
                  </w:rPr>
                  <w:t>Other Financial service providers</w:t>
                </w:r>
              </w:sdtContent>
            </w:sdt>
          </w:p>
        </w:tc>
      </w:tr>
      <w:tr w:rsidR="00C2682A" w:rsidRPr="00AB6D88" w14:paraId="38D352D6" w14:textId="77777777" w:rsidTr="00FA5524">
        <w:tc>
          <w:tcPr>
            <w:tcW w:w="3929" w:type="dxa"/>
            <w:shd w:val="clear" w:color="auto" w:fill="auto"/>
          </w:tcPr>
          <w:p w14:paraId="213C2539" w14:textId="77777777" w:rsidR="00C2682A" w:rsidRPr="00E40A5C" w:rsidRDefault="00C2682A" w:rsidP="00FA5524">
            <w:pPr>
              <w:rPr>
                <w:rFonts w:cs="Arial"/>
                <w:sz w:val="22"/>
              </w:rPr>
            </w:pPr>
            <w:permStart w:id="1344359580" w:edGrp="everyone" w:colFirst="1" w:colLast="1"/>
            <w:permEnd w:id="543449311"/>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1B6CD27A"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5D77BDD" w14:textId="77777777" w:rsidTr="00FA5524">
        <w:tc>
          <w:tcPr>
            <w:tcW w:w="3929" w:type="dxa"/>
            <w:shd w:val="clear" w:color="auto" w:fill="auto"/>
          </w:tcPr>
          <w:p w14:paraId="1E1D9E48" w14:textId="77777777" w:rsidR="00C2682A" w:rsidRPr="00E40A5C" w:rsidRDefault="00C2682A" w:rsidP="00FA5524">
            <w:pPr>
              <w:rPr>
                <w:rFonts w:cs="Arial"/>
                <w:sz w:val="22"/>
              </w:rPr>
            </w:pPr>
            <w:permStart w:id="2044803932" w:edGrp="everyone" w:colFirst="1" w:colLast="1"/>
            <w:permEnd w:id="1344359580"/>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14DEF05" w14:textId="30B713DA" w:rsidR="00C2682A" w:rsidRPr="00AB6D88" w:rsidRDefault="00426C5C" w:rsidP="00FA5524">
                <w:pPr>
                  <w:rPr>
                    <w:rFonts w:cs="Arial"/>
                  </w:rPr>
                </w:pPr>
                <w:r>
                  <w:rPr>
                    <w:rFonts w:cs="Arial"/>
                  </w:rPr>
                  <w:t>International</w:t>
                </w:r>
              </w:p>
            </w:tc>
          </w:sdtContent>
        </w:sdt>
      </w:tr>
      <w:permEnd w:id="2044803932"/>
    </w:tbl>
    <w:p w14:paraId="46B7C09A" w14:textId="77777777" w:rsidR="00C2682A" w:rsidRDefault="00C2682A" w:rsidP="00F87897">
      <w:pPr>
        <w:spacing w:after="120" w:line="264" w:lineRule="auto"/>
      </w:pPr>
    </w:p>
    <w:p w14:paraId="12649C54" w14:textId="77777777" w:rsidR="00F87897" w:rsidRDefault="00F87897" w:rsidP="00F87897">
      <w:pPr>
        <w:spacing w:after="120" w:line="264" w:lineRule="auto"/>
      </w:pPr>
    </w:p>
    <w:p w14:paraId="38CE07D3" w14:textId="77777777" w:rsidR="00F87897" w:rsidRDefault="00F87897" w:rsidP="00F87897">
      <w:pPr>
        <w:pStyle w:val="Heading1"/>
        <w:numPr>
          <w:ilvl w:val="0"/>
          <w:numId w:val="0"/>
        </w:numPr>
        <w:ind w:left="431" w:hanging="431"/>
      </w:pPr>
      <w:r>
        <w:t>Introduction</w:t>
      </w:r>
    </w:p>
    <w:p w14:paraId="530F042A" w14:textId="77777777" w:rsidR="00F87897" w:rsidRPr="001D47A5" w:rsidRDefault="00F87897" w:rsidP="00F87897">
      <w:pPr>
        <w:rPr>
          <w:rStyle w:val="IntenseEmphasis"/>
        </w:rPr>
      </w:pPr>
      <w:r w:rsidRPr="001D47A5">
        <w:rPr>
          <w:rStyle w:val="IntenseEmphasis"/>
        </w:rPr>
        <w:t>Please make your introductory comments below, if any:</w:t>
      </w:r>
    </w:p>
    <w:p w14:paraId="021FA949" w14:textId="77777777" w:rsidR="00F87897" w:rsidRPr="00BF28DA" w:rsidRDefault="00F87897" w:rsidP="00F87897"/>
    <w:p w14:paraId="13AE09D3" w14:textId="4ED10415" w:rsidR="00F87897" w:rsidRPr="006F4535" w:rsidRDefault="00F87897" w:rsidP="00F87897">
      <w:r w:rsidRPr="006F4535">
        <w:t>&lt;ESMA_COMMENT_</w:t>
      </w:r>
      <w:r w:rsidR="00D76652">
        <w:rPr>
          <w:rFonts w:cs="Arial"/>
        </w:rPr>
        <w:t>DP_EMIR_CT</w:t>
      </w:r>
      <w:r w:rsidR="00581067">
        <w:rPr>
          <w:rFonts w:cs="Arial"/>
        </w:rPr>
        <w:t>s</w:t>
      </w:r>
      <w:r w:rsidRPr="006F4535">
        <w:t>&gt;</w:t>
      </w:r>
    </w:p>
    <w:p w14:paraId="29B544D7" w14:textId="788DDAFC" w:rsidR="00F87897" w:rsidRDefault="00125C7D" w:rsidP="00F87897">
      <w:permStart w:id="1269197972" w:edGrp="everyone"/>
      <w:r w:rsidRPr="00125C7D">
        <w:t>Citadel and Citadel Securities appreciate the opportunity to respond to this consultation</w:t>
      </w:r>
      <w:r>
        <w:t>.</w:t>
      </w:r>
    </w:p>
    <w:p w14:paraId="7516DDB2" w14:textId="32242D4C" w:rsidR="00F87897" w:rsidRDefault="00F87897" w:rsidP="00F87897"/>
    <w:p w14:paraId="23CC49BD" w14:textId="01160603" w:rsidR="003007B4" w:rsidRDefault="00010E37" w:rsidP="00F87897">
      <w:r>
        <w:t xml:space="preserve">The derivatives clearing obligation is a central pillar of the post-crisis financial reforms, designed to mitigate systemic risk and increase market liquidity, transparency, and competition.  The scope of the clearing obligation determines not only how many OTC derivatives </w:t>
      </w:r>
      <w:r w:rsidR="003007B4">
        <w:t xml:space="preserve">are centrally cleared, but also impacts </w:t>
      </w:r>
      <w:r w:rsidR="00291276">
        <w:t xml:space="preserve">a number of related reforms, including </w:t>
      </w:r>
      <w:r w:rsidR="003007B4">
        <w:t>the derivatives trading obligation, the FRANDT clearing access requirements, and the post-trade consolidated tape recently proposed by the European Commissio</w:t>
      </w:r>
      <w:r w:rsidR="00F93E31">
        <w:t>n</w:t>
      </w:r>
      <w:r w:rsidR="003007B4">
        <w:t>.  As such, it is critically important that the EMIR clearing thresholds, which set the perimeter of small financial counterparties eligible for an exemption from the clearing obligation, are appropriately calibrated.</w:t>
      </w:r>
    </w:p>
    <w:p w14:paraId="649ACE1F" w14:textId="21E26EA7" w:rsidR="003007B4" w:rsidRDefault="003007B4" w:rsidP="00F87897"/>
    <w:p w14:paraId="06BBCC05" w14:textId="7324F79C" w:rsidR="003007B4" w:rsidRDefault="00F93E31" w:rsidP="00F93E31">
      <w:r>
        <w:t xml:space="preserve">Data shows the EMIR clearing thresholds have resulted in a lower overall clearing rate </w:t>
      </w:r>
      <w:r w:rsidR="00D074F7">
        <w:t xml:space="preserve">for </w:t>
      </w:r>
      <w:r>
        <w:t xml:space="preserve">newly executed OTC interest rate derivatives </w:t>
      </w:r>
      <w:r w:rsidR="00D074F7">
        <w:t xml:space="preserve">in the EU as </w:t>
      </w:r>
      <w:r>
        <w:t>compared to</w:t>
      </w:r>
      <w:r w:rsidR="00D074F7">
        <w:t xml:space="preserve"> in</w:t>
      </w:r>
      <w:r>
        <w:t xml:space="preserve"> the US.  For example, an ESRB working paper using flow data found that the EU had a clearing rate of less than 50% </w:t>
      </w:r>
      <w:r w:rsidR="00D074F7">
        <w:t>for</w:t>
      </w:r>
      <w:r>
        <w:t xml:space="preserve"> new interest rate derivatives contracts by notional.</w:t>
      </w:r>
      <w:r>
        <w:rPr>
          <w:rStyle w:val="FootnoteReference"/>
        </w:rPr>
        <w:footnoteReference w:id="2"/>
      </w:r>
      <w:r>
        <w:t xml:space="preserve">  In comparison, the US has a clearing rate of approximately 88% by notional.</w:t>
      </w:r>
      <w:r>
        <w:rPr>
          <w:rStyle w:val="FootnoteReference"/>
        </w:rPr>
        <w:footnoteReference w:id="3"/>
      </w:r>
      <w:r>
        <w:t xml:space="preserve">  This apparent disparity suggests that the </w:t>
      </w:r>
      <w:r w:rsidR="00D074F7">
        <w:t xml:space="preserve">EMIR </w:t>
      </w:r>
      <w:r>
        <w:t>clearing thresholds may be exempting too much trading activity from the EU clearing obligation</w:t>
      </w:r>
      <w:r w:rsidR="004C405C">
        <w:t xml:space="preserve"> given that the</w:t>
      </w:r>
      <w:r w:rsidR="00D074F7">
        <w:t xml:space="preserve"> scope of instruments subject to the clearing obligation in the EU and US i</w:t>
      </w:r>
      <w:r w:rsidR="004C405C">
        <w:t>s largely identical</w:t>
      </w:r>
      <w:r>
        <w:t>.</w:t>
      </w:r>
    </w:p>
    <w:p w14:paraId="132A0A41" w14:textId="4ED81FD4" w:rsidR="003007B4" w:rsidRDefault="003007B4" w:rsidP="00F87897"/>
    <w:p w14:paraId="5449D50A" w14:textId="3D90825D" w:rsidR="003007B4" w:rsidRDefault="00F93E31" w:rsidP="00F87897">
      <w:r>
        <w:t xml:space="preserve">However, </w:t>
      </w:r>
      <w:r w:rsidR="00944E99">
        <w:t xml:space="preserve">the data analysis performed by ESMA in the Discussion Paper </w:t>
      </w:r>
      <w:r w:rsidR="00F56673">
        <w:t>does not directly address</w:t>
      </w:r>
      <w:r w:rsidR="00944E99">
        <w:t xml:space="preserve"> the question of whether the clearing thresholds for small financial counterparties are appropriately calibrate</w:t>
      </w:r>
      <w:r w:rsidR="00F56673">
        <w:t xml:space="preserve">d.  We recommend </w:t>
      </w:r>
      <w:r>
        <w:t xml:space="preserve">two </w:t>
      </w:r>
      <w:r w:rsidR="00F56673">
        <w:t>enhancements</w:t>
      </w:r>
      <w:r>
        <w:t>:</w:t>
      </w:r>
    </w:p>
    <w:p w14:paraId="34DD5093" w14:textId="2968F72A" w:rsidR="00F93E31" w:rsidRDefault="00F93E31" w:rsidP="00F87897"/>
    <w:p w14:paraId="71EF0E73" w14:textId="77777777" w:rsidR="00F56673" w:rsidRPr="00F56673" w:rsidRDefault="00F56673" w:rsidP="00F93E31">
      <w:pPr>
        <w:pStyle w:val="ListParagraph"/>
        <w:numPr>
          <w:ilvl w:val="0"/>
          <w:numId w:val="41"/>
        </w:numPr>
      </w:pPr>
      <w:r>
        <w:rPr>
          <w:b/>
          <w:bCs/>
        </w:rPr>
        <w:t>Isolate Clearing Member Activity in</w:t>
      </w:r>
      <w:r w:rsidRPr="00387658">
        <w:rPr>
          <w:b/>
          <w:bCs/>
        </w:rPr>
        <w:t xml:space="preserve"> the Trade State Data</w:t>
      </w:r>
      <w:r>
        <w:rPr>
          <w:b/>
          <w:bCs/>
        </w:rPr>
        <w:t xml:space="preserve"> Analysis.  </w:t>
      </w:r>
    </w:p>
    <w:p w14:paraId="54B30A9E" w14:textId="77777777" w:rsidR="00F56673" w:rsidRDefault="00F56673" w:rsidP="00F56673">
      <w:pPr>
        <w:pStyle w:val="ListParagraph"/>
        <w:rPr>
          <w:b/>
          <w:bCs/>
        </w:rPr>
      </w:pPr>
    </w:p>
    <w:p w14:paraId="3ADEBEFB" w14:textId="451502EA" w:rsidR="00F93E31" w:rsidRDefault="00F56673" w:rsidP="00F56673">
      <w:pPr>
        <w:pStyle w:val="ListParagraph"/>
      </w:pPr>
      <w:r>
        <w:t xml:space="preserve">Using trade state data, ESMA found that financial counterparties (“FCs”) subject to the clearing obligation account for </w:t>
      </w:r>
      <w:r w:rsidRPr="00B86651">
        <w:rPr>
          <w:b/>
          <w:bCs/>
        </w:rPr>
        <w:t>95%</w:t>
      </w:r>
      <w:r>
        <w:t xml:space="preserve"> of total outstanding notional executed by FCs in interest rate derivatives, suggesting that the clearing thresholds provide broad coverage.  However, ESMA has previously found that clearing member banks alone account for </w:t>
      </w:r>
      <w:r w:rsidRPr="00B86651">
        <w:rPr>
          <w:b/>
          <w:bCs/>
        </w:rPr>
        <w:t>94.5%</w:t>
      </w:r>
      <w:r>
        <w:t xml:space="preserve"> of </w:t>
      </w:r>
      <w:r w:rsidRPr="00B86651">
        <w:t xml:space="preserve">total outstanding notional </w:t>
      </w:r>
      <w:r>
        <w:t>executed by FCs in interest rate derivatives.</w:t>
      </w:r>
      <w:r>
        <w:rPr>
          <w:rStyle w:val="FootnoteReference"/>
        </w:rPr>
        <w:footnoteReference w:id="4"/>
      </w:r>
      <w:r>
        <w:t xml:space="preserve">  This </w:t>
      </w:r>
      <w:r w:rsidR="00017C1A">
        <w:t>suggests</w:t>
      </w:r>
      <w:r>
        <w:t xml:space="preserve"> that non-clearing member clients subject to the clearing obligation only account for </w:t>
      </w:r>
      <w:r w:rsidR="00D074F7">
        <w:t>0</w:t>
      </w:r>
      <w:r>
        <w:t>.5% of th</w:t>
      </w:r>
      <w:r w:rsidR="00D074F7">
        <w:t>is</w:t>
      </w:r>
      <w:r>
        <w:t xml:space="preserve"> coverage statistic.</w:t>
      </w:r>
    </w:p>
    <w:p w14:paraId="77973D02" w14:textId="24B32071" w:rsidR="00F56673" w:rsidRDefault="00F56673" w:rsidP="00F56673"/>
    <w:p w14:paraId="06F060BA" w14:textId="3782C547" w:rsidR="00F56673" w:rsidRPr="00F56673" w:rsidRDefault="00F56673" w:rsidP="00F56673">
      <w:pPr>
        <w:ind w:left="720"/>
        <w:rPr>
          <w:u w:val="single"/>
        </w:rPr>
      </w:pPr>
      <w:r>
        <w:t>As a result,</w:t>
      </w:r>
      <w:r w:rsidRPr="00B677F5">
        <w:t xml:space="preserve"> </w:t>
      </w:r>
      <w:r>
        <w:t xml:space="preserve">the 95% coverage statistic does not demonstrate whether the clearing thresholds appropriately delineate between large and small FCs, as this statistic is almost entirely based on clearing member bank trading activity.  </w:t>
      </w:r>
      <w:r w:rsidRPr="00F56673">
        <w:rPr>
          <w:u w:val="single"/>
        </w:rPr>
        <w:t xml:space="preserve">Indeed, if the thresholds were entirely eliminated and the </w:t>
      </w:r>
      <w:r w:rsidRPr="00F56673">
        <w:rPr>
          <w:u w:val="single"/>
        </w:rPr>
        <w:lastRenderedPageBreak/>
        <w:t xml:space="preserve">clearing obligation was solely applied to clearing member banks, this statistic would barely change and would </w:t>
      </w:r>
      <w:r w:rsidR="00AF6287">
        <w:rPr>
          <w:u w:val="single"/>
        </w:rPr>
        <w:t xml:space="preserve">apparently </w:t>
      </w:r>
      <w:r w:rsidRPr="00F56673">
        <w:rPr>
          <w:u w:val="single"/>
        </w:rPr>
        <w:t>still show 94.5% coverage.</w:t>
      </w:r>
    </w:p>
    <w:p w14:paraId="7E09DEBB" w14:textId="5BB2A1F2" w:rsidR="00F56673" w:rsidRDefault="00F56673" w:rsidP="00F56673">
      <w:pPr>
        <w:ind w:left="720"/>
      </w:pPr>
    </w:p>
    <w:p w14:paraId="6EFBAC6F" w14:textId="26C9C849" w:rsidR="00F56673" w:rsidRDefault="00F56673" w:rsidP="00F56673">
      <w:pPr>
        <w:ind w:left="720"/>
      </w:pPr>
      <w:r>
        <w:t xml:space="preserve">Importantly, however, the co-legislators made a clear decision to apply the clearing obligation more broadly than just to clearing member banks for a variety of reasons, including mitigating systemic risk and increasing market transparency and competition.  </w:t>
      </w:r>
    </w:p>
    <w:p w14:paraId="26155DE8" w14:textId="1CC04867" w:rsidR="00F56673" w:rsidRDefault="00F56673" w:rsidP="00F56673">
      <w:pPr>
        <w:ind w:left="720"/>
      </w:pPr>
    </w:p>
    <w:p w14:paraId="6362D00A" w14:textId="1C0B118B" w:rsidR="00F56673" w:rsidRDefault="00F56673" w:rsidP="00F56673">
      <w:pPr>
        <w:ind w:left="720"/>
      </w:pPr>
      <w:r>
        <w:t xml:space="preserve">Recognizing the clear intent to capture more than just clearing member bank trading activity, the key question when evaluating the clearing thresholds is: </w:t>
      </w:r>
      <w:r w:rsidRPr="00F56673">
        <w:rPr>
          <w:u w:val="single"/>
        </w:rPr>
        <w:t>how much of the client segment of the market should be subject to the clearing obligation?</w:t>
      </w:r>
      <w:r>
        <w:rPr>
          <w:i/>
          <w:iCs/>
        </w:rPr>
        <w:t xml:space="preserve">  </w:t>
      </w:r>
      <w:r>
        <w:t>In other words, do the clearing thresholds appropriately distinguish between large FC clients (subject to the CO) and small FC clients (eligible for an exemption)?</w:t>
      </w:r>
    </w:p>
    <w:p w14:paraId="60D40412" w14:textId="77777777" w:rsidR="00F56673" w:rsidRDefault="00F56673" w:rsidP="00F56673"/>
    <w:p w14:paraId="17A656F6" w14:textId="55BEBAF8" w:rsidR="00F56673" w:rsidRDefault="00F56673" w:rsidP="00F56673">
      <w:pPr>
        <w:ind w:left="720"/>
      </w:pPr>
      <w:r>
        <w:t xml:space="preserve">Clearing member bank trading activity is not relevant for answering these questions.  Instead, the relevant data points (using trade state data) are that clients account for 5.5% </w:t>
      </w:r>
      <w:r w:rsidRPr="00B723A5">
        <w:t>of total outstanding notional in OTC interest rate derivatives</w:t>
      </w:r>
      <w:r>
        <w:t xml:space="preserve"> and the current clearing thresholds provide coverage of </w:t>
      </w:r>
      <w:r w:rsidR="00D074F7">
        <w:t>0</w:t>
      </w:r>
      <w:r>
        <w:t xml:space="preserve">.5% of such </w:t>
      </w:r>
      <w:r w:rsidRPr="00B723A5">
        <w:t>outstanding notional</w:t>
      </w:r>
      <w:r w:rsidR="00833E3A">
        <w:t xml:space="preserve">.  This </w:t>
      </w:r>
      <w:r w:rsidR="00017C1A">
        <w:t>suggests</w:t>
      </w:r>
      <w:r w:rsidR="00833E3A">
        <w:t xml:space="preserve"> that the current clearing thresholds only cover</w:t>
      </w:r>
      <w:r w:rsidRPr="00833E3A">
        <w:t xml:space="preserve"> </w:t>
      </w:r>
      <w:r w:rsidRPr="00833E3A">
        <w:rPr>
          <w:b/>
          <w:bCs/>
        </w:rPr>
        <w:t>9%</w:t>
      </w:r>
      <w:r w:rsidRPr="00833E3A">
        <w:t xml:space="preserve"> of the client market segment.</w:t>
      </w:r>
    </w:p>
    <w:p w14:paraId="7EDBEFCA" w14:textId="568B0CD2" w:rsidR="00F56673" w:rsidRDefault="00F56673" w:rsidP="00F56673">
      <w:pPr>
        <w:ind w:left="720"/>
      </w:pPr>
    </w:p>
    <w:p w14:paraId="24FE52C3" w14:textId="3BBE8FFA" w:rsidR="00F56673" w:rsidRDefault="00F56673" w:rsidP="00F56673">
      <w:pPr>
        <w:pStyle w:val="ListParagraph"/>
        <w:numPr>
          <w:ilvl w:val="0"/>
          <w:numId w:val="41"/>
        </w:numPr>
        <w:rPr>
          <w:b/>
          <w:bCs/>
        </w:rPr>
      </w:pPr>
      <w:r w:rsidRPr="0086715E">
        <w:rPr>
          <w:b/>
          <w:bCs/>
        </w:rPr>
        <w:t>I</w:t>
      </w:r>
      <w:r>
        <w:rPr>
          <w:b/>
          <w:bCs/>
        </w:rPr>
        <w:t>ncorporating Flow Data</w:t>
      </w:r>
    </w:p>
    <w:p w14:paraId="18A63A85" w14:textId="55F260E8" w:rsidR="00F56673" w:rsidRDefault="00F56673" w:rsidP="00F56673">
      <w:pPr>
        <w:rPr>
          <w:b/>
          <w:bCs/>
        </w:rPr>
      </w:pPr>
    </w:p>
    <w:p w14:paraId="22385512" w14:textId="1DA4BE00" w:rsidR="00F56673" w:rsidRDefault="00F56673" w:rsidP="00F56673">
      <w:pPr>
        <w:ind w:left="720"/>
      </w:pPr>
      <w:r>
        <w:t xml:space="preserve">In order to evaluate whether the clearing thresholds appropriately distinguish between large FC clients and small FC clients, it is important to assess how much trading activity is actually being cleared.  Relying solely on trade state data does not provide this answer- the 95% coverage statistic referenced in the Discussion Paper does not mean that 95% of total outstanding notional has actually been cleared or that 95% of new transactions are being cleared on an ongoing basis. </w:t>
      </w:r>
    </w:p>
    <w:p w14:paraId="5419C790" w14:textId="7C09B6AD" w:rsidR="00F56673" w:rsidRDefault="00F56673" w:rsidP="00F56673">
      <w:pPr>
        <w:ind w:left="720"/>
      </w:pPr>
    </w:p>
    <w:p w14:paraId="172E112E" w14:textId="6ABE85E2" w:rsidR="00F56673" w:rsidRDefault="00F56673" w:rsidP="00F56673">
      <w:pPr>
        <w:ind w:left="720"/>
      </w:pPr>
      <w:r w:rsidRPr="004C5237">
        <w:t xml:space="preserve">Flow data is critical to </w:t>
      </w:r>
      <w:r>
        <w:t>this analysis.</w:t>
      </w:r>
      <w:r w:rsidRPr="004C5237">
        <w:t xml:space="preserve"> </w:t>
      </w:r>
      <w:r>
        <w:t xml:space="preserve"> </w:t>
      </w:r>
      <w:r w:rsidRPr="004C5237">
        <w:t>By looking at the actual transactions that are executed on a daily basis,</w:t>
      </w:r>
      <w:r>
        <w:t xml:space="preserve"> ESMA</w:t>
      </w:r>
      <w:r w:rsidRPr="004C5237">
        <w:t xml:space="preserve"> can determine how many transactions and counterparties are </w:t>
      </w:r>
      <w:r>
        <w:t xml:space="preserve">actually </w:t>
      </w:r>
      <w:r w:rsidRPr="004C5237">
        <w:t xml:space="preserve">subject to </w:t>
      </w:r>
      <w:r>
        <w:t>the clearing obligation</w:t>
      </w:r>
      <w:r w:rsidRPr="004C5237">
        <w:t>, and whether any adjustments to the scope of the regime are warranted</w:t>
      </w:r>
      <w:r>
        <w:t>.</w:t>
      </w:r>
    </w:p>
    <w:p w14:paraId="1BB2031C" w14:textId="77777777" w:rsidR="00F56673" w:rsidRDefault="00F56673" w:rsidP="00F56673"/>
    <w:p w14:paraId="76F90EEC" w14:textId="1B01B16A" w:rsidR="003007B4" w:rsidRDefault="00F56673" w:rsidP="00F87897">
      <w:r>
        <w:t>When focusing on the client segment of the market, it is clear that the current thresholds capture only a limited number of FC clients.  We recommend that ESMA conduct further analysis, focusing on the impact that different clearing threshold levels would have on the client segment of the market and the broader suite of post-crisis financial reforms.</w:t>
      </w:r>
    </w:p>
    <w:permEnd w:id="1269197972"/>
    <w:p w14:paraId="4A90850E" w14:textId="77777777" w:rsidR="00F87897" w:rsidRDefault="00F87897" w:rsidP="00F87897"/>
    <w:p w14:paraId="346583E4" w14:textId="43967CFC" w:rsidR="00F87897" w:rsidRPr="00BF28DA" w:rsidRDefault="00F87897" w:rsidP="00F87897">
      <w:r w:rsidRPr="00BF28DA">
        <w:t>&lt;ESMA_COMMENT_</w:t>
      </w:r>
      <w:r w:rsidR="00D76652">
        <w:rPr>
          <w:rFonts w:cs="Arial"/>
        </w:rPr>
        <w:t>DP_EMIR_CTs</w:t>
      </w:r>
      <w:r w:rsidRPr="00BF28DA">
        <w:t>&gt;</w:t>
      </w:r>
    </w:p>
    <w:p w14:paraId="35818B1C" w14:textId="77777777" w:rsidR="00F87897" w:rsidRDefault="00F87897">
      <w:pPr>
        <w:rPr>
          <w:rFonts w:eastAsiaTheme="minorEastAsia" w:cstheme="minorBidi"/>
          <w:b/>
          <w:sz w:val="22"/>
          <w:szCs w:val="20"/>
          <w:lang w:eastAsia="en-US"/>
        </w:rPr>
      </w:pPr>
      <w:r>
        <w:br w:type="page"/>
      </w:r>
    </w:p>
    <w:p w14:paraId="45C27D60" w14:textId="3D0CD57E" w:rsidR="00A8728B" w:rsidRPr="00070630" w:rsidRDefault="004648DA" w:rsidP="00431B0A">
      <w:pPr>
        <w:pStyle w:val="CPQuestions"/>
      </w:pPr>
      <w:r w:rsidRPr="00ED3D8A">
        <w:lastRenderedPageBreak/>
        <w:t>Please explain if you see a need for further clarification on how to identify OTC contracts for the purpose of the calculation of the positions to be compared to the clearing thresholds</w:t>
      </w:r>
      <w:r w:rsidR="00276A5A">
        <w:t>.</w:t>
      </w:r>
    </w:p>
    <w:p w14:paraId="51509B4C" w14:textId="044F3473"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w:t>
      </w:r>
      <w:r w:rsidR="00D76652">
        <w:rPr>
          <w:lang w:val="es-ES"/>
        </w:rPr>
        <w:t>1</w:t>
      </w:r>
      <w:r w:rsidRPr="006C2D5A">
        <w:rPr>
          <w:lang w:val="es-ES"/>
        </w:rPr>
        <w:t>&gt;</w:t>
      </w:r>
    </w:p>
    <w:p w14:paraId="1C62A122" w14:textId="77777777" w:rsidR="00A8728B" w:rsidRDefault="00A8728B" w:rsidP="00A8728B">
      <w:permStart w:id="2093768910" w:edGrp="everyone"/>
      <w:r>
        <w:t>TYPE YOUR TEXT HERE</w:t>
      </w:r>
      <w:permEnd w:id="2093768910"/>
    </w:p>
    <w:p w14:paraId="0ECC45C2" w14:textId="0E7FD0BA"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 xml:space="preserve"> DP_EMIR_CTs</w:t>
      </w:r>
      <w:r w:rsidR="004648DA">
        <w:rPr>
          <w:rFonts w:cs="Arial"/>
          <w:lang w:val="es-ES"/>
        </w:rPr>
        <w:t>_1</w:t>
      </w:r>
      <w:r w:rsidRPr="00D76652">
        <w:rPr>
          <w:lang w:val="es-ES"/>
        </w:rPr>
        <w:t>&gt;</w:t>
      </w:r>
    </w:p>
    <w:p w14:paraId="4D9CE3FD" w14:textId="77777777" w:rsidR="00C228C1" w:rsidRPr="00D76652" w:rsidRDefault="00C228C1" w:rsidP="00A8728B">
      <w:pPr>
        <w:rPr>
          <w:lang w:val="es-ES"/>
        </w:rPr>
      </w:pPr>
    </w:p>
    <w:p w14:paraId="16E349D0" w14:textId="565B1675" w:rsidR="00431DA4" w:rsidRPr="00431DA4" w:rsidRDefault="004648DA" w:rsidP="00EF383B">
      <w:pPr>
        <w:pStyle w:val="CPQuestions"/>
      </w:pPr>
      <w:r w:rsidRPr="00ED3D8A">
        <w:t>Please explain if you see a need for further clarification to identify OTC contracts that can be considered as reducing risks directly relating to commercial activity or treasury financing activity. And please mention any additional aspects to be further considered with regards to the hedging exemption</w:t>
      </w:r>
      <w:r w:rsidR="00276A5A">
        <w:t>.</w:t>
      </w:r>
    </w:p>
    <w:p w14:paraId="28936F6E" w14:textId="7A758485"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_2</w:t>
      </w:r>
      <w:r w:rsidRPr="006C2D5A">
        <w:rPr>
          <w:lang w:val="es-ES"/>
        </w:rPr>
        <w:t>&gt;</w:t>
      </w:r>
    </w:p>
    <w:p w14:paraId="3B2691A6" w14:textId="77777777" w:rsidR="00A8728B" w:rsidRDefault="00A8728B" w:rsidP="00A8728B">
      <w:permStart w:id="2039636534" w:edGrp="everyone"/>
      <w:r>
        <w:t>TYPE YOUR TEXT HERE</w:t>
      </w:r>
      <w:permEnd w:id="2039636534"/>
    </w:p>
    <w:p w14:paraId="51AE5A1B" w14:textId="3B94778D"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DP_EMIR_CTs</w:t>
      </w:r>
      <w:r w:rsidR="004648DA">
        <w:rPr>
          <w:rFonts w:cs="Arial"/>
          <w:lang w:val="es-ES"/>
        </w:rPr>
        <w:t>_2</w:t>
      </w:r>
      <w:r w:rsidRPr="00D76652">
        <w:rPr>
          <w:lang w:val="es-ES"/>
        </w:rPr>
        <w:t>&gt;</w:t>
      </w:r>
    </w:p>
    <w:p w14:paraId="28C39E9E" w14:textId="77777777" w:rsidR="002E1760" w:rsidRPr="00D76652" w:rsidRDefault="002E1760" w:rsidP="00A8728B">
      <w:pPr>
        <w:rPr>
          <w:lang w:val="es-ES"/>
        </w:rPr>
      </w:pPr>
    </w:p>
    <w:p w14:paraId="73A8E0F2" w14:textId="52206645" w:rsidR="002E1760" w:rsidRPr="00431DA4" w:rsidRDefault="004648DA" w:rsidP="00293D78">
      <w:pPr>
        <w:pStyle w:val="CPQuestions"/>
      </w:pPr>
      <w:r w:rsidRPr="00425096">
        <w:t>Please provide information and examples on how counterparties count fungible ETDs and OTC derivatives for the purpose of the calculation of the clearing thresholds</w:t>
      </w:r>
      <w:r w:rsidR="00B61CD3" w:rsidRPr="00B61CD3">
        <w:t>?</w:t>
      </w:r>
    </w:p>
    <w:p w14:paraId="30CAA40B" w14:textId="2452752A"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3&gt;</w:t>
      </w:r>
    </w:p>
    <w:p w14:paraId="690404D9" w14:textId="77777777" w:rsidR="002E1760" w:rsidRDefault="002E1760" w:rsidP="002E1760">
      <w:permStart w:id="1876965468" w:edGrp="everyone"/>
      <w:r>
        <w:t>TYPE YOUR TEXT HERE</w:t>
      </w:r>
      <w:permEnd w:id="1876965468"/>
    </w:p>
    <w:p w14:paraId="5A3AE447" w14:textId="5A689F39"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3&gt;</w:t>
      </w:r>
    </w:p>
    <w:p w14:paraId="205463C4" w14:textId="77777777" w:rsidR="002E1760" w:rsidRPr="004648DA" w:rsidRDefault="002E1760" w:rsidP="00A8728B">
      <w:pPr>
        <w:rPr>
          <w:lang w:val="es-ES"/>
        </w:rPr>
      </w:pPr>
    </w:p>
    <w:p w14:paraId="6084263A" w14:textId="6084A96E" w:rsidR="002E1760" w:rsidRPr="00431DA4" w:rsidRDefault="004648DA" w:rsidP="00293D78">
      <w:pPr>
        <w:pStyle w:val="CPQuestions"/>
      </w:pPr>
      <w:r w:rsidRPr="00425096">
        <w:t>Please provide data and arguments to illustrate the potential impact of the lack of an equivalence decision under Article 2a of EMIR and what could be done to alleviate your concerns (besides an equivalence decision)? Please specify the kind of transactions and activities that would be affected and the purpose of those, and whether there are alternatives</w:t>
      </w:r>
      <w:r w:rsidR="00B61CD3">
        <w:t>.</w:t>
      </w:r>
    </w:p>
    <w:p w14:paraId="48BB589C" w14:textId="24C09D54"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4&gt;</w:t>
      </w:r>
    </w:p>
    <w:p w14:paraId="564334D5" w14:textId="77777777" w:rsidR="002E1760" w:rsidRDefault="002E1760" w:rsidP="002E1760">
      <w:permStart w:id="2122265796" w:edGrp="everyone"/>
      <w:r>
        <w:t>TYPE YOUR TEXT HERE</w:t>
      </w:r>
      <w:permEnd w:id="2122265796"/>
    </w:p>
    <w:p w14:paraId="6B4EB940" w14:textId="2B1072FC"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4&gt;</w:t>
      </w:r>
    </w:p>
    <w:p w14:paraId="4625BF57" w14:textId="77777777" w:rsidR="002E1760" w:rsidRPr="004648DA" w:rsidRDefault="002E1760" w:rsidP="002E1760">
      <w:pPr>
        <w:rPr>
          <w:lang w:val="es-ES"/>
        </w:rPr>
      </w:pPr>
    </w:p>
    <w:p w14:paraId="312A4672" w14:textId="278AC4CC" w:rsidR="002E1760" w:rsidRPr="00431DA4" w:rsidRDefault="004648DA" w:rsidP="00293D78">
      <w:pPr>
        <w:pStyle w:val="CPQuestions"/>
      </w:pPr>
      <w:r w:rsidRPr="00ED3D8A">
        <w:t>Please describe the scenarios when transactions do not qualify as hedging transactions</w:t>
      </w:r>
      <w:r w:rsidR="00B61CD3">
        <w:t>.</w:t>
      </w:r>
    </w:p>
    <w:p w14:paraId="3DDD5516" w14:textId="44DBAEE4" w:rsidR="00227C1A" w:rsidRPr="006C2D5A" w:rsidRDefault="00227C1A" w:rsidP="00227C1A">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62022D" w:rsidRPr="006C2D5A">
        <w:rPr>
          <w:lang w:val="es-ES"/>
        </w:rPr>
        <w:t>5</w:t>
      </w:r>
      <w:r w:rsidRPr="006C2D5A">
        <w:rPr>
          <w:lang w:val="es-ES"/>
        </w:rPr>
        <w:t>&gt;</w:t>
      </w:r>
    </w:p>
    <w:p w14:paraId="6F160661" w14:textId="77777777" w:rsidR="00227C1A" w:rsidRDefault="00227C1A" w:rsidP="00227C1A">
      <w:permStart w:id="6888419" w:edGrp="everyone"/>
      <w:r>
        <w:t>TYPE YOUR TEXT HERE</w:t>
      </w:r>
      <w:permEnd w:id="6888419"/>
    </w:p>
    <w:p w14:paraId="3AFFABD4" w14:textId="781CC891" w:rsidR="00227C1A" w:rsidRPr="004648DA" w:rsidRDefault="00227C1A" w:rsidP="00227C1A">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62022D" w:rsidRPr="004648DA">
        <w:rPr>
          <w:lang w:val="es-ES"/>
        </w:rPr>
        <w:t>5</w:t>
      </w:r>
      <w:r w:rsidRPr="004648DA">
        <w:rPr>
          <w:lang w:val="es-ES"/>
        </w:rPr>
        <w:t>&gt;</w:t>
      </w:r>
    </w:p>
    <w:p w14:paraId="7D6FAFC4" w14:textId="77777777" w:rsidR="002E1760" w:rsidRPr="004648DA" w:rsidRDefault="002E1760" w:rsidP="002E1760">
      <w:pPr>
        <w:rPr>
          <w:lang w:val="es-ES"/>
        </w:rPr>
      </w:pPr>
    </w:p>
    <w:p w14:paraId="40B6E48B" w14:textId="7934202B" w:rsidR="002E1760" w:rsidRPr="00431DA4" w:rsidRDefault="004648DA" w:rsidP="00293D78">
      <w:pPr>
        <w:pStyle w:val="CPQuestions"/>
      </w:pPr>
      <w:r w:rsidRPr="00ED3D8A">
        <w:t>Please describe your views on how the EMIR framework works (also compared to other regimes) for the purpose of the clearing thresholds and the requirements triggered by those? Please provide examples and supporting data</w:t>
      </w:r>
      <w:r w:rsidR="00B61CD3">
        <w:t>.</w:t>
      </w:r>
    </w:p>
    <w:p w14:paraId="436A8987" w14:textId="04174F1E" w:rsidR="0062022D" w:rsidRPr="006C2D5A" w:rsidRDefault="0062022D" w:rsidP="0062022D">
      <w:pPr>
        <w:rPr>
          <w:lang w:val="es-ES"/>
        </w:rPr>
      </w:pPr>
      <w:r w:rsidRPr="006C2D5A">
        <w:rPr>
          <w:lang w:val="es-ES"/>
        </w:rPr>
        <w:lastRenderedPageBreak/>
        <w:t>&lt;ESMA_QUESTION_</w:t>
      </w:r>
      <w:r w:rsidR="004648DA" w:rsidRPr="004648DA">
        <w:rPr>
          <w:rFonts w:cs="Arial"/>
          <w:lang w:val="es-ES"/>
        </w:rPr>
        <w:t xml:space="preserve"> DP_EMIR_CTs</w:t>
      </w:r>
      <w:r w:rsidR="00F107EF" w:rsidRPr="006C2D5A">
        <w:rPr>
          <w:lang w:val="es-ES"/>
        </w:rPr>
        <w:t>_</w:t>
      </w:r>
      <w:r w:rsidR="00A263DF" w:rsidRPr="006C2D5A">
        <w:rPr>
          <w:lang w:val="es-ES"/>
        </w:rPr>
        <w:t>6</w:t>
      </w:r>
      <w:r w:rsidRPr="006C2D5A">
        <w:rPr>
          <w:lang w:val="es-ES"/>
        </w:rPr>
        <w:t>&gt;</w:t>
      </w:r>
    </w:p>
    <w:p w14:paraId="3C11F2B4" w14:textId="41304D79" w:rsidR="0079284E" w:rsidRDefault="009366AF" w:rsidP="0062022D">
      <w:permStart w:id="548757607" w:edGrp="everyone"/>
      <w:r>
        <w:t xml:space="preserve">The EMIR clearing thresholds have resulted in a lower overall clearing rate </w:t>
      </w:r>
      <w:r w:rsidR="006053B5">
        <w:t xml:space="preserve">for </w:t>
      </w:r>
      <w:r w:rsidR="0049116B">
        <w:t>newly executed</w:t>
      </w:r>
      <w:r>
        <w:t xml:space="preserve"> OTC </w:t>
      </w:r>
      <w:r w:rsidR="0049116B">
        <w:t xml:space="preserve">interest rate derivatives </w:t>
      </w:r>
      <w:r w:rsidR="006053B5">
        <w:t xml:space="preserve">in the EU </w:t>
      </w:r>
      <w:r>
        <w:t xml:space="preserve">compared to </w:t>
      </w:r>
      <w:r w:rsidR="006053B5">
        <w:t xml:space="preserve">in </w:t>
      </w:r>
      <w:r>
        <w:t xml:space="preserve">the US.  </w:t>
      </w:r>
      <w:r w:rsidR="0049116B">
        <w:t xml:space="preserve">This is because, in contrast to EMIR, </w:t>
      </w:r>
      <w:r>
        <w:t xml:space="preserve">US rules only have a </w:t>
      </w:r>
      <w:r w:rsidRPr="009366AF">
        <w:t xml:space="preserve">narrow exemption </w:t>
      </w:r>
      <w:r>
        <w:t xml:space="preserve">from the clearing obligation </w:t>
      </w:r>
      <w:r w:rsidRPr="009366AF">
        <w:t xml:space="preserve">for credit institutions with less than $10 billion in assets and </w:t>
      </w:r>
      <w:r>
        <w:t>there is no e</w:t>
      </w:r>
      <w:r w:rsidRPr="009366AF">
        <w:t>xempt</w:t>
      </w:r>
      <w:r>
        <w:t>ion for</w:t>
      </w:r>
      <w:r w:rsidRPr="009366AF">
        <w:t xml:space="preserve"> other types of financial counterparties, such as investment funds, asset managers, and insurance companies, regardless of their size or trading activity</w:t>
      </w:r>
      <w:r>
        <w:t>.</w:t>
      </w:r>
    </w:p>
    <w:p w14:paraId="67FBA3F4" w14:textId="66EACB3A" w:rsidR="009366AF" w:rsidRDefault="009366AF" w:rsidP="0062022D"/>
    <w:p w14:paraId="11307992" w14:textId="6413D4F6" w:rsidR="0079284E" w:rsidRDefault="005363FE" w:rsidP="0062022D">
      <w:r>
        <w:t>A</w:t>
      </w:r>
      <w:r w:rsidR="009366AF">
        <w:t xml:space="preserve">n ESRB working paper using flow data found that the EU had a clearing rate of less than 50% </w:t>
      </w:r>
      <w:r w:rsidR="006053B5">
        <w:t>for</w:t>
      </w:r>
      <w:r w:rsidR="009366AF">
        <w:t xml:space="preserve"> new interest rate derivatives contracts by notional.</w:t>
      </w:r>
      <w:r w:rsidR="009366AF">
        <w:rPr>
          <w:rStyle w:val="FootnoteReference"/>
        </w:rPr>
        <w:footnoteReference w:id="5"/>
      </w:r>
      <w:r w:rsidR="009366AF">
        <w:t xml:space="preserve">  In comparison, the US has a clearing rate of approximately 88% by notional.</w:t>
      </w:r>
      <w:r w:rsidR="009366AF">
        <w:rPr>
          <w:rStyle w:val="FootnoteReference"/>
        </w:rPr>
        <w:footnoteReference w:id="6"/>
      </w:r>
      <w:r>
        <w:t xml:space="preserve">  We urge ESMA to monitor and publish the EU clearing rate using flow data</w:t>
      </w:r>
      <w:r w:rsidR="0049116B">
        <w:t xml:space="preserve"> (in addition to the statistics currently calculated by ESMA using trade state data)</w:t>
      </w:r>
      <w:r>
        <w:t xml:space="preserve">, as this apparent disparity suggests that the </w:t>
      </w:r>
      <w:r w:rsidR="006053B5">
        <w:t xml:space="preserve">EMIR </w:t>
      </w:r>
      <w:r>
        <w:t xml:space="preserve">clearing thresholds may be exempting too much </w:t>
      </w:r>
      <w:r w:rsidR="00F93E31">
        <w:t xml:space="preserve">client </w:t>
      </w:r>
      <w:r>
        <w:t xml:space="preserve">trading activity from the </w:t>
      </w:r>
      <w:r w:rsidR="0049116B">
        <w:t xml:space="preserve">EU </w:t>
      </w:r>
      <w:r>
        <w:t>clearing obligation</w:t>
      </w:r>
      <w:r w:rsidR="004C405C" w:rsidRPr="004C405C">
        <w:t xml:space="preserve"> </w:t>
      </w:r>
      <w:r w:rsidR="004C405C">
        <w:t>given that the scope</w:t>
      </w:r>
      <w:r w:rsidR="006053B5">
        <w:t xml:space="preserve"> of instruments subject to the clearing obligation in the EU and US</w:t>
      </w:r>
      <w:r w:rsidR="004C405C">
        <w:t xml:space="preserve"> is largely identical</w:t>
      </w:r>
      <w:r>
        <w:t>.</w:t>
      </w:r>
    </w:p>
    <w:permEnd w:id="548757607"/>
    <w:p w14:paraId="59278E6D" w14:textId="77777777" w:rsidR="0062022D" w:rsidRDefault="0062022D" w:rsidP="0062022D"/>
    <w:p w14:paraId="2D4015E7" w14:textId="689CC30F" w:rsidR="0062022D" w:rsidRPr="004648DA" w:rsidRDefault="0062022D" w:rsidP="0062022D">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A263DF" w:rsidRPr="004648DA">
        <w:rPr>
          <w:lang w:val="es-ES"/>
        </w:rPr>
        <w:t>6</w:t>
      </w:r>
      <w:r w:rsidRPr="004648DA">
        <w:rPr>
          <w:lang w:val="es-ES"/>
        </w:rPr>
        <w:t>&gt;</w:t>
      </w:r>
    </w:p>
    <w:p w14:paraId="0E950AC0" w14:textId="77777777" w:rsidR="0062022D" w:rsidRPr="004648DA" w:rsidRDefault="0062022D" w:rsidP="009003B8">
      <w:pPr>
        <w:jc w:val="both"/>
        <w:rPr>
          <w:i/>
          <w:lang w:val="es-ES"/>
        </w:rPr>
      </w:pPr>
    </w:p>
    <w:p w14:paraId="06CA1456" w14:textId="4945A76D" w:rsidR="002E1760" w:rsidRPr="00431DA4" w:rsidRDefault="004648DA" w:rsidP="00293D78">
      <w:pPr>
        <w:pStyle w:val="CPQuestions"/>
      </w:pPr>
      <w:r w:rsidRPr="00ED3D8A">
        <w:t>Considering the current coverage provided by the clearing thresholds in relation to credit derivatives and the different type of counterparties (FCs and NFCs); is there any aspect or issue you consider ESMA should look into or pay attention to?  Please, in your answer, provide as granular details and any relevant data to illustrate your response</w:t>
      </w:r>
      <w:r w:rsidR="00A263DF">
        <w:t>.</w:t>
      </w:r>
    </w:p>
    <w:p w14:paraId="117ADDA5" w14:textId="1327D851"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7&gt;</w:t>
      </w:r>
    </w:p>
    <w:p w14:paraId="3195B179" w14:textId="50238B33" w:rsidR="00A263DF" w:rsidRDefault="00F64D99" w:rsidP="00A263DF">
      <w:permStart w:id="1600484054" w:edGrp="everyone"/>
      <w:r>
        <w:t>Please see our response to Question 8 below.</w:t>
      </w:r>
      <w:permEnd w:id="1600484054"/>
    </w:p>
    <w:p w14:paraId="56C64114" w14:textId="0402E969"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7&gt;</w:t>
      </w:r>
    </w:p>
    <w:p w14:paraId="0EBB791B" w14:textId="77777777" w:rsidR="00C228C1" w:rsidRPr="004648DA" w:rsidRDefault="00C228C1" w:rsidP="00A263DF">
      <w:pPr>
        <w:rPr>
          <w:lang w:val="es-ES"/>
        </w:rPr>
      </w:pPr>
    </w:p>
    <w:p w14:paraId="4921B64F" w14:textId="35020D71" w:rsidR="002E1760" w:rsidRPr="00431DA4" w:rsidRDefault="004648DA" w:rsidP="00293D78">
      <w:pPr>
        <w:pStyle w:val="CPQuestions"/>
      </w:pPr>
      <w:r w:rsidRPr="00425096">
        <w:t>Considering the current coverage provided by the clearing thresholds in relation to interest rate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2D5BC2B3" w14:textId="45F7500C"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C228C1" w:rsidRPr="006C2D5A">
        <w:rPr>
          <w:lang w:val="es-ES"/>
        </w:rPr>
        <w:t>8</w:t>
      </w:r>
      <w:r w:rsidRPr="006C2D5A">
        <w:rPr>
          <w:lang w:val="es-ES"/>
        </w:rPr>
        <w:t>&gt;</w:t>
      </w:r>
    </w:p>
    <w:p w14:paraId="13F45A3F" w14:textId="209733D4" w:rsidR="00387658" w:rsidRDefault="00387658" w:rsidP="00A263DF">
      <w:permStart w:id="1768257119" w:edGrp="everyone"/>
      <w:r>
        <w:t xml:space="preserve">Three issues deserve </w:t>
      </w:r>
      <w:r w:rsidR="00B86651">
        <w:t xml:space="preserve">particular </w:t>
      </w:r>
      <w:r>
        <w:t>attention:</w:t>
      </w:r>
    </w:p>
    <w:p w14:paraId="7086997F" w14:textId="67D507F3" w:rsidR="00387658" w:rsidRDefault="00387658" w:rsidP="00A263DF"/>
    <w:p w14:paraId="729ED735" w14:textId="6664DD3F" w:rsidR="00387658" w:rsidRPr="00387658" w:rsidRDefault="00387658" w:rsidP="00387658">
      <w:pPr>
        <w:pStyle w:val="ListParagraph"/>
        <w:numPr>
          <w:ilvl w:val="0"/>
          <w:numId w:val="37"/>
        </w:numPr>
        <w:rPr>
          <w:b/>
          <w:bCs/>
        </w:rPr>
      </w:pPr>
      <w:r>
        <w:t xml:space="preserve"> </w:t>
      </w:r>
      <w:r w:rsidR="00F56673">
        <w:rPr>
          <w:b/>
          <w:bCs/>
        </w:rPr>
        <w:t>Isolate Clearing Member Activity in</w:t>
      </w:r>
      <w:r w:rsidRPr="00387658">
        <w:rPr>
          <w:b/>
          <w:bCs/>
        </w:rPr>
        <w:t xml:space="preserve"> the Trade State Data</w:t>
      </w:r>
      <w:r>
        <w:rPr>
          <w:b/>
          <w:bCs/>
        </w:rPr>
        <w:t xml:space="preserve"> Analysis</w:t>
      </w:r>
    </w:p>
    <w:p w14:paraId="349643BB" w14:textId="3C0383B8" w:rsidR="00387658" w:rsidRDefault="00387658" w:rsidP="00387658"/>
    <w:p w14:paraId="6DE10FB5" w14:textId="3DA93DA5" w:rsidR="00387658" w:rsidRDefault="00387658" w:rsidP="00387658">
      <w:r>
        <w:t xml:space="preserve">The current analysis of trade state data suffers from a critical flaw: clearing member positions are not isolated and presented separately in the analysis.  This results in misleading data that does not </w:t>
      </w:r>
      <w:r w:rsidR="001556AB">
        <w:t xml:space="preserve">directly </w:t>
      </w:r>
      <w:r w:rsidR="00E67E05">
        <w:t>answer the question of</w:t>
      </w:r>
      <w:r>
        <w:t xml:space="preserve"> whether the clearing thresholds </w:t>
      </w:r>
      <w:r w:rsidR="00B86651">
        <w:t xml:space="preserve">for small financial counterparties </w:t>
      </w:r>
      <w:r>
        <w:t>are appropriately calibrated.</w:t>
      </w:r>
    </w:p>
    <w:p w14:paraId="505F6CAD" w14:textId="77D903F5" w:rsidR="00387658" w:rsidRDefault="00387658" w:rsidP="00387658"/>
    <w:p w14:paraId="5B79C969" w14:textId="0D851845" w:rsidR="00387658" w:rsidRDefault="00387658" w:rsidP="00387658">
      <w:r>
        <w:t xml:space="preserve">Using trade state data, ESMA found that financial counterparties (“FCs”) subject to the clearing obligation account for </w:t>
      </w:r>
      <w:r w:rsidRPr="00B86651">
        <w:rPr>
          <w:b/>
          <w:bCs/>
        </w:rPr>
        <w:t>95%</w:t>
      </w:r>
      <w:r>
        <w:t xml:space="preserve"> of total </w:t>
      </w:r>
      <w:r w:rsidR="00B86651">
        <w:t xml:space="preserve">outstanding </w:t>
      </w:r>
      <w:r>
        <w:t>notional executed by FCs in interest rate derivatives</w:t>
      </w:r>
      <w:r w:rsidR="00F56673">
        <w:t>,</w:t>
      </w:r>
      <w:r w:rsidR="00F56673" w:rsidRPr="00F56673">
        <w:t xml:space="preserve"> </w:t>
      </w:r>
      <w:r w:rsidR="00F56673">
        <w:t>suggesting that the clearing thresholds provide broad coverage</w:t>
      </w:r>
      <w:r>
        <w:t xml:space="preserve"> (</w:t>
      </w:r>
      <w:r w:rsidRPr="00B86651">
        <w:rPr>
          <w:i/>
          <w:iCs/>
        </w:rPr>
        <w:t>see page 54, Figure 52</w:t>
      </w:r>
      <w:r>
        <w:t xml:space="preserve">).  However, ESMA has previously found that </w:t>
      </w:r>
      <w:r w:rsidR="00B86651">
        <w:t xml:space="preserve">clearing member banks alone account for </w:t>
      </w:r>
      <w:r w:rsidR="00B86651" w:rsidRPr="00B86651">
        <w:rPr>
          <w:b/>
          <w:bCs/>
        </w:rPr>
        <w:t>94.5%</w:t>
      </w:r>
      <w:r w:rsidR="00B86651">
        <w:t xml:space="preserve"> of </w:t>
      </w:r>
      <w:r w:rsidR="00B86651" w:rsidRPr="00B86651">
        <w:t xml:space="preserve">total outstanding notional </w:t>
      </w:r>
      <w:r w:rsidR="00B86651">
        <w:t xml:space="preserve">executed by FCs </w:t>
      </w:r>
      <w:r w:rsidR="00B86651">
        <w:lastRenderedPageBreak/>
        <w:t>in interest rate derivatives.</w:t>
      </w:r>
      <w:r w:rsidR="001556AB">
        <w:rPr>
          <w:rStyle w:val="FootnoteReference"/>
        </w:rPr>
        <w:footnoteReference w:id="7"/>
      </w:r>
      <w:r w:rsidR="0086715E">
        <w:t xml:space="preserve">  This </w:t>
      </w:r>
      <w:r w:rsidR="00017C1A">
        <w:t>suggests</w:t>
      </w:r>
      <w:r w:rsidR="0086715E">
        <w:t xml:space="preserve"> that non-clearing member clients subject to the clearing obligation only account for </w:t>
      </w:r>
      <w:r w:rsidR="006053B5">
        <w:t>0</w:t>
      </w:r>
      <w:r w:rsidR="0086715E">
        <w:t>.5% of the coverage statistic, as shown in the chart below.</w:t>
      </w:r>
    </w:p>
    <w:p w14:paraId="37F62A9F" w14:textId="79CDDFDD" w:rsidR="0086715E" w:rsidRDefault="0086715E" w:rsidP="00387658"/>
    <w:p w14:paraId="6A1213C6" w14:textId="3B0670ED" w:rsidR="0086715E" w:rsidRDefault="0086715E" w:rsidP="0086715E">
      <w:pPr>
        <w:jc w:val="center"/>
      </w:pPr>
      <w:r>
        <w:rPr>
          <w:noProof/>
        </w:rPr>
        <w:drawing>
          <wp:inline distT="0" distB="0" distL="0" distR="0" wp14:anchorId="01270BEB" wp14:editId="5200E55A">
            <wp:extent cx="4572000" cy="2743200"/>
            <wp:effectExtent l="0" t="0" r="0" b="0"/>
            <wp:docPr id="5" name="Chart 5">
              <a:extLst xmlns:a="http://schemas.openxmlformats.org/drawingml/2006/main">
                <a:ext uri="{FF2B5EF4-FFF2-40B4-BE49-F238E27FC236}">
                  <a16:creationId xmlns:a16="http://schemas.microsoft.com/office/drawing/2014/main" id="{0E6BBB2F-D122-49F1-9819-F9203204C1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3D336E" w14:textId="75EB0482" w:rsidR="00387658" w:rsidRDefault="00387658" w:rsidP="00387658"/>
    <w:p w14:paraId="19B6526E" w14:textId="77777777" w:rsidR="0086715E" w:rsidRDefault="0086715E" w:rsidP="00387658"/>
    <w:p w14:paraId="5418F1AD" w14:textId="731BE874" w:rsidR="00387658" w:rsidRDefault="0086715E" w:rsidP="00387658">
      <w:r>
        <w:t>As a result</w:t>
      </w:r>
      <w:r w:rsidR="001556AB">
        <w:t>,</w:t>
      </w:r>
      <w:r w:rsidR="00B677F5" w:rsidRPr="00B677F5">
        <w:t xml:space="preserve"> </w:t>
      </w:r>
      <w:r w:rsidR="00B677F5">
        <w:t xml:space="preserve">the 95% coverage statistic </w:t>
      </w:r>
      <w:r w:rsidR="00A12880">
        <w:t xml:space="preserve">does not demonstrate </w:t>
      </w:r>
      <w:r w:rsidR="001556AB">
        <w:t xml:space="preserve">whether the clearing thresholds appropriately delineate </w:t>
      </w:r>
      <w:r>
        <w:t>between large and small FCs</w:t>
      </w:r>
      <w:r w:rsidR="001556AB">
        <w:t>, as th</w:t>
      </w:r>
      <w:r w:rsidR="00B677F5">
        <w:t>is statistic is</w:t>
      </w:r>
      <w:r w:rsidR="001556AB">
        <w:t xml:space="preserve"> almost entirely </w:t>
      </w:r>
      <w:r w:rsidR="00B677F5">
        <w:t>based on</w:t>
      </w:r>
      <w:r w:rsidR="001556AB">
        <w:t xml:space="preserve"> clearing member bank trading activity.  </w:t>
      </w:r>
      <w:r w:rsidR="001556AB" w:rsidRPr="00F56673">
        <w:rPr>
          <w:u w:val="single"/>
        </w:rPr>
        <w:t xml:space="preserve">Indeed, if the thresholds were entirely eliminated and the clearing obligation was solely applied to clearing member banks, this statistic </w:t>
      </w:r>
      <w:r w:rsidR="00B677F5" w:rsidRPr="00F56673">
        <w:rPr>
          <w:u w:val="single"/>
        </w:rPr>
        <w:t xml:space="preserve">would barely change and would </w:t>
      </w:r>
      <w:r w:rsidR="00AF6287">
        <w:rPr>
          <w:u w:val="single"/>
        </w:rPr>
        <w:t xml:space="preserve">apparently </w:t>
      </w:r>
      <w:r w:rsidR="00B677F5" w:rsidRPr="00F56673">
        <w:rPr>
          <w:u w:val="single"/>
        </w:rPr>
        <w:t>still show 94.5% coverage.</w:t>
      </w:r>
      <w:r w:rsidR="00B677F5">
        <w:t xml:space="preserve">  This is the reason why the various simulations of different threshold levels detailed in the Discussion Paper result in seemingly insignificant changes</w:t>
      </w:r>
      <w:r w:rsidR="003E25D1">
        <w:t xml:space="preserve"> for financial counte</w:t>
      </w:r>
      <w:r w:rsidR="00825E49">
        <w:t>r</w:t>
      </w:r>
      <w:r w:rsidR="003E25D1">
        <w:t>parties</w:t>
      </w:r>
      <w:r w:rsidR="00B677F5">
        <w:t>.</w:t>
      </w:r>
    </w:p>
    <w:p w14:paraId="2AE5A886" w14:textId="477ED76C" w:rsidR="00B677F5" w:rsidRDefault="00B677F5" w:rsidP="00387658"/>
    <w:p w14:paraId="681B33A8" w14:textId="138B34C5" w:rsidR="00B677F5" w:rsidRDefault="00B677F5" w:rsidP="00387658">
      <w:r>
        <w:t>Importantly, however, the co-legislators made a clear decision to apply the clearing obligation more broadly than just to clearing member banks</w:t>
      </w:r>
      <w:r w:rsidR="00B723A5">
        <w:t xml:space="preserve"> for a variety of reasons, including mitigating systemic risk and increasing market transparency and competition.  In particular:</w:t>
      </w:r>
    </w:p>
    <w:p w14:paraId="5E74388A" w14:textId="77777777" w:rsidR="0086715E" w:rsidRDefault="0086715E" w:rsidP="00387658"/>
    <w:p w14:paraId="5BA8B081" w14:textId="1C7D32E0" w:rsidR="005C7F51" w:rsidRDefault="00B723A5" w:rsidP="00B723A5">
      <w:pPr>
        <w:pStyle w:val="ListParagraph"/>
        <w:numPr>
          <w:ilvl w:val="0"/>
          <w:numId w:val="38"/>
        </w:numPr>
      </w:pPr>
      <w:r w:rsidRPr="00B723A5">
        <w:rPr>
          <w:b/>
          <w:bCs/>
        </w:rPr>
        <w:t xml:space="preserve">Systemic </w:t>
      </w:r>
      <w:r w:rsidR="005C7F51">
        <w:rPr>
          <w:b/>
          <w:bCs/>
        </w:rPr>
        <w:t>R</w:t>
      </w:r>
      <w:r w:rsidRPr="00B723A5">
        <w:rPr>
          <w:b/>
          <w:bCs/>
        </w:rPr>
        <w:t>isk</w:t>
      </w:r>
      <w:r>
        <w:t>.  D</w:t>
      </w:r>
      <w:r w:rsidRPr="00B723A5">
        <w:t xml:space="preserve">espite </w:t>
      </w:r>
      <w:r w:rsidR="00AF6287">
        <w:t xml:space="preserve">apparently </w:t>
      </w:r>
      <w:r w:rsidRPr="00B723A5">
        <w:t xml:space="preserve">only accounting for 5.5% of total outstanding notional in OTC interest rate derivatives based on trade state data, clients are estimated to account for </w:t>
      </w:r>
      <w:r w:rsidRPr="005C7F51">
        <w:rPr>
          <w:b/>
          <w:bCs/>
        </w:rPr>
        <w:t>over 50%</w:t>
      </w:r>
      <w:r w:rsidRPr="00B723A5">
        <w:t xml:space="preserve"> of</w:t>
      </w:r>
      <w:r w:rsidR="0049116B">
        <w:t xml:space="preserve"> ongoing </w:t>
      </w:r>
      <w:r w:rsidRPr="00B723A5">
        <w:t>trading activity</w:t>
      </w:r>
      <w:r w:rsidR="005C7F51">
        <w:t>.</w:t>
      </w:r>
      <w:r w:rsidR="005C7F51">
        <w:rPr>
          <w:rStyle w:val="FootnoteReference"/>
        </w:rPr>
        <w:footnoteReference w:id="8"/>
      </w:r>
      <w:r w:rsidR="005C7F51">
        <w:t xml:space="preserve">  In addition to these significant trading volumes, clients are </w:t>
      </w:r>
      <w:r w:rsidR="005C7F51" w:rsidRPr="00B723A5">
        <w:t xml:space="preserve">often more likely to hold directional positions, </w:t>
      </w:r>
      <w:r w:rsidR="005C7F51">
        <w:t>meaning</w:t>
      </w:r>
      <w:r w:rsidR="005C7F51" w:rsidRPr="00B723A5">
        <w:t xml:space="preserve"> the level of market risk associated with client positions can often be higher than implied by relative notional levels</w:t>
      </w:r>
      <w:r w:rsidR="005C7F51">
        <w:t xml:space="preserve">. </w:t>
      </w:r>
    </w:p>
    <w:p w14:paraId="11366CBA" w14:textId="77777777" w:rsidR="005C7F51" w:rsidRDefault="005C7F51" w:rsidP="005C7F51">
      <w:pPr>
        <w:pStyle w:val="ListParagraph"/>
      </w:pPr>
    </w:p>
    <w:p w14:paraId="0580CA72" w14:textId="2FFEDE98" w:rsidR="005C7F51" w:rsidRDefault="005C7F51" w:rsidP="005C7F51">
      <w:pPr>
        <w:pStyle w:val="ListParagraph"/>
        <w:rPr>
          <w:b/>
          <w:bCs/>
        </w:rPr>
      </w:pPr>
      <w:r>
        <w:t xml:space="preserve">Furthermore, </w:t>
      </w:r>
      <w:r w:rsidR="001F6085">
        <w:t xml:space="preserve">the </w:t>
      </w:r>
      <w:r>
        <w:t>client</w:t>
      </w:r>
      <w:r w:rsidR="001F6085">
        <w:t xml:space="preserve"> segment</w:t>
      </w:r>
      <w:r>
        <w:t xml:space="preserve"> account</w:t>
      </w:r>
      <w:r w:rsidR="001F6085">
        <w:t>s</w:t>
      </w:r>
      <w:r>
        <w:t xml:space="preserve"> for </w:t>
      </w:r>
      <w:r w:rsidR="00B723A5" w:rsidRPr="00B723A5">
        <w:t>approximately 98% of total counterparties.</w:t>
      </w:r>
      <w:r w:rsidR="00B723A5">
        <w:rPr>
          <w:rStyle w:val="FootnoteReference"/>
        </w:rPr>
        <w:footnoteReference w:id="9"/>
      </w:r>
      <w:r w:rsidR="00B723A5" w:rsidRPr="00B723A5">
        <w:t xml:space="preserve">  </w:t>
      </w:r>
      <w:r w:rsidR="00B723A5">
        <w:t xml:space="preserve">This </w:t>
      </w:r>
      <w:r w:rsidR="001F6085">
        <w:t>means</w:t>
      </w:r>
      <w:r w:rsidR="00B723A5">
        <w:t xml:space="preserve"> a</w:t>
      </w:r>
      <w:r w:rsidR="001F6085">
        <w:t xml:space="preserve">n extremely </w:t>
      </w:r>
      <w:r w:rsidR="00B723A5">
        <w:t xml:space="preserve">large number of </w:t>
      </w:r>
      <w:r>
        <w:t xml:space="preserve">bilateral </w:t>
      </w:r>
      <w:r w:rsidR="00B723A5" w:rsidRPr="00B723A5">
        <w:t>trading relationships, as each client ha</w:t>
      </w:r>
      <w:r>
        <w:t>s</w:t>
      </w:r>
      <w:r w:rsidR="00B723A5" w:rsidRPr="00B723A5">
        <w:t xml:space="preserve"> </w:t>
      </w:r>
      <w:r w:rsidR="001F6085">
        <w:t>multiple liquidity provider</w:t>
      </w:r>
      <w:r w:rsidR="00B723A5" w:rsidRPr="00B723A5">
        <w:t>s</w:t>
      </w:r>
      <w:r w:rsidR="00B723A5">
        <w:t xml:space="preserve">.  </w:t>
      </w:r>
      <w:r>
        <w:t xml:space="preserve">In aggregate, </w:t>
      </w:r>
      <w:r w:rsidR="00A36F75">
        <w:t xml:space="preserve">if left outside of central clearing, </w:t>
      </w:r>
      <w:r w:rsidR="00B723A5" w:rsidRPr="00B723A5">
        <w:t>these bilateral trading relationships</w:t>
      </w:r>
      <w:r w:rsidR="00A36F75">
        <w:t xml:space="preserve"> risk propagating </w:t>
      </w:r>
      <w:r w:rsidR="00B723A5" w:rsidRPr="00B723A5">
        <w:t xml:space="preserve">systemic risk in the event of a significant </w:t>
      </w:r>
      <w:r w:rsidR="00B723A5">
        <w:t xml:space="preserve">dealer </w:t>
      </w:r>
      <w:r w:rsidR="00B723A5" w:rsidRPr="00B723A5">
        <w:t>default</w:t>
      </w:r>
      <w:r w:rsidR="00B723A5">
        <w:t xml:space="preserve">.  </w:t>
      </w:r>
    </w:p>
    <w:p w14:paraId="7DDA3F88" w14:textId="77777777" w:rsidR="005C7F51" w:rsidRDefault="005C7F51" w:rsidP="005C7F51">
      <w:pPr>
        <w:pStyle w:val="ListParagraph"/>
        <w:rPr>
          <w:b/>
          <w:bCs/>
        </w:rPr>
      </w:pPr>
    </w:p>
    <w:p w14:paraId="28D3054B" w14:textId="3A09A057" w:rsidR="00B723A5" w:rsidRDefault="005C7F51" w:rsidP="005C7F51">
      <w:pPr>
        <w:pStyle w:val="ListParagraph"/>
      </w:pPr>
      <w:r>
        <w:t>For these reasons</w:t>
      </w:r>
      <w:r w:rsidR="00B723A5" w:rsidRPr="00B723A5">
        <w:t xml:space="preserve">, </w:t>
      </w:r>
      <w:r w:rsidR="008F1DFE">
        <w:t xml:space="preserve">even though trade state data may suggest that it would provide 94.5% coverage, </w:t>
      </w:r>
      <w:r w:rsidR="001F6085">
        <w:t xml:space="preserve">a clearing obligation solely applied to clearing member banks </w:t>
      </w:r>
      <w:r w:rsidR="008F1DFE">
        <w:t xml:space="preserve">would not </w:t>
      </w:r>
      <w:r w:rsidR="001F6085">
        <w:t xml:space="preserve">adequately mitigate </w:t>
      </w:r>
      <w:r w:rsidR="001F6085">
        <w:lastRenderedPageBreak/>
        <w:t xml:space="preserve">systemic risk.  </w:t>
      </w:r>
      <w:r w:rsidR="00A36F75">
        <w:t>Implementing central clearing broadly in the</w:t>
      </w:r>
      <w:r w:rsidR="00B723A5" w:rsidRPr="00B723A5">
        <w:t xml:space="preserve"> client segment </w:t>
      </w:r>
      <w:r>
        <w:t xml:space="preserve">of the market </w:t>
      </w:r>
      <w:r w:rsidR="008F1DFE">
        <w:t xml:space="preserve">is an important component of </w:t>
      </w:r>
      <w:r>
        <w:t xml:space="preserve">mitigating </w:t>
      </w:r>
      <w:r w:rsidR="00B723A5">
        <w:t>systemic risk; more so than th</w:t>
      </w:r>
      <w:r w:rsidR="00B723A5" w:rsidRPr="00B723A5">
        <w:t>e outstanding notional figures may suggest</w:t>
      </w:r>
      <w:r w:rsidR="00B723A5">
        <w:t>.</w:t>
      </w:r>
    </w:p>
    <w:p w14:paraId="5C76B0BE" w14:textId="5067548B" w:rsidR="005C7F51" w:rsidRDefault="005C7F51" w:rsidP="005C7F51">
      <w:pPr>
        <w:pStyle w:val="ListParagraph"/>
      </w:pPr>
    </w:p>
    <w:p w14:paraId="27234B70" w14:textId="147FD205" w:rsidR="005C7F51" w:rsidRDefault="005C7F51" w:rsidP="005C7F51">
      <w:pPr>
        <w:pStyle w:val="ListParagraph"/>
        <w:numPr>
          <w:ilvl w:val="0"/>
          <w:numId w:val="38"/>
        </w:numPr>
      </w:pPr>
      <w:r w:rsidRPr="005C7F51">
        <w:rPr>
          <w:b/>
          <w:bCs/>
        </w:rPr>
        <w:t>Increasing Market Transparency and Competition</w:t>
      </w:r>
      <w:r>
        <w:t xml:space="preserve">. </w:t>
      </w:r>
      <w:r w:rsidR="008F1DFE">
        <w:t xml:space="preserve">In addition to mitigating systemic risk, the clearing obligation is intended to increase market transparency and competition. </w:t>
      </w:r>
      <w:r w:rsidR="008F1DFE" w:rsidRPr="008F1DFE">
        <w:t xml:space="preserve">Central clearing enables market participants to access a wider range of execution counterparties and encourages the entry of new liquidity providers.  </w:t>
      </w:r>
      <w:r w:rsidR="008F1DFE">
        <w:t xml:space="preserve">Academic </w:t>
      </w:r>
      <w:r w:rsidR="008F1DFE" w:rsidRPr="008F1DFE">
        <w:t>research confirms the</w:t>
      </w:r>
      <w:r w:rsidR="008F1DFE">
        <w:t>se</w:t>
      </w:r>
      <w:r w:rsidR="008F1DFE" w:rsidRPr="008F1DFE">
        <w:t xml:space="preserve"> benefits</w:t>
      </w:r>
      <w:r w:rsidR="008F1DFE">
        <w:t>, with a</w:t>
      </w:r>
      <w:r w:rsidR="008F1DFE" w:rsidRPr="008F1DFE">
        <w:t xml:space="preserve"> study of the index credit default swap market f</w:t>
      </w:r>
      <w:r w:rsidR="008F1DFE">
        <w:t>inding</w:t>
      </w:r>
      <w:r w:rsidR="008F1DFE" w:rsidRPr="008F1DFE">
        <w:t xml:space="preserve"> that “the reduced counterparty risk and increased post-trade transparency associated with central clearing have beneficial effects on liquidity,”</w:t>
      </w:r>
      <w:r w:rsidR="008F1DFE">
        <w:rPr>
          <w:rStyle w:val="FootnoteReference"/>
        </w:rPr>
        <w:footnoteReference w:id="10"/>
      </w:r>
      <w:r w:rsidR="008F1DFE" w:rsidRPr="008F1DFE">
        <w:t xml:space="preserve"> </w:t>
      </w:r>
      <w:r w:rsidR="008F1DFE">
        <w:t>and</w:t>
      </w:r>
      <w:r w:rsidR="008F1DFE" w:rsidRPr="008F1DFE">
        <w:t xml:space="preserve"> </w:t>
      </w:r>
      <w:r w:rsidR="008F1DFE">
        <w:t>a study of the interest rate derivatives market finding</w:t>
      </w:r>
      <w:r w:rsidR="008F1DFE" w:rsidRPr="008F1DFE">
        <w:t xml:space="preserve"> that the</w:t>
      </w:r>
      <w:r w:rsidR="008F1DFE">
        <w:t xml:space="preserve"> </w:t>
      </w:r>
      <w:r w:rsidR="008F1DFE" w:rsidRPr="008F1DFE">
        <w:t>clearing and trading reforms led to a significant reduction in execution costs</w:t>
      </w:r>
      <w:r w:rsidR="008F1DFE">
        <w:t>,</w:t>
      </w:r>
      <w:r w:rsidR="008F1DFE" w:rsidRPr="008F1DFE">
        <w:t xml:space="preserve"> with market participants saving as much as $20 million - $40 million per day.</w:t>
      </w:r>
      <w:r w:rsidR="008F1DFE">
        <w:rPr>
          <w:rStyle w:val="FootnoteReference"/>
        </w:rPr>
        <w:footnoteReference w:id="11"/>
      </w:r>
    </w:p>
    <w:p w14:paraId="1F2EA391" w14:textId="6B05610A" w:rsidR="008F1DFE" w:rsidRDefault="008F1DFE" w:rsidP="008F1DFE"/>
    <w:p w14:paraId="4868B305" w14:textId="2690C81A" w:rsidR="008F1DFE" w:rsidRDefault="008F1DFE" w:rsidP="008F1DFE">
      <w:pPr>
        <w:ind w:left="720"/>
      </w:pPr>
      <w:r>
        <w:t xml:space="preserve">These benefits are only realized by end clients if the clearing obligation is broadly applied to the client segment of the market.  </w:t>
      </w:r>
      <w:r w:rsidR="00BD7088">
        <w:t>In contrast, a</w:t>
      </w:r>
      <w:r>
        <w:t xml:space="preserve"> clearing obligation solely applied to transactions between clearing member banks </w:t>
      </w:r>
      <w:r w:rsidR="00C32E2B">
        <w:t xml:space="preserve">(which are largely hedging transactions) </w:t>
      </w:r>
      <w:r>
        <w:t xml:space="preserve">would not increase transparency and competition for the </w:t>
      </w:r>
      <w:r w:rsidR="00BD7088">
        <w:t>rest</w:t>
      </w:r>
      <w:r>
        <w:t xml:space="preserve"> of the market</w:t>
      </w:r>
      <w:r w:rsidR="00C32E2B">
        <w:t>, where actual price formation occurs</w:t>
      </w:r>
      <w:r>
        <w:t>.</w:t>
      </w:r>
    </w:p>
    <w:p w14:paraId="5BF1ACB4" w14:textId="617B4E7B" w:rsidR="008F1DFE" w:rsidRDefault="008F1DFE" w:rsidP="008F1DFE">
      <w:pPr>
        <w:ind w:left="720"/>
      </w:pPr>
    </w:p>
    <w:p w14:paraId="6728F4B7" w14:textId="2892C026" w:rsidR="00530510" w:rsidRDefault="00530510" w:rsidP="008F1DFE">
      <w:r>
        <w:t xml:space="preserve">Recognizing the clear intent to capture more than just clearing member bank </w:t>
      </w:r>
      <w:r w:rsidR="0086715E">
        <w:t xml:space="preserve">trading </w:t>
      </w:r>
      <w:r>
        <w:t xml:space="preserve">activity, the key question when evaluating the clearing thresholds is: </w:t>
      </w:r>
      <w:r w:rsidRPr="00F56673">
        <w:rPr>
          <w:u w:val="single"/>
        </w:rPr>
        <w:t>how much of the client segment of the market should be subject to the clearing obligation?</w:t>
      </w:r>
      <w:r>
        <w:rPr>
          <w:i/>
          <w:iCs/>
        </w:rPr>
        <w:t xml:space="preserve">  </w:t>
      </w:r>
      <w:r>
        <w:t>In other words, do the clearing thresholds appropriately distinguish between large FC clients (subject to the CO) and small FC clients (eligible for an exemption)?</w:t>
      </w:r>
    </w:p>
    <w:p w14:paraId="2DA21CFF" w14:textId="3F3F209B" w:rsidR="00530510" w:rsidRDefault="00530510" w:rsidP="008F1DFE"/>
    <w:p w14:paraId="2201B703" w14:textId="643E7F4B" w:rsidR="002D2E75" w:rsidRDefault="00530510" w:rsidP="008F1DFE">
      <w:r>
        <w:t xml:space="preserve">Clearing member bank trading activity is not relevant for answering these questions.  Instead, the relevant data points </w:t>
      </w:r>
      <w:r w:rsidR="002D2E75">
        <w:t xml:space="preserve">(using trade state data) are that clients account for 5.5% </w:t>
      </w:r>
      <w:r w:rsidR="002D2E75" w:rsidRPr="00B723A5">
        <w:t>of total outstanding notional in OTC interest rate derivatives</w:t>
      </w:r>
      <w:r w:rsidR="002D2E75">
        <w:t xml:space="preserve"> and the current clearing thresholds provide coverage of </w:t>
      </w:r>
      <w:r w:rsidR="00A36F75">
        <w:t>0</w:t>
      </w:r>
      <w:r w:rsidR="002D2E75">
        <w:t xml:space="preserve">.5% of </w:t>
      </w:r>
      <w:r w:rsidR="0079284E">
        <w:t xml:space="preserve">such </w:t>
      </w:r>
      <w:r w:rsidR="002D2E75" w:rsidRPr="00B723A5">
        <w:t>outstanding notional</w:t>
      </w:r>
      <w:r w:rsidR="00833E3A">
        <w:t xml:space="preserve">.  </w:t>
      </w:r>
      <w:r w:rsidR="00833E3A" w:rsidRPr="00833E3A">
        <w:rPr>
          <w:u w:val="single"/>
        </w:rPr>
        <w:t xml:space="preserve">This </w:t>
      </w:r>
      <w:r w:rsidR="00017C1A">
        <w:rPr>
          <w:u w:val="single"/>
        </w:rPr>
        <w:t>suggests</w:t>
      </w:r>
      <w:r w:rsidR="00833E3A" w:rsidRPr="00833E3A">
        <w:rPr>
          <w:u w:val="single"/>
        </w:rPr>
        <w:t xml:space="preserve"> that the current clearing thresholds only cover 9% of the client market segment</w:t>
      </w:r>
      <w:r w:rsidR="00833E3A">
        <w:t xml:space="preserve">.  </w:t>
      </w:r>
      <w:r w:rsidR="002D2E75">
        <w:t>According to simulation 1, decreasing the interest rate derivatives threshold by EUR 500 million would expand the client segment coverage significantly to 2.5%</w:t>
      </w:r>
      <w:r w:rsidR="002D2E75" w:rsidRPr="002D2E75">
        <w:t xml:space="preserve"> </w:t>
      </w:r>
      <w:r w:rsidR="002D2E75">
        <w:t xml:space="preserve">of </w:t>
      </w:r>
      <w:r w:rsidR="002D2E75" w:rsidRPr="00B723A5">
        <w:t>total outstanding notional</w:t>
      </w:r>
      <w:r w:rsidR="002D2E75">
        <w:t xml:space="preserve"> (or 45% of the client market segment).  </w:t>
      </w:r>
    </w:p>
    <w:p w14:paraId="6850AC2D" w14:textId="77777777" w:rsidR="002D2E75" w:rsidRDefault="002D2E75" w:rsidP="008F1DFE"/>
    <w:p w14:paraId="73D2AD1A" w14:textId="6B7E029C" w:rsidR="00530510" w:rsidRPr="00530510" w:rsidRDefault="002D2E75" w:rsidP="008F1DFE">
      <w:r>
        <w:t xml:space="preserve">We urge ESMA to conduct further analysis, focusing on the impact </w:t>
      </w:r>
      <w:r w:rsidR="0086715E">
        <w:t xml:space="preserve">of </w:t>
      </w:r>
      <w:r>
        <w:t xml:space="preserve">the clearing thresholds on the client segment of the market.  </w:t>
      </w:r>
      <w:r w:rsidR="00243C67">
        <w:t xml:space="preserve">The clearing thresholds were not intended to </w:t>
      </w:r>
      <w:r w:rsidR="00A12880">
        <w:t xml:space="preserve">alter the application of the clearing obligation to clearing member banks, nor were they intended to create a clearing member-only clearing obligation.  Therefore, it is critical that the clearing thresholds are appropriately calibrated to capture a material portion of the client segment of the market, while </w:t>
      </w:r>
      <w:r w:rsidR="0086715E">
        <w:t xml:space="preserve">still </w:t>
      </w:r>
      <w:r w:rsidR="00A12880">
        <w:t>allowing truly small financial counterparties to be eligible for an exemption.</w:t>
      </w:r>
    </w:p>
    <w:p w14:paraId="3BE58C64" w14:textId="55427677" w:rsidR="00530510" w:rsidRDefault="00530510" w:rsidP="008F1DFE"/>
    <w:p w14:paraId="6D32B517" w14:textId="3007B6FF" w:rsidR="0086715E" w:rsidRPr="0086715E" w:rsidRDefault="0086715E" w:rsidP="0086715E">
      <w:pPr>
        <w:pStyle w:val="ListParagraph"/>
        <w:numPr>
          <w:ilvl w:val="0"/>
          <w:numId w:val="37"/>
        </w:numPr>
        <w:rPr>
          <w:b/>
          <w:bCs/>
        </w:rPr>
      </w:pPr>
      <w:r w:rsidRPr="0086715E">
        <w:rPr>
          <w:b/>
          <w:bCs/>
        </w:rPr>
        <w:t>I</w:t>
      </w:r>
      <w:r>
        <w:rPr>
          <w:b/>
          <w:bCs/>
        </w:rPr>
        <w:t>ncorporating Flow Data</w:t>
      </w:r>
    </w:p>
    <w:p w14:paraId="71C78DF7" w14:textId="0F9E3BAA" w:rsidR="00530510" w:rsidRDefault="00530510" w:rsidP="008F1DFE"/>
    <w:p w14:paraId="446390D8" w14:textId="0CA86BD2" w:rsidR="00530510" w:rsidRDefault="004C5237" w:rsidP="008F1DFE">
      <w:r>
        <w:t xml:space="preserve">In order to evaluate whether the clearing thresholds appropriately distinguish between large FC clients and small FC clients, it is important to assess how much trading activity is actually being cleared.  Relying solely on trade state data does not provide this answer- the 95% coverage statistic referenced in the Discussion Paper does not mean that 95% of total outstanding notional has actually been cleared or that 95% of new transactions are being cleared on an ongoing basis. </w:t>
      </w:r>
    </w:p>
    <w:p w14:paraId="343D1555" w14:textId="266820A4" w:rsidR="004C5237" w:rsidRDefault="004C5237" w:rsidP="008F1DFE"/>
    <w:p w14:paraId="05BA8761" w14:textId="77777777" w:rsidR="004C5237" w:rsidRDefault="004C5237" w:rsidP="008F1DFE">
      <w:r>
        <w:t xml:space="preserve">The clearing obligation is a transaction-level requirement that only applies (i) </w:t>
      </w:r>
      <w:r w:rsidRPr="004C5237">
        <w:t xml:space="preserve">to new trading activity (not legacy positions) and (ii) if </w:t>
      </w:r>
      <w:r w:rsidRPr="004C5237">
        <w:rPr>
          <w:i/>
          <w:iCs/>
        </w:rPr>
        <w:t>both counterparties</w:t>
      </w:r>
      <w:r w:rsidRPr="004C5237">
        <w:t xml:space="preserve"> to a given transaction are considered to be in-scope.</w:t>
      </w:r>
      <w:r>
        <w:t xml:space="preserve">  </w:t>
      </w:r>
      <w:r w:rsidRPr="004C5237">
        <w:lastRenderedPageBreak/>
        <w:t xml:space="preserve">Therefore, it is critical to understand the percentage of new trading activity that </w:t>
      </w:r>
      <w:r>
        <w:t>is</w:t>
      </w:r>
      <w:r w:rsidRPr="004C5237">
        <w:t xml:space="preserve"> in-scope when analysing </w:t>
      </w:r>
      <w:r>
        <w:t xml:space="preserve">whether </w:t>
      </w:r>
      <w:r w:rsidRPr="004C5237">
        <w:t>th</w:t>
      </w:r>
      <w:r>
        <w:t>e</w:t>
      </w:r>
      <w:r w:rsidRPr="004C5237">
        <w:t xml:space="preserve"> </w:t>
      </w:r>
      <w:r>
        <w:t>clearing thresholds capture a sufficient percentage of client trading activity.</w:t>
      </w:r>
    </w:p>
    <w:p w14:paraId="6C05D54E" w14:textId="77777777" w:rsidR="004C5237" w:rsidRDefault="004C5237" w:rsidP="008F1DFE"/>
    <w:p w14:paraId="6D2A119C" w14:textId="5E64B362" w:rsidR="004C5237" w:rsidRDefault="004C5237" w:rsidP="008F1DFE">
      <w:r w:rsidRPr="004C5237">
        <w:t xml:space="preserve">Flow data is critical to </w:t>
      </w:r>
      <w:r>
        <w:t>this analysis.</w:t>
      </w:r>
      <w:r w:rsidRPr="004C5237">
        <w:t xml:space="preserve"> </w:t>
      </w:r>
      <w:r>
        <w:t xml:space="preserve"> </w:t>
      </w:r>
      <w:r w:rsidRPr="004C5237">
        <w:t>By looking at the actual transactions that are executed on a daily basis,</w:t>
      </w:r>
      <w:r>
        <w:t xml:space="preserve"> ESMA</w:t>
      </w:r>
      <w:r w:rsidRPr="004C5237">
        <w:t xml:space="preserve"> can determine how many transactions and counterparties are subject to </w:t>
      </w:r>
      <w:r>
        <w:t>the clearing obligation</w:t>
      </w:r>
      <w:r w:rsidRPr="004C5237">
        <w:t>, and whether any adjustments to the scope of the regime are warranted</w:t>
      </w:r>
      <w:r>
        <w:t>.</w:t>
      </w:r>
    </w:p>
    <w:p w14:paraId="04DA7084" w14:textId="4B1B3744" w:rsidR="004C5237" w:rsidRDefault="004C5237" w:rsidP="008F1DFE"/>
    <w:p w14:paraId="6E241832" w14:textId="3911D9EB" w:rsidR="004C5237" w:rsidRDefault="004C5237" w:rsidP="008F1DFE">
      <w:r w:rsidRPr="004C5237">
        <w:t>While we appreciate that data quality represents an ongoing challenge, we note that third-party data vendors are successfully analysing flow data from EU OTC derivative markets, including in preparation for the introduction of a post-trade consolidated tape.  We hope ESMA can leverage these efforts in order to incorporate flow data in its consultation papers and statistical analysis.</w:t>
      </w:r>
    </w:p>
    <w:p w14:paraId="26D45610" w14:textId="3AF661DB" w:rsidR="00BD7088" w:rsidRDefault="00BD7088" w:rsidP="008F1DFE"/>
    <w:p w14:paraId="7BF38870" w14:textId="1B0E319F" w:rsidR="004C5237" w:rsidRPr="004C5237" w:rsidRDefault="00C32E2B" w:rsidP="004C5237">
      <w:pPr>
        <w:pStyle w:val="ListParagraph"/>
        <w:numPr>
          <w:ilvl w:val="0"/>
          <w:numId w:val="37"/>
        </w:numPr>
        <w:rPr>
          <w:b/>
          <w:bCs/>
        </w:rPr>
      </w:pPr>
      <w:r>
        <w:rPr>
          <w:b/>
          <w:bCs/>
        </w:rPr>
        <w:t>Analysing the Full Impact of the Clearing Thresholds</w:t>
      </w:r>
    </w:p>
    <w:p w14:paraId="1914D153" w14:textId="3FF7379C" w:rsidR="00BD7088" w:rsidRDefault="00BD7088" w:rsidP="008F1DFE"/>
    <w:p w14:paraId="0A1D2481" w14:textId="65F0297F" w:rsidR="00C32E2B" w:rsidRDefault="00F41D0F" w:rsidP="008F1DFE">
      <w:r>
        <w:t>While the clearing thresholds set the scope of the clearing obligation, they also meaningfully impact other important financial regulation</w:t>
      </w:r>
      <w:r w:rsidR="00A36F75">
        <w:t>s</w:t>
      </w:r>
      <w:r>
        <w:t>.  Indeed, the clearing obligation is a central pillar of the</w:t>
      </w:r>
      <w:r w:rsidR="00A36F75">
        <w:t xml:space="preserve"> G-20’s</w:t>
      </w:r>
      <w:r>
        <w:t xml:space="preserve"> post-crisis </w:t>
      </w:r>
      <w:r w:rsidR="00A36F75">
        <w:t xml:space="preserve">OTC derivative market </w:t>
      </w:r>
      <w:r>
        <w:t>reforms, and its scope has several knock-on consequences.  For example:</w:t>
      </w:r>
    </w:p>
    <w:p w14:paraId="374101ED" w14:textId="53F3BAA3" w:rsidR="00F41D0F" w:rsidRDefault="00F41D0F" w:rsidP="008F1DFE"/>
    <w:p w14:paraId="484BDB60" w14:textId="3EC00460" w:rsidR="00F41D0F" w:rsidRDefault="00F41D0F" w:rsidP="00F41D0F">
      <w:pPr>
        <w:pStyle w:val="ListParagraph"/>
        <w:numPr>
          <w:ilvl w:val="1"/>
          <w:numId w:val="37"/>
        </w:numPr>
        <w:ind w:left="720"/>
      </w:pPr>
      <w:r w:rsidRPr="00F41D0F">
        <w:rPr>
          <w:b/>
          <w:bCs/>
        </w:rPr>
        <w:t>DTO</w:t>
      </w:r>
      <w:r>
        <w:t xml:space="preserve">. Clients exempted from the clearing obligation are also exempted from the derivatives trading obligation (DTO).  If too much </w:t>
      </w:r>
      <w:r w:rsidR="009F4D80">
        <w:t xml:space="preserve">of the client segment of the market is exempted from the DTO, then the intended benefits of increased transparency and competition could fail to materialize.  Instead, price formation would continue to occur off-venue via uncompetitive and non-transparent bilateral trading protocols.  Indeed, market data suggests that 30% of trading activity in DTO instruments may </w:t>
      </w:r>
      <w:r w:rsidR="007D0A70">
        <w:t xml:space="preserve">still </w:t>
      </w:r>
      <w:r w:rsidR="009F4D80">
        <w:t>be occurring off-venue due to counterparty exemptions.</w:t>
      </w:r>
    </w:p>
    <w:p w14:paraId="0888F7FC" w14:textId="77777777" w:rsidR="009F4D80" w:rsidRDefault="009F4D80" w:rsidP="009F4D80">
      <w:pPr>
        <w:pStyle w:val="ListParagraph"/>
      </w:pPr>
    </w:p>
    <w:p w14:paraId="771708A5" w14:textId="423C22EF" w:rsidR="009F4D80" w:rsidRDefault="009F4D80" w:rsidP="00F41D0F">
      <w:pPr>
        <w:pStyle w:val="ListParagraph"/>
        <w:numPr>
          <w:ilvl w:val="1"/>
          <w:numId w:val="37"/>
        </w:numPr>
        <w:ind w:left="720"/>
      </w:pPr>
      <w:r w:rsidRPr="009F4D80">
        <w:rPr>
          <w:b/>
          <w:bCs/>
        </w:rPr>
        <w:t>FRAND</w:t>
      </w:r>
      <w:r>
        <w:rPr>
          <w:b/>
          <w:bCs/>
        </w:rPr>
        <w:t>T</w:t>
      </w:r>
      <w:r>
        <w:t xml:space="preserve">. EMIR requires clearing members to provide clearing services on fair, reasonable, non-discriminatory, and transparent terms.  However, </w:t>
      </w:r>
      <w:r w:rsidR="00AD3691">
        <w:t>this requirement has been interpreted to only apply to clients subject to the clearing obligation.  As a result, if too much of the client segment of the market is exempted from the clearing obligation, then the intended benefits of FRANDT will not be realized, and clearing access may continue to be a challenge for many FCs.</w:t>
      </w:r>
    </w:p>
    <w:p w14:paraId="7B56F0F7" w14:textId="77777777" w:rsidR="009F4D80" w:rsidRDefault="009F4D80" w:rsidP="009F4D80">
      <w:pPr>
        <w:pStyle w:val="ListParagraph"/>
      </w:pPr>
    </w:p>
    <w:p w14:paraId="1B6135BA" w14:textId="2E0D97CD" w:rsidR="009F4D80" w:rsidRDefault="009F4D80" w:rsidP="009F4D80">
      <w:pPr>
        <w:pStyle w:val="ListParagraph"/>
        <w:numPr>
          <w:ilvl w:val="1"/>
          <w:numId w:val="37"/>
        </w:numPr>
        <w:ind w:left="720"/>
      </w:pPr>
      <w:r w:rsidRPr="009F4D80">
        <w:rPr>
          <w:b/>
          <w:bCs/>
        </w:rPr>
        <w:t>CTP</w:t>
      </w:r>
      <w:r>
        <w:t xml:space="preserve">. </w:t>
      </w:r>
      <w:r w:rsidR="00AD3691">
        <w:t xml:space="preserve">The recent European Commission legislative proposal contemplates the establishment of a CTP for OTC derivatives, with a greatly improved deferral framework designed to provide price transparency for all transactions no later than the end of the day (whereas, at the moment, price information is often deferred for four weeks).  However, </w:t>
      </w:r>
      <w:r w:rsidR="00A36F75">
        <w:t xml:space="preserve">for OTC derivatives, </w:t>
      </w:r>
      <w:r w:rsidR="00AD3691">
        <w:t>the CTP would be limited to transactions subject to the clearing obligation</w:t>
      </w:r>
      <w:r w:rsidR="007B5AC0">
        <w:t xml:space="preserve"> (see Article 22a(1))</w:t>
      </w:r>
      <w:r w:rsidR="00AD3691">
        <w:t>.  Therefore, if too much of the client segment of the market is exempted from the clearing obligation, a material percentage of trading activity in liquid OTC derivatives w</w:t>
      </w:r>
      <w:r w:rsidR="00E61A59">
        <w:t>ould</w:t>
      </w:r>
      <w:r w:rsidR="00AD3691">
        <w:t xml:space="preserve"> not benefit from the</w:t>
      </w:r>
      <w:r w:rsidR="00F64D99">
        <w:t xml:space="preserve"> increased</w:t>
      </w:r>
      <w:r w:rsidR="00AD3691">
        <w:t xml:space="preserve"> transparency envisaged in the Commission’s proposal.  This will negatively impact overall market liquidity and competition.</w:t>
      </w:r>
    </w:p>
    <w:p w14:paraId="31FB1750" w14:textId="77777777" w:rsidR="00AD3691" w:rsidRDefault="00AD3691" w:rsidP="00AD3691">
      <w:pPr>
        <w:pStyle w:val="ListParagraph"/>
      </w:pPr>
    </w:p>
    <w:p w14:paraId="074383B4" w14:textId="795D7E03" w:rsidR="00A263DF" w:rsidRDefault="00F64D99" w:rsidP="00A263DF">
      <w:r>
        <w:t xml:space="preserve">As detailed above, it is critically important that the clearing thresholds are appropriately calibrated and regularly reviewed using both trade state and flow data that focuses on the client segment of the market.  Miscalibrated thresholds impact not only the effectiveness of the clearing obligation, but also the broader suite of post-crisis </w:t>
      </w:r>
      <w:r w:rsidR="00E61A59">
        <w:t xml:space="preserve">financial </w:t>
      </w:r>
      <w:r>
        <w:t>reforms.</w:t>
      </w:r>
    </w:p>
    <w:permEnd w:id="1768257119"/>
    <w:p w14:paraId="2496504C" w14:textId="77777777" w:rsidR="00A263DF" w:rsidRDefault="00A263DF" w:rsidP="00A263DF"/>
    <w:p w14:paraId="75E63E7F" w14:textId="08643D0D"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C228C1" w:rsidRPr="004648DA">
        <w:rPr>
          <w:lang w:val="es-ES"/>
        </w:rPr>
        <w:t>8</w:t>
      </w:r>
      <w:r w:rsidRPr="004648DA">
        <w:rPr>
          <w:lang w:val="es-ES"/>
        </w:rPr>
        <w:t>&gt;</w:t>
      </w:r>
    </w:p>
    <w:p w14:paraId="1CF89443" w14:textId="77777777" w:rsidR="00C228C1" w:rsidRPr="004648DA" w:rsidRDefault="00C228C1" w:rsidP="00A263DF">
      <w:pPr>
        <w:rPr>
          <w:lang w:val="es-ES"/>
        </w:rPr>
      </w:pPr>
    </w:p>
    <w:p w14:paraId="075C8737" w14:textId="35EE7028" w:rsidR="002E1760" w:rsidRPr="00431DA4" w:rsidRDefault="004648DA" w:rsidP="00293D78">
      <w:pPr>
        <w:pStyle w:val="CPQuestions"/>
      </w:pPr>
      <w:r w:rsidRPr="00ED3D8A">
        <w:t>Considering the current coverage provided by the clearing thresholds in relation to commodity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03BBF74A" w14:textId="483E9893" w:rsidR="002E1760" w:rsidRPr="006C2D5A" w:rsidRDefault="002E1760" w:rsidP="002E1760">
      <w:pPr>
        <w:rPr>
          <w:lang w:val="es-ES"/>
        </w:rPr>
      </w:pPr>
      <w:r w:rsidRPr="006C2D5A">
        <w:rPr>
          <w:lang w:val="es-ES"/>
        </w:rPr>
        <w:lastRenderedPageBreak/>
        <w:t>&lt;ESMA_QUESTION_</w:t>
      </w:r>
      <w:r w:rsidR="004648DA" w:rsidRPr="004648DA">
        <w:rPr>
          <w:rFonts w:cs="Arial"/>
          <w:lang w:val="es-ES"/>
        </w:rPr>
        <w:t xml:space="preserve"> DP_EMIR_CTs</w:t>
      </w:r>
      <w:r w:rsidR="00F107EF" w:rsidRPr="006C2D5A">
        <w:rPr>
          <w:lang w:val="es-ES"/>
        </w:rPr>
        <w:t>_</w:t>
      </w:r>
      <w:r w:rsidRPr="006C2D5A">
        <w:rPr>
          <w:lang w:val="es-ES"/>
        </w:rPr>
        <w:t>9&gt;</w:t>
      </w:r>
    </w:p>
    <w:p w14:paraId="5D0A8F19" w14:textId="77777777" w:rsidR="002E1760" w:rsidRDefault="002E1760" w:rsidP="002E1760">
      <w:permStart w:id="1767771289" w:edGrp="everyone"/>
      <w:r>
        <w:t>TYPE YOUR TEXT HERE</w:t>
      </w:r>
      <w:permEnd w:id="1767771289"/>
    </w:p>
    <w:p w14:paraId="79209B47" w14:textId="62ED12DD"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9&gt;</w:t>
      </w:r>
    </w:p>
    <w:p w14:paraId="72F1F3E4" w14:textId="77777777" w:rsidR="00C228C1" w:rsidRPr="004648DA" w:rsidRDefault="00C228C1" w:rsidP="002E1760">
      <w:pPr>
        <w:rPr>
          <w:lang w:val="es-ES"/>
        </w:rPr>
      </w:pPr>
    </w:p>
    <w:p w14:paraId="472670D5" w14:textId="1A4AE006" w:rsidR="002E1760" w:rsidRPr="00431DA4" w:rsidRDefault="004648DA" w:rsidP="00293D78">
      <w:pPr>
        <w:pStyle w:val="CPQuestions"/>
      </w:pPr>
      <w:r w:rsidRPr="00ED3D8A">
        <w:t>Considering the current coverage provided by the clearing thresholds in relation to equity derivatives and the different type of counterparties (FCs and NFCs); is there any aspect or issue you consider ESMA should look into or pay attention to?  Please, in your answer, provide as granular details and any relevant data to illustrate your response</w:t>
      </w:r>
      <w:r w:rsidR="00FC7836">
        <w:t>.</w:t>
      </w:r>
    </w:p>
    <w:p w14:paraId="28C370B9" w14:textId="364C2F3B" w:rsidR="008418E3" w:rsidRPr="006C2D5A" w:rsidRDefault="008418E3" w:rsidP="008418E3">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10&gt;</w:t>
      </w:r>
    </w:p>
    <w:p w14:paraId="6CC83EC6" w14:textId="77777777" w:rsidR="008418E3" w:rsidRDefault="008418E3" w:rsidP="008418E3">
      <w:permStart w:id="349206319" w:edGrp="everyone"/>
      <w:r>
        <w:t>TYPE YOUR TEXT HERE</w:t>
      </w:r>
      <w:permEnd w:id="349206319"/>
    </w:p>
    <w:p w14:paraId="591D1C67" w14:textId="73F3409A" w:rsidR="008418E3" w:rsidRPr="004648DA" w:rsidRDefault="008418E3" w:rsidP="008418E3">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10&gt;</w:t>
      </w:r>
    </w:p>
    <w:p w14:paraId="4CD7799A" w14:textId="77777777" w:rsidR="00C228C1" w:rsidRPr="004648DA" w:rsidRDefault="00C228C1" w:rsidP="008418E3">
      <w:pPr>
        <w:rPr>
          <w:lang w:val="es-ES"/>
        </w:rPr>
      </w:pPr>
    </w:p>
    <w:p w14:paraId="0160EF27" w14:textId="615AF5D7" w:rsidR="009003B8" w:rsidRDefault="004648DA" w:rsidP="00293D78">
      <w:pPr>
        <w:pStyle w:val="CPQuestions"/>
      </w:pPr>
      <w:r>
        <w:t>Considering the current coverage provided by the clearing thresholds in relation to currency derivatives and the different type of counterparties (FCs and NFCs); is there any aspect or issue you consider ESMA should look into or pay attention to? Please, in your answer, provide as granular details and any relevant data to illustrate your response</w:t>
      </w:r>
      <w:r w:rsidR="00292E82">
        <w:t>.</w:t>
      </w:r>
    </w:p>
    <w:p w14:paraId="7EC35559" w14:textId="0522E787"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11&gt;</w:t>
      </w:r>
    </w:p>
    <w:p w14:paraId="26AE41A7" w14:textId="77777777" w:rsidR="00F469F8" w:rsidRDefault="00F469F8" w:rsidP="00F469F8">
      <w:permStart w:id="408818572" w:edGrp="everyone"/>
      <w:r>
        <w:t>TYPE YOUR TEXT HERE</w:t>
      </w:r>
      <w:permEnd w:id="408818572"/>
    </w:p>
    <w:p w14:paraId="06196E86" w14:textId="24B8C19B" w:rsidR="00F469F8" w:rsidRPr="004648DA" w:rsidRDefault="00F469F8" w:rsidP="00F469F8">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11&gt;</w:t>
      </w:r>
    </w:p>
    <w:p w14:paraId="18B1CFC4" w14:textId="77777777" w:rsidR="00C228C1" w:rsidRPr="004648DA" w:rsidRDefault="00C228C1" w:rsidP="00F469F8">
      <w:pPr>
        <w:rPr>
          <w:lang w:val="es-ES"/>
        </w:rPr>
      </w:pPr>
    </w:p>
    <w:p w14:paraId="787C57CF" w14:textId="5C29364A" w:rsidR="00F469F8" w:rsidRDefault="004648DA" w:rsidP="00F469F8">
      <w:pPr>
        <w:pStyle w:val="CPQuestions"/>
      </w:pPr>
      <w:r>
        <w:t>Beyond the different treatments between FCs and NFCs in the calculation, are there differences between the different types of counterparties that might justify a different calibration of the actual clearing thresholds? In addition, please consider if a different calibration of the current clearing thresholds by type of counterparty should apply in the same manner to all asset classes. Please provide any supporting data that might help illustrate your response</w:t>
      </w:r>
      <w:r w:rsidR="00F469F8">
        <w:t>.</w:t>
      </w:r>
    </w:p>
    <w:p w14:paraId="55419696" w14:textId="68198CCC"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w:t>
      </w:r>
      <w:r w:rsidR="002868FC" w:rsidRPr="006C2D5A">
        <w:rPr>
          <w:lang w:val="es-ES"/>
        </w:rPr>
        <w:t>2</w:t>
      </w:r>
      <w:r w:rsidRPr="006C2D5A">
        <w:rPr>
          <w:lang w:val="es-ES"/>
        </w:rPr>
        <w:t>&gt;</w:t>
      </w:r>
    </w:p>
    <w:p w14:paraId="503AD208" w14:textId="77777777" w:rsidR="00F469F8" w:rsidRDefault="00F469F8" w:rsidP="00F469F8">
      <w:permStart w:id="276172944" w:edGrp="everyone"/>
      <w:r>
        <w:t>TYPE YOUR TEXT HERE</w:t>
      </w:r>
      <w:permEnd w:id="276172944"/>
    </w:p>
    <w:p w14:paraId="7B985911" w14:textId="796659E2" w:rsidR="00F469F8" w:rsidRPr="004648DA" w:rsidRDefault="00F469F8" w:rsidP="00F469F8">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868FC" w:rsidRPr="004648DA">
        <w:rPr>
          <w:lang w:val="es-ES"/>
        </w:rPr>
        <w:t>2</w:t>
      </w:r>
      <w:r w:rsidRPr="004648DA">
        <w:rPr>
          <w:lang w:val="es-ES"/>
        </w:rPr>
        <w:t>&gt;</w:t>
      </w:r>
    </w:p>
    <w:p w14:paraId="1E9DCB0D" w14:textId="77777777" w:rsidR="009003B8" w:rsidRPr="004648DA" w:rsidRDefault="009003B8" w:rsidP="002E1760">
      <w:pPr>
        <w:rPr>
          <w:lang w:val="es-ES"/>
        </w:rPr>
      </w:pPr>
    </w:p>
    <w:p w14:paraId="26837E87" w14:textId="7834EC9D" w:rsidR="00646C30" w:rsidRDefault="004648DA" w:rsidP="00646C30">
      <w:pPr>
        <w:pStyle w:val="CPQuestions"/>
      </w:pPr>
      <w:r w:rsidRPr="00ED3D8A">
        <w:rPr>
          <w:rFonts w:cs="Arial"/>
          <w:lang w:val="en-US"/>
        </w:rPr>
        <w:t>Looking at the simulations presented in the paper and at the impact they would have, do you have any views on the sensitivities of the thresholds</w:t>
      </w:r>
      <w:r w:rsidR="00C228C1">
        <w:t>?</w:t>
      </w:r>
    </w:p>
    <w:p w14:paraId="1D99BB7D" w14:textId="38F01FFA" w:rsidR="00646C30" w:rsidRPr="006C2D5A" w:rsidRDefault="00646C30" w:rsidP="00646C30">
      <w:pPr>
        <w:rPr>
          <w:lang w:val="es-ES"/>
        </w:rPr>
      </w:pPr>
      <w:r w:rsidRPr="006C2D5A">
        <w:rPr>
          <w:lang w:val="es-ES"/>
        </w:rPr>
        <w:t>&lt;ESMA_QUESTION_</w:t>
      </w:r>
      <w:r w:rsidR="004648DA">
        <w:rPr>
          <w:lang w:val="es-ES"/>
        </w:rPr>
        <w:t>DP_EMIR_CTs</w:t>
      </w:r>
      <w:r w:rsidR="00F107EF" w:rsidRPr="006C2D5A">
        <w:rPr>
          <w:lang w:val="es-ES"/>
        </w:rPr>
        <w:t>_</w:t>
      </w:r>
      <w:r w:rsidRPr="006C2D5A">
        <w:rPr>
          <w:lang w:val="es-ES"/>
        </w:rPr>
        <w:t>1</w:t>
      </w:r>
      <w:r w:rsidR="00101BF1" w:rsidRPr="006C2D5A">
        <w:rPr>
          <w:lang w:val="es-ES"/>
        </w:rPr>
        <w:t>3</w:t>
      </w:r>
      <w:r w:rsidRPr="006C2D5A">
        <w:rPr>
          <w:lang w:val="es-ES"/>
        </w:rPr>
        <w:t>&gt;</w:t>
      </w:r>
    </w:p>
    <w:p w14:paraId="2DBA77F6" w14:textId="56390679" w:rsidR="00646C30" w:rsidRDefault="00F64D99" w:rsidP="00646C30">
      <w:permStart w:id="507131457" w:edGrp="everyone"/>
      <w:r>
        <w:t>Please see our response to Question 8 above.</w:t>
      </w:r>
    </w:p>
    <w:p w14:paraId="64BA2CB7" w14:textId="052251A4" w:rsidR="00F64D99" w:rsidRDefault="00F64D99" w:rsidP="00646C30"/>
    <w:p w14:paraId="44F3D754" w14:textId="5A8570C2" w:rsidR="00F64D99" w:rsidRDefault="00F64D99" w:rsidP="00F64D99">
      <w:r>
        <w:t xml:space="preserve">When focusing on the client segment of the market (and excluding clearing member banks), it is clear that the current thresholds capture only a limited number of FC clients. For example, in the interest rate derivatives market, clients are estimated to account for 5.5% </w:t>
      </w:r>
      <w:r w:rsidRPr="00B723A5">
        <w:t>of total outstanding notional</w:t>
      </w:r>
      <w:r>
        <w:t xml:space="preserve">, </w:t>
      </w:r>
      <w:r w:rsidR="0079284E">
        <w:t>and</w:t>
      </w:r>
      <w:r>
        <w:t xml:space="preserve"> the current clearing thresholds provid</w:t>
      </w:r>
      <w:r w:rsidR="0079284E">
        <w:t>e</w:t>
      </w:r>
      <w:r>
        <w:t xml:space="preserve"> coverage of </w:t>
      </w:r>
      <w:r w:rsidR="00A36F75">
        <w:t>0</w:t>
      </w:r>
      <w:r>
        <w:t xml:space="preserve">.5% of </w:t>
      </w:r>
      <w:r w:rsidR="0079284E">
        <w:t xml:space="preserve">such </w:t>
      </w:r>
      <w:r w:rsidRPr="00B723A5">
        <w:t xml:space="preserve">outstanding notional </w:t>
      </w:r>
      <w:r>
        <w:t>(only 9% of the client market segment).  Therefore, given this low baseline of coverage, increasing the thresholds will not have much of an impact (as shown in Simulations 2 and 3).</w:t>
      </w:r>
    </w:p>
    <w:p w14:paraId="4B523D4D" w14:textId="77777777" w:rsidR="00F64D99" w:rsidRDefault="00F64D99" w:rsidP="00F64D99"/>
    <w:p w14:paraId="31C5FD7A" w14:textId="733CC757" w:rsidR="00646C30" w:rsidRDefault="00F64D99" w:rsidP="00646C30">
      <w:r>
        <w:t xml:space="preserve">However, decreasing the thresholds will have a material impact that should be more closely analysed by ESMA.  According to </w:t>
      </w:r>
      <w:r w:rsidR="00E61A59">
        <w:t>S</w:t>
      </w:r>
      <w:r>
        <w:t>imulation 1, decreasing the interest rate derivatives threshold by EUR 500 million would expand the client segment coverage significantly to 2.5%</w:t>
      </w:r>
      <w:r w:rsidRPr="002D2E75">
        <w:t xml:space="preserve"> </w:t>
      </w:r>
      <w:r>
        <w:t xml:space="preserve">of </w:t>
      </w:r>
      <w:r w:rsidRPr="00B723A5">
        <w:t>total outstanding notional</w:t>
      </w:r>
      <w:r>
        <w:t xml:space="preserve"> (or 45% of the client market segment)</w:t>
      </w:r>
      <w:r w:rsidR="0079284E">
        <w:t>, while still exempting the vast majority of FCs</w:t>
      </w:r>
      <w:r>
        <w:t xml:space="preserve">.  </w:t>
      </w:r>
      <w:r w:rsidR="0079284E">
        <w:t xml:space="preserve">This simulation, along with additional simulations that would decrease the thresholds further, should be considered by ESMA in more detail, with an emphasis on the </w:t>
      </w:r>
      <w:r w:rsidR="00E61A59">
        <w:t xml:space="preserve">expected </w:t>
      </w:r>
      <w:r w:rsidR="0079284E">
        <w:t>impact to the client segment of the marke</w:t>
      </w:r>
      <w:r w:rsidR="005363FE">
        <w:t xml:space="preserve">t.  In addition, we recommend ESMA assess the impact of requiring the clearing thresholds to be calculated at the manager level, instead of on a fund-by-fund basis. </w:t>
      </w:r>
      <w:r w:rsidR="0079284E">
        <w:t>.</w:t>
      </w:r>
      <w:permEnd w:id="507131457"/>
    </w:p>
    <w:p w14:paraId="6598F221" w14:textId="0F233E4E" w:rsidR="00646C30" w:rsidRPr="004648DA" w:rsidRDefault="00646C30" w:rsidP="00646C30">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F1683" w:rsidRPr="004648DA">
        <w:rPr>
          <w:lang w:val="es-ES"/>
        </w:rPr>
        <w:t>3</w:t>
      </w:r>
      <w:r w:rsidRPr="004648DA">
        <w:rPr>
          <w:lang w:val="es-ES"/>
        </w:rPr>
        <w:t>&gt;</w:t>
      </w:r>
    </w:p>
    <w:p w14:paraId="378DCD0E" w14:textId="77777777" w:rsidR="002868FC" w:rsidRPr="004648DA" w:rsidRDefault="002868FC" w:rsidP="002E1760">
      <w:pPr>
        <w:rPr>
          <w:lang w:val="es-ES"/>
        </w:rPr>
      </w:pPr>
    </w:p>
    <w:p w14:paraId="3FC13B15" w14:textId="77777777" w:rsidR="00646C30" w:rsidRPr="004648DA" w:rsidRDefault="00646C30" w:rsidP="002E1760">
      <w:pPr>
        <w:rPr>
          <w:lang w:val="es-ES"/>
        </w:rPr>
      </w:pPr>
    </w:p>
    <w:sectPr w:rsidR="00646C30" w:rsidRPr="004648D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0402F" w14:textId="77777777" w:rsidR="00F64D99" w:rsidRDefault="00F64D99">
      <w:r>
        <w:separator/>
      </w:r>
    </w:p>
    <w:p w14:paraId="443AFA34" w14:textId="77777777" w:rsidR="00F64D99" w:rsidRDefault="00F64D99"/>
  </w:endnote>
  <w:endnote w:type="continuationSeparator" w:id="0">
    <w:p w14:paraId="265384ED" w14:textId="77777777" w:rsidR="00F64D99" w:rsidRDefault="00F64D99">
      <w:r>
        <w:continuationSeparator/>
      </w:r>
    </w:p>
    <w:p w14:paraId="6D1F3097" w14:textId="77777777" w:rsidR="00F64D99" w:rsidRDefault="00F64D99"/>
  </w:endnote>
  <w:endnote w:type="continuationNotice" w:id="1">
    <w:p w14:paraId="4494010B" w14:textId="77777777" w:rsidR="00F64D99" w:rsidRDefault="00F64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64D99" w:rsidRPr="00616B9B" w14:paraId="2156CD92" w14:textId="77777777" w:rsidTr="00315E96">
      <w:trPr>
        <w:trHeight w:val="284"/>
      </w:trPr>
      <w:tc>
        <w:tcPr>
          <w:tcW w:w="8460" w:type="dxa"/>
        </w:tcPr>
        <w:p w14:paraId="7EF54571" w14:textId="77777777" w:rsidR="00F64D99" w:rsidRPr="00315E96" w:rsidRDefault="00F64D99" w:rsidP="00315E96">
          <w:pPr>
            <w:pStyle w:val="00Footer"/>
            <w:rPr>
              <w:lang w:val="fr-FR"/>
            </w:rPr>
          </w:pPr>
        </w:p>
      </w:tc>
      <w:tc>
        <w:tcPr>
          <w:tcW w:w="952" w:type="dxa"/>
        </w:tcPr>
        <w:p w14:paraId="2275EECC" w14:textId="77777777" w:rsidR="00F64D99" w:rsidRPr="00616B9B" w:rsidRDefault="00F64D9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1A191C21" w14:textId="77777777" w:rsidR="00F64D99" w:rsidRDefault="00F64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C807E" w14:textId="77777777" w:rsidR="00F64D99" w:rsidRDefault="00F64D99"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C49E" w14:textId="77777777" w:rsidR="00F64D99" w:rsidRDefault="00F64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4A338" w14:textId="77777777" w:rsidR="00F64D99" w:rsidRDefault="00F64D99">
      <w:r>
        <w:separator/>
      </w:r>
    </w:p>
    <w:p w14:paraId="155666A6" w14:textId="77777777" w:rsidR="00F64D99" w:rsidRDefault="00F64D99"/>
  </w:footnote>
  <w:footnote w:type="continuationSeparator" w:id="0">
    <w:p w14:paraId="32EF02FD" w14:textId="77777777" w:rsidR="00F64D99" w:rsidRDefault="00F64D99">
      <w:r>
        <w:continuationSeparator/>
      </w:r>
    </w:p>
    <w:p w14:paraId="1652762F" w14:textId="77777777" w:rsidR="00F64D99" w:rsidRDefault="00F64D99"/>
  </w:footnote>
  <w:footnote w:type="continuationNotice" w:id="1">
    <w:p w14:paraId="53E841AA" w14:textId="77777777" w:rsidR="00F64D99" w:rsidRDefault="00F64D99"/>
  </w:footnote>
  <w:footnote w:id="2">
    <w:p w14:paraId="75902B47" w14:textId="77777777" w:rsidR="00F93E31" w:rsidRPr="009366AF" w:rsidRDefault="00F93E31" w:rsidP="00F93E31">
      <w:pPr>
        <w:pStyle w:val="FootnoteText"/>
        <w:rPr>
          <w:lang w:val="en-US"/>
        </w:rPr>
      </w:pPr>
      <w:r>
        <w:rPr>
          <w:rStyle w:val="FootnoteReference"/>
        </w:rPr>
        <w:footnoteRef/>
      </w:r>
      <w:r>
        <w:t xml:space="preserve"> Based on flow data pursuant to the methodology developed by the FSB.  See Appendix D and page 7 in </w:t>
      </w:r>
      <w:hyperlink r:id="rId1" w:history="1">
        <w:r w:rsidRPr="00475917">
          <w:rPr>
            <w:rStyle w:val="Hyperlink"/>
          </w:rPr>
          <w:t>https://www.esrb.europa.eu/pub/pdf/wp/esrb.wp72.en.pdf?87d519a1fd278d359b6d5a33499d0e26</w:t>
        </w:r>
      </w:hyperlink>
    </w:p>
  </w:footnote>
  <w:footnote w:id="3">
    <w:p w14:paraId="36D92FBD" w14:textId="77777777" w:rsidR="00F93E31" w:rsidRPr="009366AF" w:rsidRDefault="00F93E31" w:rsidP="00F93E31">
      <w:pPr>
        <w:pStyle w:val="FootnoteText"/>
        <w:rPr>
          <w:lang w:val="en-US"/>
        </w:rPr>
      </w:pPr>
      <w:r>
        <w:rPr>
          <w:rStyle w:val="FootnoteReference"/>
        </w:rPr>
        <w:footnoteRef/>
      </w:r>
      <w:r>
        <w:t xml:space="preserve"> </w:t>
      </w:r>
      <w:r w:rsidRPr="009366AF">
        <w:t xml:space="preserve">“Actual Cleared Volumes vs. Mandated Cleared Volumes: Analyzing the US Derivatives Market,” ISDA (July 2018) at page 3, available at: </w:t>
      </w:r>
      <w:hyperlink r:id="rId2" w:history="1">
        <w:r w:rsidRPr="00475917">
          <w:rPr>
            <w:rStyle w:val="Hyperlink"/>
          </w:rPr>
          <w:t>https://www.isda.org/a/6yYEE/Actual-Cleared-Volumes-vs-Mandated-Cleared-Volumes.pdf</w:t>
        </w:r>
      </w:hyperlink>
      <w:r>
        <w:t xml:space="preserve"> </w:t>
      </w:r>
    </w:p>
  </w:footnote>
  <w:footnote w:id="4">
    <w:p w14:paraId="64BC260B" w14:textId="77777777" w:rsidR="00F56673" w:rsidRPr="001556AB" w:rsidRDefault="00F56673" w:rsidP="00F56673">
      <w:pPr>
        <w:pStyle w:val="FootnoteText"/>
        <w:rPr>
          <w:lang w:val="en-US"/>
        </w:rPr>
      </w:pPr>
      <w:r>
        <w:rPr>
          <w:rStyle w:val="FootnoteReference"/>
        </w:rPr>
        <w:footnoteRef/>
      </w:r>
      <w:r>
        <w:t xml:space="preserve"> See Figure 5, Consultation Paper on the Clearing Obligation for Financial Counterparties with a Limited Volume of Activity (July 13, 2016) at page 20, available at: </w:t>
      </w:r>
      <w:hyperlink r:id="rId3" w:history="1">
        <w:r w:rsidRPr="007A1DDB">
          <w:rPr>
            <w:rStyle w:val="Hyperlink"/>
          </w:rPr>
          <w:t>https://www.esma.europa.eu/sites/default/files/library/2016-1125_cp_on_clearing_obligation_for_financial_counterparties.pdf</w:t>
        </w:r>
      </w:hyperlink>
      <w:r>
        <w:t>.</w:t>
      </w:r>
    </w:p>
  </w:footnote>
  <w:footnote w:id="5">
    <w:p w14:paraId="56CCB291" w14:textId="57349235" w:rsidR="009366AF" w:rsidRPr="009366AF" w:rsidRDefault="009366AF">
      <w:pPr>
        <w:pStyle w:val="FootnoteText"/>
        <w:rPr>
          <w:lang w:val="en-US"/>
        </w:rPr>
      </w:pPr>
      <w:r>
        <w:rPr>
          <w:rStyle w:val="FootnoteReference"/>
        </w:rPr>
        <w:footnoteRef/>
      </w:r>
      <w:r>
        <w:t xml:space="preserve"> </w:t>
      </w:r>
      <w:r w:rsidR="0049116B">
        <w:t xml:space="preserve">Based on flow data pursuant to the methodology developed by the FSB.  See Appendix D and page 7 in </w:t>
      </w:r>
      <w:hyperlink r:id="rId4" w:history="1">
        <w:r w:rsidR="0049116B" w:rsidRPr="00475917">
          <w:rPr>
            <w:rStyle w:val="Hyperlink"/>
          </w:rPr>
          <w:t>https://www.esrb.europa.eu/pub/pdf/wp/esrb.wp72.en.pdf?87d519a1fd278d359b6d5a33499d0e26</w:t>
        </w:r>
      </w:hyperlink>
    </w:p>
  </w:footnote>
  <w:footnote w:id="6">
    <w:p w14:paraId="30BF3841" w14:textId="51A4AEF1" w:rsidR="009366AF" w:rsidRPr="009366AF" w:rsidRDefault="009366AF">
      <w:pPr>
        <w:pStyle w:val="FootnoteText"/>
        <w:rPr>
          <w:lang w:val="en-US"/>
        </w:rPr>
      </w:pPr>
      <w:r>
        <w:rPr>
          <w:rStyle w:val="FootnoteReference"/>
        </w:rPr>
        <w:footnoteRef/>
      </w:r>
      <w:r>
        <w:t xml:space="preserve"> </w:t>
      </w:r>
      <w:r w:rsidRPr="009366AF">
        <w:t xml:space="preserve">“Actual Cleared Volumes vs. Mandated Cleared Volumes: Analyzing the US Derivatives Market,” ISDA (July 2018) at page 3, available at: </w:t>
      </w:r>
      <w:hyperlink r:id="rId5" w:history="1">
        <w:r w:rsidRPr="00475917">
          <w:rPr>
            <w:rStyle w:val="Hyperlink"/>
          </w:rPr>
          <w:t>https://www.isda.org/a/6yYEE/Actual-Cleared-Volumes-vs-Mandated-Cleared-Volumes.pdf</w:t>
        </w:r>
      </w:hyperlink>
      <w:r>
        <w:t xml:space="preserve"> </w:t>
      </w:r>
    </w:p>
  </w:footnote>
  <w:footnote w:id="7">
    <w:p w14:paraId="371C5FA0" w14:textId="4B39E432" w:rsidR="00F64D99" w:rsidRPr="001556AB" w:rsidRDefault="00F64D99">
      <w:pPr>
        <w:pStyle w:val="FootnoteText"/>
        <w:rPr>
          <w:lang w:val="en-US"/>
        </w:rPr>
      </w:pPr>
      <w:r>
        <w:rPr>
          <w:rStyle w:val="FootnoteReference"/>
        </w:rPr>
        <w:footnoteRef/>
      </w:r>
      <w:r>
        <w:t xml:space="preserve"> See Figure 5, Consultation Paper on the Clearing Obligation for Financial Counterparties with a Limited Volume of Activity (July 13, 2016) at page 20, available at: </w:t>
      </w:r>
      <w:hyperlink r:id="rId6" w:history="1">
        <w:r w:rsidRPr="007A1DDB">
          <w:rPr>
            <w:rStyle w:val="Hyperlink"/>
          </w:rPr>
          <w:t>https://www.esma.europa.eu/sites/default/files/library/2016-1125_cp_on_clearing_obligation_for_financial_counterparties.pdf</w:t>
        </w:r>
      </w:hyperlink>
      <w:r>
        <w:t>.</w:t>
      </w:r>
    </w:p>
  </w:footnote>
  <w:footnote w:id="8">
    <w:p w14:paraId="17B0300C" w14:textId="0202D6EE" w:rsidR="00F64D99" w:rsidRPr="005C7F51" w:rsidRDefault="00F64D99">
      <w:pPr>
        <w:pStyle w:val="FootnoteText"/>
        <w:rPr>
          <w:lang w:val="en-US"/>
        </w:rPr>
      </w:pPr>
      <w:r>
        <w:rPr>
          <w:rStyle w:val="FootnoteReference"/>
        </w:rPr>
        <w:footnoteRef/>
      </w:r>
      <w:r>
        <w:t xml:space="preserve"> </w:t>
      </w:r>
      <w:hyperlink r:id="rId7" w:history="1">
        <w:r w:rsidRPr="00D01BF2">
          <w:rPr>
            <w:rStyle w:val="Hyperlink"/>
          </w:rPr>
          <w:t>https://www.risk.net/derivatives/5310051/monthly-swaps-data-review-analysing-ccp-and-sef-volumes</w:t>
        </w:r>
      </w:hyperlink>
      <w:r>
        <w:t xml:space="preserve"> (“[Dealer-to-client]</w:t>
      </w:r>
      <w:r w:rsidRPr="009C3AD5">
        <w:t xml:space="preserve"> volumes, which are from Bloomberg, Tradeweb and TrueEx, are larger each month than </w:t>
      </w:r>
      <w:r>
        <w:t>[Dealer-to-dealer]</w:t>
      </w:r>
      <w:r w:rsidRPr="009C3AD5">
        <w:t xml:space="preserve"> volumes – Icap, Tradition, Tullet, BGC, Dealerweb</w:t>
      </w:r>
      <w:r>
        <w:t>”).</w:t>
      </w:r>
    </w:p>
  </w:footnote>
  <w:footnote w:id="9">
    <w:p w14:paraId="5E612D73" w14:textId="2A937981" w:rsidR="00F64D99" w:rsidRPr="00B723A5" w:rsidRDefault="00F64D99">
      <w:pPr>
        <w:pStyle w:val="FootnoteText"/>
        <w:rPr>
          <w:lang w:val="en-US"/>
        </w:rPr>
      </w:pPr>
      <w:r w:rsidRPr="00B723A5">
        <w:rPr>
          <w:rStyle w:val="FootnoteReference"/>
        </w:rPr>
        <w:footnoteRef/>
      </w:r>
      <w:r w:rsidRPr="00B723A5">
        <w:t xml:space="preserve"> S</w:t>
      </w:r>
      <w:r>
        <w:t>upra note 1.</w:t>
      </w:r>
    </w:p>
  </w:footnote>
  <w:footnote w:id="10">
    <w:p w14:paraId="5AF3368F" w14:textId="15724553" w:rsidR="00F64D99" w:rsidRPr="008F1DFE" w:rsidRDefault="00F64D99">
      <w:pPr>
        <w:pStyle w:val="FootnoteText"/>
        <w:rPr>
          <w:lang w:val="en-US"/>
        </w:rPr>
      </w:pPr>
      <w:r>
        <w:rPr>
          <w:rStyle w:val="FootnoteReference"/>
        </w:rPr>
        <w:footnoteRef/>
      </w:r>
      <w:r>
        <w:t xml:space="preserve"> </w:t>
      </w:r>
      <w:r w:rsidRPr="00B7697E">
        <w:rPr>
          <w:i/>
        </w:rPr>
        <w:t>See</w:t>
      </w:r>
      <w:r>
        <w:t xml:space="preserve"> Loon, Y. C., Zhong, Z. K</w:t>
      </w:r>
      <w:r w:rsidRPr="00941F39">
        <w:t>. Does Dodd-Frank affect OTC transaction costs and liquidity? Evidence from real-time CDS trade reports. Journal of Financial Economics</w:t>
      </w:r>
      <w:r>
        <w:t xml:space="preserve">, </w:t>
      </w:r>
      <w:r w:rsidRPr="00941F39">
        <w:t>119 (3), 645–672</w:t>
      </w:r>
      <w:r>
        <w:t xml:space="preserve"> (2016) at page 4, available at: </w:t>
      </w:r>
      <w:hyperlink r:id="rId8" w:history="1">
        <w:r w:rsidRPr="000E1CF2">
          <w:rPr>
            <w:rStyle w:val="Hyperlink"/>
          </w:rPr>
          <w:t>http://papers.ssrn.com/sol3/papers.cfm?abstract_id=2443654</w:t>
        </w:r>
      </w:hyperlink>
    </w:p>
  </w:footnote>
  <w:footnote w:id="11">
    <w:p w14:paraId="0DD9AB27" w14:textId="4A608146" w:rsidR="00F64D99" w:rsidRPr="008F1DFE" w:rsidRDefault="00F64D99">
      <w:pPr>
        <w:pStyle w:val="FootnoteText"/>
        <w:rPr>
          <w:lang w:val="en-US"/>
        </w:rPr>
      </w:pPr>
      <w:r>
        <w:rPr>
          <w:rStyle w:val="FootnoteReference"/>
        </w:rPr>
        <w:footnoteRef/>
      </w:r>
      <w:r>
        <w:t xml:space="preserve"> </w:t>
      </w:r>
      <w:r w:rsidRPr="00A63A8F">
        <w:rPr>
          <w:i/>
        </w:rPr>
        <w:t>See</w:t>
      </w:r>
      <w:r w:rsidRPr="00A63A8F">
        <w:t xml:space="preserve"> Staff Working Paper No. 580 “Centralized trading, transparency and interest rate swap market liquidity: evidence from the implementation of the Dodd-Frank Act”, Bank of England (January 2016), available at: </w:t>
      </w:r>
      <w:hyperlink r:id="rId9" w:history="1">
        <w:r w:rsidRPr="001A2EAE">
          <w:rPr>
            <w:rStyle w:val="Hyperlink"/>
          </w:rPr>
          <w:t>http://www.bankofengland.co.uk/research/Documents/workingpapers/2016/swp580.pdf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CBAFB" w14:textId="77777777" w:rsidR="00F64D99" w:rsidRDefault="00F64D99">
    <w:pPr>
      <w:pStyle w:val="Header"/>
    </w:pPr>
    <w:r>
      <w:rPr>
        <w:noProof/>
        <w:lang w:eastAsia="en-GB"/>
      </w:rPr>
      <w:drawing>
        <wp:anchor distT="0" distB="0" distL="114300" distR="114300" simplePos="0" relativeHeight="251658240" behindDoc="0" locked="0" layoutInCell="1" allowOverlap="1" wp14:anchorId="4A0C2F0A" wp14:editId="507575C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5339F98" wp14:editId="687E575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4631" w14:textId="77777777" w:rsidR="00F64D99" w:rsidRDefault="00F64D99" w:rsidP="00013CCE">
    <w:pPr>
      <w:pStyle w:val="Header"/>
      <w:jc w:val="right"/>
    </w:pPr>
    <w:r>
      <w:rPr>
        <w:noProof/>
        <w:lang w:eastAsia="en-GB"/>
      </w:rPr>
      <w:drawing>
        <wp:anchor distT="0" distB="0" distL="114300" distR="114300" simplePos="0" relativeHeight="251657216" behindDoc="0" locked="0" layoutInCell="1" allowOverlap="1" wp14:anchorId="51E8BB1B" wp14:editId="685EDE3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1A80A56D" wp14:editId="54570337">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96225" w14:textId="77777777" w:rsidR="00F64D99" w:rsidRDefault="00F64D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64D99" w:rsidRPr="002F4496" w14:paraId="124FAE55" w14:textId="77777777" w:rsidTr="000C06C9">
      <w:trPr>
        <w:trHeight w:val="284"/>
      </w:trPr>
      <w:tc>
        <w:tcPr>
          <w:tcW w:w="8460" w:type="dxa"/>
        </w:tcPr>
        <w:p w14:paraId="3F7B8663" w14:textId="77777777" w:rsidR="00F64D99" w:rsidRPr="000C3B6D" w:rsidRDefault="00F64D99" w:rsidP="000C06C9">
          <w:pPr>
            <w:pStyle w:val="00Footer"/>
            <w:rPr>
              <w:lang w:val="fr-FR"/>
            </w:rPr>
          </w:pPr>
        </w:p>
      </w:tc>
      <w:tc>
        <w:tcPr>
          <w:tcW w:w="952" w:type="dxa"/>
        </w:tcPr>
        <w:p w14:paraId="00DF51BF" w14:textId="77777777" w:rsidR="00F64D99" w:rsidRPr="00146B34" w:rsidRDefault="00F64D99" w:rsidP="000C06C9">
          <w:pPr>
            <w:pStyle w:val="00aPagenumber"/>
            <w:rPr>
              <w:lang w:val="fr-FR"/>
            </w:rPr>
          </w:pPr>
        </w:p>
      </w:tc>
    </w:tr>
  </w:tbl>
  <w:p w14:paraId="15DFB139" w14:textId="77777777" w:rsidR="00F64D99" w:rsidRPr="00DB46C3" w:rsidRDefault="00F64D99">
    <w:pPr>
      <w:rPr>
        <w:lang w:val="fr-FR"/>
      </w:rPr>
    </w:pPr>
  </w:p>
  <w:p w14:paraId="419E9B7B" w14:textId="77777777" w:rsidR="00F64D99" w:rsidRPr="002F4496" w:rsidRDefault="00F64D99">
    <w:pPr>
      <w:pStyle w:val="Header"/>
      <w:rPr>
        <w:lang w:val="fr-FR"/>
      </w:rPr>
    </w:pPr>
  </w:p>
  <w:p w14:paraId="7CBF8F9D" w14:textId="77777777" w:rsidR="00F64D99" w:rsidRPr="002F4496" w:rsidRDefault="00F64D99" w:rsidP="000C06C9">
    <w:pPr>
      <w:pStyle w:val="Header"/>
      <w:tabs>
        <w:tab w:val="clear" w:pos="4536"/>
        <w:tab w:val="clear" w:pos="9072"/>
        <w:tab w:val="left" w:pos="8227"/>
      </w:tabs>
      <w:rPr>
        <w:lang w:val="fr-FR"/>
      </w:rPr>
    </w:pPr>
  </w:p>
  <w:p w14:paraId="5BF57EF5" w14:textId="77777777" w:rsidR="00F64D99" w:rsidRPr="002F4496" w:rsidRDefault="00F64D99" w:rsidP="00583885">
    <w:pPr>
      <w:pStyle w:val="Header"/>
      <w:jc w:val="right"/>
      <w:rPr>
        <w:lang w:val="fr-FR"/>
      </w:rPr>
    </w:pPr>
  </w:p>
  <w:p w14:paraId="74145FD5" w14:textId="77777777" w:rsidR="00F64D99" w:rsidRPr="002F4496" w:rsidRDefault="00F64D99">
    <w:pPr>
      <w:pStyle w:val="Header"/>
      <w:rPr>
        <w:lang w:val="fr-FR"/>
      </w:rPr>
    </w:pPr>
  </w:p>
  <w:p w14:paraId="4CAD5E9F" w14:textId="77777777" w:rsidR="00F64D99" w:rsidRPr="002F4496" w:rsidRDefault="00F64D99">
    <w:pPr>
      <w:pStyle w:val="Header"/>
      <w:rPr>
        <w:lang w:val="fr-FR"/>
      </w:rPr>
    </w:pPr>
  </w:p>
  <w:p w14:paraId="3213D780" w14:textId="77777777" w:rsidR="00F64D99" w:rsidRPr="002F4496" w:rsidRDefault="00F64D99">
    <w:pPr>
      <w:pStyle w:val="Header"/>
      <w:rPr>
        <w:lang w:val="fr-FR"/>
      </w:rPr>
    </w:pPr>
  </w:p>
  <w:p w14:paraId="3E3F05E5" w14:textId="77777777" w:rsidR="00F64D99" w:rsidRPr="002F4496" w:rsidRDefault="00F64D99">
    <w:pPr>
      <w:pStyle w:val="Header"/>
      <w:rPr>
        <w:highlight w:val="yellow"/>
        <w:lang w:val="fr-FR"/>
      </w:rPr>
    </w:pPr>
  </w:p>
  <w:p w14:paraId="12D1E51B" w14:textId="77777777" w:rsidR="00F64D99" w:rsidRDefault="00F64D99">
    <w:pPr>
      <w:pStyle w:val="Header"/>
    </w:pPr>
    <w:r>
      <w:rPr>
        <w:noProof/>
        <w:lang w:eastAsia="en-GB"/>
      </w:rPr>
      <mc:AlternateContent>
        <mc:Choice Requires="wps">
          <w:drawing>
            <wp:anchor distT="0" distB="0" distL="114299" distR="114299" simplePos="0" relativeHeight="251660288" behindDoc="0" locked="0" layoutInCell="1" allowOverlap="1" wp14:anchorId="29232CCC" wp14:editId="457A637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3462EB6" wp14:editId="367AC03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516458"/>
    <w:multiLevelType w:val="hybridMultilevel"/>
    <w:tmpl w:val="9B50E9A2"/>
    <w:lvl w:ilvl="0" w:tplc="8ED400D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F32732"/>
    <w:multiLevelType w:val="hybridMultilevel"/>
    <w:tmpl w:val="2022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3BF3B40"/>
    <w:multiLevelType w:val="hybridMultilevel"/>
    <w:tmpl w:val="2FF65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8C5751F"/>
    <w:multiLevelType w:val="hybridMultilevel"/>
    <w:tmpl w:val="2FF65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8E87E46"/>
    <w:multiLevelType w:val="hybridMultilevel"/>
    <w:tmpl w:val="1B341E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9"/>
  </w:num>
  <w:num w:numId="3">
    <w:abstractNumId w:val="12"/>
  </w:num>
  <w:num w:numId="4">
    <w:abstractNumId w:val="25"/>
  </w:num>
  <w:num w:numId="5">
    <w:abstractNumId w:val="27"/>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0"/>
  </w:num>
  <w:num w:numId="16">
    <w:abstractNumId w:val="1"/>
  </w:num>
  <w:num w:numId="17">
    <w:abstractNumId w:val="14"/>
  </w:num>
  <w:num w:numId="18">
    <w:abstractNumId w:val="15"/>
  </w:num>
  <w:num w:numId="19">
    <w:abstractNumId w:val="17"/>
  </w:num>
  <w:num w:numId="20">
    <w:abstractNumId w:val="28"/>
  </w:num>
  <w:num w:numId="21">
    <w:abstractNumId w:val="39"/>
  </w:num>
  <w:num w:numId="22">
    <w:abstractNumId w:val="26"/>
  </w:num>
  <w:num w:numId="23">
    <w:abstractNumId w:val="9"/>
  </w:num>
  <w:num w:numId="24">
    <w:abstractNumId w:val="32"/>
  </w:num>
  <w:num w:numId="25">
    <w:abstractNumId w:val="31"/>
  </w:num>
  <w:num w:numId="26">
    <w:abstractNumId w:val="20"/>
  </w:num>
  <w:num w:numId="27">
    <w:abstractNumId w:val="35"/>
  </w:num>
  <w:num w:numId="28">
    <w:abstractNumId w:val="41"/>
  </w:num>
  <w:num w:numId="29">
    <w:abstractNumId w:val="7"/>
  </w:num>
  <w:num w:numId="30">
    <w:abstractNumId w:val="3"/>
  </w:num>
  <w:num w:numId="31">
    <w:abstractNumId w:val="23"/>
  </w:num>
  <w:num w:numId="32">
    <w:abstractNumId w:val="22"/>
  </w:num>
  <w:num w:numId="33">
    <w:abstractNumId w:val="37"/>
  </w:num>
  <w:num w:numId="34">
    <w:abstractNumId w:val="36"/>
  </w:num>
  <w:num w:numId="35">
    <w:abstractNumId w:val="5"/>
  </w:num>
  <w:num w:numId="36">
    <w:abstractNumId w:val="38"/>
  </w:num>
  <w:num w:numId="37">
    <w:abstractNumId w:val="29"/>
  </w:num>
  <w:num w:numId="38">
    <w:abstractNumId w:val="11"/>
  </w:num>
  <w:num w:numId="39">
    <w:abstractNumId w:val="18"/>
  </w:num>
  <w:num w:numId="40">
    <w:abstractNumId w:val="21"/>
  </w:num>
  <w:num w:numId="4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aA8q7oc5iK+hjxM5j4YuFtAgUHmYZp93wJym7jn0Dr5tP6YbraqZC+l3OygXVZ9T9wSuOEa7XLn1gz3wmX42w==" w:salt="WZRSxJUKWYNPhHhTEZiS4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0E37"/>
    <w:rsid w:val="00013CCE"/>
    <w:rsid w:val="000140D5"/>
    <w:rsid w:val="0001410B"/>
    <w:rsid w:val="000141D6"/>
    <w:rsid w:val="00014A95"/>
    <w:rsid w:val="00015B5E"/>
    <w:rsid w:val="00015F1D"/>
    <w:rsid w:val="0001774B"/>
    <w:rsid w:val="00017C1A"/>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405"/>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5C7D"/>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6AB"/>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085"/>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3C67"/>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276"/>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E75"/>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7B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9DC"/>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658"/>
    <w:rsid w:val="003926C1"/>
    <w:rsid w:val="00392900"/>
    <w:rsid w:val="00393357"/>
    <w:rsid w:val="00395E7B"/>
    <w:rsid w:val="00395F4C"/>
    <w:rsid w:val="003A51C5"/>
    <w:rsid w:val="003A5DAC"/>
    <w:rsid w:val="003A6591"/>
    <w:rsid w:val="003A6E9A"/>
    <w:rsid w:val="003A7E49"/>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25D1"/>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5C"/>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0FD"/>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48DA"/>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16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405C"/>
    <w:rsid w:val="004C5237"/>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510"/>
    <w:rsid w:val="00530A8D"/>
    <w:rsid w:val="00531C6D"/>
    <w:rsid w:val="00532EF4"/>
    <w:rsid w:val="005347CE"/>
    <w:rsid w:val="00535477"/>
    <w:rsid w:val="00535DEA"/>
    <w:rsid w:val="005363FE"/>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1067"/>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1"/>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3B5"/>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2D5A"/>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460"/>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4E"/>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AC0"/>
    <w:rsid w:val="007B5F3B"/>
    <w:rsid w:val="007C02B0"/>
    <w:rsid w:val="007C063E"/>
    <w:rsid w:val="007C1901"/>
    <w:rsid w:val="007C49C0"/>
    <w:rsid w:val="007C55C1"/>
    <w:rsid w:val="007C5738"/>
    <w:rsid w:val="007C5772"/>
    <w:rsid w:val="007C5AC3"/>
    <w:rsid w:val="007C7233"/>
    <w:rsid w:val="007D0A70"/>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5E49"/>
    <w:rsid w:val="00826577"/>
    <w:rsid w:val="00827439"/>
    <w:rsid w:val="00827C79"/>
    <w:rsid w:val="0083003F"/>
    <w:rsid w:val="00831077"/>
    <w:rsid w:val="00831A4A"/>
    <w:rsid w:val="00832134"/>
    <w:rsid w:val="0083219E"/>
    <w:rsid w:val="008324B3"/>
    <w:rsid w:val="00833E3A"/>
    <w:rsid w:val="0083497C"/>
    <w:rsid w:val="008352A6"/>
    <w:rsid w:val="00835B5B"/>
    <w:rsid w:val="008367AE"/>
    <w:rsid w:val="00836E50"/>
    <w:rsid w:val="00840477"/>
    <w:rsid w:val="0084121D"/>
    <w:rsid w:val="008418E3"/>
    <w:rsid w:val="008419C1"/>
    <w:rsid w:val="008435BE"/>
    <w:rsid w:val="00844515"/>
    <w:rsid w:val="0084465A"/>
    <w:rsid w:val="00844DFF"/>
    <w:rsid w:val="008453CB"/>
    <w:rsid w:val="00845D87"/>
    <w:rsid w:val="00846C3A"/>
    <w:rsid w:val="008477BF"/>
    <w:rsid w:val="008503DA"/>
    <w:rsid w:val="00850B68"/>
    <w:rsid w:val="00850E82"/>
    <w:rsid w:val="0085122D"/>
    <w:rsid w:val="008519E8"/>
    <w:rsid w:val="008525FF"/>
    <w:rsid w:val="00852C03"/>
    <w:rsid w:val="0085590C"/>
    <w:rsid w:val="008575EB"/>
    <w:rsid w:val="00860648"/>
    <w:rsid w:val="00862DDD"/>
    <w:rsid w:val="0086326D"/>
    <w:rsid w:val="00863CC1"/>
    <w:rsid w:val="00865B01"/>
    <w:rsid w:val="00866D7A"/>
    <w:rsid w:val="00866EE3"/>
    <w:rsid w:val="0086715E"/>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1DFE"/>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66AF"/>
    <w:rsid w:val="009371DC"/>
    <w:rsid w:val="0093759D"/>
    <w:rsid w:val="00940239"/>
    <w:rsid w:val="00941517"/>
    <w:rsid w:val="00942BD6"/>
    <w:rsid w:val="00942DED"/>
    <w:rsid w:val="00944404"/>
    <w:rsid w:val="00944E99"/>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4D80"/>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880"/>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6F75"/>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69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287"/>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7F5"/>
    <w:rsid w:val="00B67829"/>
    <w:rsid w:val="00B71FB3"/>
    <w:rsid w:val="00B723A5"/>
    <w:rsid w:val="00B73492"/>
    <w:rsid w:val="00B7512A"/>
    <w:rsid w:val="00B76548"/>
    <w:rsid w:val="00B76BED"/>
    <w:rsid w:val="00B806E6"/>
    <w:rsid w:val="00B82DC1"/>
    <w:rsid w:val="00B835D5"/>
    <w:rsid w:val="00B84028"/>
    <w:rsid w:val="00B84307"/>
    <w:rsid w:val="00B8430D"/>
    <w:rsid w:val="00B85661"/>
    <w:rsid w:val="00B85C8A"/>
    <w:rsid w:val="00B86651"/>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6DF"/>
    <w:rsid w:val="00BC7897"/>
    <w:rsid w:val="00BD06D7"/>
    <w:rsid w:val="00BD0F35"/>
    <w:rsid w:val="00BD45A4"/>
    <w:rsid w:val="00BD4A5F"/>
    <w:rsid w:val="00BD59AA"/>
    <w:rsid w:val="00BD65E6"/>
    <w:rsid w:val="00BD6AF7"/>
    <w:rsid w:val="00BD7088"/>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2E2B"/>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3BFB"/>
    <w:rsid w:val="00CD4EB0"/>
    <w:rsid w:val="00CD512D"/>
    <w:rsid w:val="00CD5831"/>
    <w:rsid w:val="00CD62F7"/>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4F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652"/>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AD9"/>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1A59"/>
    <w:rsid w:val="00E6344A"/>
    <w:rsid w:val="00E64E69"/>
    <w:rsid w:val="00E64FB7"/>
    <w:rsid w:val="00E669A1"/>
    <w:rsid w:val="00E679BA"/>
    <w:rsid w:val="00E67E05"/>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CD8"/>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1D0F"/>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6673"/>
    <w:rsid w:val="00F574D0"/>
    <w:rsid w:val="00F6031F"/>
    <w:rsid w:val="00F61664"/>
    <w:rsid w:val="00F61B99"/>
    <w:rsid w:val="00F64C45"/>
    <w:rsid w:val="00F64D99"/>
    <w:rsid w:val="00F6502B"/>
    <w:rsid w:val="00F6612A"/>
    <w:rsid w:val="00F66724"/>
    <w:rsid w:val="00F67F04"/>
    <w:rsid w:val="00F70207"/>
    <w:rsid w:val="00F702CB"/>
    <w:rsid w:val="00F71AC2"/>
    <w:rsid w:val="00F739D4"/>
    <w:rsid w:val="00F77D43"/>
    <w:rsid w:val="00F803B0"/>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3E31"/>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893"/>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4B438DF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styleId="UnresolvedMention">
    <w:name w:val="Unresolved Mention"/>
    <w:basedOn w:val="DefaultParagraphFont"/>
    <w:uiPriority w:val="99"/>
    <w:semiHidden/>
    <w:unhideWhenUsed/>
    <w:rsid w:val="00936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papers.ssrn.com/sol3/papers.cfm?abstract_id=2443654" TargetMode="External"/><Relationship Id="rId3" Type="http://schemas.openxmlformats.org/officeDocument/2006/relationships/hyperlink" Target="https://www.esma.europa.eu/sites/default/files/library/2016-1125_cp_on_clearing_obligation_for_financial_counterparties.pdf" TargetMode="External"/><Relationship Id="rId7" Type="http://schemas.openxmlformats.org/officeDocument/2006/relationships/hyperlink" Target="https://www.risk.net/derivatives/5310051/monthly-swaps-data-review-analysing-ccp-and-sef-volumes" TargetMode="External"/><Relationship Id="rId2" Type="http://schemas.openxmlformats.org/officeDocument/2006/relationships/hyperlink" Target="https://www.isda.org/a/6yYEE/Actual-Cleared-Volumes-vs-Mandated-Cleared-Volumes.pdf" TargetMode="External"/><Relationship Id="rId1" Type="http://schemas.openxmlformats.org/officeDocument/2006/relationships/hyperlink" Target="https://www.esrb.europa.eu/pub/pdf/wp/esrb.wp72.en.pdf?87d519a1fd278d359b6d5a33499d0e26" TargetMode="External"/><Relationship Id="rId6" Type="http://schemas.openxmlformats.org/officeDocument/2006/relationships/hyperlink" Target="https://www.esma.europa.eu/sites/default/files/library/2016-1125_cp_on_clearing_obligation_for_financial_counterparties.pdf" TargetMode="External"/><Relationship Id="rId5" Type="http://schemas.openxmlformats.org/officeDocument/2006/relationships/hyperlink" Target="https://www.isda.org/a/6yYEE/Actual-Cleared-Volumes-vs-Mandated-Cleared-Volumes.pdf" TargetMode="External"/><Relationship Id="rId4" Type="http://schemas.openxmlformats.org/officeDocument/2006/relationships/hyperlink" Target="https://www.esrb.europa.eu/pub/pdf/wp/esrb.wp72.en.pdf?87d519a1fd278d359b6d5a33499d0e26" TargetMode="External"/><Relationship Id="rId9" Type="http://schemas.openxmlformats.org/officeDocument/2006/relationships/hyperlink" Target="http://www.bankofengland.co.uk/research/Documents/workingpapers/2016/swp58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Clearing Obligation</a:t>
            </a:r>
            <a:r>
              <a:rPr lang="en-US" baseline="0"/>
              <a:t> Coverage </a:t>
            </a:r>
          </a:p>
          <a:p>
            <a:pPr>
              <a:defRPr/>
            </a:pPr>
            <a:r>
              <a:rPr lang="en-US" baseline="0"/>
              <a:t>(ESMA Trade State Data Analysis)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376-4449-925D-FA446DC13E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76-4449-925D-FA446DC13E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376-4449-925D-FA446DC13E0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Clearing Members</c:v>
                </c:pt>
                <c:pt idx="1">
                  <c:v>Large FCs</c:v>
                </c:pt>
                <c:pt idx="2">
                  <c:v>Small FCs</c:v>
                </c:pt>
              </c:strCache>
            </c:strRef>
          </c:cat>
          <c:val>
            <c:numRef>
              <c:f>Sheet1!$B$2:$B$4</c:f>
              <c:numCache>
                <c:formatCode>General</c:formatCode>
                <c:ptCount val="3"/>
                <c:pt idx="0">
                  <c:v>94.5</c:v>
                </c:pt>
                <c:pt idx="1">
                  <c:v>0.5</c:v>
                </c:pt>
                <c:pt idx="2">
                  <c:v>5</c:v>
                </c:pt>
              </c:numCache>
            </c:numRef>
          </c:val>
          <c:extLst>
            <c:ext xmlns:c16="http://schemas.microsoft.com/office/drawing/2014/chart" uri="{C3380CC4-5D6E-409C-BE32-E72D297353CC}">
              <c16:uniqueId val="{00000006-C376-4449-925D-FA446DC13E0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Pages>
  <Words>3790</Words>
  <Characters>21728</Characters>
  <Application>Microsoft Office Word</Application>
  <DocSecurity>8</DocSecurity>
  <Lines>181</Lines>
  <Paragraphs>50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25468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Jonah Platt</cp:lastModifiedBy>
  <cp:revision>5</cp:revision>
  <cp:lastPrinted>2015-02-18T11:01:00Z</cp:lastPrinted>
  <dcterms:created xsi:type="dcterms:W3CDTF">2022-01-19T13:42:00Z</dcterms:created>
  <dcterms:modified xsi:type="dcterms:W3CDTF">2022-01-19T16:41:00Z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