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2946B85C" w14:textId="647C45CE" w:rsidR="00C2682A" w:rsidRPr="00AB6D88" w:rsidRDefault="00D37F77" w:rsidP="00D37F77">
                <w:pPr>
                  <w:rPr>
                    <w:rStyle w:val="PlaceholderText"/>
                    <w:rFonts w:cs="Arial"/>
                  </w:rPr>
                </w:pPr>
                <w:r>
                  <w:rPr>
                    <w:rStyle w:val="PlaceholderText"/>
                    <w:rFonts w:cs="Arial"/>
                  </w:rPr>
                  <w:t>Association of the Luxembourg Fund Industry</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637846AD" w:rsidR="00C2682A" w:rsidRPr="00AB6D88" w:rsidRDefault="00AD079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E2FF7">
                  <w:rPr>
                    <w:rFonts w:cs="Arial"/>
                  </w:rPr>
                  <w:t>Other Financial service providers</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1B6CD27A" w14:textId="7C0622D2" w:rsidR="00C2682A" w:rsidRPr="00AB6D88" w:rsidRDefault="00D37F77"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4447555F" w:rsidR="00C2682A" w:rsidRPr="00AB6D88" w:rsidRDefault="00D37F77" w:rsidP="00FA5524">
                <w:pPr>
                  <w:rPr>
                    <w:rFonts w:cs="Arial"/>
                  </w:rPr>
                </w:pPr>
                <w:r>
                  <w:rPr>
                    <w:rFonts w:cs="Arial"/>
                  </w:rPr>
                  <w:t>Luxembourg</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775D734E" w14:textId="77777777" w:rsidR="00D37F77" w:rsidRPr="0096385F" w:rsidRDefault="00D37F77" w:rsidP="00D37F77">
      <w:pPr>
        <w:pStyle w:val="NormalWeb"/>
        <w:rPr>
          <w:rFonts w:ascii="Arial" w:hAnsi="Arial" w:cs="Arial"/>
          <w:sz w:val="20"/>
          <w:szCs w:val="22"/>
          <w:lang w:val="en-GB" w:eastAsia="fr-LU"/>
        </w:rPr>
      </w:pPr>
      <w:permStart w:id="1269197972" w:edGrp="everyone"/>
      <w:r w:rsidRPr="0096385F">
        <w:rPr>
          <w:rFonts w:ascii="Arial" w:hAnsi="Arial" w:cs="Arial"/>
          <w:sz w:val="20"/>
          <w:szCs w:val="22"/>
          <w:lang w:val="en-GB"/>
        </w:rPr>
        <w:t>The</w:t>
      </w:r>
      <w:r w:rsidRPr="0096385F">
        <w:rPr>
          <w:rStyle w:val="Strong"/>
          <w:rFonts w:ascii="Arial" w:eastAsiaTheme="majorEastAsia" w:hAnsi="Arial" w:cs="Arial"/>
          <w:sz w:val="20"/>
          <w:lang w:val="en-GB"/>
        </w:rPr>
        <w:t xml:space="preserve"> Association of the Luxembourg Fund Industry (ALFI) </w:t>
      </w:r>
      <w:r w:rsidRPr="0096385F">
        <w:rPr>
          <w:rFonts w:ascii="Arial" w:hAnsi="Arial" w:cs="Arial"/>
          <w:sz w:val="20"/>
          <w:szCs w:val="22"/>
          <w:lang w:val="en-GB"/>
        </w:rPr>
        <w:t>represents the face and voice of the Luxembourg asset management and investment fund community. The Association is committed to the development of the Luxembourg fund industry by striving to create new business opportunities, and through the exchange of information and knowledge.</w:t>
      </w:r>
    </w:p>
    <w:p w14:paraId="571D69E6" w14:textId="56E34771" w:rsidR="00D37F77" w:rsidRPr="0096385F" w:rsidRDefault="00D37F77" w:rsidP="00D37F77">
      <w:pPr>
        <w:pStyle w:val="NormalWeb"/>
        <w:rPr>
          <w:rFonts w:ascii="Arial" w:hAnsi="Arial" w:cs="Arial"/>
          <w:sz w:val="20"/>
          <w:szCs w:val="22"/>
          <w:lang w:val="en-GB"/>
        </w:rPr>
      </w:pPr>
      <w:r w:rsidRPr="0096385F">
        <w:rPr>
          <w:rFonts w:ascii="Arial" w:hAnsi="Arial" w:cs="Arial"/>
          <w:sz w:val="20"/>
          <w:szCs w:val="22"/>
          <w:lang w:val="en-GB"/>
        </w:rPr>
        <w:t>Created in 1988, the Associat</w:t>
      </w:r>
      <w:r w:rsidR="00087149" w:rsidRPr="0096385F">
        <w:rPr>
          <w:rFonts w:ascii="Arial" w:hAnsi="Arial" w:cs="Arial"/>
          <w:sz w:val="20"/>
          <w:szCs w:val="22"/>
          <w:lang w:val="en-GB"/>
        </w:rPr>
        <w:t>ion today represents over 1.</w:t>
      </w:r>
      <w:r w:rsidRPr="0096385F">
        <w:rPr>
          <w:rFonts w:ascii="Arial" w:hAnsi="Arial" w:cs="Arial"/>
          <w:sz w:val="20"/>
          <w:szCs w:val="22"/>
          <w:lang w:val="en-GB"/>
        </w:rPr>
        <w:t>500 Luxembourg-domiciled investment funds, asset management companies and a wide range of businesses that serve the sector. These include depositary banks, fund administrators, transfer agents, distributors, law firms, consultants, tax advisory firms, auditors and accountants as well as specialist IT and communication companies. Luxembourg is the largest fund domicile in Europe and a worldwide leader in cross-border distribution of funds. Luxembourg-domiciled investment funds are distributed in more than 70 countries around the world.</w:t>
      </w:r>
    </w:p>
    <w:p w14:paraId="4BD06340" w14:textId="487A6E19" w:rsidR="00AD6567" w:rsidRPr="0096385F" w:rsidRDefault="00D37F77" w:rsidP="00F87897">
      <w:pPr>
        <w:rPr>
          <w:rFonts w:cs="Arial"/>
          <w:szCs w:val="22"/>
        </w:rPr>
      </w:pPr>
      <w:r w:rsidRPr="0096385F">
        <w:rPr>
          <w:rFonts w:cs="Arial"/>
          <w:szCs w:val="22"/>
        </w:rPr>
        <w:t xml:space="preserve">We thank the ESMA for this new opportunity to provide feedback on the calibration of EMIR clearing </w:t>
      </w:r>
      <w:r w:rsidR="00201FAF" w:rsidRPr="0096385F">
        <w:rPr>
          <w:rFonts w:cs="Arial"/>
          <w:szCs w:val="22"/>
        </w:rPr>
        <w:t>obligation (CO)</w:t>
      </w:r>
      <w:r w:rsidR="00EB2A41" w:rsidRPr="0096385F">
        <w:rPr>
          <w:rFonts w:cs="Arial"/>
          <w:szCs w:val="22"/>
        </w:rPr>
        <w:t xml:space="preserve"> in commenting its discussion paper (DP)</w:t>
      </w:r>
      <w:r w:rsidRPr="0096385F">
        <w:rPr>
          <w:rFonts w:cs="Arial"/>
          <w:szCs w:val="22"/>
        </w:rPr>
        <w:t>.</w:t>
      </w:r>
      <w:r w:rsidR="00B15C21" w:rsidRPr="0096385F">
        <w:rPr>
          <w:rFonts w:cs="Arial"/>
          <w:szCs w:val="22"/>
        </w:rPr>
        <w:t xml:space="preserve"> </w:t>
      </w:r>
      <w:r w:rsidR="00AD6567" w:rsidRPr="0096385F">
        <w:rPr>
          <w:rFonts w:cs="Arial"/>
          <w:szCs w:val="22"/>
        </w:rPr>
        <w:t>Indeed, after the entry into force of EMIR Refit (EU) 2019/834 in June 2019, market participants were able to provide feedback on the amended clearing regime.</w:t>
      </w:r>
    </w:p>
    <w:p w14:paraId="150398BF" w14:textId="147C786D" w:rsidR="00F87897" w:rsidRDefault="00B15C21" w:rsidP="00F87897">
      <w:r w:rsidRPr="0096385F">
        <w:rPr>
          <w:rFonts w:cs="Arial"/>
          <w:szCs w:val="22"/>
        </w:rPr>
        <w:t>We will respond to this consultation from the perspective of the Financial Counterparties (FCs), especially investment funds</w:t>
      </w:r>
      <w:r>
        <w:rPr>
          <w:rFonts w:ascii="Calibri" w:hAnsi="Calibri" w:cs="Arial"/>
          <w:sz w:val="22"/>
          <w:szCs w:val="22"/>
        </w:rPr>
        <w:t>.</w:t>
      </w:r>
      <w:permEnd w:id="1269197972"/>
    </w:p>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549C4AC9" w14:textId="30641AFF" w:rsidR="00A8728B" w:rsidRDefault="00201FAF" w:rsidP="00A8728B">
      <w:pPr>
        <w:rPr>
          <w:lang w:val="es-ES"/>
        </w:rPr>
      </w:pPr>
      <w:permStart w:id="2093768910" w:edGrp="everyone"/>
      <w:proofErr w:type="spellStart"/>
      <w:r>
        <w:rPr>
          <w:lang w:val="es-ES"/>
        </w:rPr>
        <w:t>We</w:t>
      </w:r>
      <w:proofErr w:type="spellEnd"/>
      <w:r>
        <w:rPr>
          <w:lang w:val="es-ES"/>
        </w:rPr>
        <w:t xml:space="preserve"> do </w:t>
      </w:r>
      <w:proofErr w:type="spellStart"/>
      <w:r>
        <w:rPr>
          <w:lang w:val="es-ES"/>
        </w:rPr>
        <w:t>not</w:t>
      </w:r>
      <w:proofErr w:type="spellEnd"/>
      <w:r>
        <w:rPr>
          <w:lang w:val="es-ES"/>
        </w:rPr>
        <w:t xml:space="preserve"> </w:t>
      </w:r>
      <w:proofErr w:type="spellStart"/>
      <w:r>
        <w:rPr>
          <w:lang w:val="es-ES"/>
        </w:rPr>
        <w:t>see</w:t>
      </w:r>
      <w:proofErr w:type="spellEnd"/>
      <w:r>
        <w:rPr>
          <w:lang w:val="es-ES"/>
        </w:rPr>
        <w:t xml:space="preserve"> a </w:t>
      </w:r>
      <w:proofErr w:type="spellStart"/>
      <w:r>
        <w:rPr>
          <w:lang w:val="es-ES"/>
        </w:rPr>
        <w:t>need</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further</w:t>
      </w:r>
      <w:proofErr w:type="spellEnd"/>
      <w:r>
        <w:rPr>
          <w:lang w:val="es-ES"/>
        </w:rPr>
        <w:t xml:space="preserve"> </w:t>
      </w:r>
      <w:proofErr w:type="spellStart"/>
      <w:r>
        <w:rPr>
          <w:lang w:val="es-ES"/>
        </w:rPr>
        <w:t>clarification</w:t>
      </w:r>
      <w:proofErr w:type="spellEnd"/>
      <w:r w:rsidR="00B15C21">
        <w:rPr>
          <w:lang w:val="es-ES"/>
        </w:rPr>
        <w:t>.</w:t>
      </w:r>
    </w:p>
    <w:p w14:paraId="578817D1" w14:textId="77777777" w:rsidR="00B15C21" w:rsidRDefault="00B15C21" w:rsidP="00A8728B">
      <w:pPr>
        <w:rPr>
          <w:lang w:val="es-ES"/>
        </w:rPr>
      </w:pPr>
    </w:p>
    <w:permEnd w:id="2093768910"/>
    <w:p w14:paraId="2593105B" w14:textId="77777777" w:rsidR="00A8728B" w:rsidRDefault="00A8728B" w:rsidP="00A8728B"/>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19557286" w14:textId="4A02E020" w:rsidR="0080490C" w:rsidRDefault="00201FAF" w:rsidP="00A8728B">
      <w:permStart w:id="2039636534" w:edGrp="everyone"/>
      <w:r>
        <w:t>The use of OTC contracts to reduce risks relating to commercial activity or treasury financing activity is related to NFCs only</w:t>
      </w:r>
      <w:r w:rsidR="0027388E">
        <w:t>, in accordance with Rec 20 of CDR (EU) 149/2013</w:t>
      </w:r>
      <w:r>
        <w:t xml:space="preserve">. </w:t>
      </w:r>
      <w:r w:rsidR="0027388E">
        <w:t>Hence, u</w:t>
      </w:r>
      <w:r w:rsidR="0080490C">
        <w:t>nder Art. 10 EMIR these hedging contracts are excluded from the calculation of the exposure.</w:t>
      </w:r>
    </w:p>
    <w:p w14:paraId="5AB27CCA" w14:textId="77777777" w:rsidR="0080490C" w:rsidRDefault="0080490C" w:rsidP="00A8728B"/>
    <w:p w14:paraId="3B2691A6" w14:textId="576E59C1" w:rsidR="00A8728B" w:rsidRDefault="00EB2A41" w:rsidP="00A8728B">
      <w:r>
        <w:t>According to the DP (§80 Figure 7), NFCs represent only 5% of the co</w:t>
      </w:r>
      <w:r w:rsidR="0080490C">
        <w:t>unterparties eligible to the CO, while UCITS funds represent a majority of 52%.</w:t>
      </w:r>
    </w:p>
    <w:p w14:paraId="60D7F211" w14:textId="77777777" w:rsidR="0080490C" w:rsidRDefault="0080490C" w:rsidP="00A8728B"/>
    <w:p w14:paraId="5749128B" w14:textId="2AF546A0" w:rsidR="0080490C" w:rsidRDefault="0080490C" w:rsidP="00A8728B">
      <w:r>
        <w:t>UCITS fund also proceed to hedging operations, in particular through the use of Foreign Exchange (FX) physically settled derivatives (FX Forwards, FX Swaps) in order to hedge their investment classes denominated in different currencies, in line with the ESMA opinion of 30 January 2017.</w:t>
      </w:r>
    </w:p>
    <w:p w14:paraId="13A36A59" w14:textId="77777777" w:rsidR="00CA6864" w:rsidRDefault="00CA6864" w:rsidP="00A8728B"/>
    <w:p w14:paraId="78B30121" w14:textId="69302AE9" w:rsidR="00A04E21" w:rsidRDefault="0080490C" w:rsidP="00A8728B">
      <w:r>
        <w:t xml:space="preserve">Art. 50 of the UCITS Directive provides strict investment restrictions in liquid financial instruments. Art. 1(2)a of the Directive </w:t>
      </w:r>
      <w:r w:rsidR="00A04E21">
        <w:t>emphasises the role of these investment restrictions as the shares of a</w:t>
      </w:r>
      <w:r>
        <w:t xml:space="preserve"> UCITS</w:t>
      </w:r>
      <w:r w:rsidR="00A04E21">
        <w:t xml:space="preserve"> fund can be subscribed by the public (i.e. including natural persons).</w:t>
      </w:r>
    </w:p>
    <w:p w14:paraId="5E68B1B3" w14:textId="71ED44B5" w:rsidR="0080490C" w:rsidRDefault="00A04E21" w:rsidP="00A8728B">
      <w:r>
        <w:t>Thus, these hedging transactions play an important role to protect individuals against currency risk.</w:t>
      </w:r>
    </w:p>
    <w:p w14:paraId="02FE541B" w14:textId="77777777" w:rsidR="00A04E21" w:rsidRDefault="00A04E21" w:rsidP="00A8728B"/>
    <w:p w14:paraId="3671B6BD" w14:textId="1F102C9C" w:rsidR="00A04E21" w:rsidRDefault="00A04E21" w:rsidP="00A8728B">
      <w:r>
        <w:t>In light of the above provisions outlining the safet</w:t>
      </w:r>
      <w:r w:rsidR="00B15C21">
        <w:t xml:space="preserve">y of the UCITS framework, we would like to </w:t>
      </w:r>
      <w:r>
        <w:t>recommend an exclusion of these FX hedging transactions from the calculation of the exposure</w:t>
      </w:r>
      <w:r w:rsidR="00046440">
        <w:t xml:space="preserve"> against the clearing threshold</w:t>
      </w:r>
      <w:r>
        <w:t>, similarly to the regime benefiting to the NFCs.</w:t>
      </w:r>
    </w:p>
    <w:p w14:paraId="541FCFD4" w14:textId="4B2FC0B9" w:rsidR="00B10FE4" w:rsidRDefault="00B10FE4" w:rsidP="00A8728B"/>
    <w:p w14:paraId="46D21C4F" w14:textId="77777777" w:rsidR="004E2FF7" w:rsidRDefault="004E2FF7" w:rsidP="004E2FF7">
      <w:pPr>
        <w:pStyle w:val="CommentText"/>
      </w:pPr>
      <w:r>
        <w:t>Additionally, the clearing obligation currently does not apply to any foreign exchange derivatives, and where it was considered to implement a clearing obligation for foreign exchange derivatives, this was specifically for non-deliverable forwards, rather than the physically settled forwards widely used for hedging in the fund industry.</w:t>
      </w:r>
    </w:p>
    <w:p w14:paraId="0594DABE" w14:textId="77777777" w:rsidR="004E2FF7" w:rsidRDefault="004E2FF7" w:rsidP="004E2FF7">
      <w:pPr>
        <w:pStyle w:val="CommentText"/>
      </w:pPr>
    </w:p>
    <w:p w14:paraId="3A986EE9" w14:textId="77777777" w:rsidR="004E2FF7" w:rsidRDefault="004E2FF7" w:rsidP="004E2FF7">
      <w:pPr>
        <w:pStyle w:val="CommentText"/>
      </w:pPr>
      <w:r>
        <w:t>As such, the clearing threshold for foreign exchange derivatives causes, in its current state, funds’ hedging activities to trigger them to become subject to the CO on IRDs and credit derivatives, despite these funds often having only marginal trading activity in these classes. Due to their low trading volume in these clearable instruments, funds may face difficulties to access clearing (in line with DP Paragraph 41) and face disproportionate operational burdens in implementing clearing arrangements for the low volume of trades.</w:t>
      </w:r>
    </w:p>
    <w:p w14:paraId="04E3A9DA" w14:textId="77777777" w:rsidR="004E2FF7" w:rsidRDefault="004E2FF7" w:rsidP="004E2FF7">
      <w:pPr>
        <w:pStyle w:val="CommentText"/>
      </w:pPr>
    </w:p>
    <w:p w14:paraId="02014E41" w14:textId="00573303" w:rsidR="004E2FF7" w:rsidRDefault="004E2FF7" w:rsidP="004E2FF7">
      <w:r>
        <w:t>This results in a deterrence effect for such funds to enter into IRD transactions</w:t>
      </w:r>
      <w:r>
        <w:rPr>
          <w:rStyle w:val="FootnoteReference"/>
        </w:rPr>
        <w:footnoteReference w:id="2"/>
      </w:r>
      <w:r>
        <w:t>, while being subject to the CO has no effect on the systemic risk of foreign exchange derivatives they trade.</w:t>
      </w:r>
    </w:p>
    <w:p w14:paraId="2E8F3432" w14:textId="77777777" w:rsidR="004E2FF7" w:rsidRDefault="004E2FF7" w:rsidP="00A8728B"/>
    <w:p w14:paraId="439D1CAD" w14:textId="2F16517A" w:rsidR="00B10FE4" w:rsidRPr="00B10FE4" w:rsidRDefault="00B10FE4" w:rsidP="00B10FE4">
      <w:pPr>
        <w:rPr>
          <w:i/>
        </w:rPr>
      </w:pPr>
      <w:r>
        <w:t xml:space="preserve">Such considerations about are very much in line with Rec. 19 of </w:t>
      </w:r>
      <w:r w:rsidRPr="008E3948">
        <w:t xml:space="preserve">EMIR </w:t>
      </w:r>
      <w:r>
        <w:t xml:space="preserve">(EU) </w:t>
      </w:r>
      <w:r w:rsidRPr="008E3948">
        <w:t>648/2012</w:t>
      </w:r>
      <w:r>
        <w:t xml:space="preserve"> that underlines the specific characteristics of FX derivatives as follows: </w:t>
      </w:r>
      <w:r w:rsidRPr="00B10FE4">
        <w:rPr>
          <w:i/>
        </w:rPr>
        <w:t>In determining which classes of OTC derivative contracts are to be subject to the clearing obligation, due account should be taken of the specific nature of the relevant classes of OTC derivative contracts. The predominant risk for transactions in some classes of OTC derivative contracts may relate to settlement risk, which is addressed through separate infrastructure arrangements, and may distinguish certain classes of OTC derivative contracts (such as foreign exchange) from other classes. CCP clearing specifically addresses counterparty credit risk, and may not be the optimal solution for dealing with settlement risk.</w:t>
      </w:r>
    </w:p>
    <w:p w14:paraId="6374D1C7" w14:textId="77777777" w:rsidR="00B10FE4" w:rsidRDefault="00B10FE4" w:rsidP="00A8728B"/>
    <w:p w14:paraId="28EAAA3F" w14:textId="05B5A59E" w:rsidR="00A8728B" w:rsidRDefault="00B10FE4" w:rsidP="00A8728B">
      <w:pPr>
        <w:rPr>
          <w:color w:val="1F497D"/>
          <w:lang w:eastAsia="en-US"/>
        </w:rPr>
      </w:pPr>
      <w:r>
        <w:t>Moreover, these considerations w</w:t>
      </w:r>
      <w:r w:rsidR="00270D9F">
        <w:t xml:space="preserve">ould represent a </w:t>
      </w:r>
      <w:r w:rsidR="00241F2C">
        <w:t xml:space="preserve">simple </w:t>
      </w:r>
      <w:r w:rsidR="00270D9F">
        <w:t xml:space="preserve">carve out with regards to the principle of </w:t>
      </w:r>
      <w:r w:rsidR="00201FAF" w:rsidRPr="00270D9F">
        <w:t>interconnectedness between the different</w:t>
      </w:r>
      <w:r>
        <w:t xml:space="preserve"> asset classes stated in Rec.</w:t>
      </w:r>
      <w:r w:rsidR="00201FAF" w:rsidRPr="00270D9F">
        <w:t xml:space="preserve"> 7 of EMIR 2019/834.</w:t>
      </w:r>
    </w:p>
    <w:permEnd w:id="2039636534"/>
    <w:p w14:paraId="4D91E8FC" w14:textId="77777777" w:rsidR="00A8728B" w:rsidRDefault="00A8728B" w:rsidP="00A8728B"/>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3A6EFEE6" w14:textId="185BA93C" w:rsidR="002E1760" w:rsidRDefault="00F453E1" w:rsidP="002E1760">
      <w:permStart w:id="1876965468" w:edGrp="everyone"/>
      <w:r>
        <w:t>Under EMIR, ETDs are not to be include</w:t>
      </w:r>
      <w:r w:rsidR="00B15C21">
        <w:t xml:space="preserve">d in the calculation of the exposure </w:t>
      </w:r>
      <w:r>
        <w:t>to be compared to the clearing thresholds.</w:t>
      </w:r>
    </w:p>
    <w:permEnd w:id="1876965468"/>
    <w:p w14:paraId="364B7060" w14:textId="77777777" w:rsidR="002E1760" w:rsidRDefault="002E1760" w:rsidP="002E1760"/>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2DCB0CEC" w14:textId="63F89C5B" w:rsidR="002E1760" w:rsidRDefault="00B15C21" w:rsidP="002E1760">
      <w:permStart w:id="2122265796" w:edGrp="everyone"/>
      <w:r>
        <w:t>Firstly, w</w:t>
      </w:r>
      <w:r w:rsidR="00F453E1">
        <w:t xml:space="preserve">e took good note of the </w:t>
      </w:r>
      <w:hyperlink r:id="rId19" w:history="1">
        <w:r w:rsidR="00F453E1" w:rsidRPr="00F453E1">
          <w:rPr>
            <w:rStyle w:val="Hyperlink"/>
          </w:rPr>
          <w:t>Notice</w:t>
        </w:r>
      </w:hyperlink>
      <w:r w:rsidR="00F453E1">
        <w:t xml:space="preserve"> issued by the European Commission on 18 February 2018 </w:t>
      </w:r>
      <w:r w:rsidR="0096385F">
        <w:t xml:space="preserve">regarding the Brexit preparation in the field of post-trading, </w:t>
      </w:r>
      <w:r w:rsidR="00F453E1">
        <w:t>stating what follows:</w:t>
      </w:r>
    </w:p>
    <w:p w14:paraId="64A0091F" w14:textId="77777777" w:rsidR="00F453E1" w:rsidRDefault="00F453E1" w:rsidP="002E1760"/>
    <w:p w14:paraId="6A13979C" w14:textId="1B829D5A" w:rsidR="00F453E1" w:rsidRPr="00F453E1" w:rsidRDefault="00F453E1" w:rsidP="00F453E1">
      <w:pPr>
        <w:pStyle w:val="ListParagraph"/>
        <w:numPr>
          <w:ilvl w:val="0"/>
          <w:numId w:val="37"/>
        </w:numPr>
        <w:rPr>
          <w:i/>
        </w:rPr>
      </w:pPr>
      <w:r w:rsidRPr="00F453E1">
        <w:rPr>
          <w:i/>
        </w:rPr>
        <w:t xml:space="preserve">As of the withdrawal date, derivatives traded on a UK regulated market will no longer fulfil the definition of exchange traded derivatives (ETDs) under EU law. According to Article 2(32) of MIFIR, ETDs are derivatives traded on an EU regulated market, or </w:t>
      </w:r>
      <w:r>
        <w:rPr>
          <w:i/>
        </w:rPr>
        <w:t xml:space="preserve">on a third-country </w:t>
      </w:r>
      <w:r w:rsidR="00F54FB9">
        <w:rPr>
          <w:i/>
        </w:rPr>
        <w:t xml:space="preserve">market </w:t>
      </w:r>
      <w:proofErr w:type="gramStart"/>
      <w:r w:rsidRPr="00F453E1">
        <w:rPr>
          <w:i/>
        </w:rPr>
        <w:t>considered  to</w:t>
      </w:r>
      <w:proofErr w:type="gramEnd"/>
      <w:r w:rsidRPr="00F453E1">
        <w:rPr>
          <w:i/>
        </w:rPr>
        <w:t xml:space="preserve">  be  equivalent.  Thus, </w:t>
      </w:r>
      <w:r>
        <w:rPr>
          <w:i/>
        </w:rPr>
        <w:t xml:space="preserve">under EU </w:t>
      </w:r>
      <w:r w:rsidRPr="00F453E1">
        <w:rPr>
          <w:i/>
        </w:rPr>
        <w:t>law</w:t>
      </w:r>
      <w:r w:rsidR="00934064">
        <w:rPr>
          <w:i/>
        </w:rPr>
        <w:t xml:space="preserve">, as </w:t>
      </w:r>
      <w:r w:rsidRPr="00F453E1">
        <w:rPr>
          <w:i/>
        </w:rPr>
        <w:t xml:space="preserve">of the withdrawal date, ETDs traded on a UK regulated market will be over-the-counter (OTC) derivative contracts.  </w:t>
      </w:r>
    </w:p>
    <w:p w14:paraId="18E68B3E" w14:textId="77777777" w:rsidR="00F453E1" w:rsidRPr="00F453E1" w:rsidRDefault="00F453E1" w:rsidP="00F453E1">
      <w:pPr>
        <w:rPr>
          <w:i/>
        </w:rPr>
      </w:pPr>
    </w:p>
    <w:p w14:paraId="6A8ACA3E" w14:textId="754B33B6" w:rsidR="00F453E1" w:rsidRPr="00F453E1" w:rsidRDefault="00F453E1" w:rsidP="00F453E1">
      <w:pPr>
        <w:pStyle w:val="ListParagraph"/>
        <w:numPr>
          <w:ilvl w:val="0"/>
          <w:numId w:val="37"/>
        </w:numPr>
        <w:rPr>
          <w:i/>
        </w:rPr>
      </w:pPr>
      <w:r w:rsidRPr="00F453E1">
        <w:rPr>
          <w:i/>
        </w:rPr>
        <w:t xml:space="preserve">An  ETD  that  becomes  an  OTC  derivative  will  thus  become  subject  to  all  EMIR requirements applicable to OTC derivatives transactions: all OTC derivatives transactions count towards the calculation of the clearing threshold in accordance with </w:t>
      </w:r>
      <w:r>
        <w:rPr>
          <w:i/>
        </w:rPr>
        <w:t>the provisions of EMIR</w:t>
      </w:r>
      <w:r w:rsidRPr="00F453E1">
        <w:rPr>
          <w:i/>
        </w:rPr>
        <w:t xml:space="preserve">, and will be subject to the EMIR  clearing obligation where one </w:t>
      </w:r>
      <w:r>
        <w:rPr>
          <w:i/>
        </w:rPr>
        <w:t xml:space="preserve"> has  been  adopted</w:t>
      </w:r>
      <w:r w:rsidRPr="00F453E1">
        <w:rPr>
          <w:i/>
        </w:rPr>
        <w:t xml:space="preserve">  as  well  as  certain  risk  mitigation  techniques  (notably  the exchange of margins).</w:t>
      </w:r>
    </w:p>
    <w:p w14:paraId="697DA083" w14:textId="77777777" w:rsidR="00F453E1" w:rsidRDefault="00F453E1" w:rsidP="002E1760"/>
    <w:p w14:paraId="7D3A8826" w14:textId="20BBC33A" w:rsidR="00B15C21" w:rsidRDefault="00B15C21" w:rsidP="00201FAF">
      <w:r>
        <w:t>Secondly, considering counterparties are still buying ETDs on UK markets, the shift to the OTC status impacts the calculation of their exposure and make them crossing the clearing thresholds, and thus become eligible to the CO while they were not before Brexit.</w:t>
      </w:r>
    </w:p>
    <w:p w14:paraId="2CFF5466" w14:textId="0C74CC6D" w:rsidR="00B15C21" w:rsidRDefault="00F975DE" w:rsidP="00201FAF">
      <w:r>
        <w:t>In particular, th</w:t>
      </w:r>
      <w:r w:rsidR="00B15C21">
        <w:t>e products trade</w:t>
      </w:r>
      <w:r w:rsidR="00F54FB9">
        <w:t xml:space="preserve">d on the UK markets are </w:t>
      </w:r>
      <w:r w:rsidR="00B15C21">
        <w:t xml:space="preserve">listed options </w:t>
      </w:r>
      <w:r w:rsidR="00F54FB9">
        <w:t xml:space="preserve">(calls and puts) </w:t>
      </w:r>
      <w:r w:rsidR="00B15C21">
        <w:t xml:space="preserve">and listed futures </w:t>
      </w:r>
      <w:r w:rsidR="00F54FB9">
        <w:t xml:space="preserve">(e.g. on FTSE) </w:t>
      </w:r>
      <w:r w:rsidR="00B15C21">
        <w:t>with equity underlying. Our members observe that these products are only available</w:t>
      </w:r>
      <w:r w:rsidR="00F54FB9">
        <w:t>, and</w:t>
      </w:r>
      <w:r w:rsidR="00B15C21">
        <w:t xml:space="preserve"> </w:t>
      </w:r>
      <w:r w:rsidR="00B15C21">
        <w:lastRenderedPageBreak/>
        <w:t>at reasonable price on UK markets. For an equivalent transaction in the EEA the buyer would have to go through and OTC transaction with a broker, which makes it more expensive.</w:t>
      </w:r>
    </w:p>
    <w:p w14:paraId="619C0CED" w14:textId="77777777" w:rsidR="00201FAF" w:rsidRDefault="00201FAF" w:rsidP="002E1760"/>
    <w:p w14:paraId="2D8E6686" w14:textId="77777777" w:rsidR="00B15C21" w:rsidRDefault="00B15C21" w:rsidP="00B15C21">
      <w:r>
        <w:t xml:space="preserve">Thirdly, when revisiting the clearing thresholds, EMIR Refit 2019/834 only </w:t>
      </w:r>
      <w:proofErr w:type="gramStart"/>
      <w:r>
        <w:t>took into account</w:t>
      </w:r>
      <w:proofErr w:type="gramEnd"/>
      <w:r>
        <w:t xml:space="preserve"> the usual level of business without including any impact of Brexit.</w:t>
      </w:r>
    </w:p>
    <w:p w14:paraId="1383A253" w14:textId="77777777" w:rsidR="00F453E1" w:rsidRDefault="00F453E1" w:rsidP="002E1760"/>
    <w:p w14:paraId="3C69BCFA" w14:textId="3EC519DE" w:rsidR="00934064" w:rsidRDefault="00B15C21" w:rsidP="002E1760">
      <w:r>
        <w:t>Fourthly, in line of the above, and in order to alleviate these counterparties to fall unexpectedly under the CO, we would like to recommend a t</w:t>
      </w:r>
      <w:r w:rsidR="00F453E1">
        <w:t>emporary grandfathering to exclude the ETDs traded in the UK</w:t>
      </w:r>
      <w:r w:rsidR="00934064">
        <w:t xml:space="preserve"> from the calculation of the </w:t>
      </w:r>
      <w:r w:rsidR="00F975DE">
        <w:t>exposure</w:t>
      </w:r>
      <w:r w:rsidR="00934064">
        <w:t xml:space="preserve"> to be compared to the clearing threshold.</w:t>
      </w:r>
    </w:p>
    <w:p w14:paraId="3535270E" w14:textId="77777777" w:rsidR="00934064" w:rsidRDefault="00934064" w:rsidP="002E1760"/>
    <w:p w14:paraId="375FA336" w14:textId="5EB91F71" w:rsidR="00F453E1" w:rsidRDefault="00934064" w:rsidP="002E1760">
      <w:r>
        <w:t>Moreover, considering these contracts are entered into through a market regulated under UK law, they are already subject to risk mitigation techniques, including clearing and margining.</w:t>
      </w:r>
    </w:p>
    <w:p w14:paraId="00A75B8A" w14:textId="77777777" w:rsidR="00625082" w:rsidRDefault="00625082" w:rsidP="002E1760"/>
    <w:p w14:paraId="61BB7500" w14:textId="54097A81" w:rsidR="002E1760" w:rsidRDefault="00B15C21" w:rsidP="002E1760">
      <w:r>
        <w:t>This grandfathering would last until similar ETDs are proposed by markets located in the EEA.</w:t>
      </w:r>
      <w:r w:rsidR="00F54FB9">
        <w:t xml:space="preserve"> This period would have to be defined by the European Commission, in accordance with its agenda on the topic, including the Capital Markets Union.</w:t>
      </w:r>
      <w:r w:rsidR="00625082">
        <w:t xml:space="preserve"> We suggest to apply this measure to the entire list of UK listed derivatives, that</w:t>
      </w:r>
      <w:r w:rsidR="00AD079D">
        <w:t xml:space="preserve"> should</w:t>
      </w:r>
      <w:r w:rsidR="00625082">
        <w:t xml:space="preserve"> be a </w:t>
      </w:r>
      <w:r w:rsidR="00AD079D">
        <w:t xml:space="preserve">simple and </w:t>
      </w:r>
      <w:r w:rsidR="00625082">
        <w:t>manageable solution.</w:t>
      </w:r>
    </w:p>
    <w:permEnd w:id="2122265796"/>
    <w:p w14:paraId="6F8474D6" w14:textId="77777777" w:rsidR="002E1760" w:rsidRDefault="002E1760" w:rsidP="002E1760"/>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4CEBEC86" w14:textId="77777777" w:rsidR="00547C17" w:rsidRDefault="00011DB4" w:rsidP="00227C1A">
      <w:permStart w:id="6888419" w:edGrp="everyone"/>
      <w:r>
        <w:t xml:space="preserve">Typically, investment funds are net buyers of </w:t>
      </w:r>
      <w:r w:rsidR="00DE5C5D">
        <w:t xml:space="preserve">financial instruments in order to </w:t>
      </w:r>
      <w:r w:rsidR="00547C17">
        <w:t>support</w:t>
      </w:r>
      <w:r w:rsidR="00DE5C5D">
        <w:t xml:space="preserve"> their agreed investment policy</w:t>
      </w:r>
      <w:r w:rsidR="00547C17">
        <w:t>, for instance for hedging purposes</w:t>
      </w:r>
      <w:r w:rsidR="00DE5C5D">
        <w:t>.</w:t>
      </w:r>
    </w:p>
    <w:p w14:paraId="4B1AB37F" w14:textId="404D57D3" w:rsidR="00547C17" w:rsidRDefault="00547C17" w:rsidP="00227C1A">
      <w:r>
        <w:t>An isolated selling position would represent leverage and not qualify as hedging. Nevertheless, such position would need to be in line with the fund’s investment policy.</w:t>
      </w:r>
    </w:p>
    <w:p w14:paraId="03285743" w14:textId="77777777" w:rsidR="00DE5C5D" w:rsidRPr="00F975DE" w:rsidRDefault="00DE5C5D" w:rsidP="00227C1A"/>
    <w:permEnd w:id="6888419"/>
    <w:p w14:paraId="7D00B161" w14:textId="77777777" w:rsidR="00227C1A" w:rsidRDefault="00227C1A" w:rsidP="00227C1A"/>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448280D5" w14:textId="4A7F5EDE" w:rsidR="0062022D" w:rsidRDefault="008B2191" w:rsidP="0062022D">
      <w:permStart w:id="548757607" w:edGrp="everyone"/>
      <w:r>
        <w:t>Eligibility to the CO imposes to enter into clearing arrangements with a CCP. Currently UK based CCP</w:t>
      </w:r>
      <w:r w:rsidR="0096385F">
        <w:t>s</w:t>
      </w:r>
      <w:r>
        <w:t xml:space="preserve"> still provide a very competitive offer. </w:t>
      </w:r>
      <w:r w:rsidR="007D7159">
        <w:t>The actual application of FRANDT</w:t>
      </w:r>
      <w:r>
        <w:t xml:space="preserve"> principles are awaited. Meanwhile an extension of the current equivalence to access UK CCP</w:t>
      </w:r>
      <w:r w:rsidR="0096385F">
        <w:t>s</w:t>
      </w:r>
      <w:r>
        <w:t xml:space="preserve"> would be welcome, as it is ending on 30 June 2022.</w:t>
      </w:r>
    </w:p>
    <w:permEnd w:id="548757607"/>
    <w:p w14:paraId="43453EBD" w14:textId="77777777" w:rsidR="0062022D" w:rsidRDefault="0062022D" w:rsidP="0062022D"/>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Pr="006C2D5A">
        <w:rPr>
          <w:lang w:val="es-ES"/>
        </w:rPr>
        <w:t>7&gt;</w:t>
      </w:r>
    </w:p>
    <w:p w14:paraId="5C5FCD87" w14:textId="6E829C3C" w:rsidR="00A263DF" w:rsidRDefault="008B2191" w:rsidP="00A263DF">
      <w:permStart w:id="1600484054" w:edGrp="everyone"/>
      <w:r>
        <w:t>No.</w:t>
      </w:r>
    </w:p>
    <w:permEnd w:id="1600484054"/>
    <w:p w14:paraId="625C948D" w14:textId="77777777" w:rsidR="00A263DF" w:rsidRDefault="00A263DF" w:rsidP="00A263DF"/>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34492A3D" w14:textId="34B4BF2C" w:rsidR="00A263DF" w:rsidRDefault="008B2191" w:rsidP="00A263DF">
      <w:permStart w:id="1768257119" w:edGrp="everyone"/>
      <w:r>
        <w:t>In line with DP’s Footnote 27, lots of funds choose not to calculate the exposure, which means that they have to be considered as FC+. However, these funds will only be subject to CO if trading with IRD or Credit derivatives.</w:t>
      </w:r>
    </w:p>
    <w:p w14:paraId="44F70ADE" w14:textId="77777777" w:rsidR="00A263DF" w:rsidRDefault="00A263DF" w:rsidP="00A263DF"/>
    <w:p w14:paraId="6DFB4004" w14:textId="74DD98C3" w:rsidR="003F0031" w:rsidRDefault="00F54FB9" w:rsidP="00A263DF">
      <w:r>
        <w:t>In line with the response to Q2, t</w:t>
      </w:r>
      <w:r w:rsidR="008B2191">
        <w:t xml:space="preserve">he application of the principle of interconnectedness between the different asset classes makes that when a fund crosses the FX threshold, it will have to clear </w:t>
      </w:r>
      <w:r w:rsidR="003F0031">
        <w:t>the few IRS it has in its portfolio even if it does not represent a material exposure.</w:t>
      </w:r>
    </w:p>
    <w:p w14:paraId="0A40EB94" w14:textId="77777777" w:rsidR="003F0031" w:rsidRDefault="003F0031" w:rsidP="00A263DF"/>
    <w:p w14:paraId="7F161032" w14:textId="743A6DF8" w:rsidR="00A263DF" w:rsidRDefault="003F0031" w:rsidP="00A263DF">
      <w:r>
        <w:t>This scheme has a deterrence effect on middle-size</w:t>
      </w:r>
      <w:r w:rsidR="00F54FB9">
        <w:t>d</w:t>
      </w:r>
      <w:r>
        <w:t xml:space="preserve"> funds to enter into IRD transactions.</w:t>
      </w:r>
    </w:p>
    <w:p w14:paraId="0C78465A" w14:textId="77777777" w:rsidR="00A263DF" w:rsidRDefault="00A263DF" w:rsidP="00A263DF"/>
    <w:p w14:paraId="7D2FABA8" w14:textId="13675427" w:rsidR="00A263DF" w:rsidRDefault="003F0031" w:rsidP="00A263DF">
      <w:r>
        <w:t xml:space="preserve">Proportionality could be introduced with </w:t>
      </w:r>
      <w:r w:rsidR="0096385F">
        <w:t>an entry floor (e.g. EUR 500 Mn</w:t>
      </w:r>
      <w:r w:rsidR="00F54FB9">
        <w:t xml:space="preserve"> of notional</w:t>
      </w:r>
      <w:r>
        <w:t>) on the IRD class</w:t>
      </w:r>
      <w:r w:rsidR="00F54FB9">
        <w:t>,</w:t>
      </w:r>
      <w:r>
        <w:t xml:space="preserve"> under which clearing would not be mandatory.</w:t>
      </w:r>
    </w:p>
    <w:permEnd w:id="1768257119"/>
    <w:p w14:paraId="28D93861" w14:textId="77777777" w:rsidR="00A263DF" w:rsidRDefault="00A263DF" w:rsidP="00A263DF"/>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7A61DD63" w14:textId="7E14060D" w:rsidR="002E1760" w:rsidRDefault="003F0031" w:rsidP="002E1760">
      <w:permStart w:id="1767771289" w:edGrp="everyone"/>
      <w:r>
        <w:t>No</w:t>
      </w:r>
    </w:p>
    <w:permEnd w:id="1767771289"/>
    <w:p w14:paraId="17770B17" w14:textId="77777777" w:rsidR="002E1760" w:rsidRDefault="002E1760" w:rsidP="002E1760"/>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0884AED3" w14:textId="59FF87AF" w:rsidR="008418E3" w:rsidRDefault="004D27C6" w:rsidP="008418E3">
      <w:permStart w:id="349206319" w:edGrp="everyone"/>
      <w:r>
        <w:t xml:space="preserve">As an alternative solution </w:t>
      </w:r>
      <w:r w:rsidR="00AC4F23">
        <w:t>to our response to Q4</w:t>
      </w:r>
      <w:r>
        <w:t xml:space="preserve"> in case the proposed grandfathering cannot be implemented quickly enough</w:t>
      </w:r>
      <w:r w:rsidR="00AC4F23">
        <w:t>, a</w:t>
      </w:r>
      <w:r w:rsidR="003F0031">
        <w:t xml:space="preserve">n increase of the equity threshold </w:t>
      </w:r>
      <w:r w:rsidR="0096385F">
        <w:t xml:space="preserve">by EU 1 Bn </w:t>
      </w:r>
      <w:r w:rsidR="003F0031">
        <w:t xml:space="preserve">would help solving the </w:t>
      </w:r>
      <w:r w:rsidR="00AC4F23">
        <w:t xml:space="preserve">specific </w:t>
      </w:r>
      <w:r w:rsidR="003F0031">
        <w:t>issue caused by the shift of the UK ETDs to OTC.</w:t>
      </w:r>
      <w:r w:rsidR="00AC4F23">
        <w:t xml:space="preserve"> We recall that the definition of the clearing thresholds was not </w:t>
      </w:r>
      <w:proofErr w:type="gramStart"/>
      <w:r w:rsidR="00AC4F23">
        <w:t>taking into account</w:t>
      </w:r>
      <w:proofErr w:type="gramEnd"/>
      <w:r w:rsidR="00AC4F23">
        <w:t xml:space="preserve"> the Brexit unsolved impacts.</w:t>
      </w:r>
    </w:p>
    <w:permEnd w:id="349206319"/>
    <w:p w14:paraId="653385F4" w14:textId="77777777" w:rsidR="008418E3" w:rsidRDefault="008418E3" w:rsidP="008418E3"/>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748E8A7E" w14:textId="2C08C937" w:rsidR="00F469F8" w:rsidRDefault="005E2C8F" w:rsidP="00F469F8">
      <w:permStart w:id="408818572" w:edGrp="everyone"/>
      <w:r>
        <w:t xml:space="preserve">In line with </w:t>
      </w:r>
      <w:r w:rsidR="00AC4F23">
        <w:t>the response to Q2, we</w:t>
      </w:r>
      <w:r>
        <w:t xml:space="preserve"> support </w:t>
      </w:r>
      <w:r w:rsidR="00F975DE">
        <w:rPr>
          <w:rFonts w:cs="Arial"/>
          <w:szCs w:val="20"/>
        </w:rPr>
        <w:t>an exclusion of p</w:t>
      </w:r>
      <w:r>
        <w:rPr>
          <w:rFonts w:cs="Arial"/>
          <w:szCs w:val="20"/>
        </w:rPr>
        <w:t xml:space="preserve">hysically settled FX transactions from the calculation of the </w:t>
      </w:r>
      <w:r w:rsidR="00F975DE">
        <w:rPr>
          <w:rFonts w:cs="Arial"/>
          <w:szCs w:val="20"/>
        </w:rPr>
        <w:t>exposure</w:t>
      </w:r>
      <w:r>
        <w:rPr>
          <w:rFonts w:cs="Arial"/>
          <w:szCs w:val="20"/>
        </w:rPr>
        <w:t>, in particular for the entities that u</w:t>
      </w:r>
      <w:r w:rsidR="00AC4F23">
        <w:rPr>
          <w:rFonts w:cs="Arial"/>
          <w:szCs w:val="20"/>
        </w:rPr>
        <w:t xml:space="preserve">se these transactions for pure </w:t>
      </w:r>
      <w:r>
        <w:rPr>
          <w:rFonts w:cs="Arial"/>
          <w:szCs w:val="20"/>
        </w:rPr>
        <w:t>hedging purposes (e.g. UCITS), and considering the exemption of VM exchange on these products.</w:t>
      </w:r>
    </w:p>
    <w:permEnd w:id="408818572"/>
    <w:p w14:paraId="1B63F957" w14:textId="77777777" w:rsidR="00F469F8" w:rsidRDefault="00F469F8" w:rsidP="00F469F8"/>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2648912" w14:textId="34A85BE5" w:rsidR="00F469F8" w:rsidRDefault="005E2C8F" w:rsidP="00F469F8">
      <w:permStart w:id="276172944" w:edGrp="everyone"/>
      <w:r>
        <w:t xml:space="preserve">In light of the above explanations regarding the UCITS funds activities, we think the thresholds would deserve to be calibrated under a specific manner </w:t>
      </w:r>
      <w:r w:rsidR="00AC4F23">
        <w:t>for this type of counterparties that prov</w:t>
      </w:r>
      <w:r w:rsidR="0096385F">
        <w:t>ide great service to the economy</w:t>
      </w:r>
      <w:r w:rsidR="00D1635F">
        <w:t xml:space="preserve"> in a safely manner</w:t>
      </w:r>
      <w:r w:rsidR="00AC4F23">
        <w:t>.</w:t>
      </w:r>
    </w:p>
    <w:p w14:paraId="06EFAAEF" w14:textId="59DDECF8" w:rsidR="00D1635F" w:rsidRDefault="00D1635F" w:rsidP="00F469F8"/>
    <w:p w14:paraId="635BA803" w14:textId="3A079FB4" w:rsidR="00D1635F" w:rsidRDefault="00AD079D" w:rsidP="00D1635F">
      <w:r>
        <w:t xml:space="preserve">Indeed, UCITS </w:t>
      </w:r>
      <w:proofErr w:type="spellStart"/>
      <w:r>
        <w:t>funds</w:t>
      </w:r>
      <w:proofErr w:type="spellEnd"/>
      <w:r>
        <w:t xml:space="preserve"> investments are regulated by </w:t>
      </w:r>
      <w:r w:rsidR="00D1635F">
        <w:t xml:space="preserve">Art. 50 of the UCITS Directive </w:t>
      </w:r>
      <w:r>
        <w:t xml:space="preserve">that </w:t>
      </w:r>
      <w:r w:rsidR="00D1635F">
        <w:t>provides strict investment restrictions in liquid financial instruments. Art. 1(2)a of the Directive emphasises the role of these investment restrictions as the shares of a UCITS fund can be subscribed by the public (i.e. including natural persons)</w:t>
      </w:r>
      <w:r>
        <w:t>, and can be redeemed any time.</w:t>
      </w:r>
    </w:p>
    <w:p w14:paraId="2FB39EB7" w14:textId="77777777" w:rsidR="00D1635F" w:rsidRDefault="00D1635F" w:rsidP="00D1635F"/>
    <w:p w14:paraId="511479C2" w14:textId="16D29C60" w:rsidR="00D1635F" w:rsidRDefault="00D1635F" w:rsidP="00F469F8">
      <w:r>
        <w:t>UCITS fund also proceed to hedging operations</w:t>
      </w:r>
      <w:r w:rsidR="00AD079D">
        <w:t xml:space="preserve"> via the buying of OTC derivatives to banking brokers. These transactions </w:t>
      </w:r>
      <w:r w:rsidR="00AD079D">
        <w:t>play an important role to protect individuals against currency risk</w:t>
      </w:r>
      <w:r w:rsidR="00AD079D">
        <w:t>, and interest rates risk.</w:t>
      </w:r>
    </w:p>
    <w:permEnd w:id="276172944"/>
    <w:p w14:paraId="75EB6BE6" w14:textId="77777777" w:rsidR="00F469F8" w:rsidRDefault="00F469F8" w:rsidP="00F469F8"/>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50CE5044" w14:textId="0C877A08" w:rsidR="00646C30" w:rsidRDefault="005E2C8F" w:rsidP="00646C30">
      <w:permStart w:id="507131457" w:edGrp="everyone"/>
      <w:r>
        <w:t>We noticed that an increase of EUR 1 Bn of each of the thresholds would keep the vast majority of the counterp</w:t>
      </w:r>
      <w:r w:rsidR="00AC4F23">
        <w:t xml:space="preserve">arties under the CO. </w:t>
      </w:r>
      <w:r w:rsidR="0028391B">
        <w:t>Hence</w:t>
      </w:r>
      <w:r w:rsidR="00AC4F23">
        <w:t>, we support such scenario for the equity asset class, in line with our response to Q10</w:t>
      </w:r>
      <w:r w:rsidR="00AD079D">
        <w:t>, and as an alternative solution to our response to Q4 recommending a grandfathering.</w:t>
      </w:r>
    </w:p>
    <w:permEnd w:id="507131457"/>
    <w:p w14:paraId="15EA1F45" w14:textId="77777777" w:rsidR="00646C30" w:rsidRDefault="00646C30" w:rsidP="00646C30"/>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bookmarkStart w:id="3" w:name="_GoBack"/>
      <w:bookmarkEnd w:id="3"/>
    </w:p>
    <w:sectPr w:rsidR="00646C30" w:rsidRPr="004648D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FD38F" w14:textId="77777777" w:rsidR="00392260" w:rsidRDefault="00392260">
      <w:r>
        <w:separator/>
      </w:r>
    </w:p>
    <w:p w14:paraId="5573CCC5" w14:textId="77777777" w:rsidR="00392260" w:rsidRDefault="00392260"/>
  </w:endnote>
  <w:endnote w:type="continuationSeparator" w:id="0">
    <w:p w14:paraId="0EFC611E" w14:textId="77777777" w:rsidR="00392260" w:rsidRDefault="00392260">
      <w:r>
        <w:continuationSeparator/>
      </w:r>
    </w:p>
    <w:p w14:paraId="0326797E" w14:textId="77777777" w:rsidR="00392260" w:rsidRDefault="00392260"/>
  </w:endnote>
  <w:endnote w:type="continuationNotice" w:id="1">
    <w:p w14:paraId="4EFDB67D" w14:textId="77777777" w:rsidR="00392260" w:rsidRDefault="00392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156CD92" w14:textId="77777777" w:rsidTr="00315E96">
      <w:trPr>
        <w:trHeight w:val="284"/>
      </w:trPr>
      <w:tc>
        <w:tcPr>
          <w:tcW w:w="8460" w:type="dxa"/>
        </w:tcPr>
        <w:p w14:paraId="7EF54571" w14:textId="77777777" w:rsidR="00F107EF" w:rsidRPr="00315E96" w:rsidRDefault="00F107EF" w:rsidP="00315E96">
          <w:pPr>
            <w:pStyle w:val="00Footer"/>
            <w:rPr>
              <w:lang w:val="fr-FR"/>
            </w:rPr>
          </w:pPr>
        </w:p>
      </w:tc>
      <w:tc>
        <w:tcPr>
          <w:tcW w:w="952" w:type="dxa"/>
        </w:tcPr>
        <w:p w14:paraId="2275EECC"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6385F">
            <w:rPr>
              <w:rFonts w:cs="Arial"/>
              <w:noProof/>
              <w:sz w:val="22"/>
              <w:szCs w:val="22"/>
            </w:rPr>
            <w:t>3</w:t>
          </w:r>
          <w:r w:rsidRPr="00616B9B">
            <w:rPr>
              <w:rFonts w:cs="Arial"/>
              <w:noProof/>
              <w:sz w:val="22"/>
              <w:szCs w:val="22"/>
            </w:rPr>
            <w:fldChar w:fldCharType="end"/>
          </w:r>
        </w:p>
      </w:tc>
    </w:tr>
  </w:tbl>
  <w:p w14:paraId="1A191C21"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807E"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C49E"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6AF5F" w14:textId="77777777" w:rsidR="00392260" w:rsidRDefault="00392260">
      <w:r>
        <w:separator/>
      </w:r>
    </w:p>
    <w:p w14:paraId="0DD2D7E2" w14:textId="77777777" w:rsidR="00392260" w:rsidRDefault="00392260"/>
  </w:footnote>
  <w:footnote w:type="continuationSeparator" w:id="0">
    <w:p w14:paraId="5437D4A4" w14:textId="77777777" w:rsidR="00392260" w:rsidRDefault="00392260">
      <w:r>
        <w:continuationSeparator/>
      </w:r>
    </w:p>
    <w:p w14:paraId="7CE5686C" w14:textId="77777777" w:rsidR="00392260" w:rsidRDefault="00392260"/>
  </w:footnote>
  <w:footnote w:type="continuationNotice" w:id="1">
    <w:p w14:paraId="4F89F628" w14:textId="77777777" w:rsidR="00392260" w:rsidRDefault="00392260"/>
  </w:footnote>
  <w:footnote w:id="2">
    <w:p w14:paraId="2C4CAE04" w14:textId="2D6439C9" w:rsidR="004E2FF7" w:rsidRDefault="004E2FF7">
      <w:pPr>
        <w:pStyle w:val="FootnoteText"/>
      </w:pPr>
      <w:r>
        <w:rPr>
          <w:rStyle w:val="FootnoteReference"/>
        </w:rPr>
        <w:footnoteRef/>
      </w:r>
      <w:r>
        <w:t xml:space="preserve"> As rightly reflected in the Footnote 27 of the DP: ‘</w:t>
      </w:r>
      <w:r>
        <w:t>It should be mentioned that in Luxembourg a lot of entities are funds which trade only in currency and ETDs. In addition, lots of funds choose not to calculate the exposure, which means that they have to be considered FC+. However, these funds will only subject to clearing if trading with IRDs and credit derivatives.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BAFB" w14:textId="77777777" w:rsidR="00F107EF" w:rsidRDefault="00F107EF">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4631"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6225"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124FAE55" w14:textId="77777777" w:rsidTr="000C06C9">
      <w:trPr>
        <w:trHeight w:val="284"/>
      </w:trPr>
      <w:tc>
        <w:tcPr>
          <w:tcW w:w="8460" w:type="dxa"/>
        </w:tcPr>
        <w:p w14:paraId="3F7B8663" w14:textId="77777777" w:rsidR="00F107EF" w:rsidRPr="000C3B6D" w:rsidRDefault="00F107EF" w:rsidP="000C06C9">
          <w:pPr>
            <w:pStyle w:val="00Footer"/>
            <w:rPr>
              <w:lang w:val="fr-FR"/>
            </w:rPr>
          </w:pPr>
        </w:p>
      </w:tc>
      <w:tc>
        <w:tcPr>
          <w:tcW w:w="952" w:type="dxa"/>
        </w:tcPr>
        <w:p w14:paraId="00DF51BF" w14:textId="77777777" w:rsidR="00F107EF" w:rsidRPr="00146B34" w:rsidRDefault="00F107EF" w:rsidP="000C06C9">
          <w:pPr>
            <w:pStyle w:val="00aPagenumber"/>
            <w:rPr>
              <w:lang w:val="fr-FR"/>
            </w:rPr>
          </w:pPr>
        </w:p>
      </w:tc>
    </w:tr>
  </w:tbl>
  <w:p w14:paraId="15DFB139" w14:textId="77777777" w:rsidR="00F107EF" w:rsidRPr="00DB46C3" w:rsidRDefault="00F107EF">
    <w:pPr>
      <w:rPr>
        <w:lang w:val="fr-FR"/>
      </w:rPr>
    </w:pPr>
  </w:p>
  <w:p w14:paraId="419E9B7B" w14:textId="77777777" w:rsidR="00F107EF" w:rsidRPr="002F4496" w:rsidRDefault="00F107EF">
    <w:pPr>
      <w:pStyle w:val="Header"/>
      <w:rPr>
        <w:lang w:val="fr-FR"/>
      </w:rPr>
    </w:pPr>
  </w:p>
  <w:p w14:paraId="7CBF8F9D" w14:textId="77777777" w:rsidR="00F107EF" w:rsidRPr="002F4496" w:rsidRDefault="00F107EF" w:rsidP="000C06C9">
    <w:pPr>
      <w:pStyle w:val="Header"/>
      <w:tabs>
        <w:tab w:val="clear" w:pos="4536"/>
        <w:tab w:val="clear" w:pos="9072"/>
        <w:tab w:val="left" w:pos="8227"/>
      </w:tabs>
      <w:rPr>
        <w:lang w:val="fr-FR"/>
      </w:rPr>
    </w:pPr>
  </w:p>
  <w:p w14:paraId="5BF57EF5" w14:textId="77777777" w:rsidR="00F107EF" w:rsidRPr="002F4496" w:rsidRDefault="00F107EF" w:rsidP="00583885">
    <w:pPr>
      <w:pStyle w:val="Header"/>
      <w:jc w:val="right"/>
      <w:rPr>
        <w:lang w:val="fr-FR"/>
      </w:rPr>
    </w:pPr>
  </w:p>
  <w:p w14:paraId="74145FD5" w14:textId="77777777" w:rsidR="00F107EF" w:rsidRPr="002F4496" w:rsidRDefault="00F107EF">
    <w:pPr>
      <w:pStyle w:val="Header"/>
      <w:rPr>
        <w:lang w:val="fr-FR"/>
      </w:rPr>
    </w:pPr>
  </w:p>
  <w:p w14:paraId="4CAD5E9F" w14:textId="77777777" w:rsidR="00F107EF" w:rsidRPr="002F4496" w:rsidRDefault="00F107EF">
    <w:pPr>
      <w:pStyle w:val="Header"/>
      <w:rPr>
        <w:lang w:val="fr-FR"/>
      </w:rPr>
    </w:pPr>
  </w:p>
  <w:p w14:paraId="3213D780" w14:textId="77777777" w:rsidR="00F107EF" w:rsidRPr="002F4496" w:rsidRDefault="00F107EF">
    <w:pPr>
      <w:pStyle w:val="Header"/>
      <w:rPr>
        <w:lang w:val="fr-FR"/>
      </w:rPr>
    </w:pPr>
  </w:p>
  <w:p w14:paraId="3E3F05E5" w14:textId="77777777" w:rsidR="00F107EF" w:rsidRPr="002F4496" w:rsidRDefault="00F107EF">
    <w:pPr>
      <w:pStyle w:val="Header"/>
      <w:rPr>
        <w:highlight w:val="yellow"/>
        <w:lang w:val="fr-FR"/>
      </w:rPr>
    </w:pPr>
  </w:p>
  <w:p w14:paraId="12D1E51B"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15F0E"/>
    <w:multiLevelType w:val="hybridMultilevel"/>
    <w:tmpl w:val="37F07A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21686B"/>
    <w:multiLevelType w:val="hybridMultilevel"/>
    <w:tmpl w:val="CA663C6E"/>
    <w:lvl w:ilvl="0" w:tplc="C388CE88">
      <w:start w:val="3"/>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A47261"/>
    <w:multiLevelType w:val="hybridMultilevel"/>
    <w:tmpl w:val="0760421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297CAB"/>
    <w:multiLevelType w:val="hybridMultilevel"/>
    <w:tmpl w:val="7DC806A2"/>
    <w:lvl w:ilvl="0" w:tplc="2AC07A9E">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372D0"/>
    <w:multiLevelType w:val="hybridMultilevel"/>
    <w:tmpl w:val="215668EE"/>
    <w:lvl w:ilvl="0" w:tplc="71487B00">
      <w:start w:val="2"/>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11"/>
  </w:num>
  <w:num w:numId="24">
    <w:abstractNumId w:val="32"/>
  </w:num>
  <w:num w:numId="25">
    <w:abstractNumId w:val="31"/>
  </w:num>
  <w:num w:numId="26">
    <w:abstractNumId w:val="22"/>
  </w:num>
  <w:num w:numId="27">
    <w:abstractNumId w:val="35"/>
  </w:num>
  <w:num w:numId="28">
    <w:abstractNumId w:val="41"/>
  </w:num>
  <w:num w:numId="29">
    <w:abstractNumId w:val="7"/>
  </w:num>
  <w:num w:numId="30">
    <w:abstractNumId w:val="3"/>
  </w:num>
  <w:num w:numId="31">
    <w:abstractNumId w:val="24"/>
  </w:num>
  <w:num w:numId="32">
    <w:abstractNumId w:val="23"/>
  </w:num>
  <w:num w:numId="33">
    <w:abstractNumId w:val="37"/>
  </w:num>
  <w:num w:numId="34">
    <w:abstractNumId w:val="36"/>
  </w:num>
  <w:num w:numId="35">
    <w:abstractNumId w:val="5"/>
  </w:num>
  <w:num w:numId="36">
    <w:abstractNumId w:val="38"/>
  </w:num>
  <w:num w:numId="37">
    <w:abstractNumId w:val="2"/>
  </w:num>
  <w:num w:numId="38">
    <w:abstractNumId w:val="13"/>
  </w:num>
  <w:num w:numId="39">
    <w:abstractNumId w:val="14"/>
  </w:num>
  <w:num w:numId="40">
    <w:abstractNumId w:val="10"/>
  </w:num>
  <w:num w:numId="4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DB4"/>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440"/>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149"/>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2475"/>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1B5C"/>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05B"/>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6F21"/>
    <w:rsid w:val="002005A6"/>
    <w:rsid w:val="00201FAF"/>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0B4B"/>
    <w:rsid w:val="00232F90"/>
    <w:rsid w:val="00233B08"/>
    <w:rsid w:val="00233C3B"/>
    <w:rsid w:val="0023499C"/>
    <w:rsid w:val="00235CE3"/>
    <w:rsid w:val="0023636A"/>
    <w:rsid w:val="00236F34"/>
    <w:rsid w:val="002372F7"/>
    <w:rsid w:val="00240651"/>
    <w:rsid w:val="00240803"/>
    <w:rsid w:val="00241F2C"/>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D9F"/>
    <w:rsid w:val="00270E54"/>
    <w:rsid w:val="00273633"/>
    <w:rsid w:val="00273681"/>
    <w:rsid w:val="0027388E"/>
    <w:rsid w:val="002754B5"/>
    <w:rsid w:val="002764C5"/>
    <w:rsid w:val="00276A5A"/>
    <w:rsid w:val="002772AE"/>
    <w:rsid w:val="00280613"/>
    <w:rsid w:val="002819C4"/>
    <w:rsid w:val="0028274D"/>
    <w:rsid w:val="00282B96"/>
    <w:rsid w:val="002833D6"/>
    <w:rsid w:val="0028391B"/>
    <w:rsid w:val="00283F51"/>
    <w:rsid w:val="00284164"/>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E0B"/>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260"/>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031"/>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DA"/>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7C6"/>
    <w:rsid w:val="004D2D3A"/>
    <w:rsid w:val="004D374D"/>
    <w:rsid w:val="004D3DEC"/>
    <w:rsid w:val="004D42C8"/>
    <w:rsid w:val="004D4F57"/>
    <w:rsid w:val="004D50F6"/>
    <w:rsid w:val="004D5A0D"/>
    <w:rsid w:val="004D7910"/>
    <w:rsid w:val="004D7DEA"/>
    <w:rsid w:val="004E0A28"/>
    <w:rsid w:val="004E1A0F"/>
    <w:rsid w:val="004E2E89"/>
    <w:rsid w:val="004E2FF7"/>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C1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80"/>
    <w:rsid w:val="005765C0"/>
    <w:rsid w:val="005778DE"/>
    <w:rsid w:val="00580B3F"/>
    <w:rsid w:val="00581067"/>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2C8F"/>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082"/>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081"/>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7630"/>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787"/>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391"/>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7152"/>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159"/>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90C"/>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648"/>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36"/>
    <w:rsid w:val="0088759B"/>
    <w:rsid w:val="008909B4"/>
    <w:rsid w:val="008922E8"/>
    <w:rsid w:val="00893916"/>
    <w:rsid w:val="0089442C"/>
    <w:rsid w:val="00895818"/>
    <w:rsid w:val="008A2585"/>
    <w:rsid w:val="008A2718"/>
    <w:rsid w:val="008A4CF6"/>
    <w:rsid w:val="008A4E42"/>
    <w:rsid w:val="008A51AA"/>
    <w:rsid w:val="008A628A"/>
    <w:rsid w:val="008A6A12"/>
    <w:rsid w:val="008B0DC6"/>
    <w:rsid w:val="008B2191"/>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4064"/>
    <w:rsid w:val="009360F6"/>
    <w:rsid w:val="009371DC"/>
    <w:rsid w:val="0093759D"/>
    <w:rsid w:val="00940239"/>
    <w:rsid w:val="00942BD6"/>
    <w:rsid w:val="00942DED"/>
    <w:rsid w:val="009440B2"/>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85F"/>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880"/>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4E21"/>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5E3"/>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0C76"/>
    <w:rsid w:val="00AC3934"/>
    <w:rsid w:val="00AC4F23"/>
    <w:rsid w:val="00AC50C8"/>
    <w:rsid w:val="00AC5581"/>
    <w:rsid w:val="00AC56AD"/>
    <w:rsid w:val="00AC61BE"/>
    <w:rsid w:val="00AD079D"/>
    <w:rsid w:val="00AD0C8A"/>
    <w:rsid w:val="00AD0CB4"/>
    <w:rsid w:val="00AD1FF2"/>
    <w:rsid w:val="00AD2A21"/>
    <w:rsid w:val="00AD3B43"/>
    <w:rsid w:val="00AD4FF2"/>
    <w:rsid w:val="00AD506C"/>
    <w:rsid w:val="00AD6567"/>
    <w:rsid w:val="00AD6BE5"/>
    <w:rsid w:val="00AD783E"/>
    <w:rsid w:val="00AE0856"/>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0FE4"/>
    <w:rsid w:val="00B12128"/>
    <w:rsid w:val="00B12945"/>
    <w:rsid w:val="00B12C1E"/>
    <w:rsid w:val="00B1467D"/>
    <w:rsid w:val="00B155DF"/>
    <w:rsid w:val="00B156CF"/>
    <w:rsid w:val="00B1570E"/>
    <w:rsid w:val="00B15C21"/>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6864"/>
    <w:rsid w:val="00CA715B"/>
    <w:rsid w:val="00CA7988"/>
    <w:rsid w:val="00CA7BA2"/>
    <w:rsid w:val="00CB0B78"/>
    <w:rsid w:val="00CB12A5"/>
    <w:rsid w:val="00CB17FA"/>
    <w:rsid w:val="00CB23D8"/>
    <w:rsid w:val="00CB2ED9"/>
    <w:rsid w:val="00CB36A5"/>
    <w:rsid w:val="00CB56B4"/>
    <w:rsid w:val="00CB708D"/>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FB"/>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35F"/>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37F77"/>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652"/>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5C5D"/>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2DFC"/>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41"/>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256"/>
    <w:rsid w:val="00F40C3B"/>
    <w:rsid w:val="00F40CE0"/>
    <w:rsid w:val="00F42DBC"/>
    <w:rsid w:val="00F4308D"/>
    <w:rsid w:val="00F44012"/>
    <w:rsid w:val="00F44947"/>
    <w:rsid w:val="00F453E1"/>
    <w:rsid w:val="00F458EF"/>
    <w:rsid w:val="00F469F8"/>
    <w:rsid w:val="00F47121"/>
    <w:rsid w:val="00F4775D"/>
    <w:rsid w:val="00F504DD"/>
    <w:rsid w:val="00F50874"/>
    <w:rsid w:val="00F516C6"/>
    <w:rsid w:val="00F52221"/>
    <w:rsid w:val="00F52B28"/>
    <w:rsid w:val="00F536BB"/>
    <w:rsid w:val="00F53755"/>
    <w:rsid w:val="00F53E59"/>
    <w:rsid w:val="00F5475B"/>
    <w:rsid w:val="00F54FB9"/>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3B0"/>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975DE"/>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893"/>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markedcontent">
    <w:name w:val="markedcontent"/>
    <w:basedOn w:val="DefaultParagraphFont"/>
    <w:rsid w:val="0080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7087830">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9988391">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c.europa.eu/info/sites/default/files/file_import/post_trade_services_en_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infopath/2007/PartnerControls"/>
    <ds:schemaRef ds:uri="http://purl.org/dc/terms/"/>
    <ds:schemaRef ds:uri="http://schemas.microsoft.com/office/2006/metadata/properties"/>
    <ds:schemaRef ds:uri="http://purl.org/dc/dcmitype/"/>
    <ds:schemaRef ds:uri="04e156a7-4389-4348-bdc5-772e1b15193f"/>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B4253789-9AC6-4AA9-8BDE-BD06D469805C}">
  <ds:schemaRefs>
    <ds:schemaRef ds:uri="http://schemas.openxmlformats.org/officeDocument/2006/bibliography"/>
  </ds:schemaRefs>
</ds:datastoreItem>
</file>

<file path=customXml/itemProps6.xml><?xml version="1.0" encoding="utf-8"?>
<ds:datastoreItem xmlns:ds="http://schemas.openxmlformats.org/officeDocument/2006/customXml" ds:itemID="{1EAC7673-7F5C-4DAF-92CD-392B3767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2786</Words>
  <Characters>15737</Characters>
  <Application>Microsoft Office Word</Application>
  <DocSecurity>8</DocSecurity>
  <Lines>131</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18487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François Baratte</cp:lastModifiedBy>
  <cp:revision>6</cp:revision>
  <cp:lastPrinted>2015-02-18T11:01:00Z</cp:lastPrinted>
  <dcterms:created xsi:type="dcterms:W3CDTF">2022-01-13T13:27:00Z</dcterms:created>
  <dcterms:modified xsi:type="dcterms:W3CDTF">2022-01-13T16:30:00Z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