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tbl>
          <w:tblPr>
            <w:tblpPr w:leftFromText="8505" w:vertAnchor="page" w:horzAnchor="margin" w:tblpXSpec="center" w:tblpY="3580"/>
            <w:tblW w:w="10490" w:type="dxa"/>
            <w:tblLayout w:type="fixed"/>
            <w:tblCellMar>
              <w:left w:w="0" w:type="dxa"/>
              <w:right w:w="0" w:type="dxa"/>
            </w:tblCellMar>
            <w:tblLook w:val="01E0" w:firstRow="1" w:lastRow="1" w:firstColumn="1" w:lastColumn="1" w:noHBand="0" w:noVBand="0"/>
          </w:tblPr>
          <w:tblGrid>
            <w:gridCol w:w="10490"/>
          </w:tblGrid>
          <w:tr w:rsidR="002A6D4E" w:rsidRPr="00E3664A" w14:paraId="49DED20E" w14:textId="77777777" w:rsidTr="002A6D4E">
            <w:trPr>
              <w:trHeight w:hRule="exact" w:val="1492"/>
            </w:trPr>
            <w:tc>
              <w:tcPr>
                <w:tcW w:w="10490" w:type="dxa"/>
                <w:vAlign w:val="bottom"/>
              </w:tcPr>
              <w:p w14:paraId="4077AAC3" w14:textId="77777777" w:rsidR="002A6D4E" w:rsidRPr="00E3664A" w:rsidRDefault="002A6D4E" w:rsidP="002A6D4E">
                <w:pPr>
                  <w:pStyle w:val="Titel"/>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A6D4E" w:rsidRPr="00E3664A" w14:paraId="5DAA5BE6" w14:textId="77777777" w:rsidTr="002A6D4E">
            <w:trPr>
              <w:trHeight w:hRule="exact" w:val="1336"/>
            </w:trPr>
            <w:tc>
              <w:tcPr>
                <w:tcW w:w="10490" w:type="dxa"/>
                <w:tcMar>
                  <w:top w:w="142" w:type="dxa"/>
                </w:tcMar>
              </w:tcPr>
              <w:p w14:paraId="042D4D6A" w14:textId="77777777" w:rsidR="002A6D4E" w:rsidRPr="002A6D4E" w:rsidRDefault="002A6D4E" w:rsidP="002A6D4E">
                <w:pPr>
                  <w:rPr>
                    <w:rFonts w:ascii="Arial" w:eastAsiaTheme="majorEastAsia" w:hAnsi="Arial" w:cs="Arial"/>
                    <w:b/>
                    <w:sz w:val="28"/>
                    <w:szCs w:val="28"/>
                    <w:lang w:eastAsia="en-GB"/>
                  </w:rPr>
                </w:pPr>
                <w:r w:rsidRPr="002A6D4E">
                  <w:rPr>
                    <w:rFonts w:ascii="Arial" w:eastAsiaTheme="majorEastAsia" w:hAnsi="Arial" w:cs="Arial"/>
                    <w:b/>
                    <w:sz w:val="28"/>
                    <w:szCs w:val="28"/>
                    <w:lang w:eastAsia="en-GB"/>
                  </w:rPr>
                  <w:t xml:space="preserve">Report on highly liquid financial instruments with regards to the investment policy of central counterparties (EMIR Article 85(3a(e))) </w:t>
                </w:r>
              </w:p>
              <w:p w14:paraId="58FF8551" w14:textId="77777777" w:rsidR="002A6D4E" w:rsidRPr="00E3664A" w:rsidRDefault="002A6D4E" w:rsidP="002A6D4E">
                <w:pPr>
                  <w:pStyle w:val="berschrift2"/>
                  <w:numPr>
                    <w:ilvl w:val="0"/>
                    <w:numId w:val="0"/>
                  </w:numPr>
                  <w:spacing w:before="0"/>
                  <w:rPr>
                    <w:rFonts w:ascii="Arial" w:hAnsi="Arial" w:cs="Arial"/>
                  </w:rPr>
                </w:pPr>
              </w:p>
            </w:tc>
          </w:tr>
        </w:tbl>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381F467E"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2A6D4E">
            <w:rPr>
              <w:rFonts w:ascii="Arial" w:eastAsiaTheme="minorEastAsia" w:hAnsi="Arial" w:cs="Arial"/>
              <w:b/>
              <w:szCs w:val="20"/>
            </w:rPr>
            <w:t>4</w:t>
          </w:r>
          <w:r w:rsidRPr="00A92D8C">
            <w:rPr>
              <w:rFonts w:ascii="Arial" w:eastAsiaTheme="minorEastAsia" w:hAnsi="Arial" w:cs="Arial"/>
              <w:b/>
              <w:szCs w:val="20"/>
            </w:rPr>
            <w:t xml:space="preserve"> </w:t>
          </w:r>
          <w:r w:rsidR="002A6D4E">
            <w:rPr>
              <w:rFonts w:ascii="Arial" w:eastAsiaTheme="minorEastAsia" w:hAnsi="Arial" w:cs="Arial"/>
              <w:b/>
              <w:szCs w:val="20"/>
            </w:rPr>
            <w:t>January</w:t>
          </w:r>
          <w:r w:rsidRPr="00A92D8C">
            <w:rPr>
              <w:rFonts w:ascii="Arial" w:eastAsiaTheme="minorEastAsia" w:hAnsi="Arial" w:cs="Arial"/>
              <w:b/>
              <w:szCs w:val="20"/>
            </w:rPr>
            <w:t xml:space="preserve"> 202</w:t>
          </w:r>
          <w:r w:rsidR="002A6D4E">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5"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0A50C0E" w:rsidR="002427D5" w:rsidRPr="00E3664A" w:rsidRDefault="002427D5" w:rsidP="08EC68F4">
          <w:pPr>
            <w:pStyle w:val="Listenabsatz"/>
            <w:numPr>
              <w:ilvl w:val="0"/>
              <w:numId w:val="4"/>
            </w:numPr>
            <w:spacing w:after="250" w:line="276" w:lineRule="auto"/>
            <w:rPr>
              <w:rFonts w:ascii="Arial" w:eastAsiaTheme="minorEastAsia" w:hAnsi="Arial" w:cs="Arial"/>
              <w:lang w:eastAsia="en-US"/>
            </w:rPr>
          </w:pPr>
          <w:r w:rsidRPr="3F0C4E82">
            <w:rPr>
              <w:rFonts w:ascii="Arial" w:eastAsiaTheme="minorEastAsia" w:hAnsi="Arial" w:cs="Arial"/>
              <w:lang w:eastAsia="en-US"/>
            </w:rPr>
            <w:t>Please do not remove tags of the type &lt;ESMA_QUESTION_</w:t>
          </w:r>
          <w:r w:rsidR="45859F23" w:rsidRPr="3F0C4E82">
            <w:rPr>
              <w:rFonts w:ascii="Arial" w:eastAsiaTheme="minorEastAsia" w:hAnsi="Arial" w:cs="Arial"/>
              <w:lang w:eastAsia="en-US"/>
            </w:rPr>
            <w:t xml:space="preserve">CCP </w:t>
          </w:r>
          <w:r w:rsidR="45EB5968" w:rsidRPr="3F0C4E82">
            <w:rPr>
              <w:rFonts w:ascii="Arial" w:eastAsiaTheme="minorEastAsia" w:hAnsi="Arial" w:cs="Arial"/>
              <w:lang w:eastAsia="en-US"/>
            </w:rPr>
            <w:t>investment policy</w:t>
          </w:r>
          <w:r w:rsidRPr="3F0C4E82">
            <w:rPr>
              <w:rFonts w:ascii="Arial" w:eastAsiaTheme="minorEastAsia" w:hAnsi="Arial" w:cs="Arial"/>
              <w:lang w:eastAsia="en-US"/>
            </w:rPr>
            <w:t>_1&gt;. Your response to each question has to be framed by the two tags corresponding to the question.</w:t>
          </w:r>
        </w:p>
        <w:p w14:paraId="1D826D57" w14:textId="77777777" w:rsidR="002427D5" w:rsidRPr="00E3664A" w:rsidRDefault="002427D5" w:rsidP="002427D5">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66D5C8B5" w:rsidR="002427D5" w:rsidRPr="00E3664A" w:rsidRDefault="002427D5" w:rsidP="08EC68F4">
          <w:pPr>
            <w:pStyle w:val="Listenabsatz"/>
            <w:numPr>
              <w:ilvl w:val="0"/>
              <w:numId w:val="4"/>
            </w:numPr>
            <w:spacing w:after="250" w:line="276" w:lineRule="auto"/>
            <w:rPr>
              <w:rFonts w:ascii="Arial" w:eastAsiaTheme="minorEastAsia" w:hAnsi="Arial" w:cs="Arial"/>
              <w:lang w:eastAsia="en-US"/>
            </w:rPr>
          </w:pPr>
          <w:r w:rsidRPr="3F0C4E82">
            <w:rPr>
              <w:rFonts w:ascii="Arial" w:eastAsiaTheme="minorEastAsia" w:hAnsi="Arial" w:cs="Arial"/>
              <w:lang w:eastAsia="en-US"/>
            </w:rPr>
            <w:t xml:space="preserve">When you have drafted your response, name your response form according to the following convention: </w:t>
          </w:r>
          <w:proofErr w:type="spellStart"/>
          <w:r w:rsidRPr="3F0C4E82">
            <w:rPr>
              <w:rFonts w:ascii="Arial" w:eastAsiaTheme="minorEastAsia" w:hAnsi="Arial" w:cs="Arial"/>
              <w:lang w:eastAsia="en-US"/>
            </w:rPr>
            <w:t>ESMA_</w:t>
          </w:r>
          <w:r w:rsidR="451346A8" w:rsidRPr="3F0C4E82">
            <w:rPr>
              <w:rFonts w:ascii="Arial" w:eastAsiaTheme="minorEastAsia" w:hAnsi="Arial" w:cs="Arial"/>
              <w:lang w:eastAsia="en-US"/>
            </w:rPr>
            <w:t>CCP</w:t>
          </w:r>
          <w:r w:rsidR="495D57BE" w:rsidRPr="3F0C4E82">
            <w:rPr>
              <w:rFonts w:ascii="Arial" w:eastAsiaTheme="minorEastAsia" w:hAnsi="Arial" w:cs="Arial"/>
              <w:lang w:eastAsia="en-US"/>
            </w:rPr>
            <w:t>investmentpolicy</w:t>
          </w:r>
          <w:r w:rsidRPr="3F0C4E82">
            <w:rPr>
              <w:rFonts w:ascii="Arial" w:eastAsiaTheme="minorEastAsia" w:hAnsi="Arial" w:cs="Arial"/>
              <w:lang w:eastAsia="en-US"/>
            </w:rPr>
            <w:t>_nameofrespondent_RESPONSEFORM</w:t>
          </w:r>
          <w:proofErr w:type="spellEnd"/>
          <w:r w:rsidRPr="3F0C4E82">
            <w:rPr>
              <w:rFonts w:ascii="Arial" w:eastAsiaTheme="minorEastAsia" w:hAnsi="Arial" w:cs="Arial"/>
              <w:lang w:eastAsia="en-US"/>
            </w:rPr>
            <w:t xml:space="preserve">. For example, for a respondent named ABCD, the response form would be entitled </w:t>
          </w:r>
          <w:proofErr w:type="spellStart"/>
          <w:r w:rsidRPr="3F0C4E82">
            <w:rPr>
              <w:rFonts w:ascii="Arial" w:eastAsiaTheme="minorEastAsia" w:hAnsi="Arial" w:cs="Arial"/>
              <w:lang w:eastAsia="en-US"/>
            </w:rPr>
            <w:t>ESMA_</w:t>
          </w:r>
          <w:r w:rsidR="76774DDD" w:rsidRPr="3F0C4E82">
            <w:rPr>
              <w:rFonts w:ascii="Arial" w:eastAsiaTheme="minorEastAsia" w:hAnsi="Arial" w:cs="Arial"/>
              <w:lang w:eastAsia="en-US"/>
            </w:rPr>
            <w:t>CCPinvestmentpolicy</w:t>
          </w:r>
          <w:r w:rsidRPr="3F0C4E82">
            <w:rPr>
              <w:rFonts w:ascii="Arial" w:eastAsiaTheme="minorEastAsia" w:hAnsi="Arial" w:cs="Arial"/>
              <w:lang w:eastAsia="en-US"/>
            </w:rPr>
            <w:t>_ABCD_RESPONSEFORM</w:t>
          </w:r>
          <w:proofErr w:type="spellEnd"/>
          <w:r w:rsidRPr="3F0C4E82">
            <w:rPr>
              <w:rFonts w:ascii="Arial" w:eastAsiaTheme="minorEastAsia" w:hAnsi="Arial" w:cs="Arial"/>
              <w:lang w:eastAsia="en-US"/>
            </w:rPr>
            <w:t>.</w:t>
          </w:r>
        </w:p>
        <w:p w14:paraId="11889093" w14:textId="586031A7" w:rsidR="002427D5" w:rsidRPr="00E3664A" w:rsidRDefault="002427D5" w:rsidP="002427D5">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6"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Wingdings" w:eastAsiaTheme="minorEastAsia" w:hAnsi="Wingdings" w:cs="Wingdings"/>
              <w:lang w:eastAsia="en-US"/>
            </w:rPr>
            <w:t>à</w:t>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w:t>
          </w:r>
          <w:r w:rsidR="00344479" w:rsidRPr="00344479">
            <w:rPr>
              <w:rFonts w:ascii="Arial" w:hAnsi="Arial" w:cs="Arial"/>
              <w:lang w:eastAsia="en-US"/>
            </w:rPr>
            <w:t>financial instruments eligible for investments by CCPs, including EU Money Market Funds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8"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berschrift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2AB89144" w:rsidR="002427D5" w:rsidRPr="00E3664A" w:rsidRDefault="002126F6" w:rsidP="00456BB6">
                <w:pPr>
                  <w:rPr>
                    <w:rFonts w:ascii="Arial" w:hAnsi="Arial" w:cs="Arial"/>
                    <w:color w:val="808080"/>
                    <w:sz w:val="20"/>
                    <w:lang w:eastAsia="de-DE"/>
                  </w:rPr>
                </w:pPr>
                <w:r>
                  <w:rPr>
                    <w:rFonts w:ascii="Arial" w:hAnsi="Arial" w:cs="Arial"/>
                    <w:color w:val="808080"/>
                    <w:sz w:val="20"/>
                    <w:lang w:eastAsia="de-DE"/>
                  </w:rPr>
                  <w:t>European Association of Public Banks</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5B046064" w:rsidR="002427D5" w:rsidRPr="00E3664A" w:rsidRDefault="00026C88"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126F6">
                  <w:rPr>
                    <w:rFonts w:ascii="Arial" w:hAnsi="Arial" w:cs="Arial"/>
                    <w:sz w:val="20"/>
                    <w:lang w:eastAsia="de-DE"/>
                  </w:rPr>
                  <w:t>Banking sector</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693D4A88" w:rsidR="002427D5" w:rsidRPr="00E3664A" w:rsidRDefault="002126F6"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7A9DB070" w:rsidR="002427D5" w:rsidRPr="00E3664A" w:rsidRDefault="002126F6" w:rsidP="00456BB6">
                <w:pPr>
                  <w:rPr>
                    <w:rFonts w:ascii="Arial" w:hAnsi="Arial" w:cs="Arial"/>
                    <w:sz w:val="20"/>
                    <w:lang w:eastAsia="de-DE"/>
                  </w:rPr>
                </w:pPr>
                <w:r>
                  <w:rPr>
                    <w:rFonts w:ascii="Arial" w:hAnsi="Arial" w:cs="Arial"/>
                    <w:sz w:val="20"/>
                    <w:lang w:eastAsia="de-DE"/>
                  </w:rPr>
                  <w:t>Europe</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5D78CC72" w:rsidR="002427D5" w:rsidRPr="00E3664A" w:rsidRDefault="002427D5" w:rsidP="08EC68F4">
      <w:pPr>
        <w:spacing w:after="250" w:line="276" w:lineRule="auto"/>
        <w:jc w:val="both"/>
        <w:rPr>
          <w:rFonts w:ascii="Arial" w:eastAsiaTheme="minorEastAsia" w:hAnsi="Arial" w:cs="Arial"/>
        </w:rPr>
      </w:pPr>
      <w:r w:rsidRPr="08EC68F4">
        <w:rPr>
          <w:rFonts w:ascii="Arial" w:eastAsiaTheme="minorEastAsia" w:hAnsi="Arial" w:cs="Arial"/>
        </w:rPr>
        <w:t>&lt;ESMA_COMMENT_</w:t>
      </w:r>
      <w:r w:rsidR="64166549" w:rsidRPr="08EC68F4">
        <w:rPr>
          <w:rFonts w:ascii="Arial" w:eastAsiaTheme="minorEastAsia" w:hAnsi="Arial" w:cs="Arial"/>
        </w:rPr>
        <w:t>CCP investment policy</w:t>
      </w:r>
      <w:r w:rsidRPr="08EC68F4">
        <w:rPr>
          <w:rFonts w:ascii="Arial" w:eastAsiaTheme="minorEastAsia" w:hAnsi="Arial" w:cs="Arial"/>
        </w:rPr>
        <w:t>_00&gt;</w:t>
      </w:r>
    </w:p>
    <w:p w14:paraId="41D0C444" w14:textId="77777777" w:rsidR="002427D5" w:rsidRPr="00C85C8B" w:rsidRDefault="002427D5" w:rsidP="002427D5">
      <w:pPr>
        <w:spacing w:after="250" w:line="276" w:lineRule="auto"/>
        <w:jc w:val="both"/>
        <w:rPr>
          <w:rFonts w:ascii="Arial" w:eastAsiaTheme="minorEastAsia" w:hAnsi="Arial" w:cs="Arial"/>
          <w:szCs w:val="20"/>
        </w:rPr>
      </w:pPr>
      <w:r w:rsidRPr="00C82CB5">
        <w:rPr>
          <w:rFonts w:ascii="Arial" w:eastAsiaTheme="minorEastAsia" w:hAnsi="Arial" w:cs="Arial"/>
          <w:szCs w:val="20"/>
          <w:highlight w:val="yellow"/>
        </w:rPr>
        <w:t>TYPE YOUR TEXT HERE</w:t>
      </w:r>
    </w:p>
    <w:p w14:paraId="01063D92" w14:textId="4B60AB03" w:rsidR="002427D5" w:rsidRPr="00E3664A" w:rsidRDefault="002427D5" w:rsidP="08EC68F4">
      <w:pPr>
        <w:spacing w:after="250" w:line="276" w:lineRule="auto"/>
        <w:jc w:val="both"/>
        <w:rPr>
          <w:rFonts w:ascii="Arial" w:eastAsiaTheme="minorEastAsia" w:hAnsi="Arial" w:cs="Arial"/>
        </w:rPr>
      </w:pPr>
      <w:r w:rsidRPr="08EC68F4">
        <w:rPr>
          <w:rFonts w:ascii="Arial" w:eastAsiaTheme="minorEastAsia" w:hAnsi="Arial" w:cs="Arial"/>
        </w:rPr>
        <w:t>&lt;ESMA_COMMENT_</w:t>
      </w:r>
      <w:r w:rsidR="1E8354FF" w:rsidRPr="08EC68F4">
        <w:rPr>
          <w:rFonts w:ascii="Arial" w:eastAsiaTheme="minorEastAsia" w:hAnsi="Arial" w:cs="Arial"/>
        </w:rPr>
        <w:t xml:space="preserve"> CCP investment policy</w:t>
      </w:r>
      <w:r w:rsidRPr="08EC68F4">
        <w:rPr>
          <w:rFonts w:ascii="Arial" w:eastAsiaTheme="minorEastAsia" w:hAnsi="Arial" w:cs="Arial"/>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0B952358" w14:textId="77777777" w:rsidR="002427D5" w:rsidRPr="00AA60F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1A0A45E4" w14:textId="2BBB6742" w:rsidR="002427D5" w:rsidRPr="00AA60F5" w:rsidRDefault="002427D5" w:rsidP="002427D5">
      <w:pPr>
        <w:spacing w:line="276" w:lineRule="auto"/>
        <w:rPr>
          <w:rFonts w:ascii="Arial" w:hAnsi="Arial" w:cs="Arial"/>
          <w:b/>
          <w:sz w:val="24"/>
          <w:szCs w:val="24"/>
        </w:rPr>
      </w:pPr>
    </w:p>
    <w:p w14:paraId="17280749" w14:textId="4EE8EC3C"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describe accurately the requirements on CCP investments outside the EU? Are there other jurisdictions that ESMA should consider to inform its analysis?</w:t>
      </w:r>
    </w:p>
    <w:p w14:paraId="75AC2B9F" w14:textId="77777777" w:rsidR="002427D5" w:rsidRPr="003B0BF2" w:rsidRDefault="002427D5" w:rsidP="00AA60F5">
      <w:pPr>
        <w:pStyle w:val="Questionstyle"/>
        <w:numPr>
          <w:ilvl w:val="0"/>
          <w:numId w:val="0"/>
        </w:numPr>
        <w:rPr>
          <w:rFonts w:ascii="Arial" w:hAnsi="Arial" w:cs="Arial"/>
          <w:sz w:val="24"/>
          <w:szCs w:val="24"/>
        </w:rPr>
      </w:pPr>
    </w:p>
    <w:p w14:paraId="69126420" w14:textId="0DE77413" w:rsidR="002427D5" w:rsidRPr="003B0BF2" w:rsidRDefault="002427D5" w:rsidP="00AA60F5">
      <w:pPr>
        <w:pStyle w:val="Questionstyle"/>
        <w:numPr>
          <w:ilvl w:val="0"/>
          <w:numId w:val="0"/>
        </w:numPr>
        <w:rPr>
          <w:rFonts w:ascii="Arial" w:hAnsi="Arial" w:cs="Arial"/>
          <w:sz w:val="24"/>
          <w:szCs w:val="24"/>
        </w:rPr>
      </w:pPr>
      <w:r w:rsidRPr="08EC68F4">
        <w:rPr>
          <w:rFonts w:ascii="Arial" w:hAnsi="Arial" w:cs="Arial"/>
          <w:sz w:val="24"/>
          <w:szCs w:val="24"/>
        </w:rPr>
        <w:t>&lt;ESMA_QUESTION_</w:t>
      </w:r>
      <w:r w:rsidR="2F74A411" w:rsidRPr="08EC68F4">
        <w:rPr>
          <w:rFonts w:ascii="Arial" w:hAnsi="Arial" w:cs="Arial"/>
          <w:sz w:val="24"/>
          <w:szCs w:val="24"/>
        </w:rPr>
        <w:t>CCP investment policy</w:t>
      </w:r>
      <w:r w:rsidRPr="08EC68F4">
        <w:rPr>
          <w:rFonts w:ascii="Arial" w:hAnsi="Arial" w:cs="Arial"/>
          <w:sz w:val="24"/>
          <w:szCs w:val="24"/>
        </w:rPr>
        <w:t>_01&gt;</w:t>
      </w:r>
    </w:p>
    <w:p w14:paraId="01981917"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43072554" w14:textId="51653065" w:rsidR="002427D5" w:rsidRPr="003B0BF2" w:rsidRDefault="002427D5" w:rsidP="002427D5">
      <w:pPr>
        <w:rPr>
          <w:rFonts w:ascii="Arial" w:hAnsi="Arial" w:cs="Arial"/>
          <w:sz w:val="24"/>
          <w:szCs w:val="24"/>
        </w:rPr>
      </w:pPr>
      <w:r w:rsidRPr="08EC68F4">
        <w:rPr>
          <w:rFonts w:ascii="Arial" w:hAnsi="Arial" w:cs="Arial"/>
          <w:sz w:val="24"/>
          <w:szCs w:val="24"/>
        </w:rPr>
        <w:t>&lt;ESMA_QUESTION_</w:t>
      </w:r>
      <w:r w:rsidR="3B8E2905" w:rsidRPr="08EC68F4">
        <w:rPr>
          <w:rFonts w:ascii="Arial" w:hAnsi="Arial" w:cs="Arial"/>
          <w:sz w:val="24"/>
          <w:szCs w:val="24"/>
        </w:rPr>
        <w:t xml:space="preserve"> CCP investment policy</w:t>
      </w:r>
      <w:r w:rsidRPr="08EC68F4">
        <w:rPr>
          <w:rFonts w:ascii="Arial" w:hAnsi="Arial" w:cs="Arial"/>
          <w:sz w:val="24"/>
          <w:szCs w:val="24"/>
        </w:rPr>
        <w:t>_01&gt;</w:t>
      </w:r>
    </w:p>
    <w:p w14:paraId="042FD42C" w14:textId="48463F3C" w:rsidR="002427D5" w:rsidRPr="003B0BF2" w:rsidRDefault="002427D5" w:rsidP="002427D5">
      <w:pPr>
        <w:rPr>
          <w:rFonts w:ascii="Arial" w:hAnsi="Arial" w:cs="Arial"/>
          <w:b/>
          <w:sz w:val="24"/>
          <w:szCs w:val="24"/>
        </w:rPr>
      </w:pPr>
    </w:p>
    <w:p w14:paraId="39EB53F5" w14:textId="56215B97"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provide an accurate description of CCP practices regarding their investment and collateral policies?</w:t>
      </w:r>
    </w:p>
    <w:p w14:paraId="1400ABC8" w14:textId="1B6427C9"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589A729C" w:rsidRPr="3F0C4E82">
        <w:rPr>
          <w:rFonts w:ascii="Arial" w:hAnsi="Arial" w:cs="Arial"/>
          <w:sz w:val="24"/>
          <w:szCs w:val="24"/>
        </w:rPr>
        <w:t xml:space="preserve"> CCP investment policy </w:t>
      </w:r>
      <w:r w:rsidRPr="3F0C4E82">
        <w:rPr>
          <w:rFonts w:ascii="Arial" w:hAnsi="Arial" w:cs="Arial"/>
          <w:sz w:val="24"/>
          <w:szCs w:val="24"/>
        </w:rPr>
        <w:t>_02&gt;</w:t>
      </w:r>
    </w:p>
    <w:p w14:paraId="78CADFF5"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19FEC513" w14:textId="73E8EB25"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73AF8A82" w:rsidRPr="3F0C4E82">
        <w:rPr>
          <w:rFonts w:ascii="Arial" w:hAnsi="Arial" w:cs="Arial"/>
          <w:sz w:val="24"/>
          <w:szCs w:val="24"/>
        </w:rPr>
        <w:t xml:space="preserve"> CCP investment policy</w:t>
      </w:r>
      <w:r w:rsidRPr="3F0C4E82">
        <w:rPr>
          <w:rFonts w:ascii="Arial" w:hAnsi="Arial" w:cs="Arial"/>
          <w:sz w:val="24"/>
          <w:szCs w:val="24"/>
        </w:rPr>
        <w:t>_02&gt;</w:t>
      </w:r>
    </w:p>
    <w:p w14:paraId="5DDB222C" w14:textId="562932BC" w:rsidR="002427D5" w:rsidRPr="003B0BF2" w:rsidRDefault="002427D5" w:rsidP="002427D5">
      <w:pPr>
        <w:rPr>
          <w:rFonts w:ascii="Arial" w:hAnsi="Arial" w:cs="Arial"/>
          <w:b/>
          <w:sz w:val="24"/>
          <w:szCs w:val="24"/>
        </w:rPr>
      </w:pPr>
    </w:p>
    <w:p w14:paraId="3ABADBA2" w14:textId="65094671"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accurately describe the trade-offs faced by CCPs when developing their investments strategies? What other factors or trade-offs can influence CCP investment strategies?</w:t>
      </w:r>
    </w:p>
    <w:p w14:paraId="2D88B40A" w14:textId="763C7896" w:rsidR="002427D5" w:rsidRPr="003B0BF2" w:rsidRDefault="002427D5" w:rsidP="002427D5">
      <w:pPr>
        <w:rPr>
          <w:rFonts w:ascii="Arial" w:hAnsi="Arial" w:cs="Arial"/>
          <w:sz w:val="24"/>
          <w:szCs w:val="24"/>
        </w:rPr>
      </w:pPr>
      <w:bookmarkStart w:id="0" w:name="_Hlk76119363"/>
      <w:r w:rsidRPr="3F0C4E82">
        <w:rPr>
          <w:rFonts w:ascii="Arial" w:hAnsi="Arial" w:cs="Arial"/>
          <w:sz w:val="24"/>
          <w:szCs w:val="24"/>
        </w:rPr>
        <w:t>&lt;ESMA_QUESTION_</w:t>
      </w:r>
      <w:r w:rsidR="322D2D05" w:rsidRPr="3F0C4E82">
        <w:rPr>
          <w:rFonts w:ascii="Arial" w:hAnsi="Arial" w:cs="Arial"/>
          <w:sz w:val="24"/>
          <w:szCs w:val="24"/>
        </w:rPr>
        <w:t xml:space="preserve"> CCP investment policy</w:t>
      </w:r>
      <w:r w:rsidRPr="3F0C4E82">
        <w:rPr>
          <w:rFonts w:ascii="Arial" w:hAnsi="Arial" w:cs="Arial"/>
          <w:sz w:val="24"/>
          <w:szCs w:val="24"/>
        </w:rPr>
        <w:t>_03&gt;</w:t>
      </w:r>
    </w:p>
    <w:p w14:paraId="706FA378"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32AFA07A" w14:textId="3F6A9B7D"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5F583685" w:rsidRPr="3F0C4E82">
        <w:rPr>
          <w:rFonts w:ascii="Arial" w:hAnsi="Arial" w:cs="Arial"/>
          <w:sz w:val="24"/>
          <w:szCs w:val="24"/>
        </w:rPr>
        <w:t>CCP investment policy</w:t>
      </w:r>
      <w:r w:rsidRPr="3F0C4E82">
        <w:rPr>
          <w:rFonts w:ascii="Arial" w:hAnsi="Arial" w:cs="Arial"/>
          <w:sz w:val="24"/>
          <w:szCs w:val="24"/>
        </w:rPr>
        <w:t>_03&gt;</w:t>
      </w:r>
    </w:p>
    <w:bookmarkEnd w:id="0"/>
    <w:p w14:paraId="16AC2A56" w14:textId="77777777" w:rsidR="002427D5" w:rsidRPr="003B0BF2" w:rsidRDefault="002427D5" w:rsidP="002427D5">
      <w:pPr>
        <w:rPr>
          <w:rFonts w:ascii="Arial" w:hAnsi="Arial" w:cs="Arial"/>
          <w:sz w:val="24"/>
          <w:szCs w:val="24"/>
        </w:rPr>
      </w:pPr>
    </w:p>
    <w:p w14:paraId="65E0D9B1" w14:textId="6AAB732B"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premise that changes to the list of financial instruments for CCP investments should be in line with the PFMI?</w:t>
      </w:r>
    </w:p>
    <w:p w14:paraId="7E0C3AD5" w14:textId="5BD6B7F9"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0A863D8E" w:rsidRPr="3F0C4E82">
        <w:rPr>
          <w:rFonts w:ascii="Arial" w:hAnsi="Arial" w:cs="Arial"/>
          <w:sz w:val="24"/>
          <w:szCs w:val="24"/>
        </w:rPr>
        <w:t xml:space="preserve"> CCP investment policy</w:t>
      </w:r>
      <w:r w:rsidRPr="3F0C4E82">
        <w:rPr>
          <w:rFonts w:ascii="Arial" w:hAnsi="Arial" w:cs="Arial"/>
          <w:sz w:val="24"/>
          <w:szCs w:val="24"/>
        </w:rPr>
        <w:t>_04&gt;</w:t>
      </w:r>
    </w:p>
    <w:p w14:paraId="3639EDEC"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4950333D" w14:textId="3A2B7FB4"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C170CA1" w:rsidRPr="3F0C4E82">
        <w:rPr>
          <w:rFonts w:ascii="Arial" w:hAnsi="Arial" w:cs="Arial"/>
          <w:sz w:val="24"/>
          <w:szCs w:val="24"/>
        </w:rPr>
        <w:t xml:space="preserve"> CCP investment policy</w:t>
      </w:r>
      <w:r w:rsidRPr="3F0C4E82">
        <w:rPr>
          <w:rFonts w:ascii="Arial" w:hAnsi="Arial" w:cs="Arial"/>
          <w:sz w:val="24"/>
          <w:szCs w:val="24"/>
        </w:rPr>
        <w:t>_04&gt;</w:t>
      </w:r>
      <w:r w:rsidRPr="3F0C4E82">
        <w:rPr>
          <w:rFonts w:ascii="Arial" w:hAnsi="Arial" w:cs="Arial"/>
          <w:b/>
          <w:bCs/>
          <w:sz w:val="24"/>
          <w:szCs w:val="24"/>
        </w:rPr>
        <w:t xml:space="preserve"> </w:t>
      </w:r>
    </w:p>
    <w:p w14:paraId="24CA8154" w14:textId="77777777" w:rsidR="002427D5" w:rsidRPr="003B0BF2" w:rsidRDefault="002427D5" w:rsidP="002427D5">
      <w:pPr>
        <w:rPr>
          <w:rFonts w:ascii="Arial" w:hAnsi="Arial" w:cs="Arial"/>
          <w:sz w:val="24"/>
          <w:szCs w:val="24"/>
        </w:rPr>
      </w:pPr>
    </w:p>
    <w:p w14:paraId="07D04903" w14:textId="4D57BCDF"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policy approach that benefits should outweigh risks to support a policy change?</w:t>
      </w:r>
    </w:p>
    <w:p w14:paraId="5C8DB53B" w14:textId="3D46C84B"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DB2AB2B" w:rsidRPr="3F0C4E82">
        <w:rPr>
          <w:rFonts w:ascii="Arial" w:hAnsi="Arial" w:cs="Arial"/>
          <w:sz w:val="24"/>
          <w:szCs w:val="24"/>
        </w:rPr>
        <w:t xml:space="preserve"> CCP investment policy</w:t>
      </w:r>
      <w:r w:rsidRPr="3F0C4E82">
        <w:rPr>
          <w:rFonts w:ascii="Arial" w:hAnsi="Arial" w:cs="Arial"/>
          <w:sz w:val="24"/>
          <w:szCs w:val="24"/>
        </w:rPr>
        <w:t>_05&gt;</w:t>
      </w:r>
    </w:p>
    <w:p w14:paraId="436E7AAA" w14:textId="037EC231" w:rsidR="002427D5" w:rsidRPr="003B0BF2" w:rsidRDefault="002126F6" w:rsidP="002427D5">
      <w:pPr>
        <w:rPr>
          <w:rFonts w:ascii="Arial" w:hAnsi="Arial" w:cs="Arial"/>
          <w:sz w:val="24"/>
          <w:szCs w:val="24"/>
        </w:rPr>
      </w:pPr>
      <w:r w:rsidRPr="002126F6">
        <w:rPr>
          <w:rFonts w:ascii="Arial" w:hAnsi="Arial" w:cs="Arial"/>
          <w:sz w:val="24"/>
          <w:szCs w:val="24"/>
        </w:rPr>
        <w:lastRenderedPageBreak/>
        <w:t>Yes, we agree with ESMA’s policy approach that benefits should outweigh risks to support a policy change.</w:t>
      </w:r>
    </w:p>
    <w:p w14:paraId="0064AA9F" w14:textId="3F205555"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2A1194EA" w:rsidRPr="3F0C4E82">
        <w:rPr>
          <w:rFonts w:ascii="Arial" w:hAnsi="Arial" w:cs="Arial"/>
          <w:sz w:val="24"/>
          <w:szCs w:val="24"/>
        </w:rPr>
        <w:t xml:space="preserve"> CCP investment policy</w:t>
      </w:r>
      <w:r w:rsidRPr="3F0C4E82">
        <w:rPr>
          <w:rFonts w:ascii="Arial" w:hAnsi="Arial" w:cs="Arial"/>
          <w:sz w:val="24"/>
          <w:szCs w:val="24"/>
        </w:rPr>
        <w:t>_05&gt;</w:t>
      </w:r>
    </w:p>
    <w:p w14:paraId="30F24797" w14:textId="77777777" w:rsidR="002427D5" w:rsidRPr="003B0BF2" w:rsidRDefault="002427D5" w:rsidP="002427D5">
      <w:pPr>
        <w:rPr>
          <w:rFonts w:ascii="Arial" w:hAnsi="Arial" w:cs="Arial"/>
          <w:sz w:val="24"/>
          <w:szCs w:val="24"/>
        </w:rPr>
      </w:pPr>
    </w:p>
    <w:p w14:paraId="59B13DAD" w14:textId="669E0FCA"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approach to focus on the list of conditions to define highly liquid instruments bearing minimal credit and market risk? Do you believe it would be appropriate to align EMIR with other definitions of highly liquid instruments in the EU financial legislation, such as CRR?</w:t>
      </w:r>
    </w:p>
    <w:p w14:paraId="7F980B8E" w14:textId="62750E35"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D0646EA" w:rsidRPr="3F0C4E82">
        <w:rPr>
          <w:rFonts w:ascii="Arial" w:hAnsi="Arial" w:cs="Arial"/>
          <w:sz w:val="24"/>
          <w:szCs w:val="24"/>
        </w:rPr>
        <w:t xml:space="preserve"> CCP investment policy</w:t>
      </w:r>
      <w:r w:rsidRPr="3F0C4E82">
        <w:rPr>
          <w:rFonts w:ascii="Arial" w:hAnsi="Arial" w:cs="Arial"/>
          <w:sz w:val="24"/>
          <w:szCs w:val="24"/>
        </w:rPr>
        <w:t>_06&gt;</w:t>
      </w:r>
    </w:p>
    <w:p w14:paraId="732970FE" w14:textId="77777777" w:rsidR="002126F6" w:rsidRDefault="002126F6" w:rsidP="002126F6">
      <w:pPr>
        <w:rPr>
          <w:rFonts w:ascii="Arial" w:hAnsi="Arial" w:cs="Arial"/>
          <w:sz w:val="24"/>
          <w:szCs w:val="24"/>
        </w:rPr>
      </w:pPr>
      <w:r>
        <w:rPr>
          <w:rFonts w:ascii="Arial" w:hAnsi="Arial" w:cs="Arial"/>
          <w:sz w:val="24"/>
          <w:szCs w:val="24"/>
        </w:rPr>
        <w:t>Yes, we agree with ESMA’s assessment, that Article 47 shall not be reviewed but only the definition of which instruments are to be considered as “</w:t>
      </w:r>
      <w:r w:rsidRPr="006A0F3D">
        <w:rPr>
          <w:rFonts w:ascii="Arial" w:hAnsi="Arial" w:cs="Arial"/>
          <w:sz w:val="24"/>
          <w:szCs w:val="24"/>
        </w:rPr>
        <w:t>highly liquid, bearing minimal credit and market ris</w:t>
      </w:r>
      <w:r>
        <w:rPr>
          <w:rFonts w:ascii="Arial" w:hAnsi="Arial" w:cs="Arial"/>
          <w:sz w:val="24"/>
          <w:szCs w:val="24"/>
        </w:rPr>
        <w:t xml:space="preserve">k”. Hence, the cumulative conditions for </w:t>
      </w:r>
      <w:r w:rsidRPr="006A0F3D">
        <w:rPr>
          <w:rFonts w:ascii="Arial" w:hAnsi="Arial" w:cs="Arial"/>
          <w:sz w:val="24"/>
          <w:szCs w:val="24"/>
        </w:rPr>
        <w:t xml:space="preserve">debt instruments </w:t>
      </w:r>
      <w:r>
        <w:rPr>
          <w:rFonts w:ascii="Arial" w:hAnsi="Arial" w:cs="Arial"/>
          <w:sz w:val="24"/>
          <w:szCs w:val="24"/>
        </w:rPr>
        <w:t xml:space="preserve">set forth in Annex II of the Delegated Regulation 152/2013 (the </w:t>
      </w:r>
      <w:r w:rsidRPr="00CA5D6B">
        <w:rPr>
          <w:rFonts w:ascii="Arial" w:hAnsi="Arial" w:cs="Arial"/>
          <w:b/>
          <w:sz w:val="24"/>
          <w:szCs w:val="24"/>
        </w:rPr>
        <w:t>EMIR Delegated Regulation</w:t>
      </w:r>
      <w:r>
        <w:rPr>
          <w:rFonts w:ascii="Arial" w:hAnsi="Arial" w:cs="Arial"/>
          <w:sz w:val="24"/>
          <w:szCs w:val="24"/>
        </w:rPr>
        <w:t xml:space="preserve">) for instruments </w:t>
      </w:r>
      <w:r w:rsidRPr="006A0F3D">
        <w:rPr>
          <w:rFonts w:ascii="Arial" w:hAnsi="Arial" w:cs="Arial"/>
          <w:sz w:val="24"/>
          <w:szCs w:val="24"/>
        </w:rPr>
        <w:t xml:space="preserve">to be considered “highly liquid financial instruments, bearing minimal credit and market risk” </w:t>
      </w:r>
      <w:r>
        <w:rPr>
          <w:rFonts w:ascii="Arial" w:hAnsi="Arial" w:cs="Arial"/>
          <w:sz w:val="24"/>
          <w:szCs w:val="24"/>
        </w:rPr>
        <w:t>should be analysed.</w:t>
      </w:r>
    </w:p>
    <w:p w14:paraId="07005481" w14:textId="17E0ABB9" w:rsidR="002427D5" w:rsidRPr="003B0BF2" w:rsidRDefault="002126F6" w:rsidP="002126F6">
      <w:pPr>
        <w:rPr>
          <w:rFonts w:ascii="Arial" w:hAnsi="Arial" w:cs="Arial"/>
          <w:sz w:val="24"/>
          <w:szCs w:val="24"/>
        </w:rPr>
      </w:pPr>
      <w:r>
        <w:rPr>
          <w:rFonts w:ascii="Arial" w:hAnsi="Arial" w:cs="Arial"/>
          <w:sz w:val="24"/>
          <w:szCs w:val="24"/>
        </w:rPr>
        <w:t xml:space="preserve">In addition, we also consider it appropriate to align EMIR with other definitions of highly liquid instruments in the EU financial legislation, in particular with the CRR. Experience has shown that the definition of highly liquid financial instruments for example for purposes of the LCR has proven fit for purpose and </w:t>
      </w:r>
      <w:r w:rsidRPr="001A0DF0">
        <w:rPr>
          <w:rFonts w:ascii="Arial" w:hAnsi="Arial" w:cs="Arial"/>
          <w:sz w:val="24"/>
          <w:szCs w:val="24"/>
        </w:rPr>
        <w:t>has ensured the stability of banks in times of crisis</w:t>
      </w:r>
      <w:r>
        <w:rPr>
          <w:rFonts w:ascii="Arial" w:hAnsi="Arial" w:cs="Arial"/>
          <w:sz w:val="24"/>
          <w:szCs w:val="24"/>
        </w:rPr>
        <w:t>.</w:t>
      </w:r>
    </w:p>
    <w:p w14:paraId="32B68D8A" w14:textId="16407096"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04364A4F" w:rsidRPr="3F0C4E82">
        <w:rPr>
          <w:rFonts w:ascii="Arial" w:hAnsi="Arial" w:cs="Arial"/>
          <w:sz w:val="24"/>
          <w:szCs w:val="24"/>
        </w:rPr>
        <w:t xml:space="preserve"> CCP investment policy</w:t>
      </w:r>
      <w:r w:rsidRPr="3F0C4E82">
        <w:rPr>
          <w:rFonts w:ascii="Arial" w:hAnsi="Arial" w:cs="Arial"/>
          <w:sz w:val="24"/>
          <w:szCs w:val="24"/>
        </w:rPr>
        <w:t>_06&gt;</w:t>
      </w:r>
    </w:p>
    <w:p w14:paraId="65DBF48B" w14:textId="338891DC" w:rsidR="002427D5" w:rsidRPr="003B0BF2" w:rsidRDefault="002427D5" w:rsidP="002427D5">
      <w:pPr>
        <w:rPr>
          <w:rFonts w:ascii="Arial" w:hAnsi="Arial" w:cs="Arial"/>
          <w:sz w:val="24"/>
          <w:szCs w:val="24"/>
        </w:rPr>
      </w:pPr>
    </w:p>
    <w:p w14:paraId="1362C89F" w14:textId="01B7E30D" w:rsidR="00344479" w:rsidRPr="003B0BF2" w:rsidRDefault="002427D5" w:rsidP="00344479">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(a) on public entities outlined in Annex II:</w:t>
      </w:r>
    </w:p>
    <w:p w14:paraId="72270124" w14:textId="77777777" w:rsidR="00344479" w:rsidRPr="003B0BF2" w:rsidRDefault="00344479" w:rsidP="00344479">
      <w:pPr>
        <w:pStyle w:val="Questionstyle"/>
        <w:numPr>
          <w:ilvl w:val="0"/>
          <w:numId w:val="0"/>
        </w:numPr>
        <w:ind w:left="709"/>
        <w:rPr>
          <w:rFonts w:ascii="Arial" w:hAnsi="Arial" w:cs="Arial"/>
          <w:sz w:val="24"/>
          <w:szCs w:val="24"/>
        </w:rPr>
      </w:pPr>
    </w:p>
    <w:p w14:paraId="27BA9E6F" w14:textId="6BC9652A"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the list of international organisations be expanded beyond the EFSF and the ESM to explicitly include the EU? </w:t>
      </w:r>
    </w:p>
    <w:p w14:paraId="4211E388"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Should it include other international organisations (IMF? BIS? Others?)?</w:t>
      </w:r>
    </w:p>
    <w:p w14:paraId="4352A249"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Do you agree with ESMA’s legal analysis that it is not necessary to explicitly include regional governments and local authorities as these should be covered by the generic term of government under condition (a)(</w:t>
      </w:r>
      <w:proofErr w:type="spellStart"/>
      <w:r w:rsidRPr="003B0BF2">
        <w:rPr>
          <w:rFonts w:ascii="Arial" w:hAnsi="Arial" w:cs="Arial"/>
          <w:sz w:val="24"/>
          <w:szCs w:val="24"/>
        </w:rPr>
        <w:t>i</w:t>
      </w:r>
      <w:proofErr w:type="spellEnd"/>
      <w:r w:rsidRPr="003B0BF2">
        <w:rPr>
          <w:rFonts w:ascii="Arial" w:hAnsi="Arial" w:cs="Arial"/>
          <w:sz w:val="24"/>
          <w:szCs w:val="24"/>
        </w:rPr>
        <w:t>)? Should ESMA consider adding conditions similar to those outlined in Article 115 of the CRR?</w:t>
      </w:r>
    </w:p>
    <w:p w14:paraId="5428A81B"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ESMA consider limiting the list of governments and central banks in particular to those from third-countries deemed to have equivalent regulatory and supervisory arrangements? </w:t>
      </w:r>
    </w:p>
    <w:p w14:paraId="424158A1" w14:textId="5A513371" w:rsidR="002427D5"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lastRenderedPageBreak/>
        <w:t>Do you agree that the list of multilateral development bank listed under Article 177(2) of CRR is suitable?</w:t>
      </w:r>
    </w:p>
    <w:p w14:paraId="5FF1F40D" w14:textId="1A9F70D5" w:rsidR="002427D5" w:rsidRPr="003B0BF2" w:rsidRDefault="002427D5" w:rsidP="3F0C4E82">
      <w:pPr>
        <w:rPr>
          <w:rFonts w:ascii="Arial" w:hAnsi="Arial" w:cs="Arial"/>
          <w:sz w:val="24"/>
          <w:szCs w:val="24"/>
        </w:rPr>
      </w:pPr>
      <w:bookmarkStart w:id="1" w:name="_Hlk76119475"/>
      <w:r w:rsidRPr="3F0C4E82">
        <w:rPr>
          <w:rFonts w:ascii="Arial" w:hAnsi="Arial" w:cs="Arial"/>
          <w:sz w:val="24"/>
          <w:szCs w:val="24"/>
        </w:rPr>
        <w:t>&lt;ESMA_QUESTION_</w:t>
      </w:r>
      <w:r w:rsidR="02118703" w:rsidRPr="3F0C4E82">
        <w:rPr>
          <w:rFonts w:ascii="Arial" w:hAnsi="Arial" w:cs="Arial"/>
          <w:sz w:val="24"/>
          <w:szCs w:val="24"/>
        </w:rPr>
        <w:t xml:space="preserve"> CCP investment policy</w:t>
      </w:r>
      <w:r w:rsidRPr="3F0C4E82">
        <w:rPr>
          <w:rFonts w:ascii="Arial" w:hAnsi="Arial" w:cs="Arial"/>
          <w:sz w:val="24"/>
          <w:szCs w:val="24"/>
        </w:rPr>
        <w:t>_07&gt;</w:t>
      </w:r>
    </w:p>
    <w:p w14:paraId="5A1E5533" w14:textId="77777777" w:rsidR="002126F6" w:rsidRPr="00756ED2" w:rsidRDefault="002126F6" w:rsidP="002126F6">
      <w:pPr>
        <w:rPr>
          <w:rFonts w:ascii="Arial" w:hAnsi="Arial" w:cs="Arial"/>
          <w:sz w:val="24"/>
          <w:szCs w:val="24"/>
        </w:rPr>
      </w:pPr>
      <w:r w:rsidRPr="00756ED2">
        <w:rPr>
          <w:rFonts w:ascii="Arial" w:hAnsi="Arial" w:cs="Arial"/>
          <w:sz w:val="24"/>
          <w:szCs w:val="24"/>
        </w:rPr>
        <w:t>We generally support the idea to broaden the list of eligible instruments - with the above restriction that the benefits must exceed the risks and that the eligible instruments must be highly liquid, bearing minimal credit and market risk. The list of international organisations should therefore be expanded to include the EU. The more risk-diversified a CCP can invest its funds, the better.</w:t>
      </w:r>
    </w:p>
    <w:p w14:paraId="58B7680F" w14:textId="77777777" w:rsidR="002126F6" w:rsidRPr="00756ED2" w:rsidRDefault="002126F6" w:rsidP="002126F6">
      <w:pPr>
        <w:rPr>
          <w:rFonts w:ascii="Arial" w:hAnsi="Arial" w:cs="Arial"/>
          <w:sz w:val="24"/>
          <w:szCs w:val="24"/>
        </w:rPr>
      </w:pPr>
      <w:r w:rsidRPr="00756ED2">
        <w:rPr>
          <w:rFonts w:ascii="Arial" w:hAnsi="Arial" w:cs="Arial"/>
          <w:sz w:val="24"/>
          <w:szCs w:val="24"/>
        </w:rPr>
        <w:t xml:space="preserve">With regards to the inclusion of regional governments and local authorities we generally concur with ESMA’s analysis in in number 85 that the wording should already be broad and general enough as to include financial instruments issued or guaranteed by these entities. In particular this is in line with the classification of such financial instruments as highly liquid under the LCR (see Art. 10 (1) (c) of the Delegated Regulation 2015/61; </w:t>
      </w:r>
      <w:hyperlink r:id="rId19" w:history="1">
        <w:r w:rsidRPr="003D278F">
          <w:rPr>
            <w:rStyle w:val="Hyperlink"/>
            <w:rFonts w:ascii="Arial" w:hAnsi="Arial" w:cs="Arial"/>
            <w:sz w:val="24"/>
            <w:szCs w:val="24"/>
          </w:rPr>
          <w:t>https://eur-lex.europa.eu/legal-content/EN/TXT/PDF/?uri=CELEX:32015R0061&amp;from=EN</w:t>
        </w:r>
      </w:hyperlink>
      <w:r w:rsidRPr="00756ED2">
        <w:rPr>
          <w:rFonts w:ascii="Arial" w:hAnsi="Arial" w:cs="Arial"/>
          <w:sz w:val="24"/>
          <w:szCs w:val="24"/>
        </w:rPr>
        <w:t>).</w:t>
      </w:r>
    </w:p>
    <w:p w14:paraId="0F1FDBD2" w14:textId="77777777" w:rsidR="002126F6" w:rsidRPr="00756ED2" w:rsidRDefault="002126F6" w:rsidP="002126F6">
      <w:pPr>
        <w:rPr>
          <w:rFonts w:ascii="Arial" w:hAnsi="Arial" w:cs="Arial"/>
          <w:sz w:val="24"/>
          <w:szCs w:val="24"/>
        </w:rPr>
      </w:pPr>
      <w:r w:rsidRPr="00756ED2">
        <w:rPr>
          <w:rFonts w:ascii="Arial" w:hAnsi="Arial" w:cs="Arial"/>
          <w:sz w:val="24"/>
          <w:szCs w:val="24"/>
        </w:rPr>
        <w:t>However, our experience has shown that the wording “governments” is not entirely clear in its scope. Some tend to restrict it to issuances or guarantees by central governments only.</w:t>
      </w:r>
    </w:p>
    <w:p w14:paraId="5440CEFF" w14:textId="77777777" w:rsidR="002126F6" w:rsidRPr="00756ED2" w:rsidRDefault="002126F6" w:rsidP="002126F6">
      <w:pPr>
        <w:rPr>
          <w:rFonts w:ascii="Arial" w:hAnsi="Arial" w:cs="Arial"/>
          <w:sz w:val="24"/>
          <w:szCs w:val="24"/>
        </w:rPr>
      </w:pPr>
      <w:r w:rsidRPr="00756ED2">
        <w:rPr>
          <w:rFonts w:ascii="Arial" w:hAnsi="Arial" w:cs="Arial"/>
          <w:sz w:val="24"/>
          <w:szCs w:val="24"/>
        </w:rPr>
        <w:t>We would, thus, propose to amend it to “central governments and regional governments”. Such differentiated wording corresponds, for example, to the wording used in Article 201 of the CRR.</w:t>
      </w:r>
    </w:p>
    <w:p w14:paraId="602C6F36" w14:textId="5551DFF5" w:rsidR="002427D5" w:rsidRPr="003B0BF2" w:rsidRDefault="002126F6" w:rsidP="002126F6">
      <w:pPr>
        <w:rPr>
          <w:rFonts w:ascii="Arial" w:hAnsi="Arial" w:cs="Arial"/>
          <w:sz w:val="24"/>
          <w:szCs w:val="24"/>
        </w:rPr>
      </w:pPr>
      <w:r w:rsidRPr="00756ED2">
        <w:rPr>
          <w:rFonts w:ascii="Arial" w:hAnsi="Arial" w:cs="Arial"/>
          <w:sz w:val="24"/>
          <w:szCs w:val="24"/>
        </w:rPr>
        <w:t>In addition, it indeed might make sense to add conditions similar to those outlined in Article 115 of the CRR. Defining the requirements in the respective regulation itself is often clearer than including references to other regulations.</w:t>
      </w:r>
    </w:p>
    <w:p w14:paraId="23B35850" w14:textId="5A26502A"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9B89C2B" w:rsidRPr="3F0C4E82">
        <w:rPr>
          <w:rFonts w:ascii="Arial" w:hAnsi="Arial" w:cs="Arial"/>
          <w:sz w:val="24"/>
          <w:szCs w:val="24"/>
        </w:rPr>
        <w:t xml:space="preserve"> CCP investment policy</w:t>
      </w:r>
      <w:r w:rsidRPr="3F0C4E82">
        <w:rPr>
          <w:rFonts w:ascii="Arial" w:hAnsi="Arial" w:cs="Arial"/>
          <w:sz w:val="24"/>
          <w:szCs w:val="24"/>
        </w:rPr>
        <w:t>_07&gt;</w:t>
      </w:r>
    </w:p>
    <w:bookmarkEnd w:id="1"/>
    <w:p w14:paraId="6896FF9E" w14:textId="14B0D9BA" w:rsidR="002427D5" w:rsidRPr="003B0BF2" w:rsidRDefault="002427D5" w:rsidP="002427D5">
      <w:pPr>
        <w:rPr>
          <w:rFonts w:ascii="Arial" w:hAnsi="Arial" w:cs="Arial"/>
          <w:sz w:val="24"/>
          <w:szCs w:val="24"/>
        </w:rPr>
      </w:pPr>
    </w:p>
    <w:p w14:paraId="3EF98387" w14:textId="090A27AD"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Should ESMA consider expanding condition (a) to certain debt instruments issued or backed by private entities? If so, to which type of corporate debt securities (Commercial Paper, Certificates of Deposits, covered bonds, etc.)? Under what conditions? How would the benefits outweigh the added risks?</w:t>
      </w:r>
    </w:p>
    <w:p w14:paraId="0537B09B" w14:textId="213F68D7"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7F5440B5"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_08&gt;</w:t>
      </w:r>
    </w:p>
    <w:p w14:paraId="447EE6A0" w14:textId="77777777" w:rsidR="002427D5" w:rsidRPr="003B0BF2" w:rsidRDefault="002427D5" w:rsidP="002427D5">
      <w:pPr>
        <w:rPr>
          <w:rFonts w:ascii="Arial" w:eastAsia="Times New Roman" w:hAnsi="Arial" w:cs="Arial"/>
          <w:sz w:val="24"/>
          <w:szCs w:val="24"/>
          <w:lang w:eastAsia="en-GB"/>
        </w:rPr>
      </w:pPr>
      <w:r w:rsidRPr="003B0BF2">
        <w:rPr>
          <w:rFonts w:ascii="Arial" w:eastAsia="Times New Roman" w:hAnsi="Arial" w:cs="Arial"/>
          <w:sz w:val="24"/>
          <w:szCs w:val="24"/>
          <w:highlight w:val="yellow"/>
          <w:lang w:eastAsia="en-GB"/>
        </w:rPr>
        <w:t>TYPE YOUR TEXT HERE</w:t>
      </w:r>
    </w:p>
    <w:p w14:paraId="0199E3CB" w14:textId="22B58501"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21ABC50C"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_08&gt;</w:t>
      </w:r>
      <w:r w:rsidRPr="3F0C4E82">
        <w:rPr>
          <w:rFonts w:ascii="Arial" w:hAnsi="Arial" w:cs="Arial"/>
          <w:b/>
          <w:bCs/>
          <w:sz w:val="24"/>
          <w:szCs w:val="24"/>
        </w:rPr>
        <w:t xml:space="preserve"> </w:t>
      </w:r>
    </w:p>
    <w:p w14:paraId="473A3340" w14:textId="77777777" w:rsidR="00D342D8" w:rsidRPr="003B0BF2" w:rsidRDefault="00D342D8" w:rsidP="002427D5">
      <w:pPr>
        <w:rPr>
          <w:rFonts w:ascii="Arial" w:hAnsi="Arial" w:cs="Arial"/>
          <w:b/>
          <w:sz w:val="24"/>
          <w:szCs w:val="24"/>
        </w:rPr>
      </w:pPr>
    </w:p>
    <w:p w14:paraId="541097B7" w14:textId="485BA610" w:rsidR="00344479" w:rsidRPr="003B0BF2" w:rsidRDefault="002427D5" w:rsidP="00344479">
      <w:pPr>
        <w:pStyle w:val="Questionstyle"/>
        <w:spacing w:line="480" w:lineRule="auto"/>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(b) on CCP internal assessments in Annex II:</w:t>
      </w:r>
    </w:p>
    <w:p w14:paraId="224AC60C" w14:textId="3F3767B1" w:rsidR="00344479"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lastRenderedPageBreak/>
        <w:t xml:space="preserve">What are, to your knowledge, the best practices used by CCPs to identify low credit and market risk? </w:t>
      </w:r>
    </w:p>
    <w:p w14:paraId="299C8A9C" w14:textId="65C5FF93" w:rsidR="00344479"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What are the safeguards put in place to avoid overreliance on external opinions, notably CRAs?</w:t>
      </w:r>
    </w:p>
    <w:p w14:paraId="1AE68457" w14:textId="1077492D" w:rsidR="002427D5"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In order to avoid supervisory divergence, do you deem necessary that ESMA issue further guidance on how NCAs should assess these provisions?</w:t>
      </w:r>
    </w:p>
    <w:p w14:paraId="186FC68D" w14:textId="0A2BAFD4"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6F1E8DE6"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1320CF40" w14:textId="77777777" w:rsidR="002427D5" w:rsidRPr="003B0BF2" w:rsidRDefault="002427D5" w:rsidP="002427D5">
      <w:pPr>
        <w:rPr>
          <w:rFonts w:ascii="Arial" w:eastAsia="Times New Roman" w:hAnsi="Arial" w:cs="Arial"/>
          <w:sz w:val="24"/>
          <w:szCs w:val="24"/>
          <w:lang w:eastAsia="en-GB"/>
        </w:rPr>
      </w:pPr>
      <w:r w:rsidRPr="003B0BF2">
        <w:rPr>
          <w:rFonts w:ascii="Arial" w:eastAsia="Times New Roman" w:hAnsi="Arial" w:cs="Arial"/>
          <w:sz w:val="24"/>
          <w:szCs w:val="24"/>
          <w:highlight w:val="yellow"/>
          <w:lang w:eastAsia="en-GB"/>
        </w:rPr>
        <w:t>TYPE YOUR TEXT HERE</w:t>
      </w:r>
    </w:p>
    <w:p w14:paraId="6CBB9909" w14:textId="4CF43966"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1E6E7DEB"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73EADB1A" w14:textId="77777777" w:rsidR="002427D5" w:rsidRPr="003B0BF2" w:rsidRDefault="002427D5" w:rsidP="00AA60F5">
      <w:pPr>
        <w:ind w:firstLine="142"/>
        <w:rPr>
          <w:rFonts w:ascii="Arial" w:hAnsi="Arial" w:cs="Arial"/>
          <w:sz w:val="24"/>
          <w:szCs w:val="24"/>
        </w:rPr>
      </w:pPr>
    </w:p>
    <w:p w14:paraId="13E45B2D" w14:textId="7078E9DD"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 xml:space="preserve">With regards to condition (c) on the average time to maturity, do you believe that this time period is appropriate? Should its calculation be further specified in the </w:t>
      </w:r>
      <w:proofErr w:type="gramStart"/>
      <w:r w:rsidR="00344479" w:rsidRPr="003B0BF2">
        <w:rPr>
          <w:rFonts w:ascii="Arial" w:hAnsi="Arial" w:cs="Arial"/>
          <w:sz w:val="24"/>
          <w:szCs w:val="24"/>
        </w:rPr>
        <w:t>RTS?</w:t>
      </w:r>
      <w:r w:rsidRPr="003B0BF2">
        <w:rPr>
          <w:rFonts w:ascii="Arial" w:hAnsi="Arial" w:cs="Arial"/>
          <w:sz w:val="24"/>
          <w:szCs w:val="24"/>
        </w:rPr>
        <w:t>.</w:t>
      </w:r>
      <w:proofErr w:type="gramEnd"/>
    </w:p>
    <w:p w14:paraId="3A8A8206" w14:textId="77777777" w:rsidR="002427D5" w:rsidRPr="003B0BF2" w:rsidRDefault="002427D5" w:rsidP="00AA60F5">
      <w:pPr>
        <w:pStyle w:val="Questionstyle"/>
        <w:numPr>
          <w:ilvl w:val="0"/>
          <w:numId w:val="0"/>
        </w:numPr>
        <w:rPr>
          <w:rFonts w:ascii="Arial" w:hAnsi="Arial" w:cs="Arial"/>
          <w:sz w:val="24"/>
          <w:szCs w:val="24"/>
        </w:rPr>
      </w:pPr>
    </w:p>
    <w:p w14:paraId="6EAAEE41" w14:textId="3BA52DD9" w:rsidR="002427D5" w:rsidRPr="003B0BF2" w:rsidRDefault="002427D5" w:rsidP="00AA60F5">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23E1E71" w:rsidRPr="3F0C4E82">
        <w:rPr>
          <w:rFonts w:ascii="Arial" w:hAnsi="Arial" w:cs="Arial"/>
          <w:sz w:val="24"/>
          <w:szCs w:val="24"/>
        </w:rPr>
        <w:t xml:space="preserve"> CCP investment policy</w:t>
      </w:r>
      <w:r w:rsidRPr="3F0C4E82">
        <w:rPr>
          <w:rFonts w:ascii="Arial" w:hAnsi="Arial" w:cs="Arial"/>
          <w:sz w:val="24"/>
          <w:szCs w:val="24"/>
        </w:rPr>
        <w:t>_10&gt;</w:t>
      </w:r>
    </w:p>
    <w:p w14:paraId="2E8317CB"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76349B0A" w14:textId="002E924A"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02484CF" w:rsidRPr="3F0C4E82">
        <w:rPr>
          <w:rFonts w:ascii="Arial" w:hAnsi="Arial" w:cs="Arial"/>
          <w:sz w:val="24"/>
          <w:szCs w:val="24"/>
        </w:rPr>
        <w:t xml:space="preserve"> CCP investment policy</w:t>
      </w:r>
      <w:r w:rsidRPr="3F0C4E82">
        <w:rPr>
          <w:rFonts w:ascii="Arial" w:hAnsi="Arial" w:cs="Arial"/>
          <w:sz w:val="24"/>
          <w:szCs w:val="24"/>
        </w:rPr>
        <w:t>_10&gt;</w:t>
      </w:r>
    </w:p>
    <w:p w14:paraId="5B2CB5BC" w14:textId="77777777" w:rsidR="002427D5" w:rsidRPr="003B0BF2" w:rsidRDefault="002427D5" w:rsidP="002427D5">
      <w:pPr>
        <w:rPr>
          <w:rFonts w:ascii="Arial" w:hAnsi="Arial" w:cs="Arial"/>
          <w:sz w:val="24"/>
          <w:szCs w:val="24"/>
        </w:rPr>
      </w:pPr>
    </w:p>
    <w:p w14:paraId="5D44C4BD" w14:textId="0CFC3CD2" w:rsidR="002427D5" w:rsidRPr="003B0BF2" w:rsidRDefault="6A72AC30"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With regards to conditions (d), (e), (f) and (g) under Annex II, should these be amended?</w:t>
      </w:r>
    </w:p>
    <w:p w14:paraId="3EDDC142" w14:textId="77777777" w:rsidR="00344479" w:rsidRPr="003B0BF2" w:rsidRDefault="00344479" w:rsidP="00344479">
      <w:pPr>
        <w:pStyle w:val="Questionstyle"/>
        <w:numPr>
          <w:ilvl w:val="0"/>
          <w:numId w:val="0"/>
        </w:numPr>
        <w:rPr>
          <w:rFonts w:ascii="Arial" w:hAnsi="Arial" w:cs="Arial"/>
          <w:sz w:val="24"/>
          <w:szCs w:val="24"/>
        </w:rPr>
      </w:pPr>
    </w:p>
    <w:p w14:paraId="6D534E3B" w14:textId="66A557CA"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6E0D96C" w:rsidRPr="3F0C4E82">
        <w:rPr>
          <w:rFonts w:ascii="Arial" w:hAnsi="Arial" w:cs="Arial"/>
          <w:sz w:val="24"/>
          <w:szCs w:val="24"/>
        </w:rPr>
        <w:t xml:space="preserve"> CCP investment policy</w:t>
      </w:r>
      <w:r w:rsidRPr="3F0C4E82">
        <w:rPr>
          <w:rFonts w:ascii="Arial" w:hAnsi="Arial" w:cs="Arial"/>
          <w:sz w:val="24"/>
          <w:szCs w:val="24"/>
        </w:rPr>
        <w:t>_11&gt;</w:t>
      </w:r>
    </w:p>
    <w:p w14:paraId="2FED162F"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3578E084" w14:textId="37AFC7B8"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1DF02BDB" w:rsidRPr="3F0C4E82">
        <w:rPr>
          <w:rFonts w:ascii="Arial" w:hAnsi="Arial" w:cs="Arial"/>
          <w:sz w:val="24"/>
          <w:szCs w:val="24"/>
        </w:rPr>
        <w:t xml:space="preserve"> CCP investment policy</w:t>
      </w:r>
      <w:r w:rsidRPr="3F0C4E82">
        <w:rPr>
          <w:rFonts w:ascii="Arial" w:hAnsi="Arial" w:cs="Arial"/>
          <w:sz w:val="24"/>
          <w:szCs w:val="24"/>
        </w:rPr>
        <w:t>_11&gt;</w:t>
      </w:r>
    </w:p>
    <w:p w14:paraId="2B20FB55" w14:textId="77777777" w:rsidR="00344479" w:rsidRPr="003B0BF2" w:rsidRDefault="00344479" w:rsidP="00344479">
      <w:pPr>
        <w:rPr>
          <w:rFonts w:ascii="Arial" w:hAnsi="Arial" w:cs="Arial"/>
          <w:sz w:val="24"/>
          <w:szCs w:val="24"/>
          <w:lang w:eastAsia="en-GB"/>
        </w:rPr>
      </w:pPr>
    </w:p>
    <w:p w14:paraId="3C1227B5" w14:textId="478503BF" w:rsidR="00344479" w:rsidRPr="003B0BF2" w:rsidRDefault="2B87F679"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this conclusion? To what extent are MMFs currently used as collateral or CCP investments beyond the EU?</w:t>
      </w:r>
    </w:p>
    <w:p w14:paraId="5687A0FD" w14:textId="77777777" w:rsidR="00344479" w:rsidRPr="003B0BF2" w:rsidRDefault="00344479" w:rsidP="00344479">
      <w:pPr>
        <w:pStyle w:val="Questionstyle"/>
        <w:numPr>
          <w:ilvl w:val="0"/>
          <w:numId w:val="0"/>
        </w:numPr>
        <w:rPr>
          <w:rFonts w:ascii="Arial" w:hAnsi="Arial" w:cs="Arial"/>
          <w:sz w:val="24"/>
          <w:szCs w:val="24"/>
        </w:rPr>
      </w:pPr>
    </w:p>
    <w:p w14:paraId="48CC7B92" w14:textId="59B64C44"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710D8683" w:rsidRPr="3F0C4E82">
        <w:rPr>
          <w:rFonts w:ascii="Arial" w:hAnsi="Arial" w:cs="Arial"/>
          <w:sz w:val="24"/>
          <w:szCs w:val="24"/>
        </w:rPr>
        <w:t xml:space="preserve"> CCP investment policy</w:t>
      </w:r>
      <w:r w:rsidRPr="3F0C4E82">
        <w:rPr>
          <w:rFonts w:ascii="Arial" w:hAnsi="Arial" w:cs="Arial"/>
          <w:sz w:val="24"/>
          <w:szCs w:val="24"/>
        </w:rPr>
        <w:t>_12&gt;</w:t>
      </w:r>
    </w:p>
    <w:p w14:paraId="67AD7DF5"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05C60BC1" w14:textId="4CE32A95"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71564458" w:rsidRPr="3F0C4E82">
        <w:rPr>
          <w:rFonts w:ascii="Arial" w:hAnsi="Arial" w:cs="Arial"/>
          <w:sz w:val="24"/>
          <w:szCs w:val="24"/>
        </w:rPr>
        <w:t xml:space="preserve"> CCP investment policy </w:t>
      </w:r>
      <w:r w:rsidRPr="3F0C4E82">
        <w:rPr>
          <w:rFonts w:ascii="Arial" w:hAnsi="Arial" w:cs="Arial"/>
          <w:sz w:val="24"/>
          <w:szCs w:val="24"/>
        </w:rPr>
        <w:t>_12&gt;</w:t>
      </w:r>
    </w:p>
    <w:p w14:paraId="58848253" w14:textId="77777777" w:rsidR="00344479" w:rsidRPr="003B0BF2" w:rsidRDefault="00344479" w:rsidP="00344479">
      <w:pPr>
        <w:rPr>
          <w:rFonts w:ascii="Arial" w:hAnsi="Arial" w:cs="Arial"/>
          <w:sz w:val="24"/>
          <w:szCs w:val="24"/>
          <w:lang w:eastAsia="en-GB"/>
        </w:rPr>
      </w:pPr>
    </w:p>
    <w:p w14:paraId="645FAD0E" w14:textId="7229732E" w:rsidR="00344479" w:rsidRPr="003B0BF2" w:rsidRDefault="1E4619C1" w:rsidP="00344479">
      <w:pPr>
        <w:pStyle w:val="Questionstyle"/>
        <w:rPr>
          <w:rFonts w:ascii="Arial" w:hAnsi="Arial" w:cs="Arial"/>
          <w:sz w:val="24"/>
          <w:szCs w:val="24"/>
        </w:rPr>
      </w:pPr>
      <w:r w:rsidRPr="3F0C4E82">
        <w:rPr>
          <w:rFonts w:ascii="Arial" w:hAnsi="Arial" w:cs="Arial"/>
          <w:sz w:val="24"/>
          <w:szCs w:val="24"/>
        </w:rPr>
        <w:lastRenderedPageBreak/>
        <w:t xml:space="preserve">: </w:t>
      </w:r>
      <w:r w:rsidR="00344479" w:rsidRPr="3F0C4E82">
        <w:rPr>
          <w:rFonts w:ascii="Arial" w:hAnsi="Arial" w:cs="Arial"/>
          <w:sz w:val="24"/>
          <w:szCs w:val="24"/>
        </w:rPr>
        <w:t>Do you agree with the premise that the assets held by eligible MMFs for CCP investment should at least meet the same criteria as for other financial instruments?</w:t>
      </w:r>
    </w:p>
    <w:p w14:paraId="2BC8FFEE" w14:textId="77777777" w:rsidR="00344479" w:rsidRPr="003B0BF2" w:rsidRDefault="00344479" w:rsidP="00344479">
      <w:pPr>
        <w:pStyle w:val="Questionstyle"/>
        <w:numPr>
          <w:ilvl w:val="0"/>
          <w:numId w:val="0"/>
        </w:numPr>
        <w:rPr>
          <w:rFonts w:ascii="Arial" w:hAnsi="Arial" w:cs="Arial"/>
          <w:sz w:val="24"/>
          <w:szCs w:val="24"/>
        </w:rPr>
      </w:pPr>
    </w:p>
    <w:p w14:paraId="17B569B4" w14:textId="3978763F"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64C01AB6" w:rsidRPr="3F0C4E82">
        <w:rPr>
          <w:rFonts w:ascii="Arial" w:hAnsi="Arial" w:cs="Arial"/>
          <w:sz w:val="24"/>
          <w:szCs w:val="24"/>
        </w:rPr>
        <w:t xml:space="preserve"> CCP investment policy</w:t>
      </w:r>
      <w:r w:rsidRPr="3F0C4E82">
        <w:rPr>
          <w:rFonts w:ascii="Arial" w:hAnsi="Arial" w:cs="Arial"/>
          <w:sz w:val="24"/>
          <w:szCs w:val="24"/>
        </w:rPr>
        <w:t>_13&gt;</w:t>
      </w:r>
    </w:p>
    <w:p w14:paraId="25A4E846"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426F7CA7" w14:textId="1D627F14"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4089FA3A" w:rsidRPr="3F0C4E82">
        <w:rPr>
          <w:rFonts w:ascii="Arial" w:hAnsi="Arial" w:cs="Arial"/>
          <w:sz w:val="24"/>
          <w:szCs w:val="24"/>
        </w:rPr>
        <w:t xml:space="preserve"> CCP investment policy </w:t>
      </w:r>
      <w:r w:rsidRPr="3F0C4E82">
        <w:rPr>
          <w:rFonts w:ascii="Arial" w:hAnsi="Arial" w:cs="Arial"/>
          <w:sz w:val="24"/>
          <w:szCs w:val="24"/>
        </w:rPr>
        <w:t>_13&gt;</w:t>
      </w:r>
    </w:p>
    <w:p w14:paraId="094CC43C" w14:textId="77777777" w:rsidR="00344479" w:rsidRPr="003B0BF2" w:rsidRDefault="00344479" w:rsidP="00344479">
      <w:pPr>
        <w:rPr>
          <w:rFonts w:ascii="Arial" w:hAnsi="Arial" w:cs="Arial"/>
          <w:sz w:val="24"/>
          <w:szCs w:val="24"/>
          <w:lang w:eastAsia="en-GB"/>
        </w:rPr>
      </w:pPr>
    </w:p>
    <w:p w14:paraId="6BAA6EB8" w14:textId="3F244379" w:rsidR="00344479" w:rsidRPr="003B0BF2" w:rsidRDefault="5A1C1FB4"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In your view, how could ESMA bridge the need for macroprudential tools for MMFs and the need for high quality and highly liquid collateral for CCPs?</w:t>
      </w:r>
    </w:p>
    <w:p w14:paraId="37A3D906" w14:textId="77777777" w:rsidR="00344479" w:rsidRPr="003B0BF2" w:rsidRDefault="00344479" w:rsidP="00344479">
      <w:pPr>
        <w:pStyle w:val="Questionstyle"/>
        <w:numPr>
          <w:ilvl w:val="0"/>
          <w:numId w:val="0"/>
        </w:numPr>
        <w:rPr>
          <w:rFonts w:ascii="Arial" w:hAnsi="Arial" w:cs="Arial"/>
          <w:sz w:val="24"/>
          <w:szCs w:val="24"/>
        </w:rPr>
      </w:pPr>
    </w:p>
    <w:p w14:paraId="2E2D8885" w14:textId="3F823A65"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6F4269D5" w:rsidRPr="3F0C4E82">
        <w:rPr>
          <w:rFonts w:ascii="Arial" w:hAnsi="Arial" w:cs="Arial"/>
          <w:sz w:val="24"/>
          <w:szCs w:val="24"/>
        </w:rPr>
        <w:t xml:space="preserve"> CCP investment policy</w:t>
      </w:r>
      <w:r w:rsidRPr="3F0C4E82">
        <w:rPr>
          <w:rFonts w:ascii="Arial" w:hAnsi="Arial" w:cs="Arial"/>
          <w:sz w:val="24"/>
          <w:szCs w:val="24"/>
        </w:rPr>
        <w:t>_14&gt;</w:t>
      </w:r>
    </w:p>
    <w:p w14:paraId="23DB1C60"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27DC6259" w14:textId="72F216E2"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2806F5B" w:rsidRPr="3F0C4E82">
        <w:rPr>
          <w:rFonts w:ascii="Arial" w:hAnsi="Arial" w:cs="Arial"/>
          <w:sz w:val="24"/>
          <w:szCs w:val="24"/>
        </w:rPr>
        <w:t xml:space="preserve"> CCP investment policy</w:t>
      </w:r>
      <w:r w:rsidRPr="3F0C4E82">
        <w:rPr>
          <w:rFonts w:ascii="Arial" w:hAnsi="Arial" w:cs="Arial"/>
          <w:sz w:val="24"/>
          <w:szCs w:val="24"/>
        </w:rPr>
        <w:t>_14&gt;</w:t>
      </w:r>
    </w:p>
    <w:p w14:paraId="471F2CB4" w14:textId="77777777" w:rsidR="00344479" w:rsidRPr="003B0BF2" w:rsidRDefault="00344479" w:rsidP="00344479">
      <w:pPr>
        <w:rPr>
          <w:rFonts w:ascii="Arial" w:hAnsi="Arial" w:cs="Arial"/>
          <w:sz w:val="24"/>
          <w:szCs w:val="24"/>
          <w:lang w:eastAsia="en-GB"/>
        </w:rPr>
      </w:pPr>
    </w:p>
    <w:p w14:paraId="6BB7B51A" w14:textId="30099524" w:rsidR="00344479" w:rsidRPr="003B0BF2" w:rsidRDefault="11F598A6"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ESMA that it is not appropriate at this stage to decide on the potential eligibility of MMFs for CCP investments before policy discussions on MMFs at the international and EU levels are finalized?</w:t>
      </w:r>
    </w:p>
    <w:p w14:paraId="00D192F9" w14:textId="77777777" w:rsidR="00344479" w:rsidRPr="003B0BF2" w:rsidRDefault="00344479" w:rsidP="00344479">
      <w:pPr>
        <w:pStyle w:val="Questionstyle"/>
        <w:numPr>
          <w:ilvl w:val="0"/>
          <w:numId w:val="0"/>
        </w:numPr>
        <w:rPr>
          <w:rFonts w:ascii="Arial" w:hAnsi="Arial" w:cs="Arial"/>
          <w:sz w:val="24"/>
          <w:szCs w:val="24"/>
        </w:rPr>
      </w:pPr>
    </w:p>
    <w:p w14:paraId="729AE249" w14:textId="40305C62"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565103A4" w:rsidRPr="3F0C4E82">
        <w:rPr>
          <w:rFonts w:ascii="Arial" w:hAnsi="Arial" w:cs="Arial"/>
          <w:sz w:val="24"/>
          <w:szCs w:val="24"/>
        </w:rPr>
        <w:t xml:space="preserve"> CCP investment policy</w:t>
      </w:r>
      <w:r w:rsidRPr="3F0C4E82">
        <w:rPr>
          <w:rFonts w:ascii="Arial" w:hAnsi="Arial" w:cs="Arial"/>
          <w:sz w:val="24"/>
          <w:szCs w:val="24"/>
        </w:rPr>
        <w:t>_15&gt;</w:t>
      </w:r>
    </w:p>
    <w:p w14:paraId="3AE807E0"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7282F1DE" w14:textId="61301359"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69B16BB" w:rsidRPr="3F0C4E82">
        <w:rPr>
          <w:rFonts w:ascii="Arial" w:hAnsi="Arial" w:cs="Arial"/>
          <w:sz w:val="24"/>
          <w:szCs w:val="24"/>
        </w:rPr>
        <w:t xml:space="preserve"> CCP investment policy</w:t>
      </w:r>
      <w:r w:rsidRPr="3F0C4E82">
        <w:rPr>
          <w:rFonts w:ascii="Arial" w:hAnsi="Arial" w:cs="Arial"/>
          <w:sz w:val="24"/>
          <w:szCs w:val="24"/>
        </w:rPr>
        <w:t>_15&gt;</w:t>
      </w:r>
    </w:p>
    <w:p w14:paraId="2DDFFE1F" w14:textId="77777777" w:rsidR="00344479" w:rsidRPr="003B0BF2" w:rsidRDefault="00344479" w:rsidP="00344479">
      <w:pPr>
        <w:rPr>
          <w:rFonts w:ascii="Arial" w:hAnsi="Arial" w:cs="Arial"/>
          <w:sz w:val="24"/>
          <w:szCs w:val="24"/>
          <w:lang w:eastAsia="en-GB"/>
        </w:rPr>
      </w:pPr>
    </w:p>
    <w:p w14:paraId="4E7E730A" w14:textId="3D78A6D6" w:rsidR="00344479" w:rsidRPr="003B0BF2" w:rsidRDefault="608BD9F3"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considered highly liquid with minimal market and credit risk, in the context of EU CCPs’ investment policies?</w:t>
      </w:r>
    </w:p>
    <w:p w14:paraId="47DCAD56" w14:textId="77777777" w:rsidR="00344479" w:rsidRPr="003B0BF2" w:rsidRDefault="00344479" w:rsidP="00344479">
      <w:pPr>
        <w:pStyle w:val="Questionstyle"/>
        <w:numPr>
          <w:ilvl w:val="0"/>
          <w:numId w:val="0"/>
        </w:numPr>
        <w:rPr>
          <w:rFonts w:ascii="Arial" w:hAnsi="Arial" w:cs="Arial"/>
          <w:sz w:val="24"/>
          <w:szCs w:val="24"/>
        </w:rPr>
      </w:pPr>
    </w:p>
    <w:p w14:paraId="378F1F96" w14:textId="24C5424D"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5EB62BD" w:rsidRPr="3F0C4E82">
        <w:rPr>
          <w:rFonts w:ascii="Arial" w:hAnsi="Arial" w:cs="Arial"/>
          <w:sz w:val="24"/>
          <w:szCs w:val="24"/>
        </w:rPr>
        <w:t xml:space="preserve"> CCP investment policy</w:t>
      </w:r>
      <w:r w:rsidRPr="3F0C4E82">
        <w:rPr>
          <w:rFonts w:ascii="Arial" w:hAnsi="Arial" w:cs="Arial"/>
          <w:sz w:val="24"/>
          <w:szCs w:val="24"/>
        </w:rPr>
        <w:t>_16&gt;</w:t>
      </w:r>
    </w:p>
    <w:p w14:paraId="08BB7C10"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1B9318A1" w14:textId="20516C68"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7BE879CF" w:rsidRPr="3F0C4E82">
        <w:rPr>
          <w:rFonts w:ascii="Arial" w:hAnsi="Arial" w:cs="Arial"/>
          <w:sz w:val="24"/>
          <w:szCs w:val="24"/>
        </w:rPr>
        <w:t xml:space="preserve"> CCP investment policy</w:t>
      </w:r>
      <w:r w:rsidRPr="3F0C4E82">
        <w:rPr>
          <w:rFonts w:ascii="Arial" w:hAnsi="Arial" w:cs="Arial"/>
          <w:sz w:val="24"/>
          <w:szCs w:val="24"/>
        </w:rPr>
        <w:t>_16&gt;</w:t>
      </w:r>
    </w:p>
    <w:p w14:paraId="3483D49D" w14:textId="77777777" w:rsidR="00344479" w:rsidRPr="003B0BF2" w:rsidRDefault="00344479" w:rsidP="00344479">
      <w:pPr>
        <w:rPr>
          <w:rFonts w:ascii="Arial" w:hAnsi="Arial" w:cs="Arial"/>
          <w:sz w:val="24"/>
          <w:szCs w:val="24"/>
          <w:lang w:eastAsia="en-GB"/>
        </w:rPr>
      </w:pPr>
    </w:p>
    <w:p w14:paraId="40805716" w14:textId="2D48FC68" w:rsidR="00344479" w:rsidRPr="003B0BF2" w:rsidRDefault="602E5800"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to money market funds authorised in accordance with MMFR?</w:t>
      </w:r>
    </w:p>
    <w:p w14:paraId="6CE41C8C" w14:textId="77777777" w:rsidR="00344479" w:rsidRPr="003B0BF2" w:rsidRDefault="00344479" w:rsidP="00344479">
      <w:pPr>
        <w:pStyle w:val="Questionstyle"/>
        <w:numPr>
          <w:ilvl w:val="0"/>
          <w:numId w:val="0"/>
        </w:numPr>
        <w:rPr>
          <w:rFonts w:ascii="Arial" w:hAnsi="Arial" w:cs="Arial"/>
          <w:sz w:val="24"/>
          <w:szCs w:val="24"/>
        </w:rPr>
      </w:pPr>
    </w:p>
    <w:p w14:paraId="77B7AC58" w14:textId="163CF22D"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074037EC" w:rsidRPr="3F0C4E82">
        <w:rPr>
          <w:rFonts w:ascii="Arial" w:hAnsi="Arial" w:cs="Arial"/>
          <w:sz w:val="24"/>
          <w:szCs w:val="24"/>
        </w:rPr>
        <w:t xml:space="preserve"> CCP investment policy</w:t>
      </w:r>
      <w:r w:rsidRPr="3F0C4E82">
        <w:rPr>
          <w:rFonts w:ascii="Arial" w:hAnsi="Arial" w:cs="Arial"/>
          <w:sz w:val="24"/>
          <w:szCs w:val="24"/>
        </w:rPr>
        <w:t>_17&gt;</w:t>
      </w:r>
    </w:p>
    <w:p w14:paraId="5C5B9926"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410F2298" w14:textId="52E890AA"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429C3409" w:rsidRPr="3F0C4E82">
        <w:rPr>
          <w:rFonts w:ascii="Arial" w:hAnsi="Arial" w:cs="Arial"/>
          <w:sz w:val="24"/>
          <w:szCs w:val="24"/>
        </w:rPr>
        <w:t xml:space="preserve"> CCP investment policy</w:t>
      </w:r>
      <w:r w:rsidRPr="3F0C4E82">
        <w:rPr>
          <w:rFonts w:ascii="Arial" w:hAnsi="Arial" w:cs="Arial"/>
          <w:sz w:val="24"/>
          <w:szCs w:val="24"/>
        </w:rPr>
        <w:t>_17&gt;</w:t>
      </w:r>
    </w:p>
    <w:p w14:paraId="33C47AB7" w14:textId="77777777" w:rsidR="00344479" w:rsidRPr="00344479" w:rsidRDefault="00344479" w:rsidP="00344479">
      <w:pPr>
        <w:rPr>
          <w:lang w:eastAsia="en-GB"/>
        </w:rPr>
      </w:pPr>
    </w:p>
    <w:p w14:paraId="1342EA6E" w14:textId="77777777" w:rsidR="00344479" w:rsidRPr="00344479" w:rsidRDefault="00344479" w:rsidP="00344479">
      <w:pPr>
        <w:rPr>
          <w:lang w:eastAsia="en-GB"/>
        </w:rPr>
      </w:pPr>
    </w:p>
    <w:p w14:paraId="462306E6" w14:textId="77777777" w:rsidR="00344479" w:rsidRPr="00344479" w:rsidRDefault="00344479" w:rsidP="00344479">
      <w:pPr>
        <w:rPr>
          <w:lang w:eastAsia="en-GB"/>
        </w:rPr>
      </w:pPr>
    </w:p>
    <w:p w14:paraId="1641973A" w14:textId="77777777" w:rsidR="00344479" w:rsidRPr="00344479" w:rsidRDefault="00344479" w:rsidP="00344479">
      <w:pPr>
        <w:rPr>
          <w:lang w:eastAsia="en-GB"/>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FCB0" w14:textId="77777777" w:rsidR="00026C88" w:rsidRDefault="00026C88">
      <w:pPr>
        <w:spacing w:after="0" w:line="240" w:lineRule="auto"/>
      </w:pPr>
      <w:r>
        <w:separator/>
      </w:r>
    </w:p>
  </w:endnote>
  <w:endnote w:type="continuationSeparator" w:id="0">
    <w:p w14:paraId="5462D08D" w14:textId="77777777" w:rsidR="00026C88" w:rsidRDefault="0002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026C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53E9BAB5" w:rsidR="005D12F3" w:rsidRPr="004E0345" w:rsidRDefault="009612F8" w:rsidP="007A160F">
    <w:pPr>
      <w:pStyle w:val="Fuzeile"/>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2A6D4E">
      <w:rPr>
        <w:rFonts w:asciiTheme="minorHAnsi" w:hAnsiTheme="minorHAnsi" w:cstheme="minorHAnsi"/>
        <w:color w:val="FFFFFF" w:themeColor="background1"/>
      </w:rPr>
      <w:t>19</w:t>
    </w:r>
    <w:r w:rsidR="004E0345" w:rsidRPr="004E0345">
      <w:rPr>
        <w:rFonts w:asciiTheme="minorHAnsi" w:hAnsiTheme="minorHAnsi" w:cstheme="minorHAnsi"/>
        <w:color w:val="FFFFFF" w:themeColor="background1"/>
      </w:rPr>
      <w:t xml:space="preserve"> </w:t>
    </w:r>
    <w:r w:rsidR="002A6D4E">
      <w:rPr>
        <w:rFonts w:asciiTheme="minorHAnsi" w:hAnsiTheme="minorHAnsi" w:cstheme="minorHAnsi"/>
        <w:color w:val="FFFFFF" w:themeColor="background1"/>
      </w:rPr>
      <w:t>November</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4E0345">
      <w:rPr>
        <w:rFonts w:asciiTheme="minorHAnsi" w:hAnsiTheme="minorHAnsi" w:cstheme="minorHAnsi"/>
        <w:color w:val="FFFFFF" w:themeColor="background1"/>
      </w:rPr>
      <w:t>ESMA 91</w:t>
    </w:r>
    <w:r w:rsidRPr="004E0345">
      <w:rPr>
        <w:rFonts w:asciiTheme="minorHAnsi" w:hAnsiTheme="minorHAnsi" w:cstheme="minorHAnsi"/>
        <w:color w:val="FFFFFF" w:themeColor="background1"/>
      </w:rPr>
      <w:t>-</w:t>
    </w:r>
    <w:r w:rsidR="004E0345" w:rsidRPr="004E0345">
      <w:rPr>
        <w:rFonts w:asciiTheme="minorHAnsi" w:hAnsiTheme="minorHAnsi" w:cstheme="minorHAnsi"/>
        <w:color w:val="FFFFFF" w:themeColor="background1"/>
      </w:rPr>
      <w:t>372</w:t>
    </w:r>
    <w:r w:rsidRPr="004E0345">
      <w:rPr>
        <w:rFonts w:asciiTheme="minorHAnsi" w:hAnsiTheme="minorHAnsi" w:cstheme="minorHAnsi"/>
        <w:color w:val="FFFFFF" w:themeColor="background1"/>
      </w:rPr>
      <w:t>-</w:t>
    </w:r>
    <w:r w:rsidR="004E0345" w:rsidRPr="004E0345">
      <w:rPr>
        <w:rFonts w:asciiTheme="minorHAnsi" w:hAnsiTheme="minorHAnsi" w:cstheme="minorHAnsi"/>
        <w:color w:val="FFFFFF" w:themeColor="background1"/>
      </w:rPr>
      <w:t>15</w:t>
    </w:r>
    <w:r w:rsidR="002A6D4E">
      <w:rPr>
        <w:rFonts w:asciiTheme="minorHAnsi" w:hAnsiTheme="minorHAnsi" w:cstheme="minorHAnsi"/>
        <w:color w:val="FFFFFF" w:themeColor="background1"/>
      </w:rPr>
      <w:t>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09B6" w14:textId="77777777" w:rsidR="00026C88" w:rsidRDefault="00026C88">
      <w:pPr>
        <w:spacing w:after="0" w:line="240" w:lineRule="auto"/>
      </w:pPr>
      <w:r>
        <w:separator/>
      </w:r>
    </w:p>
  </w:footnote>
  <w:footnote w:type="continuationSeparator" w:id="0">
    <w:p w14:paraId="03F2913A" w14:textId="77777777" w:rsidR="00026C88" w:rsidRDefault="00026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5D12F3" w:rsidRDefault="00026C88">
    <w:pPr>
      <w:pStyle w:val="Kopfzeile"/>
    </w:pPr>
  </w:p>
  <w:p w14:paraId="406770CC" w14:textId="77777777" w:rsidR="005D12F3" w:rsidRDefault="00026C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Kopfzeile"/>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E640CB"/>
    <w:multiLevelType w:val="hybridMultilevel"/>
    <w:tmpl w:val="C7B287CE"/>
    <w:lvl w:ilvl="0" w:tplc="0813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734E84"/>
    <w:multiLevelType w:val="hybridMultilevel"/>
    <w:tmpl w:val="AC1C390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6"/>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26C88"/>
    <w:rsid w:val="0010625B"/>
    <w:rsid w:val="002126F6"/>
    <w:rsid w:val="002427D5"/>
    <w:rsid w:val="002A6D4E"/>
    <w:rsid w:val="002C5D8E"/>
    <w:rsid w:val="00344479"/>
    <w:rsid w:val="003B0BF2"/>
    <w:rsid w:val="003C45D8"/>
    <w:rsid w:val="004A4DDB"/>
    <w:rsid w:val="004E0345"/>
    <w:rsid w:val="00661C42"/>
    <w:rsid w:val="00747C2E"/>
    <w:rsid w:val="00793CF7"/>
    <w:rsid w:val="008167AC"/>
    <w:rsid w:val="009612F8"/>
    <w:rsid w:val="00A92D8C"/>
    <w:rsid w:val="00AA60F5"/>
    <w:rsid w:val="00C567F0"/>
    <w:rsid w:val="00D342D8"/>
    <w:rsid w:val="00E30499"/>
    <w:rsid w:val="00EC29DA"/>
    <w:rsid w:val="02118703"/>
    <w:rsid w:val="02637113"/>
    <w:rsid w:val="02806F5B"/>
    <w:rsid w:val="04364A4F"/>
    <w:rsid w:val="04430973"/>
    <w:rsid w:val="048AB3B3"/>
    <w:rsid w:val="069B16BB"/>
    <w:rsid w:val="074037EC"/>
    <w:rsid w:val="08EC68F4"/>
    <w:rsid w:val="0A863D8E"/>
    <w:rsid w:val="0F497287"/>
    <w:rsid w:val="1108641E"/>
    <w:rsid w:val="11F598A6"/>
    <w:rsid w:val="1DF02BDB"/>
    <w:rsid w:val="1E4619C1"/>
    <w:rsid w:val="1E6E7DEB"/>
    <w:rsid w:val="1E8354FF"/>
    <w:rsid w:val="21ABC50C"/>
    <w:rsid w:val="223E1E71"/>
    <w:rsid w:val="22C245CF"/>
    <w:rsid w:val="250E75CB"/>
    <w:rsid w:val="25EB62BD"/>
    <w:rsid w:val="26E0D96C"/>
    <w:rsid w:val="2A1194EA"/>
    <w:rsid w:val="2B87F679"/>
    <w:rsid w:val="2F74A411"/>
    <w:rsid w:val="322D2D05"/>
    <w:rsid w:val="3303093B"/>
    <w:rsid w:val="3B8E2905"/>
    <w:rsid w:val="3F0C4E82"/>
    <w:rsid w:val="4089FA3A"/>
    <w:rsid w:val="429C3409"/>
    <w:rsid w:val="451346A8"/>
    <w:rsid w:val="45820F52"/>
    <w:rsid w:val="45859F23"/>
    <w:rsid w:val="45EB5968"/>
    <w:rsid w:val="495D57BE"/>
    <w:rsid w:val="4AE86471"/>
    <w:rsid w:val="4B97F04B"/>
    <w:rsid w:val="4C170CA1"/>
    <w:rsid w:val="4D0646EA"/>
    <w:rsid w:val="4DB2AB2B"/>
    <w:rsid w:val="502484CF"/>
    <w:rsid w:val="53373E55"/>
    <w:rsid w:val="565103A4"/>
    <w:rsid w:val="589A729C"/>
    <w:rsid w:val="59B89C2B"/>
    <w:rsid w:val="5A1C1FB4"/>
    <w:rsid w:val="5C0C7947"/>
    <w:rsid w:val="5F583685"/>
    <w:rsid w:val="602E5800"/>
    <w:rsid w:val="608BD9F3"/>
    <w:rsid w:val="64166549"/>
    <w:rsid w:val="64C01AB6"/>
    <w:rsid w:val="6A72AC30"/>
    <w:rsid w:val="6E7ED9EF"/>
    <w:rsid w:val="6F1E8DE6"/>
    <w:rsid w:val="6F4269D5"/>
    <w:rsid w:val="710D8683"/>
    <w:rsid w:val="71564458"/>
    <w:rsid w:val="73AF8A82"/>
    <w:rsid w:val="76774DDD"/>
    <w:rsid w:val="7BE879CF"/>
    <w:rsid w:val="7F5440B5"/>
    <w:rsid w:val="7F6F9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27D5"/>
  </w:style>
  <w:style w:type="paragraph" w:styleId="berschrift1">
    <w:name w:val="heading 1"/>
    <w:basedOn w:val="Standard"/>
    <w:next w:val="Standard"/>
    <w:link w:val="berschrift1Zchn"/>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berschrift2">
    <w:name w:val="heading 2"/>
    <w:basedOn w:val="Standard"/>
    <w:next w:val="Standard"/>
    <w:link w:val="berschrift2Zchn"/>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berschrift3">
    <w:name w:val="heading 3"/>
    <w:basedOn w:val="Standard"/>
    <w:next w:val="Standard"/>
    <w:link w:val="berschrift3Zchn"/>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berschrift4">
    <w:name w:val="heading 4"/>
    <w:basedOn w:val="Standard"/>
    <w:next w:val="Standard"/>
    <w:link w:val="berschrift4Zchn"/>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berschrift6">
    <w:name w:val="heading 6"/>
    <w:basedOn w:val="Standard"/>
    <w:next w:val="Standard"/>
    <w:link w:val="berschrift6Zchn"/>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berschrift7">
    <w:name w:val="heading 7"/>
    <w:basedOn w:val="Standard"/>
    <w:next w:val="Standard"/>
    <w:link w:val="berschrift7Zchn"/>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berschrift8">
    <w:name w:val="heading 8"/>
    <w:basedOn w:val="Standard"/>
    <w:next w:val="Standard"/>
    <w:link w:val="berschrift8Zchn"/>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berschrift9">
    <w:name w:val="heading 9"/>
    <w:basedOn w:val="Standard"/>
    <w:next w:val="Standard"/>
    <w:link w:val="berschrift9Zchn"/>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27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27D5"/>
    <w:rPr>
      <w:rFonts w:ascii="Segoe UI" w:hAnsi="Segoe UI" w:cs="Segoe UI"/>
      <w:sz w:val="18"/>
      <w:szCs w:val="18"/>
    </w:rPr>
  </w:style>
  <w:style w:type="character" w:customStyle="1" w:styleId="berschrift1Zchn">
    <w:name w:val="Überschrift 1 Zchn"/>
    <w:basedOn w:val="Absatz-Standardschriftart"/>
    <w:link w:val="berschrift1"/>
    <w:rsid w:val="002427D5"/>
    <w:rPr>
      <w:rFonts w:asciiTheme="majorHAnsi" w:eastAsiaTheme="majorEastAsia" w:hAnsiTheme="majorHAnsi" w:cstheme="majorBidi"/>
      <w:b/>
      <w:sz w:val="32"/>
      <w:szCs w:val="32"/>
      <w:lang w:eastAsia="en-GB"/>
    </w:rPr>
  </w:style>
  <w:style w:type="character" w:customStyle="1" w:styleId="berschrift2Zchn">
    <w:name w:val="Überschrift 2 Zchn"/>
    <w:basedOn w:val="Absatz-Standardschriftart"/>
    <w:link w:val="berschrift2"/>
    <w:rsid w:val="002427D5"/>
    <w:rPr>
      <w:rFonts w:asciiTheme="majorHAnsi" w:eastAsiaTheme="majorEastAsia" w:hAnsiTheme="majorHAnsi" w:cstheme="majorBidi"/>
      <w:b/>
      <w:sz w:val="28"/>
      <w:szCs w:val="28"/>
      <w:lang w:eastAsia="en-GB"/>
    </w:rPr>
  </w:style>
  <w:style w:type="character" w:customStyle="1" w:styleId="berschrift3Zchn">
    <w:name w:val="Überschrift 3 Zchn"/>
    <w:basedOn w:val="Absatz-Standardschriftart"/>
    <w:link w:val="berschrift3"/>
    <w:rsid w:val="002427D5"/>
    <w:rPr>
      <w:rFonts w:asciiTheme="majorHAnsi" w:eastAsiaTheme="majorEastAsia" w:hAnsiTheme="majorHAnsi" w:cstheme="majorBidi"/>
      <w:sz w:val="24"/>
      <w:szCs w:val="24"/>
      <w:lang w:eastAsia="en-GB"/>
    </w:rPr>
  </w:style>
  <w:style w:type="character" w:customStyle="1" w:styleId="berschrift4Zchn">
    <w:name w:val="Überschrift 4 Zchn"/>
    <w:basedOn w:val="Absatz-Standardschriftart"/>
    <w:link w:val="berschrift4"/>
    <w:rsid w:val="002427D5"/>
    <w:rPr>
      <w:rFonts w:asciiTheme="majorHAnsi" w:eastAsiaTheme="majorEastAsia" w:hAnsiTheme="majorHAnsi" w:cstheme="majorBidi"/>
      <w:sz w:val="24"/>
      <w:lang w:eastAsia="en-GB"/>
    </w:rPr>
  </w:style>
  <w:style w:type="character" w:customStyle="1" w:styleId="berschrift6Zchn">
    <w:name w:val="Überschrift 6 Zchn"/>
    <w:basedOn w:val="Absatz-Standardschriftart"/>
    <w:link w:val="berschrift6"/>
    <w:rsid w:val="002427D5"/>
    <w:rPr>
      <w:rFonts w:asciiTheme="majorHAnsi" w:eastAsiaTheme="majorEastAsia" w:hAnsiTheme="majorHAnsi" w:cstheme="majorBidi"/>
      <w:i/>
      <w:iCs/>
      <w:color w:val="44546A" w:themeColor="text2"/>
      <w:sz w:val="21"/>
      <w:szCs w:val="21"/>
      <w:lang w:eastAsia="en-GB"/>
    </w:rPr>
  </w:style>
  <w:style w:type="character" w:customStyle="1" w:styleId="berschrift7Zchn">
    <w:name w:val="Überschrift 7 Zchn"/>
    <w:basedOn w:val="Absatz-Standardschriftart"/>
    <w:link w:val="berschrift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berschrift8Zchn">
    <w:name w:val="Überschrift 8 Zchn"/>
    <w:basedOn w:val="Absatz-Standardschriftart"/>
    <w:link w:val="berschrift8"/>
    <w:rsid w:val="002427D5"/>
    <w:rPr>
      <w:rFonts w:asciiTheme="majorHAnsi" w:eastAsiaTheme="majorEastAsia" w:hAnsiTheme="majorHAnsi" w:cstheme="majorBidi"/>
      <w:b/>
      <w:bCs/>
      <w:color w:val="44546A" w:themeColor="text2"/>
      <w:sz w:val="24"/>
      <w:szCs w:val="24"/>
      <w:lang w:eastAsia="en-GB"/>
    </w:rPr>
  </w:style>
  <w:style w:type="character" w:customStyle="1" w:styleId="berschrift9Zchn">
    <w:name w:val="Überschrift 9 Zchn"/>
    <w:basedOn w:val="Absatz-Standardschriftart"/>
    <w:link w:val="berschrift9"/>
    <w:rsid w:val="002427D5"/>
    <w:rPr>
      <w:rFonts w:asciiTheme="majorHAnsi" w:eastAsiaTheme="majorEastAsia" w:hAnsiTheme="majorHAnsi" w:cstheme="majorBidi"/>
      <w:b/>
      <w:bCs/>
      <w:i/>
      <w:iCs/>
      <w:color w:val="44546A" w:themeColor="text2"/>
      <w:sz w:val="24"/>
      <w:szCs w:val="24"/>
      <w:lang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el">
    <w:name w:val="Title"/>
    <w:basedOn w:val="Standard"/>
    <w:next w:val="Standard"/>
    <w:link w:val="TitelZchn"/>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elZchn">
    <w:name w:val="Titel Zchn"/>
    <w:basedOn w:val="Absatz-Standardschriftart"/>
    <w:link w:val="Titel"/>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Kopfzeile">
    <w:name w:val="header"/>
    <w:basedOn w:val="Standard"/>
    <w:link w:val="KopfzeileZchn"/>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KopfzeileZchn">
    <w:name w:val="Kopfzeile Zchn"/>
    <w:basedOn w:val="Absatz-Standardschriftart"/>
    <w:link w:val="Kopfzeile"/>
    <w:rsid w:val="002427D5"/>
    <w:rPr>
      <w:rFonts w:ascii="Times New Roman" w:eastAsia="Times New Roman" w:hAnsi="Times New Roman" w:cs="Times New Roman"/>
      <w:sz w:val="24"/>
      <w:szCs w:val="24"/>
      <w:lang w:eastAsia="en-GB"/>
    </w:rPr>
  </w:style>
  <w:style w:type="paragraph" w:styleId="Fuzeile">
    <w:name w:val="footer"/>
    <w:basedOn w:val="Standard"/>
    <w:link w:val="FuzeileZchn"/>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uzeileZchn">
    <w:name w:val="Fußzeile Zchn"/>
    <w:basedOn w:val="Absatz-Standardschriftart"/>
    <w:link w:val="Fuzeile"/>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Standard"/>
    <w:next w:val="Standard"/>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Absatz-Standardschriftart"/>
    <w:link w:val="Questionstyle"/>
    <w:rsid w:val="00AA60F5"/>
    <w:rPr>
      <w:rFonts w:eastAsia="Times New Roman" w:cstheme="minorHAnsi"/>
      <w:lang w:eastAsia="en-GB"/>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2427D5"/>
    <w:rPr>
      <w:rFonts w:eastAsiaTheme="majorEastAsia" w:cstheme="minorHAnsi"/>
      <w:lang w:eastAsia="en-GB"/>
    </w:rPr>
  </w:style>
  <w:style w:type="character" w:styleId="Kommentarzeichen">
    <w:name w:val="annotation reference"/>
    <w:basedOn w:val="Absatz-Standardschriftart"/>
    <w:uiPriority w:val="99"/>
    <w:semiHidden/>
    <w:unhideWhenUsed/>
    <w:rsid w:val="002427D5"/>
    <w:rPr>
      <w:sz w:val="16"/>
      <w:szCs w:val="16"/>
    </w:rPr>
  </w:style>
  <w:style w:type="paragraph" w:styleId="Kommentartext">
    <w:name w:val="annotation text"/>
    <w:basedOn w:val="Standard"/>
    <w:link w:val="KommentartextZchn"/>
    <w:uiPriority w:val="99"/>
    <w:semiHidden/>
    <w:unhideWhenUsed/>
    <w:rsid w:val="002427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27D5"/>
    <w:rPr>
      <w:sz w:val="20"/>
      <w:szCs w:val="20"/>
    </w:rPr>
  </w:style>
  <w:style w:type="paragraph" w:styleId="Untertitel">
    <w:name w:val="Subtitle"/>
    <w:basedOn w:val="Standard"/>
    <w:next w:val="Standard"/>
    <w:link w:val="UntertitelZchn"/>
    <w:uiPriority w:val="11"/>
    <w:qFormat/>
    <w:rsid w:val="002A6D4E"/>
    <w:pPr>
      <w:numPr>
        <w:ilvl w:val="1"/>
      </w:numPr>
      <w:spacing w:after="250" w:line="240" w:lineRule="auto"/>
      <w:jc w:val="both"/>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2A6D4E"/>
    <w:rPr>
      <w:rFonts w:asciiTheme="majorHAnsi" w:eastAsiaTheme="majorEastAsia" w:hAnsiTheme="majorHAnsi" w:cstheme="majorBidi"/>
      <w:b/>
      <w:sz w:val="28"/>
      <w:szCs w:val="24"/>
    </w:rPr>
  </w:style>
  <w:style w:type="character" w:styleId="Hyperlink">
    <w:name w:val="Hyperlink"/>
    <w:basedOn w:val="Absatz-Standardschriftart"/>
    <w:uiPriority w:val="99"/>
    <w:unhideWhenUsed/>
    <w:rsid w:val="00212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hyperlink" Target="https://eur-lex.europa.eu/legal-content/EN/TXT/PDF/?uri=CELEX:32015R0061&amp;fr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ESMA91-372-1558</_dlc_DocId>
    <_dlc_DocIdUrl xmlns="52e67915-6641-4f72-9fe9-b8cc95953e2e">
      <Url>https://sherpa.esma.europa.eu/sites/CCP/_layouts/15/DocIdRedir.aspx?ID=ESMA91-372-1558</Url>
      <Description>ESMA91-372-1558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customXml/itemProps2.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3.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4.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1594</Words>
  <Characters>10044</Characters>
  <Application>Microsoft Office Word</Application>
  <DocSecurity>0</DocSecurity>
  <Lines>83</Lines>
  <Paragraphs>23</Paragraphs>
  <ScaleCrop>false</ScaleCrop>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Boris Bartels</cp:lastModifiedBy>
  <cp:revision>3</cp:revision>
  <dcterms:created xsi:type="dcterms:W3CDTF">2022-01-24T20:01:00Z</dcterms:created>
  <dcterms:modified xsi:type="dcterms:W3CDTF">2022-01-24T20:04:00Z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f00371af-d0ae-411a-9c14-f90a4fc64b09</vt:lpwstr>
  </property>
</Properties>
</file>