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B4B0D46" w:rsidR="00C2094B" w:rsidRPr="00F10D35" w:rsidRDefault="008F0FA7" w:rsidP="00AF38AF">
            <w:pPr>
              <w:pStyle w:val="00bDBInfo"/>
              <w:rPr>
                <w:rFonts w:cs="Arial"/>
              </w:rPr>
            </w:pPr>
            <w:r>
              <w:rPr>
                <w:rFonts w:cs="Arial"/>
              </w:rPr>
              <w:t>30</w:t>
            </w:r>
            <w:r w:rsidR="00FE40D3" w:rsidRPr="00FE40D3">
              <w:rPr>
                <w:rFonts w:cs="Arial"/>
              </w:rPr>
              <w:t xml:space="preserve"> </w:t>
            </w:r>
            <w:r w:rsidR="00873B7E">
              <w:rPr>
                <w:rFonts w:cs="Arial"/>
              </w:rPr>
              <w:t>September</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16F35E65" w14:textId="0F39FF35" w:rsidR="00146A6C" w:rsidRPr="00146A6C" w:rsidRDefault="00146A6C" w:rsidP="00D92BBE">
            <w:pPr>
              <w:pStyle w:val="01aDBTitle"/>
              <w:jc w:val="left"/>
              <w:rPr>
                <w:rFonts w:cs="Arial"/>
                <w:sz w:val="32"/>
                <w:szCs w:val="32"/>
              </w:rPr>
            </w:pPr>
            <w:r w:rsidRPr="00201005">
              <w:rPr>
                <w:rFonts w:cs="Arial"/>
                <w:szCs w:val="40"/>
              </w:rPr>
              <w:t>Response form for the Consultation Paper on</w:t>
            </w:r>
            <w:r w:rsidRPr="00201005">
              <w:rPr>
                <w:szCs w:val="40"/>
              </w:rPr>
              <w:t xml:space="preserve"> </w:t>
            </w:r>
            <w:r w:rsidR="00D92BBE" w:rsidRPr="00D92BBE">
              <w:rPr>
                <w:szCs w:val="40"/>
              </w:rPr>
              <w:t>Review of the MiFID II framework on best execution reports</w:t>
            </w: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5400BDD5" w:rsidR="00620D7C" w:rsidRPr="004E49B0" w:rsidRDefault="00620D7C" w:rsidP="00FE40D3">
            <w:pPr>
              <w:pStyle w:val="02Date"/>
              <w:jc w:val="right"/>
              <w:rPr>
                <w:rFonts w:cs="Arial"/>
              </w:rPr>
            </w:pPr>
            <w:r w:rsidRPr="00F10D35">
              <w:rPr>
                <w:rFonts w:cs="Arial"/>
              </w:rPr>
              <w:lastRenderedPageBreak/>
              <w:t xml:space="preserve">Date: </w:t>
            </w:r>
            <w:r w:rsidR="008F0FA7">
              <w:rPr>
                <w:rFonts w:cs="Arial"/>
              </w:rPr>
              <w:t>30</w:t>
            </w:r>
            <w:r w:rsidR="00FE40D3" w:rsidRPr="00FE40D3">
              <w:rPr>
                <w:rFonts w:cs="Arial"/>
              </w:rPr>
              <w:t xml:space="preserve"> </w:t>
            </w:r>
            <w:r w:rsidR="00873B7E">
              <w:rPr>
                <w:rFonts w:cs="Arial"/>
              </w:rPr>
              <w:t>September</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2AC3BC0"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873B7E">
        <w:rPr>
          <w:b/>
        </w:rPr>
        <w:t>Thursday</w:t>
      </w:r>
      <w:r w:rsidR="00F87631" w:rsidRPr="002A7128">
        <w:rPr>
          <w:b/>
        </w:rPr>
        <w:t xml:space="preserve"> </w:t>
      </w:r>
      <w:r w:rsidR="00873B7E">
        <w:rPr>
          <w:b/>
        </w:rPr>
        <w:t>23</w:t>
      </w:r>
      <w:r w:rsidR="00F87631" w:rsidRPr="002A7128">
        <w:rPr>
          <w:b/>
          <w:vertAlign w:val="superscript"/>
        </w:rPr>
        <w:t>th</w:t>
      </w:r>
      <w:r w:rsidR="00F87631" w:rsidRPr="002A7128">
        <w:rPr>
          <w:b/>
        </w:rPr>
        <w:t xml:space="preserve"> </w:t>
      </w:r>
      <w:r w:rsidR="00873B7E">
        <w:rPr>
          <w:b/>
        </w:rPr>
        <w:t>December</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1B9FCA3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Please do not remove tags of the type </w:t>
      </w:r>
      <w:r w:rsidRPr="00455107">
        <w:rPr>
          <w:sz w:val="22"/>
          <w:szCs w:val="22"/>
          <w:lang w:eastAsia="en-GB"/>
        </w:rPr>
        <w:t>&lt;ESMA_QUESTION_</w:t>
      </w:r>
      <w:r w:rsidR="00455107" w:rsidRPr="00455107">
        <w:rPr>
          <w:sz w:val="22"/>
          <w:szCs w:val="22"/>
          <w:lang w:eastAsia="en-GB"/>
        </w:rPr>
        <w:t>BEEX</w:t>
      </w:r>
      <w:r w:rsidRPr="00455107">
        <w:rPr>
          <w:sz w:val="22"/>
          <w:szCs w:val="22"/>
          <w:lang w:eastAsia="en-GB"/>
        </w:rPr>
        <w:t>_1&gt;.</w:t>
      </w:r>
      <w:r w:rsidRPr="00241178">
        <w:rPr>
          <w:sz w:val="22"/>
          <w:szCs w:val="22"/>
          <w:lang w:eastAsia="en-GB"/>
        </w:rPr>
        <w:t xml:space="preserve">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7E09D89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When you have drafted your response, name your response form according to the following convention: </w:t>
      </w:r>
      <w:r w:rsidRPr="00455107">
        <w:rPr>
          <w:sz w:val="22"/>
          <w:szCs w:val="22"/>
          <w:lang w:eastAsia="en-GB"/>
        </w:rPr>
        <w:t>ESMA_</w:t>
      </w:r>
      <w:r w:rsidR="00455107" w:rsidRPr="00455107">
        <w:rPr>
          <w:sz w:val="22"/>
          <w:szCs w:val="22"/>
          <w:lang w:eastAsia="en-GB"/>
        </w:rPr>
        <w:t>BEEX</w:t>
      </w:r>
      <w:r w:rsidRPr="00455107">
        <w:rPr>
          <w:sz w:val="22"/>
          <w:szCs w:val="22"/>
          <w:lang w:eastAsia="en-GB"/>
        </w:rPr>
        <w:t>_nameofrespondent_RESPONSEFORM</w:t>
      </w:r>
      <w:r w:rsidRPr="00241178">
        <w:rPr>
          <w:sz w:val="22"/>
          <w:szCs w:val="22"/>
          <w:lang w:eastAsia="en-GB"/>
        </w:rPr>
        <w:t>. For example, for a respondent named ABCD, the response form would be entitled ESMA_</w:t>
      </w:r>
      <w:r w:rsidR="00455107">
        <w:rPr>
          <w:sz w:val="22"/>
          <w:szCs w:val="22"/>
          <w:lang w:eastAsia="en-GB"/>
        </w:rPr>
        <w:t>B</w:t>
      </w:r>
      <w:r w:rsidR="00075503" w:rsidRPr="00241178">
        <w:rPr>
          <w:sz w:val="22"/>
          <w:szCs w:val="22"/>
          <w:lang w:eastAsia="en-GB"/>
        </w:rPr>
        <w:t>E</w:t>
      </w:r>
      <w:r w:rsidR="00455107">
        <w:rPr>
          <w:sz w:val="22"/>
          <w:szCs w:val="22"/>
          <w:lang w:eastAsia="en-GB"/>
        </w:rPr>
        <w:t>EX</w:t>
      </w:r>
      <w:r w:rsidRPr="00241178">
        <w:rPr>
          <w:sz w:val="22"/>
          <w:szCs w:val="22"/>
          <w:lang w:eastAsia="en-GB"/>
        </w:rPr>
        <w:t>_ABCD_RESPONSEFORM.</w:t>
      </w:r>
    </w:p>
    <w:p w14:paraId="033FC000" w14:textId="2E00EAE3"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w:t>
      </w:r>
      <w:r w:rsidR="00886D30">
        <w:rPr>
          <w:sz w:val="22"/>
          <w:szCs w:val="22"/>
          <w:lang w:eastAsia="en-GB"/>
        </w:rPr>
        <w:t xml:space="preserve"> </w:t>
      </w:r>
      <w:r w:rsidR="00886D30" w:rsidRPr="00886D30">
        <w:rPr>
          <w:sz w:val="22"/>
          <w:szCs w:val="22"/>
          <w:lang w:eastAsia="en-GB"/>
        </w:rPr>
        <w:t>Review of the MiFID II framework on best execution reports</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DA37575" w:rsidR="00332304" w:rsidRPr="001021EF" w:rsidRDefault="0091143D" w:rsidP="00FE40D3">
      <w:pPr>
        <w:spacing w:after="240"/>
        <w:jc w:val="both"/>
        <w:rPr>
          <w:b/>
          <w:bCs/>
        </w:rPr>
      </w:pPr>
      <w:r w:rsidRPr="0091143D">
        <w:rPr>
          <w:sz w:val="22"/>
          <w:szCs w:val="20"/>
          <w:lang w:eastAsia="en-US"/>
        </w:rPr>
        <w:t>This document is of interest to execution venues, investment firms and their associations, investors, consumer associations, as well as any market participant engaged in the execution of orders under the MiFID II framework.</w:t>
      </w:r>
      <w:r w:rsidR="00332304" w:rsidRPr="001021EF">
        <w:rPr>
          <w:b/>
          <w:bCs/>
        </w:rPr>
        <w:br w:type="page"/>
      </w:r>
    </w:p>
    <w:p w14:paraId="07F9766A" w14:textId="77777777" w:rsidR="00B327E9" w:rsidRPr="00AB6D88" w:rsidRDefault="00B327E9" w:rsidP="00B327E9">
      <w:pPr>
        <w:pStyle w:val="Nagwek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Tekstzastpczy"/>
              <w:rFonts w:cs="Arial"/>
            </w:rPr>
            <w:id w:val="-1905066999"/>
            <w:text/>
          </w:sdtPr>
          <w:sdtEndPr>
            <w:rPr>
              <w:rStyle w:val="Tekstzastpczy"/>
            </w:rPr>
          </w:sdtEndPr>
          <w:sdtContent>
            <w:permStart w:id="1493633476" w:edGrp="everyone" w:displacedByCustomXml="prev"/>
            <w:tc>
              <w:tcPr>
                <w:tcW w:w="5595" w:type="dxa"/>
                <w:shd w:val="clear" w:color="auto" w:fill="auto"/>
              </w:tcPr>
              <w:p w14:paraId="23C2C921" w14:textId="02B553AF" w:rsidR="00B327E9" w:rsidRPr="00AB6D88" w:rsidRDefault="00C41217" w:rsidP="00F136AD">
                <w:pPr>
                  <w:rPr>
                    <w:rStyle w:val="Tekstzastpczy"/>
                    <w:rFonts w:cs="Arial"/>
                  </w:rPr>
                </w:pPr>
                <w:proofErr w:type="spellStart"/>
                <w:r>
                  <w:rPr>
                    <w:rStyle w:val="Tekstzastpczy"/>
                    <w:rFonts w:cs="Arial"/>
                  </w:rPr>
                  <w:t>Związek</w:t>
                </w:r>
                <w:proofErr w:type="spellEnd"/>
                <w:r>
                  <w:rPr>
                    <w:rStyle w:val="Tekstzastpczy"/>
                    <w:rFonts w:cs="Arial"/>
                  </w:rPr>
                  <w:t xml:space="preserve"> </w:t>
                </w:r>
                <w:proofErr w:type="spellStart"/>
                <w:r>
                  <w:rPr>
                    <w:rStyle w:val="Tekstzastpczy"/>
                    <w:rFonts w:cs="Arial"/>
                  </w:rPr>
                  <w:t>Banków</w:t>
                </w:r>
                <w:proofErr w:type="spellEnd"/>
                <w:r>
                  <w:rPr>
                    <w:rStyle w:val="Tekstzastpczy"/>
                    <w:rFonts w:cs="Arial"/>
                  </w:rPr>
                  <w:t xml:space="preserve"> </w:t>
                </w:r>
                <w:proofErr w:type="spellStart"/>
                <w:r>
                  <w:rPr>
                    <w:rStyle w:val="Tekstzastpczy"/>
                    <w:rFonts w:cs="Arial"/>
                  </w:rPr>
                  <w:t>Polskich</w:t>
                </w:r>
                <w:proofErr w:type="spellEnd"/>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621899A0" w:rsidR="00B327E9" w:rsidRPr="00AB6D88" w:rsidRDefault="006E6426"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C41217">
                  <w:rPr>
                    <w:rFonts w:cs="Arial"/>
                  </w:rPr>
                  <w:t>Non-governmental Organisation and Other Associations</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4631E5FF" w:rsidR="00B327E9" w:rsidRPr="00AB6D88" w:rsidRDefault="00C41217"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5CABF520" w:rsidR="00B327E9" w:rsidRPr="00AB6D88" w:rsidRDefault="00C41217" w:rsidP="00F136AD">
                <w:pPr>
                  <w:rPr>
                    <w:rFonts w:cs="Arial"/>
                  </w:rPr>
                </w:pPr>
                <w:r>
                  <w:rPr>
                    <w:rFonts w:cs="Arial"/>
                  </w:rPr>
                  <w:t>Poland</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Nagwek1"/>
        <w:numPr>
          <w:ilvl w:val="0"/>
          <w:numId w:val="0"/>
        </w:numPr>
        <w:ind w:left="431" w:hanging="431"/>
      </w:pPr>
      <w:r>
        <w:t>Introduction</w:t>
      </w:r>
    </w:p>
    <w:p w14:paraId="3C83C634" w14:textId="77777777" w:rsidR="00B327E9" w:rsidRPr="00E40A5C" w:rsidRDefault="00B327E9" w:rsidP="00FE6577">
      <w:pPr>
        <w:rPr>
          <w:rStyle w:val="Wyrnienieintensywne"/>
          <w:sz w:val="22"/>
        </w:rPr>
      </w:pPr>
      <w:r w:rsidRPr="00E40A5C">
        <w:rPr>
          <w:rStyle w:val="Wyrnienieintensywne"/>
          <w:sz w:val="22"/>
        </w:rPr>
        <w:t>Please make your introductory comments below, if any:</w:t>
      </w:r>
    </w:p>
    <w:p w14:paraId="26578279" w14:textId="77777777" w:rsidR="00B327E9" w:rsidRPr="00BF28DA" w:rsidRDefault="00B327E9" w:rsidP="00FE6577"/>
    <w:p w14:paraId="06351DAC" w14:textId="4EA6DF3F" w:rsidR="00B327E9" w:rsidRPr="006F4535" w:rsidRDefault="00B327E9" w:rsidP="00FE6577">
      <w:r w:rsidRPr="006F4535">
        <w:t>&lt;ESMA_COMMENT_</w:t>
      </w:r>
      <w:r w:rsidR="00455107" w:rsidRPr="00455107">
        <w:t>B</w:t>
      </w:r>
      <w:r w:rsidR="00A014B6" w:rsidRPr="00455107">
        <w:t>E</w:t>
      </w:r>
      <w:r w:rsidR="00455107" w:rsidRPr="00455107">
        <w:t>EX</w:t>
      </w:r>
      <w:r w:rsidRPr="006F4535">
        <w:t>_1&gt;</w:t>
      </w:r>
    </w:p>
    <w:p w14:paraId="28B90534" w14:textId="7E89AC0A" w:rsidR="007328D0" w:rsidRPr="007328D0" w:rsidRDefault="00C30B72" w:rsidP="007328D0">
      <w:pPr>
        <w:autoSpaceDE w:val="0"/>
        <w:autoSpaceDN w:val="0"/>
        <w:adjustRightInd w:val="0"/>
        <w:rPr>
          <w:rFonts w:cs="Arial"/>
          <w:color w:val="000000"/>
          <w:sz w:val="23"/>
          <w:szCs w:val="23"/>
          <w:lang w:val="en-US" w:eastAsia="en-GB"/>
        </w:rPr>
      </w:pPr>
      <w:permStart w:id="44765448" w:edGrp="everyone"/>
      <w:r w:rsidRPr="00C30B72">
        <w:rPr>
          <w:rFonts w:cs="Arial"/>
          <w:color w:val="000000"/>
          <w:sz w:val="23"/>
          <w:szCs w:val="23"/>
          <w:lang w:val="en-US" w:eastAsia="en-GB"/>
        </w:rPr>
        <w:t>About Polish Bank Association</w:t>
      </w:r>
      <w:r>
        <w:rPr>
          <w:rFonts w:cs="Arial"/>
          <w:color w:val="000000"/>
          <w:sz w:val="23"/>
          <w:szCs w:val="23"/>
          <w:lang w:val="en-US" w:eastAsia="en-GB"/>
        </w:rPr>
        <w:t xml:space="preserve">: </w:t>
      </w:r>
      <w:r w:rsidR="007328D0" w:rsidRPr="007328D0">
        <w:rPr>
          <w:rFonts w:cs="Arial"/>
          <w:color w:val="000000"/>
          <w:sz w:val="23"/>
          <w:szCs w:val="23"/>
          <w:lang w:val="en-US" w:eastAsia="en-GB"/>
        </w:rPr>
        <w:t>Polish Bank Association is a self-government organization of banks, established in 1991, founded on the Chambers of Commerce Charter. Membership in the PBA is voluntary and open for all banks created under the Polish law as well as for foreign credit institutions branches operating in the Republic of Poland. Currently 10</w:t>
      </w:r>
      <w:r w:rsidR="007328D0">
        <w:rPr>
          <w:rFonts w:cs="Arial"/>
          <w:color w:val="000000"/>
          <w:sz w:val="23"/>
          <w:szCs w:val="23"/>
          <w:lang w:val="en-US" w:eastAsia="en-GB"/>
        </w:rPr>
        <w:t>3</w:t>
      </w:r>
      <w:r w:rsidR="007328D0" w:rsidRPr="007328D0">
        <w:rPr>
          <w:rFonts w:cs="Arial"/>
          <w:color w:val="000000"/>
          <w:sz w:val="23"/>
          <w:szCs w:val="23"/>
          <w:lang w:val="en-US" w:eastAsia="en-GB"/>
        </w:rPr>
        <w:t xml:space="preserve"> banks operating in Poland are the members of the PBA. The </w:t>
      </w:r>
      <w:proofErr w:type="spellStart"/>
      <w:r w:rsidR="007328D0" w:rsidRPr="007328D0">
        <w:rPr>
          <w:rFonts w:cs="Arial"/>
          <w:color w:val="000000"/>
          <w:sz w:val="23"/>
          <w:szCs w:val="23"/>
          <w:lang w:val="en-US" w:eastAsia="en-GB"/>
        </w:rPr>
        <w:t>organisation</w:t>
      </w:r>
      <w:proofErr w:type="spellEnd"/>
      <w:r w:rsidR="007328D0" w:rsidRPr="007328D0">
        <w:rPr>
          <w:rFonts w:cs="Arial"/>
          <w:color w:val="000000"/>
          <w:sz w:val="23"/>
          <w:szCs w:val="23"/>
          <w:lang w:val="en-US" w:eastAsia="en-GB"/>
        </w:rPr>
        <w:t xml:space="preserve"> represents the interests of the whole Polish banking community to Parliament, Government and general public. </w:t>
      </w:r>
    </w:p>
    <w:permEnd w:id="44765448"/>
    <w:p w14:paraId="68F63540" w14:textId="31A8D5D2" w:rsidR="00B327E9" w:rsidRPr="00BF28DA" w:rsidRDefault="00B327E9" w:rsidP="00FE6577">
      <w:r w:rsidRPr="00BF28DA">
        <w:t>&lt;ESMA_COMMENT_</w:t>
      </w:r>
      <w:r w:rsidR="00455107" w:rsidRPr="00455107">
        <w:t xml:space="preserve"> BEEX</w:t>
      </w:r>
      <w:r w:rsidR="000A58BE">
        <w:t>_</w:t>
      </w:r>
      <w:r w:rsidRPr="00BF28DA">
        <w:t>1&gt;</w:t>
      </w:r>
    </w:p>
    <w:p w14:paraId="4865C74B" w14:textId="77777777" w:rsidR="002E7113" w:rsidRDefault="002E7113" w:rsidP="002E7113">
      <w:pPr>
        <w:pStyle w:val="Nagwek1"/>
        <w:numPr>
          <w:ilvl w:val="0"/>
          <w:numId w:val="0"/>
        </w:numPr>
      </w:pPr>
    </w:p>
    <w:p w14:paraId="039B696F" w14:textId="77777777" w:rsidR="00F31E57" w:rsidRPr="00BF28DA" w:rsidRDefault="00F31E57" w:rsidP="00D34282"/>
    <w:p w14:paraId="5B79D316" w14:textId="4E9789C6" w:rsidR="00014A67" w:rsidRDefault="00F31E57" w:rsidP="00014A67">
      <w:pPr>
        <w:pStyle w:val="Questionstyle"/>
      </w:pPr>
      <w:r w:rsidRPr="0075015C">
        <w:br w:type="page"/>
      </w:r>
    </w:p>
    <w:p w14:paraId="36E568B8" w14:textId="77777777" w:rsidR="004258CF" w:rsidRPr="004258CF" w:rsidRDefault="004258CF" w:rsidP="004258CF">
      <w:pPr>
        <w:numPr>
          <w:ilvl w:val="0"/>
          <w:numId w:val="36"/>
        </w:numPr>
        <w:spacing w:after="250" w:line="276" w:lineRule="auto"/>
        <w:contextualSpacing/>
        <w:jc w:val="both"/>
        <w:rPr>
          <w:rFonts w:cs="Arial"/>
          <w:b/>
          <w:szCs w:val="22"/>
          <w:lang w:val="en-US" w:eastAsia="en-US"/>
        </w:rPr>
      </w:pPr>
      <w:r w:rsidRPr="004258CF">
        <w:rPr>
          <w:rFonts w:cs="Arial"/>
          <w:b/>
          <w:szCs w:val="20"/>
          <w:lang w:val="en-US" w:eastAsia="en-GB"/>
        </w:rPr>
        <w:lastRenderedPageBreak/>
        <w:t>: Do you agree with the proposed scope in terms of execution venues for the reporting under a possible new RTS 27?</w:t>
      </w:r>
    </w:p>
    <w:p w14:paraId="19EF215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16CFCC24" w14:textId="427EB4DE" w:rsidR="00C41217" w:rsidRPr="00492933" w:rsidRDefault="00AC32CD" w:rsidP="00C41217">
      <w:pPr>
        <w:jc w:val="both"/>
        <w:rPr>
          <w:rFonts w:cs="Arial"/>
          <w:sz w:val="24"/>
          <w:lang w:val="en-US"/>
        </w:rPr>
      </w:pPr>
      <w:permStart w:id="222133246" w:edGrp="everyone"/>
      <w:r>
        <w:rPr>
          <w:rFonts w:cs="Arial"/>
          <w:sz w:val="24"/>
          <w:lang w:val="en-US"/>
        </w:rPr>
        <w:t>The i</w:t>
      </w:r>
      <w:r w:rsidR="00C41217" w:rsidRPr="00492933">
        <w:rPr>
          <w:rFonts w:cs="Arial"/>
          <w:sz w:val="24"/>
          <w:lang w:val="en-US"/>
        </w:rPr>
        <w:t xml:space="preserve">dea to report seven metrics which directly disclose information on key features of the venues’ obtained execution quality is a step in good direction. </w:t>
      </w:r>
    </w:p>
    <w:p w14:paraId="05DF509E" w14:textId="3CD73887" w:rsidR="004258CF" w:rsidRPr="00C41217" w:rsidRDefault="004258CF" w:rsidP="004258CF">
      <w:pPr>
        <w:spacing w:after="160" w:line="256" w:lineRule="auto"/>
        <w:rPr>
          <w:rFonts w:ascii="Calibri" w:eastAsia="Calibri" w:hAnsi="Calibri"/>
          <w:sz w:val="22"/>
          <w:szCs w:val="22"/>
          <w:lang w:val="en-US" w:eastAsia="en-US"/>
        </w:rPr>
      </w:pPr>
    </w:p>
    <w:permEnd w:id="222133246"/>
    <w:p w14:paraId="6324657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65626B5" w14:textId="77777777" w:rsidR="004258CF" w:rsidRPr="004258CF" w:rsidRDefault="004258CF" w:rsidP="004258CF">
      <w:pPr>
        <w:spacing w:after="160" w:line="256" w:lineRule="auto"/>
        <w:rPr>
          <w:rFonts w:ascii="Calibri" w:eastAsia="Calibri" w:hAnsi="Calibri"/>
          <w:sz w:val="22"/>
          <w:szCs w:val="22"/>
          <w:lang w:eastAsia="en-US"/>
        </w:rPr>
      </w:pPr>
    </w:p>
    <w:p w14:paraId="3217AD5F"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level of granularity by types of financial instruments instead of individual financial instruments under a new potential reporting regime? In particular, do you agree with the two proposed categories concerning shares (i.e., shares considered to have a liquid market and shares not considered to have a liquid market)? If not, please state the reasons for your answer and clarify what alternative categorisations you would propose in order to have a meaningful level of granularity for a new reporting regime.</w:t>
      </w:r>
    </w:p>
    <w:p w14:paraId="5162D12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56FEB57C" w14:textId="55EEBF90" w:rsidR="004258CF" w:rsidRPr="00C41217" w:rsidRDefault="00C41217" w:rsidP="00C41217">
      <w:pPr>
        <w:jc w:val="both"/>
        <w:rPr>
          <w:rFonts w:cs="Arial"/>
          <w:sz w:val="24"/>
        </w:rPr>
      </w:pPr>
      <w:permStart w:id="147554275" w:edGrp="everyone"/>
      <w:r>
        <w:rPr>
          <w:rFonts w:ascii="Calibri" w:eastAsia="Calibri" w:hAnsi="Calibri"/>
          <w:sz w:val="22"/>
          <w:szCs w:val="22"/>
          <w:lang w:eastAsia="en-US"/>
        </w:rPr>
        <w:t xml:space="preserve"> </w:t>
      </w:r>
      <w:r w:rsidRPr="00492933">
        <w:rPr>
          <w:rFonts w:cs="Arial"/>
          <w:sz w:val="24"/>
        </w:rPr>
        <w:t xml:space="preserve">The proposed level of granularity by type of financial instrument rather than individual financial instrument in the new potential reporting system seems to be a better solution. But the main problem to solve is which financial instrument has a liquid market. In our opinion, under the current regime, there are doubts in the interpretation of the post-trade SSTI and LIS limits for bonds published every year. It is not known from when they apply, whether the dates refer to the date on which we publish the report or the period for which we publish the data. This issue in the new system should be resolved in a way that helps to avoid ambiguities and allows for easy retrieval of relevant information. Otherwise </w:t>
      </w:r>
      <w:r w:rsidR="00AC32CD">
        <w:rPr>
          <w:rFonts w:cs="Arial"/>
          <w:sz w:val="24"/>
        </w:rPr>
        <w:t>w</w:t>
      </w:r>
      <w:r w:rsidRPr="00492933">
        <w:rPr>
          <w:rFonts w:cs="Arial"/>
          <w:sz w:val="24"/>
        </w:rPr>
        <w:t>e can encounter a situation where each entity will report in a non-different way and comparing reports on the market will still be very difficult.</w:t>
      </w:r>
    </w:p>
    <w:permEnd w:id="147554275"/>
    <w:p w14:paraId="04853A9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0625F6A6" w14:textId="77777777" w:rsidR="004258CF" w:rsidRPr="004258CF" w:rsidRDefault="004258CF" w:rsidP="004258CF">
      <w:pPr>
        <w:spacing w:after="160" w:line="256" w:lineRule="auto"/>
        <w:rPr>
          <w:rFonts w:ascii="Calibri" w:eastAsia="Calibri" w:hAnsi="Calibri"/>
          <w:sz w:val="22"/>
          <w:szCs w:val="22"/>
          <w:lang w:eastAsia="en-US"/>
        </w:rPr>
      </w:pPr>
    </w:p>
    <w:p w14:paraId="7973E37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metrics to report the execution quality obtained by execution venues?</w:t>
      </w:r>
    </w:p>
    <w:p w14:paraId="6DEA500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5BEE199E" w14:textId="77777777" w:rsidR="00C41217" w:rsidRPr="00492933" w:rsidRDefault="00C41217" w:rsidP="00C41217">
      <w:pPr>
        <w:jc w:val="both"/>
        <w:rPr>
          <w:rFonts w:cs="Arial"/>
          <w:sz w:val="24"/>
          <w:lang w:val="en-US"/>
        </w:rPr>
      </w:pPr>
      <w:permStart w:id="2033745150" w:edGrp="everyone"/>
      <w:r w:rsidRPr="00492933">
        <w:rPr>
          <w:rFonts w:cs="Arial"/>
          <w:sz w:val="24"/>
          <w:lang w:val="en-US"/>
        </w:rPr>
        <w:t>Something that should help the market to use those reports is further specify the structure of the file to be published and specifies the level of granularity of each report, to avoid that files are broken down into a series of smaller files. Important issue is also publishing obligation report in CSV format. For today there are many types of files used to publish those information.</w:t>
      </w:r>
    </w:p>
    <w:p w14:paraId="5859A9A6" w14:textId="77777777" w:rsidR="00C41217" w:rsidRPr="00492933" w:rsidRDefault="00C41217" w:rsidP="00C41217">
      <w:pPr>
        <w:jc w:val="both"/>
        <w:rPr>
          <w:rFonts w:cs="Arial"/>
          <w:sz w:val="24"/>
          <w:lang w:val="en-US"/>
        </w:rPr>
      </w:pPr>
      <w:r w:rsidRPr="00492933">
        <w:rPr>
          <w:rFonts w:cs="Arial"/>
          <w:sz w:val="24"/>
          <w:lang w:val="en-US"/>
        </w:rPr>
        <w:t xml:space="preserve">In order to case of proposed metrics it is hard to say if we </w:t>
      </w:r>
      <w:r>
        <w:rPr>
          <w:rFonts w:cs="Arial"/>
          <w:sz w:val="24"/>
          <w:lang w:val="en-US"/>
        </w:rPr>
        <w:t>agree</w:t>
      </w:r>
      <w:r w:rsidRPr="00492933">
        <w:rPr>
          <w:rFonts w:cs="Arial"/>
          <w:sz w:val="24"/>
          <w:lang w:val="en-US"/>
        </w:rPr>
        <w:t xml:space="preserve"> with that because as it is sad in the consultation paper in point 48 "core elements of the reporting methodology proposed in a potential new regime, could be aligned with existing reporting standards under MiFID II/</w:t>
      </w:r>
      <w:proofErr w:type="spellStart"/>
      <w:r w:rsidRPr="00492933">
        <w:rPr>
          <w:rFonts w:cs="Arial"/>
          <w:sz w:val="24"/>
          <w:lang w:val="en-US"/>
        </w:rPr>
        <w:t>MiFIR</w:t>
      </w:r>
      <w:proofErr w:type="spellEnd"/>
      <w:r w:rsidRPr="00492933">
        <w:rPr>
          <w:rFonts w:cs="Arial"/>
          <w:sz w:val="24"/>
          <w:lang w:val="en-US"/>
        </w:rPr>
        <w:t>. This encompasses inter alia that:</w:t>
      </w:r>
    </w:p>
    <w:p w14:paraId="02CE2AB0" w14:textId="77777777" w:rsidR="00C41217" w:rsidRPr="00E46482" w:rsidRDefault="00C41217" w:rsidP="00C41217">
      <w:pPr>
        <w:pStyle w:val="Akapitzlist"/>
        <w:numPr>
          <w:ilvl w:val="0"/>
          <w:numId w:val="50"/>
        </w:numPr>
        <w:jc w:val="both"/>
        <w:rPr>
          <w:rFonts w:cs="Arial"/>
          <w:sz w:val="24"/>
          <w:lang w:val="en-US"/>
        </w:rPr>
      </w:pPr>
      <w:r w:rsidRPr="00E46482">
        <w:rPr>
          <w:rFonts w:cs="Arial"/>
          <w:sz w:val="24"/>
          <w:lang w:val="en-US"/>
        </w:rPr>
        <w:t>the content and format of the reporting fields under RTS 27 are aligned, where possible, with the content and format used in RTS 1 (transparency for equity instruments) and RTS 2 (transparency for non-equity instruments); and that</w:t>
      </w:r>
    </w:p>
    <w:p w14:paraId="3A484C33" w14:textId="77777777" w:rsidR="00C41217" w:rsidRPr="00E46482" w:rsidRDefault="00C41217" w:rsidP="00C41217">
      <w:pPr>
        <w:pStyle w:val="Akapitzlist"/>
        <w:numPr>
          <w:ilvl w:val="0"/>
          <w:numId w:val="50"/>
        </w:numPr>
        <w:jc w:val="both"/>
        <w:rPr>
          <w:rFonts w:cs="Arial"/>
          <w:sz w:val="24"/>
          <w:lang w:val="en-US"/>
        </w:rPr>
      </w:pPr>
      <w:r w:rsidRPr="00E46482">
        <w:rPr>
          <w:rFonts w:cs="Arial"/>
          <w:sz w:val="24"/>
          <w:lang w:val="en-US"/>
        </w:rPr>
        <w:lastRenderedPageBreak/>
        <w:t>the typology of trading systems established under RTS 1 and 2 is also applicable to venues under the pro-posed new RTS 27.</w:t>
      </w:r>
    </w:p>
    <w:p w14:paraId="02A00518" w14:textId="220C4051" w:rsidR="00C41217" w:rsidRPr="00492933" w:rsidRDefault="00C41217" w:rsidP="00C41217">
      <w:pPr>
        <w:jc w:val="both"/>
        <w:rPr>
          <w:rFonts w:cs="Arial"/>
          <w:sz w:val="24"/>
          <w:lang w:val="en-US"/>
        </w:rPr>
      </w:pPr>
      <w:r w:rsidRPr="00492933">
        <w:rPr>
          <w:rFonts w:cs="Arial"/>
          <w:sz w:val="24"/>
          <w:lang w:val="en-US"/>
        </w:rPr>
        <w:t xml:space="preserve">But at the same time in point 49 it is sad that - "It should be noted that ESMA has recently launched a re-view of RTS 1 and 2, the outcome of which may have consequences on the drafting of the new RTS 27." So it is </w:t>
      </w:r>
      <w:r w:rsidR="00AC32CD">
        <w:rPr>
          <w:rFonts w:cs="Arial"/>
          <w:sz w:val="24"/>
          <w:lang w:val="en-US"/>
        </w:rPr>
        <w:t>difficult</w:t>
      </w:r>
      <w:r w:rsidRPr="00492933">
        <w:rPr>
          <w:rFonts w:cs="Arial"/>
          <w:sz w:val="24"/>
          <w:lang w:val="en-US"/>
        </w:rPr>
        <w:t xml:space="preserve"> </w:t>
      </w:r>
      <w:r w:rsidR="008009EE">
        <w:rPr>
          <w:rFonts w:cs="Arial"/>
          <w:sz w:val="24"/>
          <w:lang w:val="en-US"/>
        </w:rPr>
        <w:t>to</w:t>
      </w:r>
      <w:r w:rsidR="00952F10">
        <w:rPr>
          <w:rFonts w:cs="Arial"/>
          <w:sz w:val="24"/>
          <w:lang w:val="en-US"/>
        </w:rPr>
        <w:t xml:space="preserve"> </w:t>
      </w:r>
      <w:r w:rsidRPr="00492933">
        <w:rPr>
          <w:rFonts w:cs="Arial"/>
          <w:sz w:val="24"/>
          <w:lang w:val="en-US"/>
        </w:rPr>
        <w:t xml:space="preserve">say we </w:t>
      </w:r>
      <w:r w:rsidR="00AC32CD">
        <w:rPr>
          <w:rFonts w:cs="Arial"/>
          <w:sz w:val="24"/>
          <w:lang w:val="en-US"/>
        </w:rPr>
        <w:t>agree</w:t>
      </w:r>
      <w:r w:rsidRPr="00492933">
        <w:rPr>
          <w:rFonts w:cs="Arial"/>
          <w:sz w:val="24"/>
          <w:lang w:val="en-US"/>
        </w:rPr>
        <w:t xml:space="preserve"> with th</w:t>
      </w:r>
      <w:r w:rsidR="00AC32CD">
        <w:rPr>
          <w:rFonts w:cs="Arial"/>
          <w:sz w:val="24"/>
          <w:lang w:val="en-US"/>
        </w:rPr>
        <w:t>is</w:t>
      </w:r>
      <w:r w:rsidRPr="00492933">
        <w:rPr>
          <w:rFonts w:cs="Arial"/>
          <w:sz w:val="24"/>
          <w:lang w:val="en-US"/>
        </w:rPr>
        <w:t xml:space="preserve"> statement if </w:t>
      </w:r>
      <w:r w:rsidR="00AC32CD">
        <w:rPr>
          <w:rFonts w:cs="Arial"/>
          <w:sz w:val="24"/>
          <w:lang w:val="en-US"/>
        </w:rPr>
        <w:t>it</w:t>
      </w:r>
      <w:r w:rsidRPr="00492933">
        <w:rPr>
          <w:rFonts w:cs="Arial"/>
          <w:sz w:val="24"/>
          <w:lang w:val="en-US"/>
        </w:rPr>
        <w:t xml:space="preserve"> may be change</w:t>
      </w:r>
      <w:r w:rsidR="00AC32CD">
        <w:rPr>
          <w:rFonts w:cs="Arial"/>
          <w:sz w:val="24"/>
          <w:lang w:val="en-US"/>
        </w:rPr>
        <w:t>d</w:t>
      </w:r>
      <w:r w:rsidRPr="00492933">
        <w:rPr>
          <w:rFonts w:cs="Arial"/>
          <w:sz w:val="24"/>
          <w:lang w:val="en-US"/>
        </w:rPr>
        <w:t xml:space="preserve"> in some near future.</w:t>
      </w:r>
    </w:p>
    <w:permEnd w:id="2033745150"/>
    <w:p w14:paraId="7C403DB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478CC543" w14:textId="77777777" w:rsidR="004258CF" w:rsidRPr="004258CF" w:rsidRDefault="004258CF" w:rsidP="004258CF">
      <w:pPr>
        <w:spacing w:after="160" w:line="256" w:lineRule="auto"/>
        <w:rPr>
          <w:rFonts w:ascii="Calibri" w:eastAsia="Calibri" w:hAnsi="Calibri"/>
          <w:sz w:val="22"/>
          <w:szCs w:val="22"/>
          <w:lang w:eastAsia="en-US"/>
        </w:rPr>
      </w:pPr>
    </w:p>
    <w:p w14:paraId="7E787A45"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execution venues under the current RTS 27 that can be relevant for the elaboration of proposals to enhance access and user-friendliness of this information? Please provide specific examples if possible.</w:t>
      </w:r>
    </w:p>
    <w:p w14:paraId="6EF7AE96"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2EF1A4B5" w14:textId="77777777" w:rsidR="004258CF" w:rsidRPr="004258CF" w:rsidRDefault="004258CF" w:rsidP="004258CF">
      <w:pPr>
        <w:spacing w:after="160" w:line="256" w:lineRule="auto"/>
        <w:rPr>
          <w:rFonts w:ascii="Calibri" w:eastAsia="Calibri" w:hAnsi="Calibri"/>
          <w:sz w:val="22"/>
          <w:szCs w:val="22"/>
          <w:lang w:eastAsia="en-US"/>
        </w:rPr>
      </w:pPr>
      <w:permStart w:id="1685268831" w:edGrp="everyone"/>
      <w:r w:rsidRPr="004258CF">
        <w:rPr>
          <w:rFonts w:ascii="Calibri" w:eastAsia="Calibri" w:hAnsi="Calibri"/>
          <w:sz w:val="22"/>
          <w:szCs w:val="22"/>
          <w:lang w:eastAsia="en-US"/>
        </w:rPr>
        <w:t>TYPE YOUR TEXT HERE</w:t>
      </w:r>
    </w:p>
    <w:permEnd w:id="1685268831"/>
    <w:p w14:paraId="0748831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03DA6400" w14:textId="77777777" w:rsidR="004258CF" w:rsidRPr="004258CF" w:rsidRDefault="004258CF" w:rsidP="004258CF">
      <w:pPr>
        <w:spacing w:after="160" w:line="256" w:lineRule="auto"/>
        <w:rPr>
          <w:rFonts w:ascii="Calibri" w:eastAsia="Calibri" w:hAnsi="Calibri"/>
          <w:sz w:val="22"/>
          <w:szCs w:val="22"/>
          <w:lang w:eastAsia="en-US"/>
        </w:rPr>
      </w:pPr>
    </w:p>
    <w:p w14:paraId="6C3B0886"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investment firms under the current RTS 28 that can be relevant for the elaboration of proposals to enhance access and user-friendliness of this information? Please provide specific examples if possible.</w:t>
      </w:r>
    </w:p>
    <w:p w14:paraId="2FC2E32F"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62924821" w14:textId="77777777" w:rsidR="004258CF" w:rsidRPr="004258CF" w:rsidRDefault="004258CF" w:rsidP="004258CF">
      <w:pPr>
        <w:spacing w:after="160" w:line="256" w:lineRule="auto"/>
        <w:rPr>
          <w:rFonts w:ascii="Calibri" w:eastAsia="Calibri" w:hAnsi="Calibri"/>
          <w:sz w:val="22"/>
          <w:szCs w:val="22"/>
          <w:lang w:eastAsia="en-US"/>
        </w:rPr>
      </w:pPr>
      <w:permStart w:id="1373658977" w:edGrp="everyone"/>
      <w:r w:rsidRPr="004258CF">
        <w:rPr>
          <w:rFonts w:ascii="Calibri" w:eastAsia="Calibri" w:hAnsi="Calibri"/>
          <w:sz w:val="22"/>
          <w:szCs w:val="22"/>
          <w:lang w:eastAsia="en-US"/>
        </w:rPr>
        <w:t>TYPE YOUR TEXT HERE</w:t>
      </w:r>
    </w:p>
    <w:permEnd w:id="1373658977"/>
    <w:p w14:paraId="20E613D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35934677" w14:textId="77777777" w:rsidR="004258CF" w:rsidRPr="004258CF" w:rsidRDefault="004258CF" w:rsidP="004258CF">
      <w:pPr>
        <w:spacing w:after="160" w:line="256" w:lineRule="auto"/>
        <w:rPr>
          <w:rFonts w:ascii="Calibri" w:eastAsia="Calibri" w:hAnsi="Calibri"/>
          <w:sz w:val="22"/>
          <w:szCs w:val="22"/>
          <w:lang w:eastAsia="en-US"/>
        </w:rPr>
      </w:pPr>
    </w:p>
    <w:p w14:paraId="6E0321A3"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classification for reporting proposed in Annex I of the possible new RTS 28, especially with regard to the suggested methodology for the reporting on equity instruments? If not, what alternative categorisations would you propose?</w:t>
      </w:r>
    </w:p>
    <w:p w14:paraId="092E655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53F1E569" w14:textId="77777777" w:rsidR="004258CF" w:rsidRPr="004258CF" w:rsidRDefault="004258CF" w:rsidP="004258CF">
      <w:pPr>
        <w:spacing w:after="160" w:line="256" w:lineRule="auto"/>
        <w:rPr>
          <w:rFonts w:ascii="Calibri" w:eastAsia="Calibri" w:hAnsi="Calibri"/>
          <w:sz w:val="22"/>
          <w:szCs w:val="22"/>
          <w:lang w:eastAsia="en-US"/>
        </w:rPr>
      </w:pPr>
      <w:permStart w:id="1906529081" w:edGrp="everyone"/>
      <w:r w:rsidRPr="004258CF">
        <w:rPr>
          <w:rFonts w:ascii="Calibri" w:eastAsia="Calibri" w:hAnsi="Calibri"/>
          <w:sz w:val="22"/>
          <w:szCs w:val="22"/>
          <w:lang w:eastAsia="en-US"/>
        </w:rPr>
        <w:t>TYPE YOUR TEXT HERE</w:t>
      </w:r>
    </w:p>
    <w:permEnd w:id="1906529081"/>
    <w:p w14:paraId="01FAD932"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0F6B03CC" w14:textId="77777777" w:rsidR="004258CF" w:rsidRPr="004258CF" w:rsidRDefault="004258CF" w:rsidP="004258CF">
      <w:pPr>
        <w:spacing w:after="160" w:line="256" w:lineRule="auto"/>
        <w:rPr>
          <w:rFonts w:ascii="Calibri" w:eastAsia="Calibri" w:hAnsi="Calibri"/>
          <w:sz w:val="22"/>
          <w:szCs w:val="22"/>
          <w:lang w:eastAsia="en-US"/>
        </w:rPr>
      </w:pPr>
    </w:p>
    <w:p w14:paraId="177D582B"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proposals for a possible review of RTS 28?</w:t>
      </w:r>
    </w:p>
    <w:p w14:paraId="3EAC36C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587615C3" w14:textId="77777777" w:rsidR="00C41217" w:rsidRPr="00492933" w:rsidRDefault="00C41217" w:rsidP="00C41217">
      <w:pPr>
        <w:jc w:val="both"/>
        <w:rPr>
          <w:rFonts w:cs="Arial"/>
          <w:sz w:val="24"/>
        </w:rPr>
      </w:pPr>
      <w:permStart w:id="297553631" w:edGrp="everyone"/>
      <w:r w:rsidRPr="00492933">
        <w:rPr>
          <w:rFonts w:cs="Arial"/>
          <w:sz w:val="24"/>
        </w:rPr>
        <w:t>It seems that the amount of work required to complete the new information is still far too much in relation to the interest in this data on the market - taking into account the current regulations.</w:t>
      </w:r>
    </w:p>
    <w:permEnd w:id="297553631"/>
    <w:p w14:paraId="0F71BB0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191FCAA4" w14:textId="77777777" w:rsidR="004258CF" w:rsidRPr="004258CF" w:rsidRDefault="004258CF" w:rsidP="004258CF">
      <w:pPr>
        <w:spacing w:after="160" w:line="256" w:lineRule="auto"/>
        <w:rPr>
          <w:rFonts w:ascii="Calibri" w:eastAsia="Calibri" w:hAnsi="Calibri"/>
          <w:sz w:val="22"/>
          <w:szCs w:val="22"/>
          <w:lang w:eastAsia="en-US"/>
        </w:rPr>
      </w:pPr>
    </w:p>
    <w:p w14:paraId="73ADAEAC"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cost benefit analysis as it has been described in Annex II?</w:t>
      </w:r>
    </w:p>
    <w:p w14:paraId="6912E60E"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lastRenderedPageBreak/>
        <w:t>&lt;ESMA_QUESTION_BEEX_8&gt;</w:t>
      </w:r>
    </w:p>
    <w:p w14:paraId="5BF65836" w14:textId="63F883FD" w:rsidR="00C41217" w:rsidRPr="00492933" w:rsidRDefault="00C41217" w:rsidP="00C41217">
      <w:pPr>
        <w:jc w:val="both"/>
        <w:rPr>
          <w:rFonts w:cs="Arial"/>
          <w:sz w:val="24"/>
        </w:rPr>
      </w:pPr>
      <w:permStart w:id="1132928363" w:edGrp="everyone"/>
      <w:r w:rsidRPr="00492933">
        <w:rPr>
          <w:rFonts w:cs="Arial"/>
          <w:sz w:val="24"/>
        </w:rPr>
        <w:t>Steps towards greater uniformity of these reports over the long term should have a positive impact on the costs incurred by investment firms. It should be noted that the analysis is based on the assumption that companies are already preparing reports in this area. However, there is no analysis whether these reports are necessary for the market and whether the costs incurred for their creation exceed the benefits for the market.</w:t>
      </w:r>
    </w:p>
    <w:permEnd w:id="1132928363"/>
    <w:p w14:paraId="3A8CD7F4"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484577B1" w14:textId="77777777" w:rsidR="004258CF" w:rsidRPr="004258CF" w:rsidRDefault="004258CF" w:rsidP="004258CF">
      <w:pPr>
        <w:spacing w:after="160" w:line="256" w:lineRule="auto"/>
        <w:rPr>
          <w:rFonts w:ascii="Calibri" w:eastAsia="Calibri" w:hAnsi="Calibri"/>
          <w:sz w:val="22"/>
          <w:szCs w:val="22"/>
          <w:lang w:eastAsia="en-US"/>
        </w:rPr>
      </w:pPr>
    </w:p>
    <w:p w14:paraId="2C0DA92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Are there any additional comments that you would like to raise and/or information that you would like to provide?</w:t>
      </w:r>
    </w:p>
    <w:p w14:paraId="231F0D9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5F52F9FF" w14:textId="77777777" w:rsidR="00C41217" w:rsidRPr="00492933" w:rsidRDefault="00C41217" w:rsidP="00C41217">
      <w:pPr>
        <w:jc w:val="both"/>
        <w:rPr>
          <w:rFonts w:cs="Arial"/>
          <w:sz w:val="24"/>
        </w:rPr>
      </w:pPr>
      <w:permStart w:id="686839684" w:edGrp="everyone"/>
      <w:r w:rsidRPr="00492933">
        <w:rPr>
          <w:rFonts w:cs="Arial"/>
          <w:sz w:val="24"/>
        </w:rPr>
        <w:t xml:space="preserve">It seems that due to the low interest of recipients (based on history) in the data published on the basis of RTS 27 and 28, shortening the date of publication of new data to only one month after the end of the quarter seems too short a period. Especially </w:t>
      </w:r>
      <w:r>
        <w:rPr>
          <w:rFonts w:cs="Arial"/>
          <w:sz w:val="24"/>
        </w:rPr>
        <w:t>because</w:t>
      </w:r>
      <w:r w:rsidRPr="00492933">
        <w:rPr>
          <w:rFonts w:cs="Arial"/>
          <w:sz w:val="24"/>
        </w:rPr>
        <w:t xml:space="preserve"> in the new reality it will be necessary to adapt to completely new reporting conditions.</w:t>
      </w:r>
    </w:p>
    <w:permEnd w:id="686839684"/>
    <w:p w14:paraId="4B0FF93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3ED8C52A" w14:textId="77777777" w:rsidR="004258CF" w:rsidRPr="004258CF" w:rsidRDefault="004258CF" w:rsidP="004258CF">
      <w:pPr>
        <w:spacing w:after="160" w:line="256" w:lineRule="auto"/>
        <w:rPr>
          <w:rFonts w:ascii="Calibri" w:eastAsia="Calibri" w:hAnsi="Calibri"/>
          <w:sz w:val="22"/>
          <w:szCs w:val="22"/>
          <w:lang w:eastAsia="en-US"/>
        </w:rPr>
      </w:pPr>
    </w:p>
    <w:p w14:paraId="424DF368" w14:textId="77777777" w:rsidR="004258CF" w:rsidRPr="00014A67" w:rsidRDefault="004258CF" w:rsidP="00014A67">
      <w:pPr>
        <w:rPr>
          <w:lang w:eastAsia="en-US"/>
        </w:rPr>
      </w:pPr>
    </w:p>
    <w:sectPr w:rsidR="004258CF"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F601" w14:textId="77777777" w:rsidR="006E6426" w:rsidRDefault="006E6426">
      <w:r>
        <w:separator/>
      </w:r>
    </w:p>
    <w:p w14:paraId="27876579" w14:textId="77777777" w:rsidR="006E6426" w:rsidRDefault="006E6426"/>
  </w:endnote>
  <w:endnote w:type="continuationSeparator" w:id="0">
    <w:p w14:paraId="65240718" w14:textId="77777777" w:rsidR="006E6426" w:rsidRDefault="006E6426">
      <w:r>
        <w:continuationSeparator/>
      </w:r>
    </w:p>
    <w:p w14:paraId="32311649" w14:textId="77777777" w:rsidR="006E6426" w:rsidRDefault="006E6426"/>
  </w:endnote>
  <w:endnote w:type="continuationNotice" w:id="1">
    <w:p w14:paraId="08F3B513" w14:textId="77777777" w:rsidR="006E6426" w:rsidRDefault="006E6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AEC" w14:textId="77777777" w:rsidR="00811EDA" w:rsidRDefault="00811E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CEAC" w14:textId="77777777" w:rsidR="006E6426" w:rsidRDefault="006E6426">
      <w:r>
        <w:separator/>
      </w:r>
    </w:p>
    <w:p w14:paraId="14788EFA" w14:textId="77777777" w:rsidR="006E6426" w:rsidRDefault="006E6426"/>
  </w:footnote>
  <w:footnote w:type="continuationSeparator" w:id="0">
    <w:p w14:paraId="772FD111" w14:textId="77777777" w:rsidR="006E6426" w:rsidRDefault="006E6426">
      <w:r>
        <w:continuationSeparator/>
      </w:r>
    </w:p>
    <w:p w14:paraId="00747616" w14:textId="77777777" w:rsidR="006E6426" w:rsidRDefault="006E6426"/>
  </w:footnote>
  <w:footnote w:type="continuationNotice" w:id="1">
    <w:p w14:paraId="2F2C23B8" w14:textId="77777777" w:rsidR="006E6426" w:rsidRDefault="006E64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C29" w14:textId="77777777" w:rsidR="00811EDA" w:rsidRDefault="00DE66EB">
    <w:pPr>
      <w:pStyle w:val="Nagwek"/>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F13" w14:textId="77777777" w:rsidR="00811EDA" w:rsidRDefault="00DE66EB" w:rsidP="00013CCE">
    <w:pPr>
      <w:pStyle w:val="Nagwek"/>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Nagwek"/>
      <w:rPr>
        <w:lang w:val="fr-FR"/>
      </w:rPr>
    </w:pPr>
  </w:p>
  <w:p w14:paraId="0F1BB730" w14:textId="77777777" w:rsidR="00811EDA" w:rsidRPr="002F4496" w:rsidRDefault="00811EDA" w:rsidP="000C06C9">
    <w:pPr>
      <w:pStyle w:val="Nagwek"/>
      <w:tabs>
        <w:tab w:val="clear" w:pos="4536"/>
        <w:tab w:val="clear" w:pos="9072"/>
        <w:tab w:val="left" w:pos="8227"/>
      </w:tabs>
      <w:rPr>
        <w:lang w:val="fr-FR"/>
      </w:rPr>
    </w:pPr>
  </w:p>
  <w:p w14:paraId="354F7019" w14:textId="77777777" w:rsidR="00811EDA" w:rsidRPr="002F4496" w:rsidRDefault="00811EDA" w:rsidP="000C06C9">
    <w:pPr>
      <w:pStyle w:val="Nagwek"/>
      <w:tabs>
        <w:tab w:val="clear" w:pos="4536"/>
        <w:tab w:val="clear" w:pos="9072"/>
        <w:tab w:val="left" w:pos="8227"/>
      </w:tabs>
      <w:rPr>
        <w:lang w:val="fr-FR"/>
      </w:rPr>
    </w:pPr>
  </w:p>
  <w:p w14:paraId="438C49BF" w14:textId="77777777" w:rsidR="00811EDA" w:rsidRPr="002F4496" w:rsidRDefault="00811EDA">
    <w:pPr>
      <w:pStyle w:val="Nagwek"/>
      <w:rPr>
        <w:lang w:val="fr-FR"/>
      </w:rPr>
    </w:pPr>
  </w:p>
  <w:p w14:paraId="77F5F5FB" w14:textId="77777777" w:rsidR="00811EDA" w:rsidRPr="002F4496" w:rsidRDefault="00811EDA">
    <w:pPr>
      <w:pStyle w:val="Nagwek"/>
      <w:rPr>
        <w:lang w:val="fr-FR"/>
      </w:rPr>
    </w:pPr>
  </w:p>
  <w:p w14:paraId="31EA96F8" w14:textId="77777777" w:rsidR="00811EDA" w:rsidRPr="002F4496" w:rsidRDefault="00811EDA">
    <w:pPr>
      <w:pStyle w:val="Nagwek"/>
      <w:rPr>
        <w:lang w:val="fr-FR"/>
      </w:rPr>
    </w:pPr>
  </w:p>
  <w:p w14:paraId="0FAE7A71" w14:textId="77777777" w:rsidR="00811EDA" w:rsidRPr="002F4496" w:rsidRDefault="00811EDA">
    <w:pPr>
      <w:pStyle w:val="Nagwek"/>
      <w:rPr>
        <w:lang w:val="fr-FR"/>
      </w:rPr>
    </w:pPr>
  </w:p>
  <w:p w14:paraId="339C0C6E" w14:textId="77777777" w:rsidR="00811EDA" w:rsidRPr="002F4496" w:rsidRDefault="00811EDA">
    <w:pPr>
      <w:pStyle w:val="Nagwek"/>
      <w:rPr>
        <w:highlight w:val="yellow"/>
        <w:lang w:val="fr-FR"/>
      </w:rPr>
    </w:pPr>
  </w:p>
  <w:p w14:paraId="0495A777" w14:textId="77777777" w:rsidR="00811EDA" w:rsidRDefault="00DE66EB">
    <w:pPr>
      <w:pStyle w:val="Nagwek"/>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A6466B6"/>
    <w:lvl w:ilvl="0" w:tplc="B8FE8AE4">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1733B9"/>
    <w:multiLevelType w:val="hybridMultilevel"/>
    <w:tmpl w:val="1B28428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Nagwe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Nagwe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9"/>
  </w:num>
  <w:num w:numId="21">
    <w:abstractNumId w:val="40"/>
  </w:num>
  <w:num w:numId="22">
    <w:abstractNumId w:val="27"/>
  </w:num>
  <w:num w:numId="23">
    <w:abstractNumId w:val="7"/>
  </w:num>
  <w:num w:numId="24">
    <w:abstractNumId w:val="32"/>
  </w:num>
  <w:num w:numId="25">
    <w:abstractNumId w:val="31"/>
  </w:num>
  <w:num w:numId="26">
    <w:abstractNumId w:val="20"/>
  </w:num>
  <w:num w:numId="27">
    <w:abstractNumId w:val="36"/>
  </w:num>
  <w:num w:numId="28">
    <w:abstractNumId w:val="43"/>
  </w:num>
  <w:num w:numId="29">
    <w:abstractNumId w:val="5"/>
  </w:num>
  <w:num w:numId="30">
    <w:abstractNumId w:val="2"/>
  </w:num>
  <w:num w:numId="31">
    <w:abstractNumId w:val="22"/>
  </w:num>
  <w:num w:numId="32">
    <w:abstractNumId w:val="21"/>
  </w:num>
  <w:num w:numId="33">
    <w:abstractNumId w:val="39"/>
  </w:num>
  <w:num w:numId="34">
    <w:abstractNumId w:val="38"/>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2"/>
  </w:num>
  <w:num w:numId="43">
    <w:abstractNumId w:val="37"/>
  </w:num>
  <w:num w:numId="44">
    <w:abstractNumId w:val="13"/>
    <w:lvlOverride w:ilvl="0">
      <w:startOverride w:val="1"/>
    </w:lvlOverride>
  </w:num>
  <w:num w:numId="45">
    <w:abstractNumId w:val="13"/>
    <w:lvlOverride w:ilvl="0">
      <w:startOverride w:val="1"/>
    </w:lvlOverride>
  </w:num>
  <w:num w:numId="46">
    <w:abstractNumId w:val="13"/>
  </w:num>
  <w:num w:numId="47">
    <w:abstractNumId w:val="34"/>
  </w:num>
  <w:num w:numId="48">
    <w:abstractNumId w:val="13"/>
    <w:lvlOverride w:ilvl="0">
      <w:startOverride w:val="1"/>
    </w:lvlOverride>
  </w:num>
  <w:num w:numId="49">
    <w:abstractNumId w:val="13"/>
    <w:lvlOverride w:ilvl="0">
      <w:startOverride w:val="1"/>
    </w:lvlOverride>
  </w:num>
  <w:num w:numId="50">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J7HZXB9gSYCILHQIW1cyfcWswNF8iwjO8PyLtE3K2MEJ3QZI2bUAAcgNGjb506Vy2efyNvbdX3N1wEFLu9wfA==" w:salt="ELPiLiG5u/Wle4LZDLwvW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0F7F"/>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9F2"/>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507"/>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796B"/>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46"/>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47DC6"/>
    <w:rsid w:val="00350590"/>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8CF"/>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107"/>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5F2D"/>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091"/>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D748D"/>
    <w:rsid w:val="006E0A4F"/>
    <w:rsid w:val="006E0C8A"/>
    <w:rsid w:val="006E2A23"/>
    <w:rsid w:val="006E35E5"/>
    <w:rsid w:val="006E3C72"/>
    <w:rsid w:val="006E4F20"/>
    <w:rsid w:val="006E6426"/>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8D0"/>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D09"/>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9EE"/>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987"/>
    <w:rsid w:val="00865B01"/>
    <w:rsid w:val="00866D7A"/>
    <w:rsid w:val="00866EE3"/>
    <w:rsid w:val="008701E5"/>
    <w:rsid w:val="008706C5"/>
    <w:rsid w:val="00871D24"/>
    <w:rsid w:val="00871F04"/>
    <w:rsid w:val="00873B7E"/>
    <w:rsid w:val="008746C1"/>
    <w:rsid w:val="00880224"/>
    <w:rsid w:val="0088244C"/>
    <w:rsid w:val="00883367"/>
    <w:rsid w:val="00884C47"/>
    <w:rsid w:val="00884E92"/>
    <w:rsid w:val="00885E6F"/>
    <w:rsid w:val="008861AC"/>
    <w:rsid w:val="008868E4"/>
    <w:rsid w:val="00886A60"/>
    <w:rsid w:val="00886D3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4F3"/>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6B70"/>
    <w:rsid w:val="008F0354"/>
    <w:rsid w:val="008F085A"/>
    <w:rsid w:val="008F0FA7"/>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143D"/>
    <w:rsid w:val="00913401"/>
    <w:rsid w:val="00913567"/>
    <w:rsid w:val="009137B6"/>
    <w:rsid w:val="009147F5"/>
    <w:rsid w:val="00915EBA"/>
    <w:rsid w:val="00917093"/>
    <w:rsid w:val="0091799E"/>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10"/>
    <w:rsid w:val="00952F2C"/>
    <w:rsid w:val="009532E3"/>
    <w:rsid w:val="00953615"/>
    <w:rsid w:val="00953A42"/>
    <w:rsid w:val="00954BAF"/>
    <w:rsid w:val="009553E8"/>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2CD"/>
    <w:rsid w:val="00AC3934"/>
    <w:rsid w:val="00AC50C8"/>
    <w:rsid w:val="00AC5581"/>
    <w:rsid w:val="00AC56AD"/>
    <w:rsid w:val="00AC61BD"/>
    <w:rsid w:val="00AC61BE"/>
    <w:rsid w:val="00AD0CB4"/>
    <w:rsid w:val="00AD11E9"/>
    <w:rsid w:val="00AD1271"/>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32C"/>
    <w:rsid w:val="00AF38AF"/>
    <w:rsid w:val="00AF3C29"/>
    <w:rsid w:val="00AF4401"/>
    <w:rsid w:val="00AF4463"/>
    <w:rsid w:val="00AF53CB"/>
    <w:rsid w:val="00AF5D6D"/>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0B72"/>
    <w:rsid w:val="00C316F7"/>
    <w:rsid w:val="00C31DF0"/>
    <w:rsid w:val="00C32578"/>
    <w:rsid w:val="00C33916"/>
    <w:rsid w:val="00C33BCF"/>
    <w:rsid w:val="00C34D1D"/>
    <w:rsid w:val="00C353A0"/>
    <w:rsid w:val="00C368D7"/>
    <w:rsid w:val="00C36FD1"/>
    <w:rsid w:val="00C371A5"/>
    <w:rsid w:val="00C372AF"/>
    <w:rsid w:val="00C400B0"/>
    <w:rsid w:val="00C40F4E"/>
    <w:rsid w:val="00C41217"/>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570D3"/>
    <w:rsid w:val="00C6009F"/>
    <w:rsid w:val="00C60417"/>
    <w:rsid w:val="00C6046F"/>
    <w:rsid w:val="00C638C2"/>
    <w:rsid w:val="00C651D4"/>
    <w:rsid w:val="00C6669E"/>
    <w:rsid w:val="00C66F9F"/>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0C0"/>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139"/>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92BBE"/>
    <w:rsid w:val="00DA0FA7"/>
    <w:rsid w:val="00DA12B0"/>
    <w:rsid w:val="00DA2BA0"/>
    <w:rsid w:val="00DA3914"/>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0DB9"/>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0A7"/>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4F8A"/>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1AB6"/>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24E"/>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331A2"/>
    <w:rPr>
      <w:rFonts w:ascii="Arial" w:hAnsi="Arial"/>
      <w:szCs w:val="24"/>
      <w:lang w:eastAsia="de-DE"/>
    </w:rPr>
  </w:style>
  <w:style w:type="paragraph" w:styleId="Nagwek1">
    <w:name w:val="heading 1"/>
    <w:basedOn w:val="Normalny"/>
    <w:next w:val="Normalny"/>
    <w:link w:val="Nagwek1Znak"/>
    <w:qFormat/>
    <w:rsid w:val="009E7724"/>
    <w:pPr>
      <w:keepNext/>
      <w:numPr>
        <w:numId w:val="5"/>
      </w:numPr>
      <w:spacing w:before="240" w:after="60"/>
      <w:outlineLvl w:val="0"/>
    </w:pPr>
    <w:rPr>
      <w:rFonts w:cs="Arial"/>
      <w:b/>
      <w:bCs/>
      <w:kern w:val="32"/>
      <w:sz w:val="24"/>
      <w:szCs w:val="32"/>
    </w:rPr>
  </w:style>
  <w:style w:type="paragraph" w:styleId="Nagwek2">
    <w:name w:val="heading 2"/>
    <w:basedOn w:val="Normalny"/>
    <w:next w:val="Normalny"/>
    <w:link w:val="Nagwek2Znak"/>
    <w:qFormat/>
    <w:rsid w:val="00886A60"/>
    <w:pPr>
      <w:keepNext/>
      <w:keepLines/>
      <w:spacing w:before="200" w:after="120"/>
      <w:outlineLvl w:val="1"/>
    </w:pPr>
    <w:rPr>
      <w:b/>
      <w:bCs/>
      <w:szCs w:val="26"/>
    </w:rPr>
  </w:style>
  <w:style w:type="paragraph" w:styleId="Nagwek3">
    <w:name w:val="heading 3"/>
    <w:basedOn w:val="Normalny"/>
    <w:next w:val="Normalny"/>
    <w:link w:val="Nagwek3Znak"/>
    <w:qFormat/>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qFormat/>
    <w:rsid w:val="00E9344E"/>
    <w:pPr>
      <w:keepNext/>
      <w:keepLines/>
      <w:numPr>
        <w:numId w:val="13"/>
      </w:numPr>
      <w:spacing w:before="200"/>
      <w:jc w:val="both"/>
      <w:outlineLvl w:val="4"/>
    </w:pPr>
    <w:rPr>
      <w:b/>
    </w:rPr>
  </w:style>
  <w:style w:type="paragraph" w:styleId="Nagwek6">
    <w:name w:val="heading 6"/>
    <w:basedOn w:val="Normalny"/>
    <w:next w:val="Normalny"/>
    <w:link w:val="Nagwek6Znak"/>
    <w:qFormat/>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rsid w:val="00A06867"/>
    <w:pPr>
      <w:tabs>
        <w:tab w:val="num" w:pos="1584"/>
      </w:tabs>
      <w:spacing w:before="240" w:after="60"/>
      <w:ind w:left="1584" w:hanging="1584"/>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B64CB"/>
    <w:pPr>
      <w:tabs>
        <w:tab w:val="center" w:pos="4536"/>
        <w:tab w:val="right" w:pos="9072"/>
      </w:tabs>
    </w:pPr>
  </w:style>
  <w:style w:type="paragraph" w:styleId="Stopka">
    <w:name w:val="footer"/>
    <w:basedOn w:val="Normalny"/>
    <w:link w:val="StopkaZnak"/>
    <w:rsid w:val="005B64CB"/>
    <w:pPr>
      <w:tabs>
        <w:tab w:val="center" w:pos="4536"/>
        <w:tab w:val="right" w:pos="9072"/>
      </w:tabs>
    </w:pPr>
  </w:style>
  <w:style w:type="table" w:styleId="Tabela-Siatka">
    <w:name w:val="Table Grid"/>
    <w:basedOn w:val="Standardowy"/>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rsid w:val="003E3ACA"/>
    <w:pPr>
      <w:spacing w:line="200" w:lineRule="exact"/>
    </w:pPr>
    <w:rPr>
      <w:color w:val="2D4190"/>
      <w:sz w:val="16"/>
    </w:rPr>
  </w:style>
  <w:style w:type="paragraph" w:customStyle="1" w:styleId="05aTitle">
    <w:name w:val="05a_Title"/>
    <w:basedOn w:val="Normalny"/>
    <w:rsid w:val="00791EB4"/>
    <w:pPr>
      <w:spacing w:line="340" w:lineRule="exact"/>
    </w:pPr>
    <w:rPr>
      <w:b/>
      <w:color w:val="000000"/>
      <w:sz w:val="28"/>
    </w:rPr>
  </w:style>
  <w:style w:type="paragraph" w:customStyle="1" w:styleId="02Date">
    <w:name w:val="02_Date"/>
    <w:basedOn w:val="Normalny"/>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ny"/>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strony">
    <w:name w:val="page number"/>
    <w:basedOn w:val="Domylnaczcionkaakapitu"/>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cz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qFormat/>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Spistreci2">
    <w:name w:val="toc 2"/>
    <w:basedOn w:val="Normalny"/>
    <w:next w:val="Normalny"/>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ny"/>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woaniedokomentarza">
    <w:name w:val="annotation reference"/>
    <w:rsid w:val="004B1E61"/>
    <w:rPr>
      <w:sz w:val="16"/>
      <w:szCs w:val="16"/>
    </w:rPr>
  </w:style>
  <w:style w:type="paragraph" w:styleId="Tekstkomentarza">
    <w:name w:val="annotation text"/>
    <w:basedOn w:val="Normalny"/>
    <w:link w:val="TekstkomentarzaZnak"/>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
    <w:basedOn w:val="Normalny"/>
    <w:link w:val="AkapitzlistZnak"/>
    <w:uiPriority w:val="34"/>
    <w:qFormat/>
    <w:rsid w:val="002A0C82"/>
    <w:pPr>
      <w:ind w:left="720"/>
      <w:contextualSpacing/>
    </w:pPr>
  </w:style>
  <w:style w:type="paragraph" w:styleId="Nagwekspisutreci">
    <w:name w:val="TOC Heading"/>
    <w:basedOn w:val="Nagwek1"/>
    <w:next w:val="Normalny"/>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rsid w:val="008E1B6A"/>
  </w:style>
  <w:style w:type="paragraph" w:customStyle="1" w:styleId="ManualNumPar1">
    <w:name w:val="Manual NumPar 1"/>
    <w:basedOn w:val="Normalny"/>
    <w:next w:val="Normalny"/>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wydatnienie">
    <w:name w:val="Emphasis"/>
    <w:uiPriority w:val="20"/>
    <w:qFormat/>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ny"/>
    <w:next w:val="Normalny"/>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kumentu">
    <w:name w:val="Document Map"/>
    <w:basedOn w:val="Normalny"/>
    <w:link w:val="MapadokumentuZnak"/>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rsid w:val="00AA016B"/>
    <w:pPr>
      <w:numPr>
        <w:numId w:val="8"/>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Pogrubieni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ny"/>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rsid w:val="002D6E1A"/>
  </w:style>
  <w:style w:type="character" w:styleId="UyteHipercze">
    <w:name w:val="FollowedHyperlink"/>
    <w:unhideWhenUsed/>
    <w:rsid w:val="002D6E1A"/>
    <w:rPr>
      <w:color w:val="800080"/>
      <w:u w:val="single"/>
    </w:rPr>
  </w:style>
  <w:style w:type="character" w:customStyle="1" w:styleId="NagwekZnak">
    <w:name w:val="Nagłówek Znak"/>
    <w:link w:val="Nagwek"/>
    <w:rsid w:val="002D6E1A"/>
    <w:rPr>
      <w:rFonts w:ascii="Georgia" w:hAnsi="Georgia"/>
      <w:sz w:val="22"/>
      <w:szCs w:val="24"/>
      <w:lang w:eastAsia="de-DE"/>
    </w:rPr>
  </w:style>
  <w:style w:type="character" w:customStyle="1" w:styleId="StopkaZnak">
    <w:name w:val="Stopka Znak"/>
    <w:link w:val="Stopka"/>
    <w:rsid w:val="002D6E1A"/>
    <w:rPr>
      <w:rFonts w:ascii="Georgia" w:hAnsi="Georgia"/>
      <w:sz w:val="22"/>
      <w:szCs w:val="24"/>
      <w:lang w:eastAsia="de-DE"/>
    </w:rPr>
  </w:style>
  <w:style w:type="paragraph" w:styleId="Tekstprzypisukocowego">
    <w:name w:val="endnote text"/>
    <w:basedOn w:val="Normalny"/>
    <w:link w:val="TekstprzypisukocowegoZnak"/>
    <w:unhideWhenUs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
    <w:link w:val="Akapitzlist"/>
    <w:uiPriority w:val="34"/>
    <w:locked/>
    <w:rsid w:val="002D6E1A"/>
    <w:rPr>
      <w:rFonts w:ascii="Georgia" w:hAnsi="Georgia"/>
      <w:sz w:val="22"/>
      <w:szCs w:val="24"/>
      <w:lang w:eastAsia="de-DE"/>
    </w:rPr>
  </w:style>
  <w:style w:type="paragraph" w:customStyle="1" w:styleId="04anumbering0">
    <w:name w:val="04anumbering"/>
    <w:basedOn w:val="Normalny"/>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rsid w:val="002D6E1A"/>
    <w:pPr>
      <w:ind w:left="708"/>
      <w:contextualSpacing w:val="0"/>
      <w:jc w:val="both"/>
    </w:pPr>
    <w:rPr>
      <w:b/>
      <w:szCs w:val="20"/>
      <w:u w:val="single"/>
    </w:rPr>
  </w:style>
  <w:style w:type="paragraph" w:customStyle="1" w:styleId="Bullet">
    <w:name w:val="Bullet"/>
    <w:basedOn w:val="Normalny"/>
    <w:rsid w:val="002D6E1A"/>
    <w:pPr>
      <w:numPr>
        <w:numId w:val="11"/>
      </w:numPr>
      <w:tabs>
        <w:tab w:val="left" w:pos="708"/>
      </w:tabs>
      <w:spacing w:before="120" w:after="120" w:line="276" w:lineRule="auto"/>
      <w:jc w:val="both"/>
    </w:pPr>
    <w:rPr>
      <w:szCs w:val="20"/>
      <w:lang w:eastAsia="en-GB"/>
    </w:rPr>
  </w:style>
  <w:style w:type="character" w:styleId="Odwoanieprzypisukocowego">
    <w:name w:val="endnote reference"/>
    <w:unhideWhenUsed/>
    <w:rsid w:val="002D6E1A"/>
    <w:rPr>
      <w:vertAlign w:val="superscript"/>
    </w:rPr>
  </w:style>
  <w:style w:type="character" w:styleId="Tekstzastpczy">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rdowy"/>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rsid w:val="00952F2C"/>
  </w:style>
  <w:style w:type="paragraph" w:customStyle="1" w:styleId="aStyle">
    <w:name w:val="a) Style"/>
    <w:basedOn w:val="Normalny"/>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gwek5Znak">
    <w:name w:val="Nagłówek 5 Znak"/>
    <w:aliases w:val="Questions Znak"/>
    <w:link w:val="Nagwek5"/>
    <w:rsid w:val="00E9344E"/>
    <w:rPr>
      <w:rFonts w:ascii="Arial" w:hAnsi="Arial"/>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ny"/>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gwe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Nagwek1"/>
    <w:next w:val="Normalny"/>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ny"/>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rsid w:val="000D2D0B"/>
    <w:pPr>
      <w:spacing w:before="120" w:after="120"/>
      <w:ind w:left="850"/>
      <w:jc w:val="both"/>
    </w:pPr>
    <w:rPr>
      <w:rFonts w:ascii="Times New Roman" w:hAnsi="Times New Roman"/>
      <w:sz w:val="24"/>
      <w:lang w:eastAsia="en-US"/>
    </w:rPr>
  </w:style>
  <w:style w:type="paragraph" w:customStyle="1" w:styleId="Text2">
    <w:name w:val="Text 2"/>
    <w:basedOn w:val="Normalny"/>
    <w:rsid w:val="000D2D0B"/>
    <w:pPr>
      <w:spacing w:before="120" w:after="120"/>
      <w:ind w:left="1417"/>
      <w:jc w:val="both"/>
    </w:pPr>
    <w:rPr>
      <w:rFonts w:ascii="Times New Roman" w:hAnsi="Times New Roman"/>
      <w:sz w:val="24"/>
      <w:lang w:eastAsia="en-US"/>
    </w:rPr>
  </w:style>
  <w:style w:type="paragraph" w:customStyle="1" w:styleId="Text3">
    <w:name w:val="Text 3"/>
    <w:basedOn w:val="Normalny"/>
    <w:rsid w:val="000D2D0B"/>
    <w:pPr>
      <w:spacing w:before="120" w:after="120"/>
      <w:ind w:left="1984"/>
      <w:jc w:val="both"/>
    </w:pPr>
    <w:rPr>
      <w:rFonts w:ascii="Times New Roman" w:hAnsi="Times New Roman"/>
      <w:sz w:val="24"/>
      <w:lang w:eastAsia="en-US"/>
    </w:rPr>
  </w:style>
  <w:style w:type="paragraph" w:customStyle="1" w:styleId="Text4">
    <w:name w:val="Text 4"/>
    <w:basedOn w:val="Normalny"/>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ny"/>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ny"/>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ny"/>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ny"/>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ny"/>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ny"/>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ny"/>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ny"/>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ny"/>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ny"/>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ny"/>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ny"/>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ny"/>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ny"/>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ny"/>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ny"/>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ny"/>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ny"/>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rsid w:val="000D2D0B"/>
    <w:pPr>
      <w:spacing w:after="240"/>
    </w:pPr>
    <w:rPr>
      <w:rFonts w:ascii="Times New Roman" w:hAnsi="Times New Roman"/>
      <w:sz w:val="24"/>
      <w:lang w:eastAsia="en-US"/>
    </w:rPr>
  </w:style>
  <w:style w:type="paragraph" w:customStyle="1" w:styleId="Datedadoption">
    <w:name w:val="Date d'adoption"/>
    <w:basedOn w:val="Normalny"/>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rsid w:val="000D2D0B"/>
    <w:rPr>
      <w:rFonts w:cs="Arial"/>
      <w:sz w:val="24"/>
      <w:lang w:eastAsia="en-US"/>
    </w:rPr>
  </w:style>
  <w:style w:type="paragraph" w:customStyle="1" w:styleId="Rfrenceinstitutionnelle">
    <w:name w:val="Référence institutionnelle"/>
    <w:basedOn w:val="Normalny"/>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ny"/>
    <w:rsid w:val="000D2D0B"/>
    <w:pPr>
      <w:jc w:val="center"/>
    </w:pPr>
    <w:rPr>
      <w:rFonts w:ascii="Times New Roman" w:hAnsi="Times New Roman"/>
      <w:b/>
      <w:sz w:val="24"/>
      <w:lang w:eastAsia="en-US"/>
    </w:rPr>
  </w:style>
  <w:style w:type="paragraph" w:customStyle="1" w:styleId="Statut">
    <w:name w:val="Statut"/>
    <w:basedOn w:val="Normalny"/>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ny"/>
    <w:next w:val="Normalny"/>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rsid w:val="000D2D0B"/>
    <w:pPr>
      <w:spacing w:before="360"/>
      <w:jc w:val="center"/>
    </w:pPr>
    <w:rPr>
      <w:rFonts w:ascii="Times New Roman" w:hAnsi="Times New Roman"/>
      <w:sz w:val="24"/>
      <w:lang w:eastAsia="en-US"/>
    </w:rPr>
  </w:style>
  <w:style w:type="paragraph" w:customStyle="1" w:styleId="Rfrencecroise">
    <w:name w:val="Référence croisée"/>
    <w:basedOn w:val="Normalny"/>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ny"/>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rsid w:val="000D2D0B"/>
    <w:pPr>
      <w:spacing w:after="240"/>
    </w:pPr>
  </w:style>
  <w:style w:type="paragraph" w:customStyle="1" w:styleId="Accompagnant">
    <w:name w:val="Accompagnant"/>
    <w:basedOn w:val="Normalny"/>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ny"/>
    <w:next w:val="Normalny"/>
    <w:rsid w:val="000D2D0B"/>
    <w:pPr>
      <w:spacing w:before="360"/>
      <w:jc w:val="center"/>
    </w:pPr>
    <w:rPr>
      <w:rFonts w:ascii="Times New Roman" w:hAnsi="Times New Roman"/>
      <w:sz w:val="24"/>
      <w:lang w:eastAsia="en-US"/>
    </w:rPr>
  </w:style>
  <w:style w:type="paragraph" w:styleId="Listanumerowana2">
    <w:name w:val="List Number 2"/>
    <w:basedOn w:val="Normalny"/>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rsid w:val="000D2D0B"/>
    <w:pPr>
      <w:ind w:left="720"/>
      <w:contextualSpacing/>
    </w:pPr>
    <w:rPr>
      <w:rFonts w:ascii="Cambria" w:hAnsi="Cambria"/>
      <w:sz w:val="24"/>
      <w:lang w:val="en-US" w:eastAsia="en-US"/>
    </w:rPr>
  </w:style>
  <w:style w:type="paragraph" w:customStyle="1" w:styleId="Listeavsnitt1">
    <w:name w:val="Listeavsnitt1"/>
    <w:basedOn w:val="Normalny"/>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ny"/>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rsid w:val="000D2D0B"/>
    <w:pPr>
      <w:ind w:left="720"/>
      <w:contextualSpacing/>
    </w:pPr>
    <w:rPr>
      <w:rFonts w:ascii="Cambria" w:hAnsi="Cambria"/>
      <w:sz w:val="24"/>
      <w:lang w:val="en-US" w:eastAsia="en-US"/>
    </w:rPr>
  </w:style>
  <w:style w:type="paragraph" w:customStyle="1" w:styleId="ListParagraph2">
    <w:name w:val="List Paragraph2"/>
    <w:basedOn w:val="Normalny"/>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ny"/>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ny"/>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ytu">
    <w:name w:val="Title"/>
    <w:basedOn w:val="Normalny"/>
    <w:next w:val="Normalny"/>
    <w:link w:val="TytuZnak"/>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ny"/>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ny"/>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ny"/>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ny"/>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ny"/>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ny"/>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ny"/>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omylnaczcionkaakapitu"/>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Wyrnienieintensywne">
    <w:name w:val="Intense Emphasis"/>
    <w:basedOn w:val="Domylnaczcionkaakapitu"/>
    <w:uiPriority w:val="21"/>
    <w:qFormat/>
    <w:rsid w:val="00D34282"/>
    <w:rPr>
      <w:b/>
      <w:bCs/>
      <w:i/>
      <w:iCs/>
    </w:rPr>
  </w:style>
  <w:style w:type="character" w:customStyle="1" w:styleId="CPTitle1Char">
    <w:name w:val="CP_Title1 Char"/>
    <w:basedOn w:val="Domylnaczcionkaakapitu"/>
    <w:link w:val="CPTitle1"/>
    <w:locked/>
    <w:rsid w:val="00D34282"/>
    <w:rPr>
      <w:rFonts w:asciiTheme="majorHAnsi" w:eastAsiaTheme="majorEastAsia" w:hAnsiTheme="majorHAnsi" w:cstheme="majorHAnsi"/>
      <w:b/>
      <w:sz w:val="32"/>
      <w:szCs w:val="32"/>
    </w:rPr>
  </w:style>
  <w:style w:type="paragraph" w:customStyle="1" w:styleId="CPTitle1">
    <w:name w:val="CP_Title1"/>
    <w:basedOn w:val="Nagwek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Nagwek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ny"/>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ny"/>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ny"/>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ny"/>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ny"/>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ny"/>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ny"/>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omylnaczcionkaakapitu"/>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ny"/>
    <w:next w:val="Normalny"/>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omylnaczcionkaakapitu"/>
    <w:link w:val="Questionstyle"/>
    <w:rsid w:val="00492B3A"/>
    <w:rPr>
      <w:rFonts w:asciiTheme="minorHAnsi" w:eastAsiaTheme="minorEastAsia" w:hAnsiTheme="minorHAnsi" w:cstheme="minorBidi"/>
      <w:b/>
      <w:sz w:val="22"/>
      <w:lang w:eastAsia="en-US"/>
    </w:rPr>
  </w:style>
  <w:style w:type="paragraph" w:styleId="Podtytu">
    <w:name w:val="Subtitle"/>
    <w:basedOn w:val="Normalny"/>
    <w:next w:val="Normalny"/>
    <w:link w:val="PodtytuZnak"/>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PodtytuZnak">
    <w:name w:val="Podtytuł Znak"/>
    <w:basedOn w:val="Domylnaczcionkaakapitu"/>
    <w:link w:val="Podtytu"/>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Akapitzlist"/>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omylnaczcionkaakapitu"/>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omylnaczcionkaakapitu"/>
    <w:link w:val="myNormal0"/>
    <w:locked/>
    <w:rsid w:val="00AF38AF"/>
    <w:rPr>
      <w:rFonts w:ascii="Georgia" w:hAnsi="Georgia"/>
      <w:lang w:eastAsia="de-DE"/>
    </w:rPr>
  </w:style>
  <w:style w:type="paragraph" w:customStyle="1" w:styleId="myNormal0">
    <w:name w:val="myNormal"/>
    <w:basedOn w:val="Normalny"/>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ny"/>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30759119">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4.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6.xml><?xml version="1.0" encoding="utf-8"?>
<ds:datastoreItem xmlns:ds="http://schemas.openxmlformats.org/officeDocument/2006/customXml" ds:itemID="{0EEA42A5-84E9-48B4-AED0-CBEF87EA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1357</Words>
  <Characters>8147</Characters>
  <Application>Microsoft Office Word</Application>
  <DocSecurity>8</DocSecurity>
  <Lines>67</Lines>
  <Paragraphs>18</Paragraphs>
  <ScaleCrop>false</ScaleCrop>
  <HeadingPairs>
    <vt:vector size="12" baseType="variant">
      <vt:variant>
        <vt:lpstr>Tytuł</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TR portability CP under EMIR</vt:lpstr>
      <vt:lpstr>Reply form for the TR portability CP under EMIR</vt:lpstr>
      <vt:lpstr>20110000</vt:lpstr>
      <vt:lpstr>20110000</vt:lpstr>
      <vt:lpstr>20110000</vt:lpstr>
      <vt:lpstr>20110000</vt:lpstr>
    </vt:vector>
  </TitlesOfParts>
  <Company>ESMA</Company>
  <LinksUpToDate>false</LinksUpToDate>
  <CharactersWithSpaces>9486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Wicha Agnieszka</cp:lastModifiedBy>
  <cp:revision>2</cp:revision>
  <cp:lastPrinted>2015-02-18T11:01:00Z</cp:lastPrinted>
  <dcterms:created xsi:type="dcterms:W3CDTF">2021-12-22T08:48:00Z</dcterms:created>
  <dcterms:modified xsi:type="dcterms:W3CDTF">2021-12-22T08:48:00Z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