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B4B0D46" w:rsidR="00C2094B" w:rsidRPr="00F10D35" w:rsidRDefault="008F0FA7" w:rsidP="00AF38AF">
            <w:pPr>
              <w:pStyle w:val="00bDBInfo"/>
              <w:rPr>
                <w:rFonts w:cs="Arial"/>
              </w:rPr>
            </w:pPr>
            <w:r>
              <w:rPr>
                <w:rFonts w:cs="Arial"/>
              </w:rPr>
              <w:t>30</w:t>
            </w:r>
            <w:r w:rsidR="00FE40D3" w:rsidRPr="00FE40D3">
              <w:rPr>
                <w:rFonts w:cs="Arial"/>
              </w:rPr>
              <w:t xml:space="preserve"> </w:t>
            </w:r>
            <w:r w:rsidR="00873B7E">
              <w:rPr>
                <w:rFonts w:cs="Arial"/>
              </w:rPr>
              <w:t>September</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16F35E65" w14:textId="0F39FF35" w:rsidR="00146A6C" w:rsidRPr="00146A6C" w:rsidRDefault="00146A6C" w:rsidP="00D92BBE">
            <w:pPr>
              <w:pStyle w:val="01aDBTitle"/>
              <w:jc w:val="left"/>
              <w:rPr>
                <w:rFonts w:cs="Arial"/>
                <w:sz w:val="32"/>
                <w:szCs w:val="32"/>
              </w:rPr>
            </w:pPr>
            <w:r w:rsidRPr="00201005">
              <w:rPr>
                <w:rFonts w:cs="Arial"/>
                <w:szCs w:val="40"/>
              </w:rPr>
              <w:t>Response form for the Consultation Paper on</w:t>
            </w:r>
            <w:r w:rsidRPr="00201005">
              <w:rPr>
                <w:szCs w:val="40"/>
              </w:rPr>
              <w:t xml:space="preserve"> </w:t>
            </w:r>
            <w:r w:rsidR="00D92BBE" w:rsidRPr="00D92BBE">
              <w:rPr>
                <w:szCs w:val="40"/>
              </w:rPr>
              <w:t>Review of the MiFID II framework on best execution reports</w:t>
            </w: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5400BDD5" w:rsidR="00620D7C" w:rsidRPr="004E49B0" w:rsidRDefault="00620D7C" w:rsidP="00FE40D3">
            <w:pPr>
              <w:pStyle w:val="02Date"/>
              <w:jc w:val="right"/>
              <w:rPr>
                <w:rFonts w:cs="Arial"/>
              </w:rPr>
            </w:pPr>
            <w:r w:rsidRPr="00F10D35">
              <w:rPr>
                <w:rFonts w:cs="Arial"/>
              </w:rPr>
              <w:lastRenderedPageBreak/>
              <w:t xml:space="preserve">Date: </w:t>
            </w:r>
            <w:r w:rsidR="008F0FA7">
              <w:rPr>
                <w:rFonts w:cs="Arial"/>
              </w:rPr>
              <w:t>30</w:t>
            </w:r>
            <w:r w:rsidR="00FE40D3" w:rsidRPr="00FE40D3">
              <w:rPr>
                <w:rFonts w:cs="Arial"/>
              </w:rPr>
              <w:t xml:space="preserve"> </w:t>
            </w:r>
            <w:r w:rsidR="00873B7E">
              <w:rPr>
                <w:rFonts w:cs="Arial"/>
              </w:rPr>
              <w:t>September</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2AC3BC0"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873B7E">
        <w:rPr>
          <w:b/>
        </w:rPr>
        <w:t>Thursday</w:t>
      </w:r>
      <w:r w:rsidR="00F87631" w:rsidRPr="002A7128">
        <w:rPr>
          <w:b/>
        </w:rPr>
        <w:t xml:space="preserve"> </w:t>
      </w:r>
      <w:r w:rsidR="00873B7E">
        <w:rPr>
          <w:b/>
        </w:rPr>
        <w:t>23</w:t>
      </w:r>
      <w:r w:rsidR="00F87631" w:rsidRPr="002A7128">
        <w:rPr>
          <w:b/>
          <w:vertAlign w:val="superscript"/>
        </w:rPr>
        <w:t>th</w:t>
      </w:r>
      <w:r w:rsidR="00F87631" w:rsidRPr="002A7128">
        <w:rPr>
          <w:b/>
        </w:rPr>
        <w:t xml:space="preserve"> </w:t>
      </w:r>
      <w:r w:rsidR="00873B7E">
        <w:rPr>
          <w:b/>
        </w:rPr>
        <w:t>December</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7"/>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1B9FCA3C"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 xml:space="preserve">Please do not remove tags of the type </w:t>
      </w:r>
      <w:r w:rsidRPr="00455107">
        <w:rPr>
          <w:sz w:val="22"/>
          <w:szCs w:val="22"/>
          <w:lang w:eastAsia="en-GB"/>
        </w:rPr>
        <w:t>&lt;ESMA_QUESTION_</w:t>
      </w:r>
      <w:r w:rsidR="00455107" w:rsidRPr="00455107">
        <w:rPr>
          <w:sz w:val="22"/>
          <w:szCs w:val="22"/>
          <w:lang w:eastAsia="en-GB"/>
        </w:rPr>
        <w:t>BEEX</w:t>
      </w:r>
      <w:r w:rsidRPr="00455107">
        <w:rPr>
          <w:sz w:val="22"/>
          <w:szCs w:val="22"/>
          <w:lang w:eastAsia="en-GB"/>
        </w:rPr>
        <w:t>_1&gt;.</w:t>
      </w:r>
      <w:r w:rsidRPr="00241178">
        <w:rPr>
          <w:sz w:val="22"/>
          <w:szCs w:val="22"/>
          <w:lang w:eastAsia="en-GB"/>
        </w:rPr>
        <w:t xml:space="preserve"> Your response to each question has to be framed by the two tags corresponding to the question. </w:t>
      </w:r>
    </w:p>
    <w:p w14:paraId="3C1B6FAE" w14:textId="7777777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7E09D89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 xml:space="preserve">When you have drafted your response, name your response form according to the following convention: </w:t>
      </w:r>
      <w:r w:rsidRPr="00455107">
        <w:rPr>
          <w:sz w:val="22"/>
          <w:szCs w:val="22"/>
          <w:lang w:eastAsia="en-GB"/>
        </w:rPr>
        <w:t>ESMA_</w:t>
      </w:r>
      <w:r w:rsidR="00455107" w:rsidRPr="00455107">
        <w:rPr>
          <w:sz w:val="22"/>
          <w:szCs w:val="22"/>
          <w:lang w:eastAsia="en-GB"/>
        </w:rPr>
        <w:t>BEEX</w:t>
      </w:r>
      <w:r w:rsidRPr="00455107">
        <w:rPr>
          <w:sz w:val="22"/>
          <w:szCs w:val="22"/>
          <w:lang w:eastAsia="en-GB"/>
        </w:rPr>
        <w:t>_nameofrespondent_RESPONSEFORM</w:t>
      </w:r>
      <w:r w:rsidRPr="00241178">
        <w:rPr>
          <w:sz w:val="22"/>
          <w:szCs w:val="22"/>
          <w:lang w:eastAsia="en-GB"/>
        </w:rPr>
        <w:t>. For example, for a respondent named ABCD, the response form would be entitled ESMA_</w:t>
      </w:r>
      <w:r w:rsidR="00455107">
        <w:rPr>
          <w:sz w:val="22"/>
          <w:szCs w:val="22"/>
          <w:lang w:eastAsia="en-GB"/>
        </w:rPr>
        <w:t>B</w:t>
      </w:r>
      <w:r w:rsidR="00075503" w:rsidRPr="00241178">
        <w:rPr>
          <w:sz w:val="22"/>
          <w:szCs w:val="22"/>
          <w:lang w:eastAsia="en-GB"/>
        </w:rPr>
        <w:t>E</w:t>
      </w:r>
      <w:r w:rsidR="00455107">
        <w:rPr>
          <w:sz w:val="22"/>
          <w:szCs w:val="22"/>
          <w:lang w:eastAsia="en-GB"/>
        </w:rPr>
        <w:t>EX</w:t>
      </w:r>
      <w:r w:rsidRPr="00241178">
        <w:rPr>
          <w:sz w:val="22"/>
          <w:szCs w:val="22"/>
          <w:lang w:eastAsia="en-GB"/>
        </w:rPr>
        <w:t>_ABCD_RESPONSEFORM.</w:t>
      </w:r>
    </w:p>
    <w:p w14:paraId="033FC000" w14:textId="2E00EAE3"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17"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075503" w:rsidRPr="00241178">
        <w:rPr>
          <w:sz w:val="22"/>
          <w:szCs w:val="22"/>
          <w:lang w:eastAsia="en-GB"/>
        </w:rPr>
        <w:t>Consultation on</w:t>
      </w:r>
      <w:r w:rsidR="00886D30">
        <w:rPr>
          <w:sz w:val="22"/>
          <w:szCs w:val="22"/>
          <w:lang w:eastAsia="en-GB"/>
        </w:rPr>
        <w:t xml:space="preserve"> </w:t>
      </w:r>
      <w:r w:rsidR="00886D30" w:rsidRPr="00886D30">
        <w:rPr>
          <w:sz w:val="22"/>
          <w:szCs w:val="22"/>
          <w:lang w:eastAsia="en-GB"/>
        </w:rPr>
        <w:t>Review of the MiFID II framework on best execution reports</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0DA37575" w:rsidR="00332304" w:rsidRPr="001021EF" w:rsidRDefault="0091143D" w:rsidP="00FE40D3">
      <w:pPr>
        <w:spacing w:after="240"/>
        <w:jc w:val="both"/>
        <w:rPr>
          <w:b/>
          <w:bCs/>
        </w:rPr>
      </w:pPr>
      <w:r w:rsidRPr="0091143D">
        <w:rPr>
          <w:sz w:val="22"/>
          <w:szCs w:val="20"/>
          <w:lang w:eastAsia="en-US"/>
        </w:rPr>
        <w:t>This document is of interest to execution venues, investment firms and their associations, investors, consumer associations, as well as any market participant engaged in the execution of orders under the MiFID II framework.</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4D3B6B6F" w:rsidR="00B327E9" w:rsidRPr="00AB6D88" w:rsidRDefault="001D4918" w:rsidP="00F136AD">
                <w:pPr>
                  <w:rPr>
                    <w:rStyle w:val="PlaceholderText"/>
                    <w:rFonts w:cs="Arial"/>
                  </w:rPr>
                </w:pPr>
                <w:r>
                  <w:rPr>
                    <w:rStyle w:val="PlaceholderText"/>
                    <w:rFonts w:cs="Arial"/>
                  </w:rPr>
                  <w:t>S</w:t>
                </w:r>
                <w:r>
                  <w:rPr>
                    <w:rStyle w:val="PlaceholderText"/>
                  </w:rPr>
                  <w:t>ociété Générale</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67BF7836" w:rsidR="00B327E9" w:rsidRPr="00AB6D88" w:rsidRDefault="00012730"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1D4918">
                  <w:rPr>
                    <w:rFonts w:cs="Arial"/>
                  </w:rPr>
                  <w:t>Other</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32A7ACEE" w:rsidR="00B327E9" w:rsidRPr="00AB6D88" w:rsidRDefault="001D4918"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13B0131D" w:rsidR="00B327E9" w:rsidRPr="00AB6D88" w:rsidRDefault="001D4918" w:rsidP="00F136AD">
                <w:pPr>
                  <w:rPr>
                    <w:rFonts w:cs="Arial"/>
                  </w:rPr>
                </w:pPr>
                <w:r>
                  <w:rPr>
                    <w:rFonts w:cs="Arial"/>
                  </w:rPr>
                  <w:t>France</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4EA6DF3F" w:rsidR="00B327E9" w:rsidRPr="006F4535" w:rsidRDefault="00B327E9" w:rsidP="00FE6577">
      <w:r w:rsidRPr="006F4535">
        <w:t>&lt;ESMA_COMMENT_</w:t>
      </w:r>
      <w:r w:rsidR="00455107" w:rsidRPr="00455107">
        <w:t>B</w:t>
      </w:r>
      <w:r w:rsidR="00A014B6" w:rsidRPr="00455107">
        <w:t>E</w:t>
      </w:r>
      <w:r w:rsidR="00455107" w:rsidRPr="00455107">
        <w:t>EX</w:t>
      </w:r>
      <w:r w:rsidRPr="006F4535">
        <w:t>_1&gt;</w:t>
      </w:r>
    </w:p>
    <w:p w14:paraId="732732D7" w14:textId="0C97253C" w:rsidR="001D4918" w:rsidRPr="00364EEE" w:rsidRDefault="001D4918" w:rsidP="001D4918">
      <w:pPr>
        <w:autoSpaceDE w:val="0"/>
        <w:autoSpaceDN w:val="0"/>
        <w:adjustRightInd w:val="0"/>
        <w:spacing w:line="240" w:lineRule="atLeast"/>
        <w:jc w:val="both"/>
        <w:rPr>
          <w:rFonts w:cs="Arial"/>
          <w:color w:val="1F497D" w:themeColor="text2"/>
          <w:sz w:val="22"/>
          <w:szCs w:val="22"/>
          <w:lang w:val="en-US"/>
        </w:rPr>
      </w:pPr>
      <w:permStart w:id="44765448" w:edGrp="everyone"/>
      <w:r w:rsidRPr="00364EEE">
        <w:rPr>
          <w:rFonts w:cs="Arial"/>
          <w:color w:val="1F497D" w:themeColor="text2"/>
          <w:sz w:val="22"/>
          <w:szCs w:val="22"/>
          <w:lang w:val="en-US"/>
        </w:rPr>
        <w:t xml:space="preserve">Société Générale is one of the leading European banking and financial services groups headquartered in the European Union. Société Générale has over 138,000 members of staff in 63 countries and supports individual clients, </w:t>
      </w:r>
      <w:proofErr w:type="gramStart"/>
      <w:r w:rsidRPr="00364EEE">
        <w:rPr>
          <w:rFonts w:cs="Arial"/>
          <w:color w:val="1F497D" w:themeColor="text2"/>
          <w:sz w:val="22"/>
          <w:szCs w:val="22"/>
          <w:lang w:val="en-US"/>
        </w:rPr>
        <w:t>businesses</w:t>
      </w:r>
      <w:proofErr w:type="gramEnd"/>
      <w:r w:rsidRPr="00364EEE">
        <w:rPr>
          <w:rFonts w:cs="Arial"/>
          <w:color w:val="1F497D" w:themeColor="text2"/>
          <w:sz w:val="22"/>
          <w:szCs w:val="22"/>
          <w:lang w:val="en-US"/>
        </w:rPr>
        <w:t xml:space="preserve"> and institutional investors around the world by offering a wide range of advisory services and tailored banking and financial solutions.</w:t>
      </w:r>
    </w:p>
    <w:p w14:paraId="41D64443" w14:textId="77777777" w:rsidR="001D4918" w:rsidRPr="00364EEE" w:rsidRDefault="001D4918" w:rsidP="001D4918">
      <w:pPr>
        <w:autoSpaceDE w:val="0"/>
        <w:autoSpaceDN w:val="0"/>
        <w:adjustRightInd w:val="0"/>
        <w:spacing w:line="240" w:lineRule="atLeast"/>
        <w:jc w:val="both"/>
        <w:rPr>
          <w:rFonts w:cs="Arial"/>
          <w:color w:val="1F497D" w:themeColor="text2"/>
          <w:sz w:val="22"/>
          <w:szCs w:val="22"/>
          <w:lang w:val="en-US"/>
        </w:rPr>
      </w:pPr>
    </w:p>
    <w:p w14:paraId="5405A1C5" w14:textId="77777777" w:rsidR="001D4918" w:rsidRPr="00B82716" w:rsidRDefault="001D4918" w:rsidP="001D4918">
      <w:pPr>
        <w:autoSpaceDE w:val="0"/>
        <w:autoSpaceDN w:val="0"/>
        <w:adjustRightInd w:val="0"/>
        <w:jc w:val="both"/>
        <w:rPr>
          <w:rFonts w:cs="Arial"/>
          <w:color w:val="1F497D" w:themeColor="text2"/>
          <w:sz w:val="22"/>
          <w:szCs w:val="22"/>
          <w:lang w:val="en-US"/>
        </w:rPr>
      </w:pPr>
      <w:r w:rsidRPr="00364EEE">
        <w:rPr>
          <w:rFonts w:cs="Arial"/>
          <w:color w:val="1F497D" w:themeColor="text2"/>
          <w:sz w:val="22"/>
          <w:szCs w:val="22"/>
          <w:lang w:val="en-US"/>
        </w:rPr>
        <w:t xml:space="preserve">Société Générale welcomes the opportunity to comment on the proposed modifications </w:t>
      </w:r>
      <w:r w:rsidRPr="00B82716">
        <w:rPr>
          <w:rFonts w:cs="Arial"/>
          <w:color w:val="1F497D" w:themeColor="text2"/>
          <w:sz w:val="22"/>
          <w:szCs w:val="22"/>
          <w:lang w:val="en-US"/>
        </w:rPr>
        <w:t>to best execution reports required under article 27(3) of MiFID II (“RTS 27 reports”) and article 27(6) MiFID II (“RTS 28 reports”).</w:t>
      </w:r>
    </w:p>
    <w:p w14:paraId="771BDDD3" w14:textId="77777777" w:rsidR="001D4918" w:rsidRPr="00B82716" w:rsidRDefault="001D4918" w:rsidP="001D4918">
      <w:pPr>
        <w:autoSpaceDE w:val="0"/>
        <w:autoSpaceDN w:val="0"/>
        <w:adjustRightInd w:val="0"/>
        <w:jc w:val="both"/>
        <w:rPr>
          <w:rFonts w:cs="Arial"/>
          <w:color w:val="1F497D" w:themeColor="text2"/>
          <w:sz w:val="22"/>
          <w:szCs w:val="22"/>
          <w:lang w:val="en-US"/>
        </w:rPr>
      </w:pPr>
    </w:p>
    <w:p w14:paraId="0319F100" w14:textId="77777777" w:rsidR="001D4918" w:rsidRPr="00B82716" w:rsidRDefault="001D4918" w:rsidP="001D4918">
      <w:pPr>
        <w:autoSpaceDE w:val="0"/>
        <w:autoSpaceDN w:val="0"/>
        <w:adjustRightInd w:val="0"/>
        <w:jc w:val="both"/>
        <w:rPr>
          <w:rFonts w:cs="Arial"/>
          <w:color w:val="1F497D" w:themeColor="text2"/>
          <w:sz w:val="22"/>
          <w:szCs w:val="22"/>
          <w:lang w:val="en-US"/>
        </w:rPr>
      </w:pPr>
      <w:r w:rsidRPr="00B82716">
        <w:rPr>
          <w:rFonts w:cs="Arial"/>
          <w:color w:val="1F497D" w:themeColor="text2"/>
          <w:sz w:val="22"/>
          <w:szCs w:val="22"/>
          <w:lang w:val="en-US"/>
        </w:rPr>
        <w:t xml:space="preserve">Regarding RTS 27 reports, we had welcomed the 2 years suspension provided by </w:t>
      </w:r>
      <w:proofErr w:type="spellStart"/>
      <w:r w:rsidRPr="00B82716">
        <w:rPr>
          <w:rFonts w:cs="Arial"/>
          <w:color w:val="1F497D" w:themeColor="text2"/>
          <w:sz w:val="22"/>
          <w:szCs w:val="22"/>
          <w:lang w:val="en-US"/>
        </w:rPr>
        <w:t>MiFD</w:t>
      </w:r>
      <w:proofErr w:type="spellEnd"/>
      <w:r w:rsidRPr="00B82716">
        <w:rPr>
          <w:rFonts w:cs="Arial"/>
          <w:color w:val="1F497D" w:themeColor="text2"/>
          <w:sz w:val="22"/>
          <w:szCs w:val="22"/>
          <w:lang w:val="en-US"/>
        </w:rPr>
        <w:t xml:space="preserve"> II “quick fix” (</w:t>
      </w:r>
      <w:r w:rsidRPr="00B82716">
        <w:rPr>
          <w:rFonts w:eastAsia="ArialMT" w:cs="Arial"/>
          <w:color w:val="1F497D" w:themeColor="text2"/>
          <w:sz w:val="22"/>
          <w:szCs w:val="22"/>
          <w:lang w:val="en-US"/>
        </w:rPr>
        <w:t>Directive (EU) No. 2021/338</w:t>
      </w:r>
      <w:r w:rsidRPr="00B82716">
        <w:rPr>
          <w:rFonts w:cs="Arial"/>
          <w:color w:val="1F497D" w:themeColor="text2"/>
          <w:sz w:val="22"/>
          <w:szCs w:val="22"/>
          <w:lang w:val="en-US"/>
        </w:rPr>
        <w:t xml:space="preserve">), but we continue to believe that the best thing to do would be to </w:t>
      </w:r>
      <w:r w:rsidRPr="00B82716">
        <w:rPr>
          <w:rFonts w:cs="Arial"/>
          <w:b/>
          <w:bCs/>
          <w:color w:val="1F497D" w:themeColor="text2"/>
          <w:sz w:val="22"/>
          <w:szCs w:val="22"/>
          <w:lang w:val="en-US"/>
        </w:rPr>
        <w:t>permanently remove RTS 27 reports</w:t>
      </w:r>
      <w:r w:rsidRPr="00B82716">
        <w:rPr>
          <w:rFonts w:cs="Arial"/>
          <w:color w:val="1F497D" w:themeColor="text2"/>
          <w:sz w:val="22"/>
          <w:szCs w:val="22"/>
          <w:lang w:val="en-US"/>
        </w:rPr>
        <w:t>.</w:t>
      </w:r>
    </w:p>
    <w:p w14:paraId="153F3E88" w14:textId="77777777" w:rsidR="001D4918" w:rsidRPr="00B82716" w:rsidRDefault="001D4918" w:rsidP="001D4918">
      <w:pPr>
        <w:autoSpaceDE w:val="0"/>
        <w:autoSpaceDN w:val="0"/>
        <w:adjustRightInd w:val="0"/>
        <w:jc w:val="both"/>
        <w:rPr>
          <w:rFonts w:cs="Arial"/>
          <w:color w:val="1F497D" w:themeColor="text2"/>
          <w:sz w:val="22"/>
          <w:szCs w:val="22"/>
          <w:lang w:val="en-US"/>
        </w:rPr>
      </w:pPr>
    </w:p>
    <w:p w14:paraId="364E9D5C" w14:textId="77777777" w:rsidR="001D4918" w:rsidRPr="00B82716" w:rsidRDefault="001D4918" w:rsidP="001D4918">
      <w:pPr>
        <w:autoSpaceDE w:val="0"/>
        <w:autoSpaceDN w:val="0"/>
        <w:adjustRightInd w:val="0"/>
        <w:jc w:val="both"/>
        <w:rPr>
          <w:rFonts w:cs="Arial"/>
          <w:color w:val="1F497D" w:themeColor="text2"/>
          <w:sz w:val="22"/>
          <w:szCs w:val="22"/>
          <w:lang w:val="en-US"/>
        </w:rPr>
      </w:pPr>
      <w:r w:rsidRPr="00B82716">
        <w:rPr>
          <w:rFonts w:cs="Arial"/>
          <w:color w:val="1F497D" w:themeColor="text2"/>
          <w:sz w:val="22"/>
          <w:szCs w:val="22"/>
          <w:lang w:val="en-US"/>
        </w:rPr>
        <w:t xml:space="preserve">We are </w:t>
      </w:r>
      <w:proofErr w:type="gramStart"/>
      <w:r w:rsidRPr="00B82716">
        <w:rPr>
          <w:rFonts w:cs="Arial"/>
          <w:color w:val="1F497D" w:themeColor="text2"/>
          <w:sz w:val="22"/>
          <w:szCs w:val="22"/>
          <w:lang w:val="en-US"/>
        </w:rPr>
        <w:t>all the more</w:t>
      </w:r>
      <w:proofErr w:type="gramEnd"/>
      <w:r w:rsidRPr="00B82716">
        <w:rPr>
          <w:rFonts w:cs="Arial"/>
          <w:color w:val="1F497D" w:themeColor="text2"/>
          <w:sz w:val="22"/>
          <w:szCs w:val="22"/>
          <w:lang w:val="en-US"/>
        </w:rPr>
        <w:t xml:space="preserve"> convinced of this as:</w:t>
      </w:r>
    </w:p>
    <w:p w14:paraId="00F79483" w14:textId="77777777" w:rsidR="001D4918" w:rsidRPr="00B82716" w:rsidRDefault="001D4918" w:rsidP="001D4918">
      <w:pPr>
        <w:autoSpaceDE w:val="0"/>
        <w:autoSpaceDN w:val="0"/>
        <w:adjustRightInd w:val="0"/>
        <w:jc w:val="both"/>
        <w:rPr>
          <w:rFonts w:cs="Arial"/>
          <w:color w:val="1F497D" w:themeColor="text2"/>
          <w:sz w:val="22"/>
          <w:szCs w:val="22"/>
          <w:lang w:val="en-US"/>
        </w:rPr>
      </w:pPr>
    </w:p>
    <w:p w14:paraId="35092102" w14:textId="77777777" w:rsidR="001D4918" w:rsidRPr="00B82716" w:rsidRDefault="001D4918" w:rsidP="00012730">
      <w:pPr>
        <w:pStyle w:val="ListParagraph"/>
        <w:numPr>
          <w:ilvl w:val="0"/>
          <w:numId w:val="39"/>
        </w:numPr>
        <w:autoSpaceDE w:val="0"/>
        <w:autoSpaceDN w:val="0"/>
        <w:adjustRightInd w:val="0"/>
        <w:jc w:val="both"/>
        <w:rPr>
          <w:rFonts w:cs="Arial"/>
          <w:color w:val="1F497D" w:themeColor="text2"/>
          <w:sz w:val="22"/>
          <w:szCs w:val="22"/>
          <w:lang w:val="en-US"/>
        </w:rPr>
      </w:pPr>
      <w:r w:rsidRPr="00B82716">
        <w:rPr>
          <w:rFonts w:cs="Arial"/>
          <w:color w:val="1F497D" w:themeColor="text2"/>
          <w:sz w:val="22"/>
          <w:szCs w:val="22"/>
          <w:lang w:val="en-US"/>
        </w:rPr>
        <w:t xml:space="preserve">as acknowledged in the consultation itself, RTS 27 reports are rarely read by market participants, and are clearly not used in the setting of their best execution policy. One of the main reasons for this is that market participants use sophisticated Transaction Cost Analysis tools and data from their own recent transactions to update their execution policy, while quarterly RTS 27 reports rely on </w:t>
      </w:r>
      <w:r w:rsidRPr="00B82716">
        <w:rPr>
          <w:rFonts w:cs="Arial"/>
          <w:bCs/>
          <w:color w:val="1F497D" w:themeColor="text2"/>
          <w:sz w:val="22"/>
          <w:szCs w:val="22"/>
        </w:rPr>
        <w:t xml:space="preserve">data dating back up to three months. Although we appreciate ESMA’s efforts </w:t>
      </w:r>
      <w:r w:rsidRPr="00B82716">
        <w:rPr>
          <w:rFonts w:cs="Arial"/>
          <w:bCs/>
          <w:color w:val="1F497D" w:themeColor="text2"/>
          <w:sz w:val="22"/>
          <w:szCs w:val="22"/>
          <w:lang w:val="en-US"/>
        </w:rPr>
        <w:t xml:space="preserve">to simplify the process to publish quarterly report, the proposed changes would not address </w:t>
      </w:r>
      <w:r w:rsidRPr="00B82716">
        <w:rPr>
          <w:rFonts w:cs="Arial"/>
          <w:bCs/>
          <w:color w:val="1F497D" w:themeColor="text2"/>
          <w:sz w:val="22"/>
          <w:szCs w:val="22"/>
        </w:rPr>
        <w:t>the structural flaws that make the RTS 27 reports irrelevant to most market participants.</w:t>
      </w:r>
    </w:p>
    <w:p w14:paraId="3A442524" w14:textId="77777777" w:rsidR="001D4918" w:rsidRPr="00B82716" w:rsidRDefault="001D4918" w:rsidP="001D4918">
      <w:pPr>
        <w:autoSpaceDE w:val="0"/>
        <w:autoSpaceDN w:val="0"/>
        <w:adjustRightInd w:val="0"/>
        <w:jc w:val="both"/>
        <w:rPr>
          <w:rFonts w:cs="Arial"/>
          <w:color w:val="1F497D" w:themeColor="text2"/>
          <w:sz w:val="22"/>
          <w:szCs w:val="22"/>
          <w:lang w:val="en-US"/>
        </w:rPr>
      </w:pPr>
    </w:p>
    <w:p w14:paraId="6351AC22" w14:textId="77777777" w:rsidR="001D4918" w:rsidRPr="00B82716" w:rsidRDefault="001D4918" w:rsidP="00012730">
      <w:pPr>
        <w:pStyle w:val="ListParagraph"/>
        <w:numPr>
          <w:ilvl w:val="0"/>
          <w:numId w:val="39"/>
        </w:numPr>
        <w:autoSpaceDE w:val="0"/>
        <w:autoSpaceDN w:val="0"/>
        <w:adjustRightInd w:val="0"/>
        <w:jc w:val="both"/>
        <w:rPr>
          <w:rFonts w:cs="Arial"/>
          <w:color w:val="1F497D" w:themeColor="text2"/>
          <w:sz w:val="22"/>
          <w:szCs w:val="22"/>
          <w:lang w:val="en-US"/>
        </w:rPr>
      </w:pPr>
      <w:r w:rsidRPr="00B82716">
        <w:rPr>
          <w:rFonts w:cs="Arial"/>
          <w:color w:val="1F497D" w:themeColor="text2"/>
          <w:sz w:val="22"/>
          <w:szCs w:val="22"/>
          <w:lang w:val="en-US"/>
        </w:rPr>
        <w:t>The cost benefit analysis in the consultation doesn’t provide any convincing evidence that the modified RTS 27 reports would entail any increased interest from market participants.</w:t>
      </w:r>
    </w:p>
    <w:p w14:paraId="4F45729C" w14:textId="77777777" w:rsidR="001D4918" w:rsidRPr="00B82716" w:rsidRDefault="001D4918" w:rsidP="001D4918">
      <w:pPr>
        <w:pStyle w:val="ListParagraph"/>
        <w:rPr>
          <w:rFonts w:cs="Arial"/>
          <w:color w:val="1F497D" w:themeColor="text2"/>
          <w:sz w:val="22"/>
          <w:szCs w:val="22"/>
          <w:lang w:val="en-US"/>
        </w:rPr>
      </w:pPr>
    </w:p>
    <w:p w14:paraId="364AB7D8" w14:textId="77777777" w:rsidR="001D4918" w:rsidRPr="00B82716" w:rsidRDefault="001D4918" w:rsidP="00012730">
      <w:pPr>
        <w:pStyle w:val="ListParagraph"/>
        <w:numPr>
          <w:ilvl w:val="0"/>
          <w:numId w:val="39"/>
        </w:numPr>
        <w:autoSpaceDE w:val="0"/>
        <w:autoSpaceDN w:val="0"/>
        <w:adjustRightInd w:val="0"/>
        <w:jc w:val="both"/>
        <w:rPr>
          <w:rFonts w:cs="Arial"/>
          <w:color w:val="1F497D" w:themeColor="text2"/>
          <w:sz w:val="22"/>
          <w:szCs w:val="22"/>
          <w:lang w:val="en-US"/>
        </w:rPr>
      </w:pPr>
      <w:r w:rsidRPr="00B82716">
        <w:rPr>
          <w:rFonts w:cs="Arial"/>
          <w:color w:val="1F497D" w:themeColor="text2"/>
          <w:sz w:val="22"/>
          <w:szCs w:val="22"/>
          <w:lang w:val="en-US"/>
        </w:rPr>
        <w:t>In terms of costs, the cost benefit analysis states that “</w:t>
      </w:r>
      <w:r w:rsidRPr="00B82716">
        <w:rPr>
          <w:rFonts w:eastAsia="ArialMT" w:cs="Arial"/>
          <w:color w:val="1F497D" w:themeColor="text2"/>
          <w:sz w:val="22"/>
          <w:szCs w:val="22"/>
          <w:lang w:val="en-US"/>
        </w:rPr>
        <w:t xml:space="preserve">ESMA believes that the overall costs that would be associated with the implementation of the potential proposals included in this CP are proportionate to the benefits” but doesn’t provide any </w:t>
      </w:r>
      <w:r w:rsidRPr="00B82716">
        <w:rPr>
          <w:rFonts w:cs="Arial"/>
          <w:color w:val="1F497D" w:themeColor="text2"/>
          <w:sz w:val="22"/>
          <w:szCs w:val="22"/>
          <w:lang w:val="en-US"/>
        </w:rPr>
        <w:t xml:space="preserve">quantitative data, figures or evidence to support this statement. This is </w:t>
      </w:r>
      <w:proofErr w:type="gramStart"/>
      <w:r w:rsidRPr="00B82716">
        <w:rPr>
          <w:rFonts w:cs="Arial"/>
          <w:color w:val="1F497D" w:themeColor="text2"/>
          <w:sz w:val="22"/>
          <w:szCs w:val="22"/>
          <w:lang w:val="en-US"/>
        </w:rPr>
        <w:t>all the more</w:t>
      </w:r>
      <w:proofErr w:type="gramEnd"/>
      <w:r w:rsidRPr="00B82716">
        <w:rPr>
          <w:rFonts w:cs="Arial"/>
          <w:color w:val="1F497D" w:themeColor="text2"/>
          <w:sz w:val="22"/>
          <w:szCs w:val="22"/>
          <w:lang w:val="en-US"/>
        </w:rPr>
        <w:t xml:space="preserve"> disturbing as entities required to produce quarterly RTS 27 reports under the current text already had to provide significant investments that revealed highly disproportionate to the benefits brought by the reports.</w:t>
      </w:r>
    </w:p>
    <w:p w14:paraId="6B7BA5E5" w14:textId="77777777" w:rsidR="001D4918" w:rsidRPr="00B82716" w:rsidRDefault="001D4918" w:rsidP="001D4918">
      <w:pPr>
        <w:pStyle w:val="ListParagraph"/>
        <w:rPr>
          <w:rFonts w:cs="Arial"/>
          <w:color w:val="1F497D" w:themeColor="text2"/>
          <w:sz w:val="22"/>
          <w:szCs w:val="22"/>
          <w:lang w:val="en-US"/>
        </w:rPr>
      </w:pPr>
    </w:p>
    <w:p w14:paraId="01982686" w14:textId="77777777" w:rsidR="001D4918" w:rsidRPr="00B82716" w:rsidRDefault="001D4918" w:rsidP="00012730">
      <w:pPr>
        <w:pStyle w:val="ListParagraph"/>
        <w:numPr>
          <w:ilvl w:val="0"/>
          <w:numId w:val="39"/>
        </w:numPr>
        <w:autoSpaceDE w:val="0"/>
        <w:autoSpaceDN w:val="0"/>
        <w:adjustRightInd w:val="0"/>
        <w:jc w:val="both"/>
        <w:rPr>
          <w:rFonts w:cs="Arial"/>
          <w:color w:val="1F497D" w:themeColor="text2"/>
          <w:sz w:val="22"/>
          <w:szCs w:val="22"/>
          <w:lang w:val="en-US"/>
        </w:rPr>
      </w:pPr>
      <w:r w:rsidRPr="00B82716">
        <w:rPr>
          <w:rFonts w:cs="Arial"/>
          <w:color w:val="1F497D" w:themeColor="text2"/>
          <w:sz w:val="22"/>
          <w:szCs w:val="22"/>
          <w:lang w:val="en-US"/>
        </w:rPr>
        <w:t xml:space="preserve">The Consolidated Tapes that are set to be put in place under the revised </w:t>
      </w:r>
      <w:proofErr w:type="spellStart"/>
      <w:r w:rsidRPr="00B82716">
        <w:rPr>
          <w:rFonts w:cs="Arial"/>
          <w:color w:val="1F497D" w:themeColor="text2"/>
          <w:sz w:val="22"/>
          <w:szCs w:val="22"/>
          <w:lang w:val="en-US"/>
        </w:rPr>
        <w:t>MiFIR</w:t>
      </w:r>
      <w:proofErr w:type="spellEnd"/>
      <w:r w:rsidRPr="00B82716">
        <w:rPr>
          <w:rFonts w:cs="Arial"/>
          <w:color w:val="1F497D" w:themeColor="text2"/>
          <w:sz w:val="22"/>
          <w:szCs w:val="22"/>
          <w:lang w:val="en-US"/>
        </w:rPr>
        <w:t xml:space="preserve"> (as per the Commission’s proposal published on 25 November) will provide real-time data on executed transactions, that are far more valuable for the assessment of the quality of execution and the adaptation of best execution policies than quarterly data (be they detailed as they are </w:t>
      </w:r>
      <w:r w:rsidRPr="00B82716">
        <w:rPr>
          <w:rFonts w:cs="Arial"/>
          <w:color w:val="1F497D" w:themeColor="text2"/>
          <w:sz w:val="22"/>
          <w:szCs w:val="22"/>
          <w:lang w:val="en-US"/>
        </w:rPr>
        <w:lastRenderedPageBreak/>
        <w:t>under current RTS 27 or aggregated as proposed in the consultation). Collective efforts should hence be focused on the effective emergence of consolidated tapes, rather than on the implementation of modified RTS 27 reports.</w:t>
      </w:r>
    </w:p>
    <w:p w14:paraId="450A9E8C" w14:textId="77777777" w:rsidR="001D4918" w:rsidRPr="00B82716" w:rsidRDefault="001D4918" w:rsidP="001D4918">
      <w:pPr>
        <w:pStyle w:val="ListParagraph"/>
        <w:rPr>
          <w:rFonts w:cs="Arial"/>
          <w:color w:val="1F497D" w:themeColor="text2"/>
          <w:sz w:val="22"/>
          <w:szCs w:val="22"/>
          <w:lang w:val="en-US"/>
        </w:rPr>
      </w:pPr>
    </w:p>
    <w:p w14:paraId="43713FB8" w14:textId="77777777" w:rsidR="001D4918" w:rsidRPr="00B82716" w:rsidRDefault="001D4918" w:rsidP="00012730">
      <w:pPr>
        <w:pStyle w:val="ListParagraph"/>
        <w:numPr>
          <w:ilvl w:val="0"/>
          <w:numId w:val="39"/>
        </w:numPr>
        <w:autoSpaceDE w:val="0"/>
        <w:autoSpaceDN w:val="0"/>
        <w:adjustRightInd w:val="0"/>
        <w:jc w:val="both"/>
        <w:rPr>
          <w:rFonts w:cs="Arial"/>
          <w:color w:val="1F497D" w:themeColor="text2"/>
          <w:sz w:val="22"/>
          <w:szCs w:val="22"/>
          <w:lang w:val="en-US"/>
        </w:rPr>
      </w:pPr>
      <w:r w:rsidRPr="00B82716">
        <w:rPr>
          <w:rFonts w:cs="Arial"/>
          <w:color w:val="1F497D" w:themeColor="text2"/>
          <w:sz w:val="22"/>
          <w:szCs w:val="22"/>
          <w:lang w:val="en-US"/>
        </w:rPr>
        <w:t xml:space="preserve">It should be noted </w:t>
      </w:r>
      <w:r w:rsidRPr="00A16A5C">
        <w:rPr>
          <w:rFonts w:cs="Arial"/>
          <w:color w:val="1F497D" w:themeColor="text2"/>
          <w:sz w:val="22"/>
          <w:szCs w:val="22"/>
          <w:lang w:val="en-US"/>
        </w:rPr>
        <w:t xml:space="preserve">that, further to their consultation on the Wholesale Market Review, UK authorities have recently confirmed (Policy Statement 21/20 on “Changes to UK MIFID’s conduct and </w:t>
      </w:r>
      <w:proofErr w:type="spellStart"/>
      <w:r w:rsidRPr="00A16A5C">
        <w:rPr>
          <w:rFonts w:cs="Arial"/>
          <w:color w:val="1F497D" w:themeColor="text2"/>
          <w:sz w:val="22"/>
          <w:szCs w:val="22"/>
          <w:lang w:val="en-US"/>
        </w:rPr>
        <w:t>organisational</w:t>
      </w:r>
      <w:proofErr w:type="spellEnd"/>
      <w:r w:rsidRPr="00A16A5C">
        <w:rPr>
          <w:rFonts w:cs="Arial"/>
          <w:color w:val="1F497D" w:themeColor="text2"/>
          <w:sz w:val="22"/>
          <w:szCs w:val="22"/>
          <w:lang w:val="en-US"/>
        </w:rPr>
        <w:t xml:space="preserve"> requirements”</w:t>
      </w:r>
      <w:r>
        <w:rPr>
          <w:rFonts w:cs="Arial"/>
          <w:color w:val="1F497D" w:themeColor="text2"/>
          <w:sz w:val="22"/>
          <w:szCs w:val="22"/>
          <w:lang w:val="en-US"/>
        </w:rPr>
        <w:t>)</w:t>
      </w:r>
      <w:r w:rsidRPr="00A16A5C">
        <w:rPr>
          <w:rFonts w:cs="Arial"/>
          <w:color w:val="1F497D" w:themeColor="text2"/>
          <w:sz w:val="22"/>
          <w:szCs w:val="22"/>
          <w:lang w:val="en-US"/>
        </w:rPr>
        <w:t xml:space="preserve"> t</w:t>
      </w:r>
      <w:r>
        <w:rPr>
          <w:rFonts w:cs="Arial"/>
          <w:color w:val="1F497D" w:themeColor="text2"/>
          <w:sz w:val="22"/>
          <w:szCs w:val="22"/>
          <w:lang w:val="en-US"/>
        </w:rPr>
        <w:t>he</w:t>
      </w:r>
      <w:r w:rsidRPr="00A16A5C">
        <w:rPr>
          <w:rFonts w:cs="Arial"/>
          <w:color w:val="1F497D" w:themeColor="text2"/>
          <w:sz w:val="22"/>
          <w:szCs w:val="22"/>
          <w:lang w:val="en-US"/>
        </w:rPr>
        <w:t xml:space="preserve"> </w:t>
      </w:r>
      <w:r>
        <w:rPr>
          <w:rFonts w:cs="Arial"/>
          <w:color w:val="1F497D" w:themeColor="text2"/>
          <w:sz w:val="22"/>
          <w:szCs w:val="22"/>
          <w:lang w:val="en-US"/>
        </w:rPr>
        <w:t xml:space="preserve">permanent </w:t>
      </w:r>
      <w:r w:rsidRPr="00A16A5C">
        <w:rPr>
          <w:rFonts w:cs="Arial"/>
          <w:color w:val="1F497D" w:themeColor="text2"/>
          <w:sz w:val="22"/>
          <w:szCs w:val="22"/>
          <w:lang w:val="en-US"/>
        </w:rPr>
        <w:t>remov</w:t>
      </w:r>
      <w:r>
        <w:rPr>
          <w:rFonts w:cs="Arial"/>
          <w:color w:val="1F497D" w:themeColor="text2"/>
          <w:sz w:val="22"/>
          <w:szCs w:val="22"/>
          <w:lang w:val="en-US"/>
        </w:rPr>
        <w:t>al</w:t>
      </w:r>
      <w:r w:rsidRPr="00A16A5C">
        <w:rPr>
          <w:rFonts w:cs="Arial"/>
          <w:color w:val="1F497D" w:themeColor="text2"/>
          <w:sz w:val="22"/>
          <w:szCs w:val="22"/>
          <w:lang w:val="en-US"/>
        </w:rPr>
        <w:t xml:space="preserve"> </w:t>
      </w:r>
      <w:r>
        <w:rPr>
          <w:rFonts w:cs="Arial"/>
          <w:color w:val="1F497D" w:themeColor="text2"/>
          <w:sz w:val="22"/>
          <w:szCs w:val="22"/>
          <w:lang w:val="en-US"/>
        </w:rPr>
        <w:t xml:space="preserve">of </w:t>
      </w:r>
      <w:r w:rsidRPr="00A16A5C">
        <w:rPr>
          <w:rFonts w:cs="Arial"/>
          <w:color w:val="1F497D" w:themeColor="text2"/>
          <w:sz w:val="22"/>
          <w:szCs w:val="22"/>
          <w:lang w:val="en-US"/>
        </w:rPr>
        <w:t xml:space="preserve">RTS 27 </w:t>
      </w:r>
      <w:r>
        <w:rPr>
          <w:rFonts w:cs="Arial"/>
          <w:color w:val="1F497D" w:themeColor="text2"/>
          <w:sz w:val="22"/>
          <w:szCs w:val="22"/>
          <w:lang w:val="en-US"/>
        </w:rPr>
        <w:t xml:space="preserve">and RTS 28 </w:t>
      </w:r>
      <w:r w:rsidRPr="00A16A5C">
        <w:rPr>
          <w:rFonts w:cs="Arial"/>
          <w:color w:val="1F497D" w:themeColor="text2"/>
          <w:sz w:val="22"/>
          <w:szCs w:val="22"/>
          <w:lang w:val="en-US"/>
        </w:rPr>
        <w:t xml:space="preserve">reports. In this context, requiring EU market participants to engage in further investments with no evidence </w:t>
      </w:r>
      <w:r w:rsidRPr="00B82716">
        <w:rPr>
          <w:rFonts w:cs="Arial"/>
          <w:color w:val="1F497D" w:themeColor="text2"/>
          <w:sz w:val="22"/>
          <w:szCs w:val="22"/>
          <w:lang w:val="en-US"/>
        </w:rPr>
        <w:t>of any benefit would negatively affect the attractiveness of EU financial markets.</w:t>
      </w:r>
    </w:p>
    <w:p w14:paraId="6AA6597F" w14:textId="77777777" w:rsidR="001D4918" w:rsidRPr="00B82716" w:rsidRDefault="001D4918" w:rsidP="001D4918">
      <w:pPr>
        <w:pStyle w:val="ListParagraph"/>
        <w:rPr>
          <w:rFonts w:cs="Arial"/>
          <w:color w:val="1F497D" w:themeColor="text2"/>
          <w:sz w:val="22"/>
          <w:szCs w:val="22"/>
          <w:lang w:val="en-US"/>
        </w:rPr>
      </w:pPr>
    </w:p>
    <w:p w14:paraId="0AC44D4F" w14:textId="77777777" w:rsidR="001D4918" w:rsidRPr="00B82716" w:rsidRDefault="001D4918" w:rsidP="001D4918">
      <w:pPr>
        <w:autoSpaceDE w:val="0"/>
        <w:autoSpaceDN w:val="0"/>
        <w:adjustRightInd w:val="0"/>
        <w:jc w:val="both"/>
        <w:rPr>
          <w:rFonts w:cs="Arial"/>
          <w:color w:val="1F497D" w:themeColor="text2"/>
          <w:sz w:val="22"/>
          <w:szCs w:val="22"/>
          <w:lang w:val="en-US"/>
        </w:rPr>
      </w:pPr>
      <w:r w:rsidRPr="00B82716">
        <w:rPr>
          <w:rFonts w:cs="Arial"/>
          <w:color w:val="1F497D" w:themeColor="text2"/>
          <w:sz w:val="22"/>
          <w:szCs w:val="22"/>
          <w:lang w:val="en-US"/>
        </w:rPr>
        <w:t>On this ground, Société Générale supports the permanent removal of RTS 27 reports. We note that this removal would be consistent with the proposal by the Commission, in the CMU package published on 25 November, to delete article 27(3) MiFID II.</w:t>
      </w:r>
    </w:p>
    <w:p w14:paraId="27D67FF4" w14:textId="77777777" w:rsidR="001D4918" w:rsidRPr="00B82716" w:rsidRDefault="001D4918" w:rsidP="001D4918">
      <w:pPr>
        <w:autoSpaceDE w:val="0"/>
        <w:autoSpaceDN w:val="0"/>
        <w:adjustRightInd w:val="0"/>
        <w:jc w:val="both"/>
        <w:rPr>
          <w:rFonts w:cs="Arial"/>
          <w:color w:val="1F497D" w:themeColor="text2"/>
          <w:sz w:val="22"/>
          <w:szCs w:val="22"/>
          <w:lang w:val="en-US"/>
        </w:rPr>
      </w:pPr>
    </w:p>
    <w:p w14:paraId="6AF78C94" w14:textId="77777777" w:rsidR="001D4918" w:rsidRPr="00B82716" w:rsidRDefault="001D4918" w:rsidP="001D4918">
      <w:pPr>
        <w:autoSpaceDE w:val="0"/>
        <w:autoSpaceDN w:val="0"/>
        <w:adjustRightInd w:val="0"/>
        <w:jc w:val="both"/>
        <w:rPr>
          <w:rFonts w:cs="Arial"/>
          <w:color w:val="1F497D" w:themeColor="text2"/>
          <w:sz w:val="22"/>
          <w:szCs w:val="22"/>
          <w:lang w:val="en-US"/>
        </w:rPr>
      </w:pPr>
      <w:r w:rsidRPr="00B82716">
        <w:rPr>
          <w:rFonts w:cs="Arial"/>
          <w:color w:val="1F497D" w:themeColor="text2"/>
          <w:sz w:val="22"/>
          <w:szCs w:val="22"/>
          <w:lang w:val="en-US"/>
        </w:rPr>
        <w:t xml:space="preserve">Similarly, Société Générale calls for the </w:t>
      </w:r>
      <w:r w:rsidRPr="00B365AE">
        <w:rPr>
          <w:rFonts w:cs="Arial"/>
          <w:b/>
          <w:bCs/>
          <w:color w:val="1F497D" w:themeColor="text2"/>
          <w:sz w:val="22"/>
          <w:szCs w:val="22"/>
          <w:lang w:val="en-US"/>
        </w:rPr>
        <w:t>permanent</w:t>
      </w:r>
      <w:r>
        <w:rPr>
          <w:rFonts w:cs="Arial"/>
          <w:color w:val="1F497D" w:themeColor="text2"/>
          <w:sz w:val="22"/>
          <w:szCs w:val="22"/>
          <w:lang w:val="en-US"/>
        </w:rPr>
        <w:t xml:space="preserve"> </w:t>
      </w:r>
      <w:r w:rsidRPr="00364EEE">
        <w:rPr>
          <w:rFonts w:cs="Arial"/>
          <w:b/>
          <w:bCs/>
          <w:color w:val="1F497D" w:themeColor="text2"/>
          <w:sz w:val="22"/>
          <w:szCs w:val="22"/>
          <w:lang w:val="en-US"/>
        </w:rPr>
        <w:t>removal of the annual RTS 28 reports</w:t>
      </w:r>
      <w:r w:rsidRPr="00B82716">
        <w:rPr>
          <w:rFonts w:cs="Arial"/>
          <w:color w:val="1F497D" w:themeColor="text2"/>
          <w:sz w:val="22"/>
          <w:szCs w:val="22"/>
          <w:lang w:val="en-US"/>
        </w:rPr>
        <w:t xml:space="preserve">, that are clearly not used by our clients in their current form, and for which we have no reason to believe that the proposed modifications would entail an increased interest. </w:t>
      </w:r>
    </w:p>
    <w:p w14:paraId="35D8FAE9" w14:textId="77777777" w:rsidR="001D4918" w:rsidRPr="00B82716" w:rsidRDefault="001D4918" w:rsidP="001D4918">
      <w:pPr>
        <w:autoSpaceDE w:val="0"/>
        <w:autoSpaceDN w:val="0"/>
        <w:adjustRightInd w:val="0"/>
        <w:jc w:val="both"/>
        <w:rPr>
          <w:rFonts w:cs="Arial"/>
          <w:color w:val="1F497D" w:themeColor="text2"/>
          <w:sz w:val="22"/>
          <w:szCs w:val="22"/>
          <w:lang w:val="en-US"/>
        </w:rPr>
      </w:pPr>
    </w:p>
    <w:p w14:paraId="601E7AE9" w14:textId="77777777" w:rsidR="001D4918" w:rsidRDefault="001D4918" w:rsidP="001D4918">
      <w:pPr>
        <w:autoSpaceDE w:val="0"/>
        <w:autoSpaceDN w:val="0"/>
        <w:adjustRightInd w:val="0"/>
        <w:jc w:val="both"/>
        <w:rPr>
          <w:rFonts w:cs="Arial"/>
          <w:color w:val="1F497D" w:themeColor="text2"/>
          <w:sz w:val="22"/>
          <w:szCs w:val="22"/>
          <w:lang w:val="en-US"/>
        </w:rPr>
      </w:pPr>
      <w:r>
        <w:rPr>
          <w:rFonts w:cs="Arial"/>
          <w:color w:val="1F497D" w:themeColor="text2"/>
          <w:sz w:val="22"/>
          <w:szCs w:val="22"/>
          <w:lang w:val="en-US"/>
        </w:rPr>
        <w:t xml:space="preserve">We note that this removal has already been confirmed </w:t>
      </w:r>
      <w:r w:rsidRPr="00A16A5C">
        <w:rPr>
          <w:rFonts w:cs="Arial"/>
          <w:color w:val="1F497D" w:themeColor="text2"/>
          <w:sz w:val="22"/>
          <w:szCs w:val="22"/>
          <w:lang w:val="en-US"/>
        </w:rPr>
        <w:t>by UK authorities</w:t>
      </w:r>
      <w:r>
        <w:rPr>
          <w:rFonts w:cs="Arial"/>
          <w:color w:val="1F497D" w:themeColor="text2"/>
          <w:sz w:val="22"/>
          <w:szCs w:val="22"/>
          <w:lang w:val="en-US"/>
        </w:rPr>
        <w:t xml:space="preserve"> through their </w:t>
      </w:r>
      <w:r w:rsidRPr="00A16A5C">
        <w:rPr>
          <w:rFonts w:cs="Arial"/>
          <w:color w:val="1F497D" w:themeColor="text2"/>
          <w:sz w:val="22"/>
          <w:szCs w:val="22"/>
          <w:lang w:val="en-US"/>
        </w:rPr>
        <w:t>Policy Statement 21/20</w:t>
      </w:r>
      <w:r>
        <w:rPr>
          <w:rFonts w:cs="Arial"/>
          <w:color w:val="1F497D" w:themeColor="text2"/>
          <w:sz w:val="22"/>
          <w:szCs w:val="22"/>
          <w:lang w:val="en-US"/>
        </w:rPr>
        <w:t xml:space="preserve"> providing for</w:t>
      </w:r>
      <w:r w:rsidRPr="00A16A5C">
        <w:rPr>
          <w:rFonts w:cs="Arial"/>
          <w:color w:val="1F497D" w:themeColor="text2"/>
          <w:sz w:val="22"/>
          <w:szCs w:val="22"/>
          <w:lang w:val="en-US"/>
        </w:rPr>
        <w:t xml:space="preserve"> “Changes to UK MIFID’s conduct and </w:t>
      </w:r>
      <w:proofErr w:type="spellStart"/>
      <w:r w:rsidRPr="00A16A5C">
        <w:rPr>
          <w:rFonts w:cs="Arial"/>
          <w:color w:val="1F497D" w:themeColor="text2"/>
          <w:sz w:val="22"/>
          <w:szCs w:val="22"/>
          <w:lang w:val="en-US"/>
        </w:rPr>
        <w:t>organisational</w:t>
      </w:r>
      <w:proofErr w:type="spellEnd"/>
      <w:r w:rsidRPr="00A16A5C">
        <w:rPr>
          <w:rFonts w:cs="Arial"/>
          <w:color w:val="1F497D" w:themeColor="text2"/>
          <w:sz w:val="22"/>
          <w:szCs w:val="22"/>
          <w:lang w:val="en-US"/>
        </w:rPr>
        <w:t xml:space="preserve"> requirements”,</w:t>
      </w:r>
      <w:r>
        <w:rPr>
          <w:rFonts w:cs="Arial"/>
          <w:color w:val="1F497D" w:themeColor="text2"/>
          <w:sz w:val="22"/>
          <w:szCs w:val="22"/>
          <w:lang w:val="en-US"/>
        </w:rPr>
        <w:t xml:space="preserve"> on the ground of a consultation that clearly confirmed the absence of interest of market participants.</w:t>
      </w:r>
    </w:p>
    <w:p w14:paraId="0C5E1450" w14:textId="77777777" w:rsidR="001D4918" w:rsidRDefault="001D4918" w:rsidP="001D4918">
      <w:pPr>
        <w:autoSpaceDE w:val="0"/>
        <w:autoSpaceDN w:val="0"/>
        <w:adjustRightInd w:val="0"/>
        <w:jc w:val="both"/>
        <w:rPr>
          <w:rFonts w:cs="Arial"/>
          <w:color w:val="1F497D" w:themeColor="text2"/>
          <w:sz w:val="22"/>
          <w:szCs w:val="22"/>
          <w:lang w:val="en-US"/>
        </w:rPr>
      </w:pPr>
    </w:p>
    <w:p w14:paraId="103E0879" w14:textId="77777777" w:rsidR="001D4918" w:rsidRPr="00B82716" w:rsidRDefault="001D4918" w:rsidP="001D4918">
      <w:pPr>
        <w:autoSpaceDE w:val="0"/>
        <w:autoSpaceDN w:val="0"/>
        <w:adjustRightInd w:val="0"/>
        <w:jc w:val="both"/>
        <w:rPr>
          <w:rFonts w:cs="Arial"/>
          <w:color w:val="1F497D" w:themeColor="text2"/>
          <w:sz w:val="22"/>
          <w:szCs w:val="22"/>
          <w:lang w:val="en-US"/>
        </w:rPr>
      </w:pPr>
      <w:r w:rsidRPr="00A16A5C">
        <w:rPr>
          <w:rFonts w:cs="Arial"/>
          <w:color w:val="1F497D" w:themeColor="text2"/>
          <w:sz w:val="22"/>
          <w:szCs w:val="22"/>
          <w:lang w:val="en-US"/>
        </w:rPr>
        <w:t>Again, we disagree with the Cost Benefit Analysis in Annex II, since ESMA does not</w:t>
      </w:r>
      <w:r w:rsidRPr="00B82716">
        <w:rPr>
          <w:rFonts w:cs="Arial"/>
          <w:color w:val="1F497D" w:themeColor="text2"/>
          <w:sz w:val="22"/>
          <w:szCs w:val="22"/>
          <w:lang w:val="en-US"/>
        </w:rPr>
        <w:t xml:space="preserve"> provide any quantitative estimate of the investment required to update RTS 28 reports, while our experience tends to indicate that the proposed changes would entail non negligeable one-off and maintenance costs, for no clear benefit.</w:t>
      </w:r>
    </w:p>
    <w:p w14:paraId="3EC00E6D" w14:textId="6DBB5C9C" w:rsidR="00B327E9" w:rsidRDefault="00B327E9" w:rsidP="00FE6577"/>
    <w:permEnd w:id="44765448"/>
    <w:p w14:paraId="68F63540" w14:textId="7BAC455B" w:rsidR="00B327E9" w:rsidRPr="00BF28DA" w:rsidRDefault="00B327E9" w:rsidP="00FE6577">
      <w:r w:rsidRPr="00BF28DA">
        <w:t>&lt;ESMA_COMMENT_</w:t>
      </w:r>
      <w:r w:rsidR="00455107" w:rsidRPr="00455107">
        <w:t xml:space="preserve"> BEEX</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5B79D316" w14:textId="4E9789C6" w:rsidR="00014A67" w:rsidRDefault="00F31E57" w:rsidP="00014A67">
      <w:pPr>
        <w:pStyle w:val="Questionstyle"/>
      </w:pPr>
      <w:r w:rsidRPr="0075015C">
        <w:br w:type="page"/>
      </w:r>
    </w:p>
    <w:p w14:paraId="36E568B8" w14:textId="77777777" w:rsidR="004258CF" w:rsidRPr="004258CF" w:rsidRDefault="004258CF" w:rsidP="004258CF">
      <w:pPr>
        <w:numPr>
          <w:ilvl w:val="0"/>
          <w:numId w:val="36"/>
        </w:numPr>
        <w:spacing w:after="250" w:line="276" w:lineRule="auto"/>
        <w:contextualSpacing/>
        <w:jc w:val="both"/>
        <w:rPr>
          <w:rFonts w:cs="Arial"/>
          <w:b/>
          <w:szCs w:val="22"/>
          <w:lang w:val="en-US" w:eastAsia="en-US"/>
        </w:rPr>
      </w:pPr>
      <w:r w:rsidRPr="004258CF">
        <w:rPr>
          <w:rFonts w:cs="Arial"/>
          <w:b/>
          <w:szCs w:val="20"/>
          <w:lang w:val="en-US" w:eastAsia="en-GB"/>
        </w:rPr>
        <w:lastRenderedPageBreak/>
        <w:t>: Do you agree with the proposed scope in terms of execution venues for the reporting under a possible new RTS 27?</w:t>
      </w:r>
    </w:p>
    <w:p w14:paraId="19EF215B"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&lt;ESMA_QUESTION_BEEX_1&gt;</w:t>
      </w:r>
    </w:p>
    <w:p w14:paraId="69F69DF4" w14:textId="6E2494F4" w:rsidR="001D4918" w:rsidRDefault="001D4918" w:rsidP="001D4918">
      <w:pPr>
        <w:autoSpaceDE w:val="0"/>
        <w:autoSpaceDN w:val="0"/>
        <w:adjustRightInd w:val="0"/>
        <w:jc w:val="both"/>
        <w:rPr>
          <w:rFonts w:ascii="Arial-BoldMT" w:hAnsi="Arial-BoldMT" w:cs="Arial-BoldMT"/>
          <w:color w:val="1F497D" w:themeColor="text2"/>
          <w:sz w:val="22"/>
          <w:szCs w:val="22"/>
          <w:lang w:val="en-US"/>
        </w:rPr>
      </w:pPr>
      <w:permStart w:id="222133246" w:edGrp="everyone"/>
      <w:r w:rsidRPr="00B82716">
        <w:rPr>
          <w:rFonts w:ascii="Arial-BoldMT" w:hAnsi="Arial-BoldMT" w:cs="Arial-BoldMT"/>
          <w:color w:val="1F497D" w:themeColor="text2"/>
          <w:sz w:val="22"/>
          <w:szCs w:val="22"/>
          <w:lang w:val="en-US"/>
        </w:rPr>
        <w:t>As mentioned in our preliminary remarks, Soci</w:t>
      </w:r>
      <w:r>
        <w:rPr>
          <w:rFonts w:ascii="Arial-BoldMT" w:hAnsi="Arial-BoldMT" w:cs="Arial-BoldMT"/>
          <w:color w:val="1F497D" w:themeColor="text2"/>
          <w:sz w:val="22"/>
          <w:szCs w:val="22"/>
          <w:lang w:val="en-US"/>
        </w:rPr>
        <w:t>é</w:t>
      </w:r>
      <w:r w:rsidRPr="00B82716">
        <w:rPr>
          <w:rFonts w:ascii="Arial-BoldMT" w:hAnsi="Arial-BoldMT" w:cs="Arial-BoldMT"/>
          <w:color w:val="1F497D" w:themeColor="text2"/>
          <w:sz w:val="22"/>
          <w:szCs w:val="22"/>
          <w:lang w:val="en-US"/>
        </w:rPr>
        <w:t>t</w:t>
      </w:r>
      <w:r>
        <w:rPr>
          <w:rFonts w:ascii="Arial-BoldMT" w:hAnsi="Arial-BoldMT" w:cs="Arial-BoldMT"/>
          <w:color w:val="1F497D" w:themeColor="text2"/>
          <w:sz w:val="22"/>
          <w:szCs w:val="22"/>
          <w:lang w:val="en-US"/>
        </w:rPr>
        <w:t>é</w:t>
      </w:r>
      <w:r w:rsidRPr="00B82716">
        <w:rPr>
          <w:rFonts w:ascii="Arial-BoldMT" w:hAnsi="Arial-BoldMT" w:cs="Arial-BoldMT"/>
          <w:color w:val="1F497D" w:themeColor="text2"/>
          <w:sz w:val="22"/>
          <w:szCs w:val="22"/>
          <w:lang w:val="en-US"/>
        </w:rPr>
        <w:t xml:space="preserve"> G</w:t>
      </w:r>
      <w:r>
        <w:rPr>
          <w:rFonts w:ascii="Arial-BoldMT" w:hAnsi="Arial-BoldMT" w:cs="Arial-BoldMT"/>
          <w:color w:val="1F497D" w:themeColor="text2"/>
          <w:sz w:val="22"/>
          <w:szCs w:val="22"/>
          <w:lang w:val="en-US"/>
        </w:rPr>
        <w:t>é</w:t>
      </w:r>
      <w:r w:rsidRPr="00B82716">
        <w:rPr>
          <w:rFonts w:ascii="Arial-BoldMT" w:hAnsi="Arial-BoldMT" w:cs="Arial-BoldMT"/>
          <w:color w:val="1F497D" w:themeColor="text2"/>
          <w:sz w:val="22"/>
          <w:szCs w:val="22"/>
          <w:lang w:val="en-US"/>
        </w:rPr>
        <w:t>n</w:t>
      </w:r>
      <w:r>
        <w:rPr>
          <w:rFonts w:ascii="Arial-BoldMT" w:hAnsi="Arial-BoldMT" w:cs="Arial-BoldMT"/>
          <w:color w:val="1F497D" w:themeColor="text2"/>
          <w:sz w:val="22"/>
          <w:szCs w:val="22"/>
          <w:lang w:val="en-US"/>
        </w:rPr>
        <w:t>é</w:t>
      </w:r>
      <w:r w:rsidRPr="00B82716">
        <w:rPr>
          <w:rFonts w:ascii="Arial-BoldMT" w:hAnsi="Arial-BoldMT" w:cs="Arial-BoldMT"/>
          <w:color w:val="1F497D" w:themeColor="text2"/>
          <w:sz w:val="22"/>
          <w:szCs w:val="22"/>
          <w:lang w:val="en-US"/>
        </w:rPr>
        <w:t>ral</w:t>
      </w:r>
      <w:r>
        <w:rPr>
          <w:rFonts w:ascii="Arial-BoldMT" w:hAnsi="Arial-BoldMT" w:cs="Arial-BoldMT"/>
          <w:color w:val="1F497D" w:themeColor="text2"/>
          <w:sz w:val="22"/>
          <w:szCs w:val="22"/>
          <w:lang w:val="en-US"/>
        </w:rPr>
        <w:t>e</w:t>
      </w:r>
      <w:r w:rsidRPr="00B82716">
        <w:rPr>
          <w:rFonts w:ascii="Arial-BoldMT" w:hAnsi="Arial-BoldMT" w:cs="Arial-BoldMT"/>
          <w:color w:val="1F497D" w:themeColor="text2"/>
          <w:sz w:val="22"/>
          <w:szCs w:val="22"/>
          <w:lang w:val="en-US"/>
        </w:rPr>
        <w:t xml:space="preserve"> supports the permanent withdrawal of RTS 27 reports and won’t hence answer on the scope of venues for a possible new RTS 27.</w:t>
      </w:r>
    </w:p>
    <w:p w14:paraId="35167AAC" w14:textId="77777777" w:rsidR="001D4918" w:rsidRPr="00B82716" w:rsidRDefault="001D4918" w:rsidP="001D4918">
      <w:pPr>
        <w:autoSpaceDE w:val="0"/>
        <w:autoSpaceDN w:val="0"/>
        <w:adjustRightInd w:val="0"/>
        <w:jc w:val="both"/>
        <w:rPr>
          <w:rFonts w:ascii="Arial-BoldMT" w:hAnsi="Arial-BoldMT" w:cs="Arial-BoldMT"/>
          <w:color w:val="1F497D" w:themeColor="text2"/>
          <w:sz w:val="22"/>
          <w:szCs w:val="22"/>
          <w:lang w:val="en-US"/>
        </w:rPr>
      </w:pPr>
    </w:p>
    <w:permEnd w:id="222133246"/>
    <w:p w14:paraId="6324657C"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&lt;ESMA_QUESTION_BEEX_1&gt;</w:t>
      </w:r>
    </w:p>
    <w:p w14:paraId="065626B5" w14:textId="77777777" w:rsidR="004258CF" w:rsidRPr="004258CF" w:rsidRDefault="004258CF" w:rsidP="004258CF">
      <w:pPr>
        <w:spacing w:after="160" w:line="256" w:lineRule="auto"/>
        <w:rPr>
          <w:rFonts w:ascii="Calibri" w:eastAsia="Calibri" w:hAnsi="Calibri"/>
          <w:sz w:val="22"/>
          <w:szCs w:val="22"/>
          <w:lang w:eastAsia="en-US"/>
        </w:rPr>
      </w:pPr>
    </w:p>
    <w:p w14:paraId="3217AD5F"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proposed level of granularity by types of financial instruments instead of individual financial instruments under a new potential reporting regime? In particular, do you agree with the two proposed categories concerning shares (i.e., shares considered to have a liquid market and shares not considered to have a liquid market)? If not, please state the reasons for your answer and clarify what alternative categorisations you would propose in order to have a meaningful level of granularity for a new reporting regime.</w:t>
      </w:r>
    </w:p>
    <w:p w14:paraId="5162D127"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&lt;ESMA_QUESTION_BEEX_2&gt;</w:t>
      </w:r>
    </w:p>
    <w:p w14:paraId="3B56A07B" w14:textId="77777777" w:rsidR="00012730" w:rsidRPr="00B82716" w:rsidRDefault="00012730" w:rsidP="00012730">
      <w:pPr>
        <w:autoSpaceDE w:val="0"/>
        <w:autoSpaceDN w:val="0"/>
        <w:adjustRightInd w:val="0"/>
        <w:jc w:val="both"/>
        <w:rPr>
          <w:rFonts w:ascii="Arial-BoldMT" w:hAnsi="Arial-BoldMT" w:cs="Arial-BoldMT"/>
          <w:color w:val="1F497D" w:themeColor="text2"/>
          <w:sz w:val="22"/>
          <w:szCs w:val="22"/>
          <w:lang w:val="en-US"/>
        </w:rPr>
      </w:pPr>
      <w:permStart w:id="147554275" w:edGrp="everyone"/>
      <w:r w:rsidRPr="00B82716">
        <w:rPr>
          <w:rFonts w:ascii="Arial-BoldMT" w:hAnsi="Arial-BoldMT" w:cs="Arial-BoldMT"/>
          <w:color w:val="1F497D" w:themeColor="text2"/>
          <w:sz w:val="22"/>
          <w:szCs w:val="22"/>
          <w:lang w:val="en-US"/>
        </w:rPr>
        <w:t>Soci</w:t>
      </w:r>
      <w:r>
        <w:rPr>
          <w:rFonts w:ascii="Arial-BoldMT" w:hAnsi="Arial-BoldMT" w:cs="Arial-BoldMT"/>
          <w:color w:val="1F497D" w:themeColor="text2"/>
          <w:sz w:val="22"/>
          <w:szCs w:val="22"/>
          <w:lang w:val="en-US"/>
        </w:rPr>
        <w:t>é</w:t>
      </w:r>
      <w:r w:rsidRPr="00B82716">
        <w:rPr>
          <w:rFonts w:ascii="Arial-BoldMT" w:hAnsi="Arial-BoldMT" w:cs="Arial-BoldMT"/>
          <w:color w:val="1F497D" w:themeColor="text2"/>
          <w:sz w:val="22"/>
          <w:szCs w:val="22"/>
          <w:lang w:val="en-US"/>
        </w:rPr>
        <w:t>t</w:t>
      </w:r>
      <w:r>
        <w:rPr>
          <w:rFonts w:ascii="Arial-BoldMT" w:hAnsi="Arial-BoldMT" w:cs="Arial-BoldMT"/>
          <w:color w:val="1F497D" w:themeColor="text2"/>
          <w:sz w:val="22"/>
          <w:szCs w:val="22"/>
          <w:lang w:val="en-US"/>
        </w:rPr>
        <w:t>é</w:t>
      </w:r>
      <w:r w:rsidRPr="00B82716">
        <w:rPr>
          <w:rFonts w:ascii="Arial-BoldMT" w:hAnsi="Arial-BoldMT" w:cs="Arial-BoldMT"/>
          <w:color w:val="1F497D" w:themeColor="text2"/>
          <w:sz w:val="22"/>
          <w:szCs w:val="22"/>
          <w:lang w:val="en-US"/>
        </w:rPr>
        <w:t xml:space="preserve"> Générale does not agree with the proposed level of granularity.</w:t>
      </w:r>
    </w:p>
    <w:p w14:paraId="0557550C" w14:textId="77777777" w:rsidR="00012730" w:rsidRPr="00B82716" w:rsidRDefault="00012730" w:rsidP="00012730">
      <w:pPr>
        <w:autoSpaceDE w:val="0"/>
        <w:autoSpaceDN w:val="0"/>
        <w:adjustRightInd w:val="0"/>
        <w:jc w:val="both"/>
        <w:rPr>
          <w:rFonts w:ascii="Arial-BoldMT" w:hAnsi="Arial-BoldMT" w:cs="Arial-BoldMT"/>
          <w:color w:val="1F497D" w:themeColor="text2"/>
          <w:sz w:val="22"/>
          <w:szCs w:val="22"/>
          <w:lang w:val="en-US"/>
        </w:rPr>
      </w:pPr>
    </w:p>
    <w:p w14:paraId="02664FFB" w14:textId="77777777" w:rsidR="00012730" w:rsidRPr="00B82716" w:rsidRDefault="00012730" w:rsidP="00012730">
      <w:pPr>
        <w:autoSpaceDE w:val="0"/>
        <w:autoSpaceDN w:val="0"/>
        <w:adjustRightInd w:val="0"/>
        <w:jc w:val="both"/>
        <w:rPr>
          <w:rFonts w:ascii="Arial-BoldMT" w:hAnsi="Arial-BoldMT" w:cs="Arial-BoldMT"/>
          <w:color w:val="1F497D" w:themeColor="text2"/>
          <w:sz w:val="22"/>
          <w:szCs w:val="22"/>
          <w:lang w:val="en-US"/>
        </w:rPr>
      </w:pPr>
      <w:r w:rsidRPr="00B82716">
        <w:rPr>
          <w:rFonts w:ascii="Arial-BoldMT" w:hAnsi="Arial-BoldMT" w:cs="Arial-BoldMT"/>
          <w:color w:val="1F497D" w:themeColor="text2"/>
          <w:sz w:val="22"/>
          <w:szCs w:val="22"/>
          <w:lang w:val="en-US"/>
        </w:rPr>
        <w:t>With a view to producing aggregated reports instead of the current detailed RTS 27 reports, one could consider that the proposed level of granularity makes sense. Still, we would like to insist on several aspects:</w:t>
      </w:r>
    </w:p>
    <w:p w14:paraId="2A170084" w14:textId="77777777" w:rsidR="00012730" w:rsidRPr="00B82716" w:rsidRDefault="00012730" w:rsidP="00012730">
      <w:pPr>
        <w:pStyle w:val="ListParagraph"/>
        <w:numPr>
          <w:ilvl w:val="0"/>
          <w:numId w:val="40"/>
        </w:numPr>
        <w:autoSpaceDE w:val="0"/>
        <w:autoSpaceDN w:val="0"/>
        <w:adjustRightInd w:val="0"/>
        <w:jc w:val="both"/>
        <w:rPr>
          <w:rFonts w:ascii="Arial-BoldMT" w:hAnsi="Arial-BoldMT" w:cs="Arial-BoldMT"/>
          <w:color w:val="1F497D" w:themeColor="text2"/>
          <w:sz w:val="22"/>
          <w:szCs w:val="22"/>
          <w:lang w:val="en-US"/>
        </w:rPr>
      </w:pPr>
      <w:r w:rsidRPr="00B82716">
        <w:rPr>
          <w:rFonts w:ascii="Arial-BoldMT" w:hAnsi="Arial-BoldMT" w:cs="Arial-BoldMT"/>
          <w:color w:val="1F497D" w:themeColor="text2"/>
          <w:sz w:val="22"/>
          <w:szCs w:val="22"/>
          <w:lang w:val="en-US"/>
        </w:rPr>
        <w:t xml:space="preserve">The level of granularity proposed relies on liquidity when it comes to shares and some derivatives (the DTO qualification being a proxy in that domain), but solely on the nature of the instrument when it comes to bonds or securitized derivatives. This means that the proposed categories would aggregate instruments with little common features. Bluntly speaking, assessing Best Execution on that ground would be like evaluating mammals’ abilities by averaging figures for elephants (German Bund) and mouses (Romanian </w:t>
      </w:r>
      <w:proofErr w:type="spellStart"/>
      <w:r w:rsidRPr="00B82716">
        <w:rPr>
          <w:rFonts w:ascii="Arial-BoldMT" w:hAnsi="Arial-BoldMT" w:cs="Arial-BoldMT"/>
          <w:color w:val="1F497D" w:themeColor="text2"/>
          <w:sz w:val="22"/>
          <w:szCs w:val="22"/>
          <w:lang w:val="en-US"/>
        </w:rPr>
        <w:t>govies</w:t>
      </w:r>
      <w:proofErr w:type="spellEnd"/>
      <w:r w:rsidRPr="00B82716">
        <w:rPr>
          <w:rFonts w:ascii="Arial-BoldMT" w:hAnsi="Arial-BoldMT" w:cs="Arial-BoldMT"/>
          <w:color w:val="1F497D" w:themeColor="text2"/>
          <w:sz w:val="22"/>
          <w:szCs w:val="22"/>
          <w:lang w:val="en-US"/>
        </w:rPr>
        <w:t xml:space="preserve">). </w:t>
      </w:r>
    </w:p>
    <w:p w14:paraId="4F7B8180" w14:textId="77777777" w:rsidR="00012730" w:rsidRPr="00B82716" w:rsidRDefault="00012730" w:rsidP="00012730">
      <w:pPr>
        <w:pStyle w:val="ListParagraph"/>
        <w:numPr>
          <w:ilvl w:val="0"/>
          <w:numId w:val="40"/>
        </w:numPr>
        <w:autoSpaceDE w:val="0"/>
        <w:autoSpaceDN w:val="0"/>
        <w:adjustRightInd w:val="0"/>
        <w:jc w:val="both"/>
        <w:rPr>
          <w:rFonts w:ascii="Arial-BoldMT" w:hAnsi="Arial-BoldMT" w:cs="Arial-BoldMT"/>
          <w:color w:val="1F497D" w:themeColor="text2"/>
          <w:sz w:val="22"/>
          <w:szCs w:val="22"/>
          <w:lang w:val="en-US"/>
        </w:rPr>
      </w:pPr>
      <w:r w:rsidRPr="00B82716">
        <w:rPr>
          <w:rFonts w:ascii="Arial-BoldMT" w:hAnsi="Arial-BoldMT" w:cs="Arial-BoldMT"/>
          <w:color w:val="1F497D" w:themeColor="text2"/>
          <w:sz w:val="22"/>
          <w:szCs w:val="22"/>
          <w:lang w:val="en-US"/>
        </w:rPr>
        <w:t>We are concerned with the costs linked to the development of such aggregated reports. Typically, information about the features of transactions undertaken as an SI and information about the nature, the liquidity status or DTO status of the said instrument may not be kept in the same database, meaning that the production of the proposed reports would require non negligeable developments.</w:t>
      </w:r>
    </w:p>
    <w:p w14:paraId="5023E929" w14:textId="77777777" w:rsidR="00012730" w:rsidRPr="00B82716" w:rsidRDefault="00012730" w:rsidP="00012730">
      <w:pPr>
        <w:pStyle w:val="ListParagraph"/>
        <w:numPr>
          <w:ilvl w:val="0"/>
          <w:numId w:val="40"/>
        </w:numPr>
        <w:autoSpaceDE w:val="0"/>
        <w:autoSpaceDN w:val="0"/>
        <w:adjustRightInd w:val="0"/>
        <w:jc w:val="both"/>
        <w:rPr>
          <w:rFonts w:ascii="Arial-BoldMT" w:hAnsi="Arial-BoldMT" w:cs="Arial-BoldMT"/>
          <w:color w:val="1F497D" w:themeColor="text2"/>
          <w:sz w:val="22"/>
          <w:szCs w:val="22"/>
          <w:lang w:val="en-US"/>
        </w:rPr>
      </w:pPr>
      <w:r w:rsidRPr="00B82716">
        <w:rPr>
          <w:rFonts w:ascii="Arial-BoldMT" w:hAnsi="Arial-BoldMT" w:cs="Arial-BoldMT"/>
          <w:color w:val="1F497D" w:themeColor="text2"/>
          <w:sz w:val="22"/>
          <w:szCs w:val="22"/>
          <w:lang w:val="en-US"/>
        </w:rPr>
        <w:t>We are not convinced that the investments required to develop the new reports would serve any real purpose, as we have no reason to believe that the reports using the proposed level of granularity would be more useful for market participants and would generate more interest than the current ones.</w:t>
      </w:r>
    </w:p>
    <w:p w14:paraId="0CB4A5AF" w14:textId="77777777" w:rsidR="00012730" w:rsidRPr="00B82716" w:rsidRDefault="00012730" w:rsidP="00012730">
      <w:pPr>
        <w:autoSpaceDE w:val="0"/>
        <w:autoSpaceDN w:val="0"/>
        <w:adjustRightInd w:val="0"/>
        <w:jc w:val="both"/>
        <w:rPr>
          <w:rFonts w:ascii="Arial-BoldMT" w:hAnsi="Arial-BoldMT" w:cs="Arial-BoldMT"/>
          <w:color w:val="1F497D" w:themeColor="text2"/>
          <w:sz w:val="22"/>
          <w:szCs w:val="22"/>
          <w:lang w:val="en-US"/>
        </w:rPr>
      </w:pPr>
    </w:p>
    <w:p w14:paraId="0944F19C" w14:textId="77777777" w:rsidR="00012730" w:rsidRPr="00B82716" w:rsidRDefault="00012730" w:rsidP="00012730">
      <w:pPr>
        <w:autoSpaceDE w:val="0"/>
        <w:autoSpaceDN w:val="0"/>
        <w:adjustRightInd w:val="0"/>
        <w:jc w:val="both"/>
        <w:rPr>
          <w:rFonts w:ascii="Arial-BoldMT" w:hAnsi="Arial-BoldMT" w:cs="Arial-BoldMT"/>
          <w:color w:val="1F497D" w:themeColor="text2"/>
          <w:sz w:val="22"/>
          <w:szCs w:val="22"/>
          <w:lang w:val="en-US"/>
        </w:rPr>
      </w:pPr>
      <w:r w:rsidRPr="00B82716">
        <w:rPr>
          <w:rFonts w:ascii="Arial-BoldMT" w:hAnsi="Arial-BoldMT" w:cs="Arial-BoldMT"/>
          <w:color w:val="1F497D" w:themeColor="text2"/>
          <w:sz w:val="22"/>
          <w:szCs w:val="22"/>
          <w:lang w:val="en-US"/>
        </w:rPr>
        <w:t>With this in mind, we support the permanent deletion of RTS 27 reports.</w:t>
      </w:r>
    </w:p>
    <w:p w14:paraId="34F5A8A4" w14:textId="77777777" w:rsidR="00012730" w:rsidRDefault="00012730" w:rsidP="00012730">
      <w:pPr>
        <w:autoSpaceDE w:val="0"/>
        <w:autoSpaceDN w:val="0"/>
        <w:adjustRightInd w:val="0"/>
        <w:jc w:val="both"/>
        <w:rPr>
          <w:rFonts w:ascii="Arial-BoldMT" w:hAnsi="Arial-BoldMT" w:cs="Arial-BoldMT"/>
          <w:color w:val="000000"/>
          <w:sz w:val="22"/>
          <w:szCs w:val="22"/>
          <w:lang w:val="en-US"/>
        </w:rPr>
      </w:pPr>
    </w:p>
    <w:permEnd w:id="147554275"/>
    <w:p w14:paraId="04853A9B"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&lt;ESMA_QUESTION_BEEX_2&gt;</w:t>
      </w:r>
    </w:p>
    <w:p w14:paraId="0625F6A6" w14:textId="77777777" w:rsidR="004258CF" w:rsidRPr="004258CF" w:rsidRDefault="004258CF" w:rsidP="004258CF">
      <w:pPr>
        <w:spacing w:after="160" w:line="256" w:lineRule="auto"/>
        <w:rPr>
          <w:rFonts w:ascii="Calibri" w:eastAsia="Calibri" w:hAnsi="Calibri"/>
          <w:sz w:val="22"/>
          <w:szCs w:val="22"/>
          <w:lang w:eastAsia="en-US"/>
        </w:rPr>
      </w:pPr>
    </w:p>
    <w:p w14:paraId="7973E377"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proposed metrics to report the execution quality obtained by execution venues?</w:t>
      </w:r>
    </w:p>
    <w:p w14:paraId="6DEA5007"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&lt;ESMA_QUESTION_BEEX_3&gt;</w:t>
      </w:r>
    </w:p>
    <w:p w14:paraId="6D5879CF" w14:textId="77777777" w:rsidR="00012730" w:rsidRPr="00493D08" w:rsidRDefault="00012730" w:rsidP="00012730">
      <w:pPr>
        <w:autoSpaceDE w:val="0"/>
        <w:autoSpaceDN w:val="0"/>
        <w:adjustRightInd w:val="0"/>
        <w:jc w:val="both"/>
        <w:rPr>
          <w:rFonts w:ascii="Arial-BoldMT" w:hAnsi="Arial-BoldMT" w:cs="Arial-BoldMT"/>
          <w:color w:val="1F497D" w:themeColor="text2"/>
          <w:sz w:val="22"/>
          <w:szCs w:val="22"/>
          <w:lang w:val="en-US"/>
        </w:rPr>
      </w:pPr>
      <w:permStart w:id="2033745150" w:edGrp="everyone"/>
      <w:r w:rsidRPr="00493D08">
        <w:rPr>
          <w:rFonts w:ascii="Arial-BoldMT" w:hAnsi="Arial-BoldMT" w:cs="Arial-BoldMT"/>
          <w:color w:val="1F497D" w:themeColor="text2"/>
          <w:sz w:val="22"/>
          <w:szCs w:val="22"/>
          <w:lang w:val="en-US"/>
        </w:rPr>
        <w:t>Société Générale does not agree with the proposed metrics to report the execution quality.</w:t>
      </w:r>
    </w:p>
    <w:p w14:paraId="7645D96E" w14:textId="77777777" w:rsidR="00012730" w:rsidRPr="00493D08" w:rsidRDefault="00012730" w:rsidP="00012730">
      <w:pPr>
        <w:autoSpaceDE w:val="0"/>
        <w:autoSpaceDN w:val="0"/>
        <w:adjustRightInd w:val="0"/>
        <w:jc w:val="both"/>
        <w:rPr>
          <w:rFonts w:ascii="Arial-BoldMT" w:hAnsi="Arial-BoldMT" w:cs="Arial-BoldMT"/>
          <w:color w:val="1F497D" w:themeColor="text2"/>
          <w:sz w:val="22"/>
          <w:szCs w:val="22"/>
          <w:lang w:val="en-US"/>
        </w:rPr>
      </w:pPr>
    </w:p>
    <w:p w14:paraId="70B34C11"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r w:rsidRPr="00493D08">
        <w:rPr>
          <w:rFonts w:ascii="Arial-BoldMT" w:hAnsi="Arial-BoldMT" w:cs="Arial-BoldMT"/>
          <w:color w:val="1F497D" w:themeColor="text2"/>
          <w:sz w:val="22"/>
          <w:szCs w:val="22"/>
          <w:lang w:val="en-US"/>
        </w:rPr>
        <w:t xml:space="preserve">The same remarks as for </w:t>
      </w:r>
      <w:r>
        <w:rPr>
          <w:rFonts w:ascii="Arial-BoldMT" w:hAnsi="Arial-BoldMT" w:cs="Arial-BoldMT"/>
          <w:color w:val="1F497D" w:themeColor="text2"/>
          <w:sz w:val="22"/>
          <w:szCs w:val="22"/>
          <w:lang w:val="en-US"/>
        </w:rPr>
        <w:t>Q2 apply: (i) the level of aggregation would deprive most metrics from any relevance, (ii) the performance of computations would require significant developments and (iii) we do not see what unanswered needs the computed metrics would answer. Indeed, the proposed new RTS 27 reports seem to be a solution looking for a problem.</w:t>
      </w:r>
    </w:p>
    <w:p w14:paraId="297A12CD"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p>
    <w:p w14:paraId="4B30083B"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r>
        <w:rPr>
          <w:rFonts w:ascii="Arial-BoldMT" w:hAnsi="Arial-BoldMT" w:cs="Arial-BoldMT"/>
          <w:color w:val="1F497D" w:themeColor="text2"/>
          <w:sz w:val="22"/>
          <w:szCs w:val="22"/>
          <w:lang w:val="en-US"/>
        </w:rPr>
        <w:t xml:space="preserve">In the current context, we believe that collective efforts on accessibility to market data and assessment of the execution quality should rather be focused on the emergence of effective consolidated tapes, </w:t>
      </w:r>
      <w:proofErr w:type="spellStart"/>
      <w:r>
        <w:rPr>
          <w:rFonts w:ascii="Arial-BoldMT" w:hAnsi="Arial-BoldMT" w:cs="Arial-BoldMT"/>
          <w:color w:val="1F497D" w:themeColor="text2"/>
          <w:sz w:val="22"/>
          <w:szCs w:val="22"/>
          <w:lang w:val="en-US"/>
        </w:rPr>
        <w:t>eg</w:t>
      </w:r>
      <w:proofErr w:type="spellEnd"/>
      <w:r>
        <w:rPr>
          <w:rFonts w:ascii="Arial-BoldMT" w:hAnsi="Arial-BoldMT" w:cs="Arial-BoldMT"/>
          <w:color w:val="1F497D" w:themeColor="text2"/>
          <w:sz w:val="22"/>
          <w:szCs w:val="22"/>
          <w:lang w:val="en-US"/>
        </w:rPr>
        <w:t xml:space="preserve"> with easy and cheap access for all market participants.</w:t>
      </w:r>
    </w:p>
    <w:p w14:paraId="0CB89D66"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p>
    <w:p w14:paraId="217AFCFE" w14:textId="77777777" w:rsidR="00012730" w:rsidRPr="00B82716" w:rsidRDefault="00012730" w:rsidP="00012730">
      <w:pPr>
        <w:autoSpaceDE w:val="0"/>
        <w:autoSpaceDN w:val="0"/>
        <w:adjustRightInd w:val="0"/>
        <w:jc w:val="both"/>
        <w:rPr>
          <w:rFonts w:ascii="Arial-BoldMT" w:hAnsi="Arial-BoldMT" w:cs="Arial-BoldMT"/>
          <w:color w:val="1F497D" w:themeColor="text2"/>
          <w:sz w:val="22"/>
          <w:szCs w:val="22"/>
          <w:lang w:val="en-US"/>
        </w:rPr>
      </w:pPr>
      <w:r w:rsidRPr="00B82716">
        <w:rPr>
          <w:rFonts w:ascii="Arial-BoldMT" w:hAnsi="Arial-BoldMT" w:cs="Arial-BoldMT"/>
          <w:color w:val="1F497D" w:themeColor="text2"/>
          <w:sz w:val="22"/>
          <w:szCs w:val="22"/>
          <w:lang w:val="en-US"/>
        </w:rPr>
        <w:t>With this in mind, we support the permanent deletion of RTS 27 reports.</w:t>
      </w:r>
    </w:p>
    <w:p w14:paraId="064852D3"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p>
    <w:permEnd w:id="2033745150"/>
    <w:p w14:paraId="7C403DB8"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&lt;ESMA_QUESTION_BEEX_3&gt;</w:t>
      </w:r>
    </w:p>
    <w:p w14:paraId="478CC543" w14:textId="77777777" w:rsidR="004258CF" w:rsidRPr="004258CF" w:rsidRDefault="004258CF" w:rsidP="004258CF">
      <w:pPr>
        <w:spacing w:after="160" w:line="256" w:lineRule="auto"/>
        <w:rPr>
          <w:rFonts w:ascii="Calibri" w:eastAsia="Calibri" w:hAnsi="Calibri"/>
          <w:sz w:val="22"/>
          <w:szCs w:val="22"/>
          <w:lang w:eastAsia="en-US"/>
        </w:rPr>
      </w:pPr>
    </w:p>
    <w:p w14:paraId="7E787A45"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Have you observed good or bad practices of reporting by execution venues under the current RTS 27 that can be relevant for the elaboration of proposals to enhance access and user-friendliness of this information? Please provide specific examples if possible.</w:t>
      </w:r>
    </w:p>
    <w:p w14:paraId="6EF7AE96"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&lt;ESMA_QUESTION_BEEX_4&gt;</w:t>
      </w:r>
    </w:p>
    <w:p w14:paraId="55BF80EB" w14:textId="77777777" w:rsidR="00012730" w:rsidRPr="009B590A" w:rsidRDefault="00012730" w:rsidP="00012730">
      <w:pPr>
        <w:autoSpaceDE w:val="0"/>
        <w:autoSpaceDN w:val="0"/>
        <w:adjustRightInd w:val="0"/>
        <w:jc w:val="both"/>
        <w:rPr>
          <w:rFonts w:ascii="Arial-BoldMT" w:hAnsi="Arial-BoldMT" w:cs="Arial-BoldMT"/>
          <w:color w:val="1F497D" w:themeColor="text2"/>
          <w:sz w:val="22"/>
          <w:szCs w:val="22"/>
          <w:lang w:val="en-US"/>
        </w:rPr>
      </w:pPr>
      <w:permStart w:id="1685268831" w:edGrp="everyone"/>
      <w:r w:rsidRPr="009B590A">
        <w:rPr>
          <w:rFonts w:ascii="Arial-BoldMT" w:hAnsi="Arial-BoldMT" w:cs="Arial-BoldMT"/>
          <w:color w:val="1F497D" w:themeColor="text2"/>
          <w:sz w:val="22"/>
          <w:szCs w:val="22"/>
          <w:lang w:val="en-US"/>
        </w:rPr>
        <w:t>Société Générale does not answer to this question, as we support the permanent deletion of RTS 27 reports.</w:t>
      </w:r>
    </w:p>
    <w:p w14:paraId="2EC19854" w14:textId="77777777" w:rsidR="00012730" w:rsidRDefault="00012730" w:rsidP="00012730">
      <w:pPr>
        <w:autoSpaceDE w:val="0"/>
        <w:autoSpaceDN w:val="0"/>
        <w:adjustRightInd w:val="0"/>
        <w:jc w:val="both"/>
        <w:rPr>
          <w:rFonts w:ascii="Arial-BoldMT" w:hAnsi="Arial-BoldMT" w:cs="Arial-BoldMT"/>
          <w:b/>
          <w:bCs/>
          <w:color w:val="000000"/>
          <w:sz w:val="22"/>
          <w:szCs w:val="22"/>
          <w:lang w:val="en-US"/>
        </w:rPr>
      </w:pPr>
    </w:p>
    <w:permEnd w:id="1685268831"/>
    <w:p w14:paraId="0748831B"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&lt;ESMA_QUESTION_BEEX_4&gt;</w:t>
      </w:r>
    </w:p>
    <w:p w14:paraId="03DA6400" w14:textId="77777777" w:rsidR="004258CF" w:rsidRPr="004258CF" w:rsidRDefault="004258CF" w:rsidP="004258CF">
      <w:pPr>
        <w:spacing w:after="160" w:line="256" w:lineRule="auto"/>
        <w:rPr>
          <w:rFonts w:ascii="Calibri" w:eastAsia="Calibri" w:hAnsi="Calibri"/>
          <w:sz w:val="22"/>
          <w:szCs w:val="22"/>
          <w:lang w:eastAsia="en-US"/>
        </w:rPr>
      </w:pPr>
    </w:p>
    <w:p w14:paraId="6C3B0886"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Have you observed good or bad practices of reporting by investment firms under the current RTS 28 that can be relevant for the elaboration of proposals to enhance access and user-friendliness of this information? Please provide specific examples if possible.</w:t>
      </w:r>
    </w:p>
    <w:p w14:paraId="2FC2E32F"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&lt;ESMA_QUESTION_BEEX_5&gt;</w:t>
      </w:r>
    </w:p>
    <w:p w14:paraId="0D364390" w14:textId="33E1A54E"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permStart w:id="1373658977" w:edGrp="everyone"/>
      <w:r>
        <w:rPr>
          <w:rFonts w:ascii="Arial-BoldMT" w:hAnsi="Arial-BoldMT" w:cs="Arial-BoldMT"/>
          <w:color w:val="1F497D" w:themeColor="text2"/>
          <w:sz w:val="22"/>
          <w:szCs w:val="22"/>
          <w:lang w:val="en-US"/>
        </w:rPr>
        <w:t>Our experience of RTS 28 reports is that investors show little, if any, interest for the reports, as they use sophisticated tools to select their execution partners, so that the list of the 5 main venues / brokers used is not relevant to them.</w:t>
      </w:r>
    </w:p>
    <w:p w14:paraId="728F6DAF" w14:textId="499C5EF3"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p>
    <w:p w14:paraId="0EF35EBB" w14:textId="46D003B1"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r>
        <w:rPr>
          <w:rFonts w:ascii="Arial-BoldMT" w:hAnsi="Arial-BoldMT" w:cs="Arial-BoldMT"/>
          <w:color w:val="1F497D" w:themeColor="text2"/>
          <w:sz w:val="22"/>
          <w:szCs w:val="22"/>
          <w:lang w:val="en-US"/>
        </w:rPr>
        <w:t>We note that this lack of interest was confirmed by the consultation launched by the UK authorities on that same topic.</w:t>
      </w:r>
    </w:p>
    <w:p w14:paraId="75CA981E"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p>
    <w:p w14:paraId="783AA890" w14:textId="77777777" w:rsidR="00012730" w:rsidRPr="009B590A" w:rsidRDefault="00012730" w:rsidP="00012730">
      <w:pPr>
        <w:autoSpaceDE w:val="0"/>
        <w:autoSpaceDN w:val="0"/>
        <w:adjustRightInd w:val="0"/>
        <w:jc w:val="both"/>
        <w:rPr>
          <w:rFonts w:ascii="Arial-BoldMT" w:hAnsi="Arial-BoldMT" w:cs="Arial-BoldMT"/>
          <w:color w:val="1F497D" w:themeColor="text2"/>
          <w:sz w:val="22"/>
          <w:szCs w:val="22"/>
          <w:lang w:val="en-US"/>
        </w:rPr>
      </w:pPr>
      <w:r>
        <w:rPr>
          <w:rFonts w:ascii="Arial-BoldMT" w:hAnsi="Arial-BoldMT" w:cs="Arial-BoldMT"/>
          <w:color w:val="1F497D" w:themeColor="text2"/>
          <w:sz w:val="22"/>
          <w:szCs w:val="22"/>
          <w:lang w:val="en-US"/>
        </w:rPr>
        <w:t>On this ground, w</w:t>
      </w:r>
      <w:r w:rsidRPr="009B590A">
        <w:rPr>
          <w:rFonts w:ascii="Arial-BoldMT" w:hAnsi="Arial-BoldMT" w:cs="Arial-BoldMT"/>
          <w:color w:val="1F497D" w:themeColor="text2"/>
          <w:sz w:val="22"/>
          <w:szCs w:val="22"/>
          <w:lang w:val="en-US"/>
        </w:rPr>
        <w:t xml:space="preserve">e do not believe that the examination of “good or bad practices of reporting by investment firms under the current RTS 28” is </w:t>
      </w:r>
      <w:r>
        <w:rPr>
          <w:rFonts w:ascii="Arial-BoldMT" w:hAnsi="Arial-BoldMT" w:cs="Arial-BoldMT"/>
          <w:color w:val="1F497D" w:themeColor="text2"/>
          <w:sz w:val="22"/>
          <w:szCs w:val="22"/>
          <w:lang w:val="en-US"/>
        </w:rPr>
        <w:t xml:space="preserve">of any use, and we support the </w:t>
      </w:r>
      <w:r w:rsidRPr="009B590A">
        <w:rPr>
          <w:rFonts w:ascii="Arial-BoldMT" w:hAnsi="Arial-BoldMT" w:cs="Arial-BoldMT"/>
          <w:color w:val="1F497D" w:themeColor="text2"/>
          <w:sz w:val="22"/>
          <w:szCs w:val="22"/>
          <w:lang w:val="en-US"/>
        </w:rPr>
        <w:t>permanent deletion of RTS 2</w:t>
      </w:r>
      <w:r>
        <w:rPr>
          <w:rFonts w:ascii="Arial-BoldMT" w:hAnsi="Arial-BoldMT" w:cs="Arial-BoldMT"/>
          <w:color w:val="1F497D" w:themeColor="text2"/>
          <w:sz w:val="22"/>
          <w:szCs w:val="22"/>
          <w:lang w:val="en-US"/>
        </w:rPr>
        <w:t>8</w:t>
      </w:r>
      <w:r w:rsidRPr="009B590A">
        <w:rPr>
          <w:rFonts w:ascii="Arial-BoldMT" w:hAnsi="Arial-BoldMT" w:cs="Arial-BoldMT"/>
          <w:color w:val="1F497D" w:themeColor="text2"/>
          <w:sz w:val="22"/>
          <w:szCs w:val="22"/>
          <w:lang w:val="en-US"/>
        </w:rPr>
        <w:t xml:space="preserve"> reports.</w:t>
      </w:r>
    </w:p>
    <w:p w14:paraId="7D618B47"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p>
    <w:permEnd w:id="1373658977"/>
    <w:p w14:paraId="20E613D3"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&lt;ESMA_QUESTION_BEEX_5&gt;</w:t>
      </w:r>
    </w:p>
    <w:p w14:paraId="35934677" w14:textId="77777777" w:rsidR="004258CF" w:rsidRPr="004258CF" w:rsidRDefault="004258CF" w:rsidP="004258CF">
      <w:pPr>
        <w:spacing w:after="160" w:line="256" w:lineRule="auto"/>
        <w:rPr>
          <w:rFonts w:ascii="Calibri" w:eastAsia="Calibri" w:hAnsi="Calibri"/>
          <w:sz w:val="22"/>
          <w:szCs w:val="22"/>
          <w:lang w:eastAsia="en-US"/>
        </w:rPr>
      </w:pPr>
    </w:p>
    <w:p w14:paraId="6E0321A3"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classification for reporting proposed in Annex I of the possible new RTS 28, especially with regard to the suggested methodology for the reporting on equity instruments? If not, what alternative categorisations would you propose?</w:t>
      </w:r>
    </w:p>
    <w:p w14:paraId="092E6553"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&lt;ESMA_QUESTION_BEEX_6&gt;</w:t>
      </w:r>
    </w:p>
    <w:p w14:paraId="0D255227" w14:textId="77777777" w:rsidR="00012730" w:rsidRPr="000E6B20" w:rsidRDefault="00012730" w:rsidP="00012730">
      <w:pPr>
        <w:autoSpaceDE w:val="0"/>
        <w:autoSpaceDN w:val="0"/>
        <w:adjustRightInd w:val="0"/>
        <w:jc w:val="both"/>
        <w:rPr>
          <w:rFonts w:ascii="Arial-BoldMT" w:hAnsi="Arial-BoldMT" w:cs="Arial-BoldMT"/>
          <w:color w:val="1F497D" w:themeColor="text2"/>
          <w:sz w:val="22"/>
          <w:szCs w:val="22"/>
          <w:lang w:val="en-US"/>
        </w:rPr>
      </w:pPr>
      <w:permStart w:id="1906529081" w:edGrp="everyone"/>
      <w:r w:rsidRPr="000E6B20">
        <w:rPr>
          <w:rFonts w:ascii="Arial-BoldMT" w:hAnsi="Arial-BoldMT" w:cs="Arial-BoldMT"/>
          <w:color w:val="1F497D" w:themeColor="text2"/>
          <w:sz w:val="22"/>
          <w:szCs w:val="22"/>
          <w:lang w:val="en-US"/>
        </w:rPr>
        <w:lastRenderedPageBreak/>
        <w:t>As mentioned above, our experience is that RTS 28 reports are not used by market participants for whom they have been designed.</w:t>
      </w:r>
    </w:p>
    <w:p w14:paraId="6BCD4EC0"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p>
    <w:p w14:paraId="3E530403"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r>
        <w:rPr>
          <w:rFonts w:ascii="Arial-BoldMT" w:hAnsi="Arial-BoldMT" w:cs="Arial-BoldMT"/>
          <w:color w:val="1F497D" w:themeColor="text2"/>
          <w:sz w:val="22"/>
          <w:szCs w:val="22"/>
          <w:lang w:val="en-US"/>
        </w:rPr>
        <w:t xml:space="preserve">We hence support their </w:t>
      </w:r>
      <w:r w:rsidRPr="009B590A">
        <w:rPr>
          <w:rFonts w:ascii="Arial-BoldMT" w:hAnsi="Arial-BoldMT" w:cs="Arial-BoldMT"/>
          <w:color w:val="1F497D" w:themeColor="text2"/>
          <w:sz w:val="22"/>
          <w:szCs w:val="22"/>
          <w:lang w:val="en-US"/>
        </w:rPr>
        <w:t>permanent deletion</w:t>
      </w:r>
      <w:r>
        <w:rPr>
          <w:rFonts w:ascii="Arial-BoldMT" w:hAnsi="Arial-BoldMT" w:cs="Arial-BoldMT"/>
          <w:color w:val="1F497D" w:themeColor="text2"/>
          <w:sz w:val="22"/>
          <w:szCs w:val="22"/>
          <w:lang w:val="en-US"/>
        </w:rPr>
        <w:t>.</w:t>
      </w:r>
    </w:p>
    <w:p w14:paraId="11CDCAAC"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p>
    <w:p w14:paraId="1EE4EB53" w14:textId="77777777" w:rsidR="00012730" w:rsidRPr="000E6B20" w:rsidRDefault="00012730" w:rsidP="00012730">
      <w:pPr>
        <w:autoSpaceDE w:val="0"/>
        <w:autoSpaceDN w:val="0"/>
        <w:adjustRightInd w:val="0"/>
        <w:jc w:val="both"/>
        <w:rPr>
          <w:rFonts w:ascii="Arial-BoldMT" w:hAnsi="Arial-BoldMT" w:cs="Arial-BoldMT"/>
          <w:color w:val="1F497D" w:themeColor="text2"/>
          <w:sz w:val="22"/>
          <w:szCs w:val="22"/>
          <w:lang w:val="en-US"/>
        </w:rPr>
      </w:pPr>
      <w:r>
        <w:rPr>
          <w:rFonts w:ascii="Arial-BoldMT" w:hAnsi="Arial-BoldMT" w:cs="Arial-BoldMT"/>
          <w:color w:val="1F497D" w:themeColor="text2"/>
          <w:sz w:val="22"/>
          <w:szCs w:val="22"/>
          <w:lang w:val="en-US"/>
        </w:rPr>
        <w:t>Still, if RTS 28 reports were to be maintained, we see only additional complexity and no merit in the split of reports on the ground of tick size liquidity bands.</w:t>
      </w:r>
    </w:p>
    <w:p w14:paraId="4F248387" w14:textId="77777777" w:rsidR="00012730" w:rsidRPr="000E6B20" w:rsidRDefault="00012730" w:rsidP="00012730">
      <w:pPr>
        <w:autoSpaceDE w:val="0"/>
        <w:autoSpaceDN w:val="0"/>
        <w:adjustRightInd w:val="0"/>
        <w:jc w:val="both"/>
        <w:rPr>
          <w:rFonts w:ascii="Arial-BoldMT" w:hAnsi="Arial-BoldMT" w:cs="Arial-BoldMT"/>
          <w:color w:val="1F497D" w:themeColor="text2"/>
          <w:sz w:val="22"/>
          <w:szCs w:val="22"/>
          <w:lang w:val="en-US"/>
        </w:rPr>
      </w:pPr>
    </w:p>
    <w:permEnd w:id="1906529081"/>
    <w:p w14:paraId="01FAD932"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&lt;ESMA_QUESTION_BEEX_6&gt;</w:t>
      </w:r>
    </w:p>
    <w:p w14:paraId="0F6B03CC" w14:textId="77777777" w:rsidR="004258CF" w:rsidRPr="004258CF" w:rsidRDefault="004258CF" w:rsidP="004258CF">
      <w:pPr>
        <w:spacing w:after="160" w:line="256" w:lineRule="auto"/>
        <w:rPr>
          <w:rFonts w:ascii="Calibri" w:eastAsia="Calibri" w:hAnsi="Calibri"/>
          <w:sz w:val="22"/>
          <w:szCs w:val="22"/>
          <w:lang w:eastAsia="en-US"/>
        </w:rPr>
      </w:pPr>
    </w:p>
    <w:p w14:paraId="177D582B"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proposals for a possible review of RTS 28?</w:t>
      </w:r>
    </w:p>
    <w:p w14:paraId="3EAC36CC"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&lt;ESMA_QUESTION_BEEX_7&gt;</w:t>
      </w:r>
    </w:p>
    <w:p w14:paraId="3E58EC35" w14:textId="77777777" w:rsidR="00012730" w:rsidRPr="000E6B20" w:rsidRDefault="00012730" w:rsidP="00012730">
      <w:pPr>
        <w:autoSpaceDE w:val="0"/>
        <w:autoSpaceDN w:val="0"/>
        <w:adjustRightInd w:val="0"/>
        <w:jc w:val="both"/>
        <w:rPr>
          <w:rFonts w:ascii="Arial-BoldMT" w:hAnsi="Arial-BoldMT" w:cs="Arial-BoldMT"/>
          <w:color w:val="1F497D" w:themeColor="text2"/>
          <w:sz w:val="22"/>
          <w:szCs w:val="22"/>
          <w:lang w:val="en-US"/>
        </w:rPr>
      </w:pPr>
      <w:permStart w:id="297553631" w:edGrp="everyone"/>
      <w:r w:rsidRPr="000E6B20">
        <w:rPr>
          <w:rFonts w:ascii="Arial-BoldMT" w:hAnsi="Arial-BoldMT" w:cs="Arial-BoldMT"/>
          <w:color w:val="1F497D" w:themeColor="text2"/>
          <w:sz w:val="22"/>
          <w:szCs w:val="22"/>
          <w:lang w:val="en-US"/>
        </w:rPr>
        <w:t>As mentioned above, our experience is that RTS 28 reports are not used by market participants for whom they have been designed.</w:t>
      </w:r>
    </w:p>
    <w:p w14:paraId="746A8D89" w14:textId="77777777" w:rsidR="00012730" w:rsidRPr="00CF43DE" w:rsidRDefault="00012730" w:rsidP="00012730">
      <w:pPr>
        <w:autoSpaceDE w:val="0"/>
        <w:autoSpaceDN w:val="0"/>
        <w:adjustRightInd w:val="0"/>
        <w:jc w:val="both"/>
        <w:rPr>
          <w:rFonts w:cs="Arial"/>
          <w:color w:val="1F497D" w:themeColor="text2"/>
          <w:sz w:val="22"/>
          <w:szCs w:val="22"/>
          <w:lang w:val="en-US"/>
        </w:rPr>
      </w:pPr>
    </w:p>
    <w:p w14:paraId="36C4AA45" w14:textId="77777777" w:rsidR="00012730" w:rsidRPr="00CF43DE" w:rsidRDefault="00012730" w:rsidP="00012730">
      <w:pPr>
        <w:autoSpaceDE w:val="0"/>
        <w:autoSpaceDN w:val="0"/>
        <w:adjustRightInd w:val="0"/>
        <w:jc w:val="both"/>
        <w:rPr>
          <w:rFonts w:cs="Arial"/>
          <w:color w:val="1F497D" w:themeColor="text2"/>
          <w:sz w:val="22"/>
          <w:szCs w:val="22"/>
          <w:lang w:val="en-US"/>
        </w:rPr>
      </w:pPr>
      <w:r w:rsidRPr="00CF43DE">
        <w:rPr>
          <w:rFonts w:cs="Arial"/>
          <w:color w:val="1F497D" w:themeColor="text2"/>
          <w:sz w:val="22"/>
          <w:szCs w:val="22"/>
          <w:lang w:val="en-US"/>
        </w:rPr>
        <w:t>We hence support their permanent deletion.</w:t>
      </w:r>
    </w:p>
    <w:p w14:paraId="31C4E951" w14:textId="77777777" w:rsidR="00012730" w:rsidRPr="00CF43DE" w:rsidRDefault="00012730" w:rsidP="00012730">
      <w:pPr>
        <w:autoSpaceDE w:val="0"/>
        <w:autoSpaceDN w:val="0"/>
        <w:adjustRightInd w:val="0"/>
        <w:jc w:val="both"/>
        <w:rPr>
          <w:rFonts w:cs="Arial"/>
          <w:color w:val="1F497D" w:themeColor="text2"/>
          <w:sz w:val="22"/>
          <w:szCs w:val="22"/>
          <w:lang w:val="en-US"/>
        </w:rPr>
      </w:pPr>
    </w:p>
    <w:p w14:paraId="6A379081" w14:textId="77777777" w:rsidR="00012730" w:rsidRDefault="00012730" w:rsidP="00012730">
      <w:pPr>
        <w:autoSpaceDE w:val="0"/>
        <w:autoSpaceDN w:val="0"/>
        <w:adjustRightInd w:val="0"/>
        <w:jc w:val="both"/>
        <w:rPr>
          <w:rFonts w:eastAsia="ArialMT" w:cs="Arial"/>
          <w:color w:val="1F497D" w:themeColor="text2"/>
          <w:sz w:val="22"/>
          <w:szCs w:val="22"/>
          <w:lang w:val="en-US"/>
        </w:rPr>
      </w:pPr>
      <w:r w:rsidRPr="00CF43DE">
        <w:rPr>
          <w:rFonts w:cs="Arial"/>
          <w:color w:val="1F497D" w:themeColor="text2"/>
          <w:sz w:val="22"/>
          <w:szCs w:val="22"/>
          <w:lang w:val="en-US"/>
        </w:rPr>
        <w:t xml:space="preserve">Still, if RTS 28 reports were to be maintained, we would support the </w:t>
      </w:r>
      <w:r w:rsidRPr="00CF43DE">
        <w:rPr>
          <w:rFonts w:eastAsia="ArialMT" w:cs="Arial"/>
          <w:color w:val="1F497D" w:themeColor="text2"/>
          <w:sz w:val="22"/>
          <w:szCs w:val="22"/>
          <w:lang w:val="en-US"/>
        </w:rPr>
        <w:t>deletion of firms’ obligation to report as part of the top five list, the percentage of</w:t>
      </w:r>
      <w:r>
        <w:rPr>
          <w:rFonts w:eastAsia="ArialMT" w:cs="Arial"/>
          <w:color w:val="1F497D" w:themeColor="text2"/>
          <w:sz w:val="22"/>
          <w:szCs w:val="22"/>
          <w:lang w:val="en-US"/>
        </w:rPr>
        <w:t xml:space="preserve"> </w:t>
      </w:r>
      <w:r w:rsidRPr="00CF43DE">
        <w:rPr>
          <w:rFonts w:eastAsia="ArialMT" w:cs="Arial"/>
          <w:color w:val="1F497D" w:themeColor="text2"/>
          <w:sz w:val="22"/>
          <w:szCs w:val="22"/>
          <w:lang w:val="en-US"/>
        </w:rPr>
        <w:t>the executed orders that were passive and aggressive orders.</w:t>
      </w:r>
    </w:p>
    <w:p w14:paraId="70AF9B06" w14:textId="77777777" w:rsidR="00012730" w:rsidRDefault="00012730" w:rsidP="00012730">
      <w:pPr>
        <w:autoSpaceDE w:val="0"/>
        <w:autoSpaceDN w:val="0"/>
        <w:adjustRightInd w:val="0"/>
        <w:jc w:val="both"/>
        <w:rPr>
          <w:rFonts w:eastAsia="ArialMT" w:cs="Arial"/>
          <w:color w:val="1F497D" w:themeColor="text2"/>
          <w:sz w:val="22"/>
          <w:szCs w:val="22"/>
          <w:lang w:val="en-US"/>
        </w:rPr>
      </w:pPr>
    </w:p>
    <w:p w14:paraId="1BDB202E" w14:textId="77777777" w:rsidR="00012730" w:rsidRPr="00CF43DE" w:rsidRDefault="00012730" w:rsidP="00012730">
      <w:pPr>
        <w:autoSpaceDE w:val="0"/>
        <w:autoSpaceDN w:val="0"/>
        <w:adjustRightInd w:val="0"/>
        <w:jc w:val="both"/>
        <w:rPr>
          <w:rFonts w:cs="Arial"/>
          <w:b/>
          <w:bCs/>
          <w:color w:val="1F497D" w:themeColor="text2"/>
          <w:sz w:val="22"/>
          <w:szCs w:val="22"/>
          <w:lang w:val="en-US"/>
        </w:rPr>
      </w:pPr>
      <w:r>
        <w:rPr>
          <w:rFonts w:eastAsia="ArialMT" w:cs="Arial"/>
          <w:color w:val="1F497D" w:themeColor="text2"/>
          <w:sz w:val="22"/>
          <w:szCs w:val="22"/>
          <w:lang w:val="en-US"/>
        </w:rPr>
        <w:t xml:space="preserve">With regards to the </w:t>
      </w:r>
      <w:r w:rsidRPr="00CF43DE">
        <w:rPr>
          <w:rFonts w:eastAsia="ArialMT" w:cs="Arial"/>
          <w:color w:val="1F497D" w:themeColor="text2"/>
          <w:sz w:val="22"/>
          <w:szCs w:val="22"/>
          <w:lang w:val="en-US"/>
        </w:rPr>
        <w:t>inclusion of information on received payments for order flow in the summary on the firms’ achieved execution quality</w:t>
      </w:r>
      <w:r>
        <w:rPr>
          <w:rFonts w:eastAsia="ArialMT" w:cs="Arial"/>
          <w:color w:val="1F497D" w:themeColor="text2"/>
          <w:sz w:val="22"/>
          <w:szCs w:val="22"/>
          <w:lang w:val="en-US"/>
        </w:rPr>
        <w:t>, we believe that a clarification of which practices are precisely targeted would be a prerequisite.</w:t>
      </w:r>
    </w:p>
    <w:p w14:paraId="406E46DF" w14:textId="77777777" w:rsidR="00012730" w:rsidRDefault="00012730" w:rsidP="00012730">
      <w:pPr>
        <w:autoSpaceDE w:val="0"/>
        <w:autoSpaceDN w:val="0"/>
        <w:adjustRightInd w:val="0"/>
        <w:jc w:val="both"/>
        <w:rPr>
          <w:rFonts w:cs="Arial"/>
          <w:b/>
          <w:bCs/>
          <w:color w:val="1F497D" w:themeColor="text2"/>
          <w:sz w:val="22"/>
          <w:szCs w:val="22"/>
          <w:lang w:val="en-US"/>
        </w:rPr>
      </w:pPr>
    </w:p>
    <w:permEnd w:id="297553631"/>
    <w:p w14:paraId="0F71BB01"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&lt;ESMA_QUESTION_BEEX_7&gt;</w:t>
      </w:r>
    </w:p>
    <w:p w14:paraId="191FCAA4" w14:textId="77777777" w:rsidR="004258CF" w:rsidRPr="004258CF" w:rsidRDefault="004258CF" w:rsidP="004258CF">
      <w:pPr>
        <w:spacing w:after="160" w:line="256" w:lineRule="auto"/>
        <w:rPr>
          <w:rFonts w:ascii="Calibri" w:eastAsia="Calibri" w:hAnsi="Calibri"/>
          <w:sz w:val="22"/>
          <w:szCs w:val="22"/>
          <w:lang w:eastAsia="en-US"/>
        </w:rPr>
      </w:pPr>
    </w:p>
    <w:p w14:paraId="73ADAEAC"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Do you agree with the cost benefit analysis as it has been described in Annex II?</w:t>
      </w:r>
    </w:p>
    <w:p w14:paraId="6912E60E"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&lt;ESMA_QUESTION_BEEX_8&gt;</w:t>
      </w:r>
    </w:p>
    <w:p w14:paraId="35629FBA" w14:textId="77777777" w:rsidR="00012730" w:rsidRPr="00102A23" w:rsidRDefault="00012730" w:rsidP="00012730">
      <w:pPr>
        <w:autoSpaceDE w:val="0"/>
        <w:autoSpaceDN w:val="0"/>
        <w:adjustRightInd w:val="0"/>
        <w:jc w:val="both"/>
        <w:rPr>
          <w:rFonts w:ascii="Arial-BoldMT" w:hAnsi="Arial-BoldMT" w:cs="Arial-BoldMT"/>
          <w:color w:val="1F497D" w:themeColor="text2"/>
          <w:sz w:val="22"/>
          <w:szCs w:val="22"/>
          <w:lang w:val="en-US"/>
        </w:rPr>
      </w:pPr>
      <w:permStart w:id="1132928363" w:edGrp="everyone"/>
      <w:r w:rsidRPr="00102A23">
        <w:rPr>
          <w:rFonts w:ascii="Arial-BoldMT" w:hAnsi="Arial-BoldMT" w:cs="Arial-BoldMT"/>
          <w:color w:val="1F497D" w:themeColor="text2"/>
          <w:sz w:val="22"/>
          <w:szCs w:val="22"/>
          <w:lang w:val="en-US"/>
        </w:rPr>
        <w:t>We do not agree with the cost benefit analysis as it has been described in Annex II.</w:t>
      </w:r>
    </w:p>
    <w:p w14:paraId="23967239" w14:textId="77777777" w:rsidR="00012730" w:rsidRPr="00102A23" w:rsidRDefault="00012730" w:rsidP="00012730">
      <w:pPr>
        <w:autoSpaceDE w:val="0"/>
        <w:autoSpaceDN w:val="0"/>
        <w:adjustRightInd w:val="0"/>
        <w:jc w:val="both"/>
        <w:rPr>
          <w:rFonts w:ascii="Arial-BoldMT" w:hAnsi="Arial-BoldMT" w:cs="Arial-BoldMT"/>
          <w:color w:val="1F497D" w:themeColor="text2"/>
          <w:sz w:val="22"/>
          <w:szCs w:val="22"/>
          <w:lang w:val="en-US"/>
        </w:rPr>
      </w:pPr>
    </w:p>
    <w:p w14:paraId="5DA8AB67"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r>
        <w:rPr>
          <w:rFonts w:ascii="Arial-BoldMT" w:hAnsi="Arial-BoldMT" w:cs="Arial-BoldMT"/>
          <w:color w:val="1F497D" w:themeColor="text2"/>
          <w:sz w:val="22"/>
          <w:szCs w:val="22"/>
          <w:lang w:val="en-US"/>
        </w:rPr>
        <w:t>The common experience on RTS 27 and RTS 28 reports is that they have been costly to implement, and are rarely, if ever, used by market participants for whom they have been designed.</w:t>
      </w:r>
    </w:p>
    <w:p w14:paraId="2AC47F30"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p>
    <w:p w14:paraId="4F501613"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r>
        <w:rPr>
          <w:rFonts w:ascii="Arial-BoldMT" w:hAnsi="Arial-BoldMT" w:cs="Arial-BoldMT"/>
          <w:color w:val="1F497D" w:themeColor="text2"/>
          <w:sz w:val="22"/>
          <w:szCs w:val="22"/>
          <w:lang w:val="en-US"/>
        </w:rPr>
        <w:t xml:space="preserve">On this ground, any proposal for change – </w:t>
      </w:r>
      <w:proofErr w:type="spellStart"/>
      <w:r>
        <w:rPr>
          <w:rFonts w:ascii="Arial-BoldMT" w:hAnsi="Arial-BoldMT" w:cs="Arial-BoldMT"/>
          <w:color w:val="1F497D" w:themeColor="text2"/>
          <w:sz w:val="22"/>
          <w:szCs w:val="22"/>
          <w:lang w:val="en-US"/>
        </w:rPr>
        <w:t>eg</w:t>
      </w:r>
      <w:proofErr w:type="spellEnd"/>
      <w:r>
        <w:rPr>
          <w:rFonts w:ascii="Arial-BoldMT" w:hAnsi="Arial-BoldMT" w:cs="Arial-BoldMT"/>
          <w:color w:val="1F497D" w:themeColor="text2"/>
          <w:sz w:val="22"/>
          <w:szCs w:val="22"/>
          <w:lang w:val="en-US"/>
        </w:rPr>
        <w:t xml:space="preserve"> any proposal that would not equate to the permanent removal of RTS 27 and 28 reports – should be based on a thorough and quantitative analysis of (i) the additional costs entailed by the proposed modifications and (ii) the increased relevance of the reports for the intended users.</w:t>
      </w:r>
    </w:p>
    <w:p w14:paraId="4E6BB53D"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p>
    <w:p w14:paraId="1514B2F0"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r>
        <w:rPr>
          <w:rFonts w:ascii="Arial-BoldMT" w:hAnsi="Arial-BoldMT" w:cs="Arial-BoldMT"/>
          <w:color w:val="1F497D" w:themeColor="text2"/>
          <w:sz w:val="22"/>
          <w:szCs w:val="22"/>
          <w:lang w:val="en-US"/>
        </w:rPr>
        <w:t>We find no such analysis in the cost benefit analysis.</w:t>
      </w:r>
    </w:p>
    <w:p w14:paraId="5621697E" w14:textId="77777777" w:rsidR="00012730" w:rsidRDefault="00012730" w:rsidP="00012730">
      <w:pPr>
        <w:autoSpaceDE w:val="0"/>
        <w:autoSpaceDN w:val="0"/>
        <w:adjustRightInd w:val="0"/>
        <w:jc w:val="both"/>
        <w:rPr>
          <w:rFonts w:ascii="Arial-BoldMT" w:hAnsi="Arial-BoldMT" w:cs="Arial-BoldMT"/>
          <w:color w:val="1F497D" w:themeColor="text2"/>
          <w:sz w:val="22"/>
          <w:szCs w:val="22"/>
          <w:lang w:val="en-US"/>
        </w:rPr>
      </w:pPr>
    </w:p>
    <w:permEnd w:id="1132928363"/>
    <w:p w14:paraId="3A8CD7F4"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&lt;ESMA_QUESTION_BEEX_8&gt;</w:t>
      </w:r>
    </w:p>
    <w:p w14:paraId="484577B1" w14:textId="77777777" w:rsidR="004258CF" w:rsidRPr="004258CF" w:rsidRDefault="004258CF" w:rsidP="004258CF">
      <w:pPr>
        <w:spacing w:after="160" w:line="256" w:lineRule="auto"/>
        <w:rPr>
          <w:rFonts w:ascii="Calibri" w:eastAsia="Calibri" w:hAnsi="Calibri"/>
          <w:sz w:val="22"/>
          <w:szCs w:val="22"/>
          <w:lang w:eastAsia="en-US"/>
        </w:rPr>
      </w:pPr>
    </w:p>
    <w:p w14:paraId="2C0DA927" w14:textId="77777777" w:rsidR="004258CF" w:rsidRPr="004258CF" w:rsidRDefault="004258CF" w:rsidP="004258CF">
      <w:pPr>
        <w:numPr>
          <w:ilvl w:val="0"/>
          <w:numId w:val="36"/>
        </w:numPr>
        <w:spacing w:after="250" w:line="276" w:lineRule="auto"/>
        <w:contextualSpacing/>
        <w:jc w:val="both"/>
        <w:rPr>
          <w:rFonts w:cs="Arial"/>
          <w:b/>
          <w:szCs w:val="20"/>
          <w:lang w:val="en-US" w:eastAsia="en-GB"/>
        </w:rPr>
      </w:pPr>
      <w:r w:rsidRPr="004258CF">
        <w:rPr>
          <w:rFonts w:cs="Arial"/>
          <w:b/>
          <w:szCs w:val="20"/>
          <w:lang w:val="en-US" w:eastAsia="en-GB"/>
        </w:rPr>
        <w:t>: Are there any additional comments that you would like to raise and/or information that you would like to provide?</w:t>
      </w:r>
    </w:p>
    <w:p w14:paraId="231F0D91"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lastRenderedPageBreak/>
        <w:t>&lt;ESMA_QUESTION_BEEX_9&gt;</w:t>
      </w:r>
    </w:p>
    <w:p w14:paraId="4919DC32" w14:textId="77777777" w:rsidR="00012730" w:rsidRPr="00012730" w:rsidRDefault="00012730" w:rsidP="00012730">
      <w:pPr>
        <w:pStyle w:val="Default"/>
        <w:jc w:val="both"/>
        <w:rPr>
          <w:rFonts w:ascii="Arial" w:hAnsi="Arial" w:cs="Arial"/>
          <w:color w:val="1F497D" w:themeColor="text2"/>
          <w:sz w:val="22"/>
          <w:szCs w:val="22"/>
          <w:lang w:val="en-US"/>
        </w:rPr>
      </w:pPr>
      <w:permStart w:id="686839684" w:edGrp="everyone"/>
      <w:r w:rsidRPr="00012730">
        <w:rPr>
          <w:rFonts w:ascii="Arial" w:hAnsi="Arial" w:cs="Arial"/>
          <w:color w:val="1F497D" w:themeColor="text2"/>
          <w:sz w:val="22"/>
          <w:szCs w:val="22"/>
          <w:lang w:val="en-US"/>
        </w:rPr>
        <w:t xml:space="preserve">As already mentioned, we consider that the recently published proposals by the European Commission “amending Regulation (EU) No 600/2014 as regards enhancing market data transparency, removing obstacles to the emergence of a consolidated tape, </w:t>
      </w:r>
      <w:proofErr w:type="spellStart"/>
      <w:r w:rsidRPr="00012730">
        <w:rPr>
          <w:rFonts w:ascii="Arial" w:hAnsi="Arial" w:cs="Arial"/>
          <w:color w:val="1F497D" w:themeColor="text2"/>
          <w:sz w:val="22"/>
          <w:szCs w:val="22"/>
          <w:lang w:val="en-US"/>
        </w:rPr>
        <w:t>optimising</w:t>
      </w:r>
      <w:proofErr w:type="spellEnd"/>
      <w:r w:rsidRPr="00012730">
        <w:rPr>
          <w:rFonts w:ascii="Arial" w:hAnsi="Arial" w:cs="Arial"/>
          <w:color w:val="1F497D" w:themeColor="text2"/>
          <w:sz w:val="22"/>
          <w:szCs w:val="22"/>
          <w:lang w:val="en-US"/>
        </w:rPr>
        <w:t xml:space="preserve"> the trading obligations and prohibiting receiving payments for forwarding client orders” and “amending Directive 2014/65/EU on markets in financial instruments” are game changers when it comes to RTS 27 and RTS 28 reports.</w:t>
      </w:r>
    </w:p>
    <w:p w14:paraId="00214FEC" w14:textId="77777777" w:rsidR="00012730" w:rsidRPr="00012730" w:rsidRDefault="00012730" w:rsidP="00012730">
      <w:pPr>
        <w:pStyle w:val="Default"/>
        <w:jc w:val="both"/>
        <w:rPr>
          <w:rFonts w:ascii="Arial" w:hAnsi="Arial" w:cs="Arial"/>
          <w:color w:val="1F497D" w:themeColor="text2"/>
          <w:sz w:val="22"/>
          <w:szCs w:val="22"/>
          <w:lang w:val="en-US"/>
        </w:rPr>
      </w:pPr>
    </w:p>
    <w:p w14:paraId="1903B77A" w14:textId="77777777" w:rsidR="00012730" w:rsidRPr="00012730" w:rsidRDefault="00012730" w:rsidP="00012730">
      <w:pPr>
        <w:pStyle w:val="Default"/>
        <w:jc w:val="both"/>
        <w:rPr>
          <w:rFonts w:ascii="Arial" w:hAnsi="Arial" w:cs="Arial"/>
          <w:color w:val="1F497D" w:themeColor="text2"/>
          <w:sz w:val="22"/>
          <w:szCs w:val="22"/>
          <w:lang w:val="en-US"/>
        </w:rPr>
      </w:pPr>
      <w:r w:rsidRPr="00012730">
        <w:rPr>
          <w:rFonts w:ascii="Arial" w:hAnsi="Arial" w:cs="Arial"/>
          <w:color w:val="1F497D" w:themeColor="text2"/>
          <w:sz w:val="22"/>
          <w:szCs w:val="22"/>
          <w:lang w:val="en-US"/>
        </w:rPr>
        <w:t xml:space="preserve">Indeed, and further to the 2 years suspension provided by </w:t>
      </w:r>
      <w:proofErr w:type="spellStart"/>
      <w:r w:rsidRPr="00012730">
        <w:rPr>
          <w:rFonts w:ascii="Arial" w:hAnsi="Arial" w:cs="Arial"/>
          <w:color w:val="1F497D" w:themeColor="text2"/>
          <w:sz w:val="22"/>
          <w:szCs w:val="22"/>
          <w:lang w:val="en-US"/>
        </w:rPr>
        <w:t>MiFD</w:t>
      </w:r>
      <w:proofErr w:type="spellEnd"/>
      <w:r w:rsidRPr="00012730">
        <w:rPr>
          <w:rFonts w:ascii="Arial" w:hAnsi="Arial" w:cs="Arial"/>
          <w:color w:val="1F497D" w:themeColor="text2"/>
          <w:sz w:val="22"/>
          <w:szCs w:val="22"/>
          <w:lang w:val="en-US"/>
        </w:rPr>
        <w:t xml:space="preserve"> II “quick fix” (</w:t>
      </w:r>
      <w:r w:rsidRPr="00012730">
        <w:rPr>
          <w:rFonts w:ascii="Arial" w:eastAsia="ArialMT" w:hAnsi="Arial" w:cs="Arial"/>
          <w:color w:val="1F497D" w:themeColor="text2"/>
          <w:sz w:val="22"/>
          <w:szCs w:val="22"/>
          <w:lang w:val="en-US"/>
        </w:rPr>
        <w:t>Directive (EU) No. 2021/338</w:t>
      </w:r>
      <w:r w:rsidRPr="00012730">
        <w:rPr>
          <w:rFonts w:ascii="Arial" w:hAnsi="Arial" w:cs="Arial"/>
          <w:color w:val="1F497D" w:themeColor="text2"/>
          <w:sz w:val="22"/>
          <w:szCs w:val="22"/>
          <w:lang w:val="en-US"/>
        </w:rPr>
        <w:t>), the proposal related to MiFID II aims at deleting article 27.3. MiFID II, which would deprive RTS 27 reports from their legal basis.</w:t>
      </w:r>
    </w:p>
    <w:p w14:paraId="3EA27347" w14:textId="77777777" w:rsidR="00012730" w:rsidRPr="00012730" w:rsidRDefault="00012730" w:rsidP="00012730">
      <w:pPr>
        <w:pStyle w:val="Default"/>
        <w:jc w:val="both"/>
        <w:rPr>
          <w:rFonts w:ascii="Arial" w:hAnsi="Arial" w:cs="Arial"/>
          <w:color w:val="1F497D" w:themeColor="text2"/>
          <w:sz w:val="22"/>
          <w:szCs w:val="22"/>
          <w:lang w:val="en-US"/>
        </w:rPr>
      </w:pPr>
    </w:p>
    <w:p w14:paraId="792D3639" w14:textId="77777777" w:rsidR="00012730" w:rsidRPr="00012730" w:rsidRDefault="00012730" w:rsidP="00012730">
      <w:pPr>
        <w:pStyle w:val="Default"/>
        <w:jc w:val="both"/>
        <w:rPr>
          <w:rFonts w:ascii="Arial" w:hAnsi="Arial" w:cs="Arial"/>
          <w:color w:val="1F497D" w:themeColor="text2"/>
          <w:sz w:val="22"/>
          <w:szCs w:val="22"/>
          <w:lang w:val="en-US"/>
        </w:rPr>
      </w:pPr>
      <w:r w:rsidRPr="00012730">
        <w:rPr>
          <w:rFonts w:ascii="Arial" w:hAnsi="Arial" w:cs="Arial"/>
          <w:color w:val="1F497D" w:themeColor="text2"/>
          <w:sz w:val="22"/>
          <w:szCs w:val="22"/>
          <w:lang w:val="en-US"/>
        </w:rPr>
        <w:t xml:space="preserve">Even more importantly, the proposal related to </w:t>
      </w:r>
      <w:proofErr w:type="spellStart"/>
      <w:r w:rsidRPr="00012730">
        <w:rPr>
          <w:rFonts w:ascii="Arial" w:hAnsi="Arial" w:cs="Arial"/>
          <w:color w:val="1F497D" w:themeColor="text2"/>
          <w:sz w:val="22"/>
          <w:szCs w:val="22"/>
          <w:lang w:val="en-US"/>
        </w:rPr>
        <w:t>MiFIR</w:t>
      </w:r>
      <w:proofErr w:type="spellEnd"/>
      <w:r w:rsidRPr="00012730">
        <w:rPr>
          <w:rFonts w:ascii="Arial" w:hAnsi="Arial" w:cs="Arial"/>
          <w:color w:val="1F497D" w:themeColor="text2"/>
          <w:sz w:val="22"/>
          <w:szCs w:val="22"/>
          <w:lang w:val="en-US"/>
        </w:rPr>
        <w:t xml:space="preserve"> focuses on the emergence of effective Consolidated Tapes that would gather data related to executed transactions across the Union. When it comes to the assessment of the quality of execution, such CTs would undoubtedly be more useful than the RTS 27 and 28 reports, that so far have met very limited demand across market participants. We hence believe that the collective efforts should be directed towards the success of such CTs, and that, because of the investments that they would require and in the absence of any evidence of an increased interest from market participants, the proposed modifications to RTS 27 and RTS 28 reports would mostly be a distraction of resources.</w:t>
      </w:r>
    </w:p>
    <w:p w14:paraId="56862D67" w14:textId="77777777" w:rsidR="00012730" w:rsidRPr="00012730" w:rsidRDefault="00012730" w:rsidP="00012730">
      <w:pPr>
        <w:pStyle w:val="Default"/>
        <w:jc w:val="both"/>
        <w:rPr>
          <w:rFonts w:ascii="Arial" w:hAnsi="Arial" w:cs="Arial"/>
          <w:color w:val="1F497D" w:themeColor="text2"/>
          <w:sz w:val="22"/>
          <w:szCs w:val="22"/>
          <w:lang w:val="en-US"/>
        </w:rPr>
      </w:pPr>
    </w:p>
    <w:p w14:paraId="7488BCA1" w14:textId="15971433" w:rsidR="00012730" w:rsidRDefault="00012730" w:rsidP="00012730">
      <w:pPr>
        <w:pStyle w:val="Default"/>
        <w:jc w:val="both"/>
        <w:rPr>
          <w:rFonts w:ascii="Arial" w:hAnsi="Arial" w:cs="Arial"/>
          <w:color w:val="1F497D" w:themeColor="text2"/>
          <w:sz w:val="22"/>
          <w:szCs w:val="22"/>
          <w:lang w:val="en-US"/>
        </w:rPr>
      </w:pPr>
      <w:r w:rsidRPr="00012730">
        <w:rPr>
          <w:rFonts w:ascii="Arial" w:hAnsi="Arial" w:cs="Arial"/>
          <w:color w:val="1F497D" w:themeColor="text2"/>
          <w:sz w:val="22"/>
          <w:szCs w:val="22"/>
          <w:lang w:val="en-US"/>
        </w:rPr>
        <w:t>On this ground, we advocate for the permanent removal of RTS 27 and RT 28 reports.</w:t>
      </w:r>
    </w:p>
    <w:p w14:paraId="5FEEB660" w14:textId="77777777" w:rsidR="00012730" w:rsidRPr="00012730" w:rsidRDefault="00012730" w:rsidP="00012730">
      <w:pPr>
        <w:pStyle w:val="Default"/>
        <w:jc w:val="both"/>
        <w:rPr>
          <w:rFonts w:ascii="Arial" w:hAnsi="Arial" w:cs="Arial"/>
          <w:color w:val="1F497D" w:themeColor="text2"/>
          <w:sz w:val="22"/>
          <w:szCs w:val="22"/>
          <w:lang w:val="en-US"/>
        </w:rPr>
      </w:pPr>
    </w:p>
    <w:permEnd w:id="686839684"/>
    <w:p w14:paraId="4B0FF938" w14:textId="77777777" w:rsidR="004258CF" w:rsidRPr="004258CF" w:rsidRDefault="004258CF" w:rsidP="004258CF">
      <w:pPr>
        <w:spacing w:after="160" w:line="256" w:lineRule="auto"/>
        <w:rPr>
          <w:rFonts w:ascii="Calibri" w:eastAsia="Calibri" w:hAnsi="Calibri"/>
          <w:sz w:val="22"/>
          <w:szCs w:val="22"/>
          <w:lang w:eastAsia="en-US"/>
        </w:rPr>
      </w:pPr>
      <w:r w:rsidRPr="004258CF">
        <w:rPr>
          <w:rFonts w:ascii="Calibri" w:eastAsia="Calibri" w:hAnsi="Calibri"/>
          <w:sz w:val="22"/>
          <w:szCs w:val="22"/>
          <w:lang w:eastAsia="en-US"/>
        </w:rPr>
        <w:t>&lt;ESMA_QUESTION_BEEX_9&gt;</w:t>
      </w:r>
    </w:p>
    <w:p w14:paraId="3ED8C52A" w14:textId="77777777" w:rsidR="004258CF" w:rsidRPr="004258CF" w:rsidRDefault="004258CF" w:rsidP="004258CF">
      <w:pPr>
        <w:spacing w:after="160" w:line="256" w:lineRule="auto"/>
        <w:rPr>
          <w:rFonts w:ascii="Calibri" w:eastAsia="Calibri" w:hAnsi="Calibri"/>
          <w:sz w:val="22"/>
          <w:szCs w:val="22"/>
          <w:lang w:eastAsia="en-US"/>
        </w:rPr>
      </w:pPr>
    </w:p>
    <w:p w14:paraId="424DF368" w14:textId="77777777" w:rsidR="004258CF" w:rsidRPr="00014A67" w:rsidRDefault="004258CF" w:rsidP="00014A67">
      <w:pPr>
        <w:rPr>
          <w:lang w:eastAsia="en-US"/>
        </w:rPr>
      </w:pPr>
    </w:p>
    <w:sectPr w:rsidR="004258CF" w:rsidRPr="00014A6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16395" w14:textId="77777777" w:rsidR="006D748D" w:rsidRDefault="006D748D">
      <w:r>
        <w:separator/>
      </w:r>
    </w:p>
    <w:p w14:paraId="32163707" w14:textId="77777777" w:rsidR="006D748D" w:rsidRDefault="006D748D"/>
  </w:endnote>
  <w:endnote w:type="continuationSeparator" w:id="0">
    <w:p w14:paraId="3FD45B3E" w14:textId="77777777" w:rsidR="006D748D" w:rsidRDefault="006D748D">
      <w:r>
        <w:continuationSeparator/>
      </w:r>
    </w:p>
    <w:p w14:paraId="50BD354F" w14:textId="77777777" w:rsidR="006D748D" w:rsidRDefault="006D748D"/>
  </w:endnote>
  <w:endnote w:type="continuationNotice" w:id="1">
    <w:p w14:paraId="3FD74B0D" w14:textId="77777777" w:rsidR="006D748D" w:rsidRDefault="006D7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15C01" w14:textId="77777777" w:rsidR="006D748D" w:rsidRDefault="006D748D">
      <w:r>
        <w:separator/>
      </w:r>
    </w:p>
    <w:p w14:paraId="278357F9" w14:textId="77777777" w:rsidR="006D748D" w:rsidRDefault="006D748D"/>
  </w:footnote>
  <w:footnote w:type="continuationSeparator" w:id="0">
    <w:p w14:paraId="536F3739" w14:textId="77777777" w:rsidR="006D748D" w:rsidRDefault="006D748D">
      <w:r>
        <w:continuationSeparator/>
      </w:r>
    </w:p>
    <w:p w14:paraId="6CA661F1" w14:textId="77777777" w:rsidR="006D748D" w:rsidRDefault="006D748D"/>
  </w:footnote>
  <w:footnote w:type="continuationNotice" w:id="1">
    <w:p w14:paraId="47412A72" w14:textId="77777777" w:rsidR="006D748D" w:rsidRDefault="006D74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2BFA7D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0902F5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5A2AD6"/>
    <w:multiLevelType w:val="hybridMultilevel"/>
    <w:tmpl w:val="19308F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FA6466B6"/>
    <w:lvl w:ilvl="0" w:tplc="B8FE8AE4">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15224AA"/>
    <w:multiLevelType w:val="hybridMultilevel"/>
    <w:tmpl w:val="AA1C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9"/>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8"/>
  </w:num>
  <w:num w:numId="24">
    <w:abstractNumId w:val="29"/>
  </w:num>
  <w:num w:numId="25">
    <w:abstractNumId w:val="28"/>
  </w:num>
  <w:num w:numId="26">
    <w:abstractNumId w:val="19"/>
  </w:num>
  <w:num w:numId="27">
    <w:abstractNumId w:val="33"/>
  </w:num>
  <w:num w:numId="28">
    <w:abstractNumId w:val="39"/>
  </w:num>
  <w:num w:numId="29">
    <w:abstractNumId w:val="6"/>
  </w:num>
  <w:num w:numId="30">
    <w:abstractNumId w:val="2"/>
  </w:num>
  <w:num w:numId="31">
    <w:abstractNumId w:val="21"/>
  </w:num>
  <w:num w:numId="32">
    <w:abstractNumId w:val="20"/>
  </w:num>
  <w:num w:numId="33">
    <w:abstractNumId w:val="35"/>
  </w:num>
  <w:num w:numId="34">
    <w:abstractNumId w:val="34"/>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1"/>
  </w:num>
  <w:num w:numId="39">
    <w:abstractNumId w:val="37"/>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GJ7HZXB9gSYCILHQIW1cyfcWswNF8iwjO8PyLtE3K2MEJ3QZI2bUAAcgNGjb506Vy2efyNvbdX3N1wEFLu9wfA==" w:salt="ELPiLiG5u/Wle4LZDLwvWQ=="/>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2730"/>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0F7F"/>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0890"/>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C796B"/>
    <w:rsid w:val="001D000A"/>
    <w:rsid w:val="001D0883"/>
    <w:rsid w:val="001D2205"/>
    <w:rsid w:val="001D3A1F"/>
    <w:rsid w:val="001D3FB6"/>
    <w:rsid w:val="001D4550"/>
    <w:rsid w:val="001D4918"/>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46"/>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47DC6"/>
    <w:rsid w:val="00350590"/>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8CF"/>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107"/>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091"/>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D0A"/>
    <w:rsid w:val="006D399F"/>
    <w:rsid w:val="006D4F0C"/>
    <w:rsid w:val="006D5645"/>
    <w:rsid w:val="006D748D"/>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D09"/>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987"/>
    <w:rsid w:val="00865B01"/>
    <w:rsid w:val="00866D7A"/>
    <w:rsid w:val="00866EE3"/>
    <w:rsid w:val="008701E5"/>
    <w:rsid w:val="008706C5"/>
    <w:rsid w:val="00871D24"/>
    <w:rsid w:val="00871F04"/>
    <w:rsid w:val="00873B7E"/>
    <w:rsid w:val="008746C1"/>
    <w:rsid w:val="00880224"/>
    <w:rsid w:val="0088244C"/>
    <w:rsid w:val="00883367"/>
    <w:rsid w:val="00884C47"/>
    <w:rsid w:val="00884E92"/>
    <w:rsid w:val="00885E6F"/>
    <w:rsid w:val="008861AC"/>
    <w:rsid w:val="008868E4"/>
    <w:rsid w:val="00886A60"/>
    <w:rsid w:val="00886D30"/>
    <w:rsid w:val="0088759B"/>
    <w:rsid w:val="008909B4"/>
    <w:rsid w:val="008922E8"/>
    <w:rsid w:val="00893916"/>
    <w:rsid w:val="008941B9"/>
    <w:rsid w:val="0089442C"/>
    <w:rsid w:val="008952F5"/>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E6B70"/>
    <w:rsid w:val="008F0354"/>
    <w:rsid w:val="008F085A"/>
    <w:rsid w:val="008F0FA7"/>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143D"/>
    <w:rsid w:val="00913401"/>
    <w:rsid w:val="00913567"/>
    <w:rsid w:val="009137B6"/>
    <w:rsid w:val="009147F5"/>
    <w:rsid w:val="00915EBA"/>
    <w:rsid w:val="00917093"/>
    <w:rsid w:val="0091799E"/>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271"/>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201E"/>
    <w:rsid w:val="00AF332C"/>
    <w:rsid w:val="00AF38AF"/>
    <w:rsid w:val="00AF3C29"/>
    <w:rsid w:val="00AF4401"/>
    <w:rsid w:val="00AF4463"/>
    <w:rsid w:val="00AF53CB"/>
    <w:rsid w:val="00AF5D6D"/>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570D3"/>
    <w:rsid w:val="00C6009F"/>
    <w:rsid w:val="00C60417"/>
    <w:rsid w:val="00C6046F"/>
    <w:rsid w:val="00C638C2"/>
    <w:rsid w:val="00C651D4"/>
    <w:rsid w:val="00C6669E"/>
    <w:rsid w:val="00C66F9F"/>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0C0"/>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92BBE"/>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0DB9"/>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1AB6"/>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E40D3"/>
    <w:rsid w:val="00FE624E"/>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7"/>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492B3A"/>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30759119">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2.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6.xml><?xml version="1.0" encoding="utf-8"?>
<ds:datastoreItem xmlns:ds="http://schemas.openxmlformats.org/officeDocument/2006/customXml" ds:itemID="{EC5773D7-C2BB-4D87-8953-46CB848F19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2525</Words>
  <Characters>13765</Characters>
  <Application>Microsoft Office Word</Application>
  <DocSecurity>8</DocSecurity>
  <Lines>114</Lines>
  <Paragraphs>32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16258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GIORDANO Stephane SeglDirApg</cp:lastModifiedBy>
  <cp:revision>3</cp:revision>
  <cp:lastPrinted>2015-02-18T11:01:00Z</cp:lastPrinted>
  <dcterms:created xsi:type="dcterms:W3CDTF">2021-12-18T10:08:00Z</dcterms:created>
  <dcterms:modified xsi:type="dcterms:W3CDTF">2021-12-18T10:13:00Z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y fmtid="{D5CDD505-2E9C-101B-9397-08002B2CF9AE}" pid="20" name="MSIP_Label_a401b303-ecb1-4a9d-936a-70858c2d9a3e_Enabled">
    <vt:lpwstr>True</vt:lpwstr>
  </property>
  <property fmtid="{D5CDD505-2E9C-101B-9397-08002B2CF9AE}" pid="21" name="MSIP_Label_a401b303-ecb1-4a9d-936a-70858c2d9a3e_SiteId">
    <vt:lpwstr>c9a7d621-4bc4-4407-b730-f428e656aa9e</vt:lpwstr>
  </property>
  <property fmtid="{D5CDD505-2E9C-101B-9397-08002B2CF9AE}" pid="22" name="MSIP_Label_a401b303-ecb1-4a9d-936a-70858c2d9a3e_Owner">
    <vt:lpwstr>stephane.giordano@sgcib.com</vt:lpwstr>
  </property>
  <property fmtid="{D5CDD505-2E9C-101B-9397-08002B2CF9AE}" pid="23" name="MSIP_Label_a401b303-ecb1-4a9d-936a-70858c2d9a3e_SetDate">
    <vt:lpwstr>2021-12-18T10:07:49.5576448Z</vt:lpwstr>
  </property>
  <property fmtid="{D5CDD505-2E9C-101B-9397-08002B2CF9AE}" pid="24" name="MSIP_Label_a401b303-ecb1-4a9d-936a-70858c2d9a3e_Name">
    <vt:lpwstr>C1 - Restricted</vt:lpwstr>
  </property>
  <property fmtid="{D5CDD505-2E9C-101B-9397-08002B2CF9AE}" pid="25" name="MSIP_Label_a401b303-ecb1-4a9d-936a-70858c2d9a3e_Application">
    <vt:lpwstr>Microsoft Azure Information Protection</vt:lpwstr>
  </property>
  <property fmtid="{D5CDD505-2E9C-101B-9397-08002B2CF9AE}" pid="26" name="MSIP_Label_a401b303-ecb1-4a9d-936a-70858c2d9a3e_ActionId">
    <vt:lpwstr>8fdb8218-33ce-466c-9048-aec8ef4e046d</vt:lpwstr>
  </property>
  <property fmtid="{D5CDD505-2E9C-101B-9397-08002B2CF9AE}" pid="27" name="MSIP_Label_a401b303-ecb1-4a9d-936a-70858c2d9a3e_Extended_MSFT_Method">
    <vt:lpwstr>Manual</vt:lpwstr>
  </property>
  <property fmtid="{D5CDD505-2E9C-101B-9397-08002B2CF9AE}" pid="28" name="Sensitivity">
    <vt:lpwstr>C1 - Restricted</vt:lpwstr>
  </property>
</Properties>
</file>