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B4B0D46" w:rsidR="00C2094B" w:rsidRPr="00F10D35" w:rsidRDefault="008F0FA7" w:rsidP="00AF38AF">
            <w:pPr>
              <w:pStyle w:val="00bDBInfo"/>
              <w:rPr>
                <w:rFonts w:cs="Arial"/>
              </w:rPr>
            </w:pPr>
            <w:r>
              <w:rPr>
                <w:rFonts w:cs="Arial"/>
              </w:rPr>
              <w:t>30</w:t>
            </w:r>
            <w:r w:rsidR="00FE40D3" w:rsidRPr="00FE40D3">
              <w:rPr>
                <w:rFonts w:cs="Arial"/>
              </w:rPr>
              <w:t xml:space="preserve"> </w:t>
            </w:r>
            <w:r w:rsidR="00873B7E">
              <w:rPr>
                <w:rFonts w:cs="Arial"/>
              </w:rPr>
              <w:t>September</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16F35E65" w14:textId="0F39FF35" w:rsidR="00146A6C" w:rsidRPr="00146A6C" w:rsidRDefault="00146A6C" w:rsidP="00D92BBE">
            <w:pPr>
              <w:pStyle w:val="01aDBTitle"/>
              <w:jc w:val="left"/>
              <w:rPr>
                <w:rFonts w:cs="Arial"/>
                <w:sz w:val="32"/>
                <w:szCs w:val="32"/>
              </w:rPr>
            </w:pPr>
            <w:r w:rsidRPr="00201005">
              <w:rPr>
                <w:rFonts w:cs="Arial"/>
                <w:szCs w:val="40"/>
              </w:rPr>
              <w:t>Response form for the Consultation Paper on</w:t>
            </w:r>
            <w:r w:rsidRPr="00201005">
              <w:rPr>
                <w:szCs w:val="40"/>
              </w:rPr>
              <w:t xml:space="preserve"> </w:t>
            </w:r>
            <w:r w:rsidR="00D92BBE" w:rsidRPr="00D92BBE">
              <w:rPr>
                <w:szCs w:val="40"/>
              </w:rPr>
              <w:t>Review of the MiFID II framework on best execution reports</w:t>
            </w: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5400BDD5" w:rsidR="00620D7C" w:rsidRPr="004E49B0" w:rsidRDefault="00620D7C" w:rsidP="00FE40D3">
            <w:pPr>
              <w:pStyle w:val="02Date"/>
              <w:jc w:val="right"/>
              <w:rPr>
                <w:rFonts w:cs="Arial"/>
              </w:rPr>
            </w:pPr>
            <w:r w:rsidRPr="00F10D35">
              <w:rPr>
                <w:rFonts w:cs="Arial"/>
              </w:rPr>
              <w:lastRenderedPageBreak/>
              <w:t xml:space="preserve">Date: </w:t>
            </w:r>
            <w:r w:rsidR="008F0FA7">
              <w:rPr>
                <w:rFonts w:cs="Arial"/>
              </w:rPr>
              <w:t>30</w:t>
            </w:r>
            <w:r w:rsidR="00FE40D3" w:rsidRPr="00FE40D3">
              <w:rPr>
                <w:rFonts w:cs="Arial"/>
              </w:rPr>
              <w:t xml:space="preserve"> </w:t>
            </w:r>
            <w:r w:rsidR="00873B7E">
              <w:rPr>
                <w:rFonts w:cs="Arial"/>
              </w:rPr>
              <w:t>September</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2AC3BC0"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873B7E">
        <w:rPr>
          <w:b/>
        </w:rPr>
        <w:t>Thursday</w:t>
      </w:r>
      <w:r w:rsidR="00F87631" w:rsidRPr="002A7128">
        <w:rPr>
          <w:b/>
        </w:rPr>
        <w:t xml:space="preserve"> </w:t>
      </w:r>
      <w:r w:rsidR="00873B7E">
        <w:rPr>
          <w:b/>
        </w:rPr>
        <w:t>23</w:t>
      </w:r>
      <w:r w:rsidR="00F87631" w:rsidRPr="002A7128">
        <w:rPr>
          <w:b/>
          <w:vertAlign w:val="superscript"/>
        </w:rPr>
        <w:t>th</w:t>
      </w:r>
      <w:r w:rsidR="00F87631" w:rsidRPr="002A7128">
        <w:rPr>
          <w:b/>
        </w:rPr>
        <w:t xml:space="preserve"> </w:t>
      </w:r>
      <w:r w:rsidR="00873B7E">
        <w:rPr>
          <w:b/>
        </w:rPr>
        <w:t>December</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0"/>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1B9FCA3C"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 xml:space="preserve">Please do not remove tags of the type </w:t>
      </w:r>
      <w:r w:rsidRPr="00455107">
        <w:rPr>
          <w:sz w:val="22"/>
          <w:szCs w:val="22"/>
          <w:lang w:eastAsia="en-GB"/>
        </w:rPr>
        <w:t>&lt;ESMA_QUESTION_</w:t>
      </w:r>
      <w:r w:rsidR="00455107" w:rsidRPr="00455107">
        <w:rPr>
          <w:sz w:val="22"/>
          <w:szCs w:val="22"/>
          <w:lang w:eastAsia="en-GB"/>
        </w:rPr>
        <w:t>BEEX</w:t>
      </w:r>
      <w:r w:rsidRPr="00455107">
        <w:rPr>
          <w:sz w:val="22"/>
          <w:szCs w:val="22"/>
          <w:lang w:eastAsia="en-GB"/>
        </w:rPr>
        <w:t>_1&gt;.</w:t>
      </w:r>
      <w:r w:rsidRPr="00241178">
        <w:rPr>
          <w:sz w:val="22"/>
          <w:szCs w:val="22"/>
          <w:lang w:eastAsia="en-GB"/>
        </w:rPr>
        <w:t xml:space="preserve"> Your response to each question has to be framed by the two tags corresponding to the question. </w:t>
      </w:r>
    </w:p>
    <w:p w14:paraId="3C1B6FAE" w14:textId="77777777"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7E09D897"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 xml:space="preserve">When you have drafted your response, name your response form according to the following convention: </w:t>
      </w:r>
      <w:r w:rsidRPr="00455107">
        <w:rPr>
          <w:sz w:val="22"/>
          <w:szCs w:val="22"/>
          <w:lang w:eastAsia="en-GB"/>
        </w:rPr>
        <w:t>ESMA_</w:t>
      </w:r>
      <w:r w:rsidR="00455107" w:rsidRPr="00455107">
        <w:rPr>
          <w:sz w:val="22"/>
          <w:szCs w:val="22"/>
          <w:lang w:eastAsia="en-GB"/>
        </w:rPr>
        <w:t>BEEX</w:t>
      </w:r>
      <w:r w:rsidRPr="00455107">
        <w:rPr>
          <w:sz w:val="22"/>
          <w:szCs w:val="22"/>
          <w:lang w:eastAsia="en-GB"/>
        </w:rPr>
        <w:t>_nameofrespondent_RESPONSEFORM</w:t>
      </w:r>
      <w:r w:rsidRPr="00241178">
        <w:rPr>
          <w:sz w:val="22"/>
          <w:szCs w:val="22"/>
          <w:lang w:eastAsia="en-GB"/>
        </w:rPr>
        <w:t>. For example, for a respondent named ABCD, the response form would be entitled ESMA_</w:t>
      </w:r>
      <w:r w:rsidR="00455107">
        <w:rPr>
          <w:sz w:val="22"/>
          <w:szCs w:val="22"/>
          <w:lang w:eastAsia="en-GB"/>
        </w:rPr>
        <w:t>B</w:t>
      </w:r>
      <w:r w:rsidR="00075503" w:rsidRPr="00241178">
        <w:rPr>
          <w:sz w:val="22"/>
          <w:szCs w:val="22"/>
          <w:lang w:eastAsia="en-GB"/>
        </w:rPr>
        <w:t>E</w:t>
      </w:r>
      <w:r w:rsidR="00455107">
        <w:rPr>
          <w:sz w:val="22"/>
          <w:szCs w:val="22"/>
          <w:lang w:eastAsia="en-GB"/>
        </w:rPr>
        <w:t>EX</w:t>
      </w:r>
      <w:r w:rsidRPr="00241178">
        <w:rPr>
          <w:sz w:val="22"/>
          <w:szCs w:val="22"/>
          <w:lang w:eastAsia="en-GB"/>
        </w:rPr>
        <w:t>_ABCD_RESPONSEFORM.</w:t>
      </w:r>
    </w:p>
    <w:p w14:paraId="033FC000" w14:textId="2E00EAE3"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075503" w:rsidRPr="00241178">
        <w:rPr>
          <w:sz w:val="22"/>
          <w:szCs w:val="22"/>
          <w:lang w:eastAsia="en-GB"/>
        </w:rPr>
        <w:t>Consultation on</w:t>
      </w:r>
      <w:r w:rsidR="00886D30">
        <w:rPr>
          <w:sz w:val="22"/>
          <w:szCs w:val="22"/>
          <w:lang w:eastAsia="en-GB"/>
        </w:rPr>
        <w:t xml:space="preserve"> </w:t>
      </w:r>
      <w:r w:rsidR="00886D30" w:rsidRPr="00886D30">
        <w:rPr>
          <w:sz w:val="22"/>
          <w:szCs w:val="22"/>
          <w:lang w:eastAsia="en-GB"/>
        </w:rPr>
        <w:t>Review of the MiFID II framework on best execution reports</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0DA37575" w:rsidR="00332304" w:rsidRPr="001021EF" w:rsidRDefault="0091143D" w:rsidP="00FE40D3">
      <w:pPr>
        <w:spacing w:after="240"/>
        <w:jc w:val="both"/>
        <w:rPr>
          <w:b/>
          <w:bCs/>
        </w:rPr>
      </w:pPr>
      <w:r w:rsidRPr="0091143D">
        <w:rPr>
          <w:sz w:val="22"/>
          <w:szCs w:val="20"/>
          <w:lang w:eastAsia="en-US"/>
        </w:rPr>
        <w:t>This document is of interest to execution venues, investment firms and their associations, investors, consumer associations, as well as any market participant engaged in the execution of orders under the MiFID II framework.</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5825A1">
        <w:tc>
          <w:tcPr>
            <w:tcW w:w="3929" w:type="dxa"/>
            <w:shd w:val="clear" w:color="auto" w:fill="auto"/>
          </w:tcPr>
          <w:p w14:paraId="2CC52FAD" w14:textId="77777777" w:rsidR="00B327E9" w:rsidRPr="00E40A5C" w:rsidRDefault="00B327E9" w:rsidP="005825A1">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0843EAB8" w:rsidR="00B327E9" w:rsidRPr="00AB6D88" w:rsidRDefault="00310EE2" w:rsidP="005825A1">
                <w:pPr>
                  <w:rPr>
                    <w:rStyle w:val="PlaceholderText"/>
                    <w:rFonts w:cs="Arial"/>
                  </w:rPr>
                </w:pPr>
                <w:r>
                  <w:rPr>
                    <w:rStyle w:val="PlaceholderText"/>
                    <w:rFonts w:cs="Arial"/>
                  </w:rPr>
                  <w:t>Invesco</w:t>
                </w:r>
              </w:p>
            </w:tc>
            <w:permEnd w:id="1493633476" w:displacedByCustomXml="next"/>
          </w:sdtContent>
        </w:sdt>
      </w:tr>
      <w:tr w:rsidR="00B327E9" w:rsidRPr="00AB6D88" w14:paraId="0D2401D8" w14:textId="77777777" w:rsidTr="005825A1">
        <w:tc>
          <w:tcPr>
            <w:tcW w:w="3929" w:type="dxa"/>
            <w:shd w:val="clear" w:color="auto" w:fill="auto"/>
          </w:tcPr>
          <w:p w14:paraId="6C0EFE39" w14:textId="77777777" w:rsidR="00B327E9" w:rsidRPr="00E40A5C" w:rsidRDefault="00B327E9" w:rsidP="005825A1">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090EB921" w:rsidR="00B327E9" w:rsidRPr="00AB6D88" w:rsidRDefault="00DB310A" w:rsidP="005825A1">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7041D7">
                  <w:rPr>
                    <w:rFonts w:cs="Arial"/>
                  </w:rPr>
                  <w:t>UCITS Management Company / AIFM</w:t>
                </w:r>
              </w:sdtContent>
            </w:sdt>
          </w:p>
        </w:tc>
      </w:tr>
      <w:permEnd w:id="438450997"/>
      <w:tr w:rsidR="00B327E9" w:rsidRPr="00AB6D88" w14:paraId="1A153F17" w14:textId="77777777" w:rsidTr="005825A1">
        <w:tc>
          <w:tcPr>
            <w:tcW w:w="3929" w:type="dxa"/>
            <w:shd w:val="clear" w:color="auto" w:fill="auto"/>
          </w:tcPr>
          <w:p w14:paraId="396772EB" w14:textId="77777777" w:rsidR="00B327E9" w:rsidRPr="00E40A5C" w:rsidRDefault="00B327E9" w:rsidP="005825A1">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5825A1">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5825A1">
        <w:tc>
          <w:tcPr>
            <w:tcW w:w="3929" w:type="dxa"/>
            <w:shd w:val="clear" w:color="auto" w:fill="auto"/>
          </w:tcPr>
          <w:p w14:paraId="3C221113" w14:textId="77777777" w:rsidR="00B327E9" w:rsidRPr="00E40A5C" w:rsidRDefault="00B327E9" w:rsidP="005825A1">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6CB1F1F5" w:rsidR="00B327E9" w:rsidRPr="00AB6D88" w:rsidRDefault="00310EE2" w:rsidP="005825A1">
                <w:pPr>
                  <w:rPr>
                    <w:rFonts w:cs="Arial"/>
                  </w:rPr>
                </w:pPr>
                <w:r>
                  <w:rPr>
                    <w:rFonts w:cs="Arial"/>
                  </w:rPr>
                  <w:t>International</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4EA6DF3F" w:rsidR="00B327E9" w:rsidRPr="006F4535" w:rsidRDefault="00B327E9" w:rsidP="00FE6577">
      <w:r w:rsidRPr="006F4535">
        <w:t>&lt;ESMA_COMMENT_</w:t>
      </w:r>
      <w:r w:rsidR="00455107" w:rsidRPr="00455107">
        <w:t>B</w:t>
      </w:r>
      <w:r w:rsidR="00A014B6" w:rsidRPr="00455107">
        <w:t>E</w:t>
      </w:r>
      <w:r w:rsidR="00455107" w:rsidRPr="00455107">
        <w:t>EX</w:t>
      </w:r>
      <w:r w:rsidRPr="006F4535">
        <w:t>_1&gt;</w:t>
      </w:r>
    </w:p>
    <w:p w14:paraId="6D89ED98" w14:textId="77777777" w:rsidR="007041D7" w:rsidRDefault="007041D7" w:rsidP="00FE6577">
      <w:permStart w:id="44765448" w:edGrp="everyone"/>
    </w:p>
    <w:p w14:paraId="69C1987E" w14:textId="60B01646" w:rsidR="00B5549A" w:rsidRDefault="00B5549A" w:rsidP="007041D7">
      <w:r w:rsidRPr="00B5549A">
        <w:t xml:space="preserve">Invesco Ltd. </w:t>
      </w:r>
      <w:r w:rsidR="00842CD9">
        <w:t xml:space="preserve">(“Invesco”) </w:t>
      </w:r>
      <w:r w:rsidRPr="00B5549A">
        <w:t>is an independent and diversified investment management firm managing USD 1.593tn in assets on behalf of clients worldwide</w:t>
      </w:r>
      <w:r>
        <w:rPr>
          <w:rStyle w:val="FootnoteReference"/>
        </w:rPr>
        <w:footnoteReference w:id="2"/>
      </w:r>
      <w:r w:rsidRPr="00B5549A">
        <w:t xml:space="preserve">. We have specialised investment teams managing investments across a comprehensive range of asset classes, investment styles and geographies and our 8,000+ employees globally allow us to focus on client needs locally, with an on-the-ground presence in 25 countries, including a significant presence in the </w:t>
      </w:r>
      <w:r w:rsidR="00D33228">
        <w:t>E</w:t>
      </w:r>
      <w:r w:rsidRPr="00B5549A">
        <w:t>U.</w:t>
      </w:r>
    </w:p>
    <w:p w14:paraId="0A63572D" w14:textId="77777777" w:rsidR="00B5549A" w:rsidRDefault="00B5549A" w:rsidP="007041D7"/>
    <w:p w14:paraId="10277166" w14:textId="14AC5D10" w:rsidR="007041D7" w:rsidRDefault="007041D7" w:rsidP="007041D7">
      <w:r>
        <w:t>Invesco welcomes the opportunity to contribute to the European Securities and Markets Authority (</w:t>
      </w:r>
      <w:r w:rsidR="00842CD9">
        <w:t>“</w:t>
      </w:r>
      <w:r>
        <w:t>ESMA</w:t>
      </w:r>
      <w:r w:rsidR="00842CD9">
        <w:t>”</w:t>
      </w:r>
      <w:r>
        <w:t>) consultation on the review of the EU MiFID II</w:t>
      </w:r>
      <w:r w:rsidR="001B3342">
        <w:rPr>
          <w:rStyle w:val="FootnoteReference"/>
        </w:rPr>
        <w:footnoteReference w:id="3"/>
      </w:r>
      <w:r w:rsidR="001B3342">
        <w:t xml:space="preserve"> </w:t>
      </w:r>
      <w:r>
        <w:t>framework</w:t>
      </w:r>
      <w:r w:rsidR="001B3342">
        <w:t xml:space="preserve"> </w:t>
      </w:r>
      <w:r>
        <w:t>governing best execution reports.</w:t>
      </w:r>
      <w:r w:rsidR="00842CD9">
        <w:t xml:space="preserve"> </w:t>
      </w:r>
      <w:r w:rsidR="00310EE2">
        <w:t>In responding to this consultation, we note</w:t>
      </w:r>
      <w:r w:rsidR="00F1140E">
        <w:t xml:space="preserve"> current</w:t>
      </w:r>
      <w:r w:rsidR="00310EE2">
        <w:t xml:space="preserve"> the time-limited suspension of the public reporting requirement set out under EU MiFID II Article 27(3) until 28 February 2023</w:t>
      </w:r>
      <w:r w:rsidR="00310EE2">
        <w:rPr>
          <w:rStyle w:val="FootnoteReference"/>
        </w:rPr>
        <w:footnoteReference w:id="4"/>
      </w:r>
      <w:r w:rsidR="00310EE2">
        <w:t xml:space="preserve"> and the European Commission’s parallel proposal, as part of its November 2021 Capital Markets Union legislative package</w:t>
      </w:r>
      <w:r w:rsidR="00310EE2">
        <w:rPr>
          <w:rStyle w:val="FootnoteReference"/>
        </w:rPr>
        <w:footnoteReference w:id="5"/>
      </w:r>
      <w:r w:rsidR="00310EE2">
        <w:t xml:space="preserve">, to </w:t>
      </w:r>
      <w:r w:rsidR="00F1140E">
        <w:t>remove this requirement altogether by deleting EU MiFID Article 27(3) and (10)(a)</w:t>
      </w:r>
      <w:r w:rsidR="00F1140E">
        <w:rPr>
          <w:rStyle w:val="FootnoteReference"/>
        </w:rPr>
        <w:footnoteReference w:id="6"/>
      </w:r>
      <w:r w:rsidR="00F1140E">
        <w:t>.</w:t>
      </w:r>
    </w:p>
    <w:p w14:paraId="3A8DFBC2" w14:textId="77777777" w:rsidR="007041D7" w:rsidRDefault="007041D7" w:rsidP="007041D7"/>
    <w:p w14:paraId="012DB769" w14:textId="5613138B" w:rsidR="00DE1E09" w:rsidRDefault="007041D7" w:rsidP="007041D7">
      <w:r>
        <w:t xml:space="preserve">On balance, </w:t>
      </w:r>
      <w:r w:rsidR="00F1140E">
        <w:t xml:space="preserve">while </w:t>
      </w:r>
      <w:r>
        <w:t>we believe that the implementation of EU MiFID II</w:t>
      </w:r>
      <w:r w:rsidR="00F1140E">
        <w:t xml:space="preserve"> </w:t>
      </w:r>
      <w:r>
        <w:t>has generally improved the overall regulatory framework in financial services</w:t>
      </w:r>
      <w:r w:rsidR="00F1140E">
        <w:t xml:space="preserve"> and acknowledge the policy intention underpinning the reporting obligations set out under EU MiFID II Article 27(3) and (6), and subsequently RTS 27</w:t>
      </w:r>
      <w:r w:rsidR="001B3342">
        <w:rPr>
          <w:rStyle w:val="FootnoteReference"/>
        </w:rPr>
        <w:footnoteReference w:id="7"/>
      </w:r>
      <w:r w:rsidR="00F1140E">
        <w:t xml:space="preserve"> and RTS 28</w:t>
      </w:r>
      <w:r w:rsidR="001B3342">
        <w:rPr>
          <w:rStyle w:val="FootnoteReference"/>
        </w:rPr>
        <w:footnoteReference w:id="8"/>
      </w:r>
      <w:r w:rsidR="00F1140E">
        <w:t xml:space="preserve">, we </w:t>
      </w:r>
      <w:r w:rsidR="00DE1E09">
        <w:t>do not believe the reports produced as a result of these obligations provide timely or decision-useful information to intended audiences.</w:t>
      </w:r>
    </w:p>
    <w:p w14:paraId="6379C15B" w14:textId="77777777" w:rsidR="00DE1E09" w:rsidRDefault="00DE1E09" w:rsidP="007041D7"/>
    <w:p w14:paraId="6FDBBFB2" w14:textId="76EA36E5" w:rsidR="00F1140E" w:rsidRDefault="00B5549A" w:rsidP="007041D7">
      <w:r>
        <w:t>As set out in further detail in our responses to questions set out in this consultation, it</w:t>
      </w:r>
      <w:r w:rsidR="00DE1E09">
        <w:t xml:space="preserve"> is </w:t>
      </w:r>
      <w:r>
        <w:t xml:space="preserve">therefore </w:t>
      </w:r>
      <w:r w:rsidR="00DE1E09">
        <w:t>our view that policymakers should remove the obligations on trading venues and systematic internalisers (</w:t>
      </w:r>
      <w:r w:rsidR="00842CD9">
        <w:t>“</w:t>
      </w:r>
      <w:r w:rsidR="00DE1E09">
        <w:t>SIs</w:t>
      </w:r>
      <w:r w:rsidR="00842CD9">
        <w:t>”</w:t>
      </w:r>
      <w:r w:rsidR="00DE1E09">
        <w:t>) to produce RTS 27 reports and on investment firms to produce RTS 28 reports.</w:t>
      </w:r>
    </w:p>
    <w:p w14:paraId="6C07B0D7" w14:textId="77777777" w:rsidR="00F1140E" w:rsidRDefault="00F1140E" w:rsidP="007041D7"/>
    <w:p w14:paraId="3EF46BC4" w14:textId="41D701B7" w:rsidR="00066E0B" w:rsidRPr="00066E0B" w:rsidRDefault="007041D7" w:rsidP="00FE6577">
      <w:r>
        <w:t xml:space="preserve">Invesco can provide further </w:t>
      </w:r>
      <w:r w:rsidR="00C61A10">
        <w:t xml:space="preserve">information regarding the details provided in this consultation response </w:t>
      </w:r>
      <w:r>
        <w:t>at ESMA’s request.</w:t>
      </w:r>
    </w:p>
    <w:p w14:paraId="3EC00E6D" w14:textId="6DF03DE8" w:rsidR="00B327E9" w:rsidRDefault="00B327E9" w:rsidP="00FE6577"/>
    <w:permEnd w:id="44765448"/>
    <w:p w14:paraId="68F63540" w14:textId="7BAC455B" w:rsidR="00B327E9" w:rsidRPr="00BF28DA" w:rsidRDefault="00B327E9" w:rsidP="00FE6577">
      <w:r w:rsidRPr="00BF28DA">
        <w:t>&lt;ESMA_COMMENT_</w:t>
      </w:r>
      <w:r w:rsidR="00455107" w:rsidRPr="00455107">
        <w:t xml:space="preserve"> BEEX</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5B79D316" w14:textId="4E9789C6" w:rsidR="00014A67" w:rsidRDefault="00F31E57" w:rsidP="00014A67">
      <w:pPr>
        <w:pStyle w:val="Questionstyle"/>
      </w:pPr>
      <w:r w:rsidRPr="0075015C">
        <w:br w:type="page"/>
      </w:r>
    </w:p>
    <w:p w14:paraId="36E568B8" w14:textId="77777777" w:rsidR="004258CF" w:rsidRPr="004258CF" w:rsidRDefault="004258CF" w:rsidP="004258CF">
      <w:pPr>
        <w:numPr>
          <w:ilvl w:val="0"/>
          <w:numId w:val="36"/>
        </w:numPr>
        <w:spacing w:after="250" w:line="276" w:lineRule="auto"/>
        <w:contextualSpacing/>
        <w:jc w:val="both"/>
        <w:rPr>
          <w:rFonts w:cs="Arial"/>
          <w:b/>
          <w:szCs w:val="22"/>
          <w:lang w:val="en-US" w:eastAsia="en-US"/>
        </w:rPr>
      </w:pPr>
      <w:r w:rsidRPr="004258CF">
        <w:rPr>
          <w:rFonts w:cs="Arial"/>
          <w:b/>
          <w:szCs w:val="20"/>
          <w:lang w:val="en-US" w:eastAsia="en-GB"/>
        </w:rPr>
        <w:lastRenderedPageBreak/>
        <w:t>: Do you agree with the proposed scope in terms of execution venues for the reporting under a possible new RTS 27?</w:t>
      </w:r>
    </w:p>
    <w:p w14:paraId="19EF215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1A28A110" w14:textId="77777777" w:rsidR="00976E81" w:rsidRDefault="00976E81" w:rsidP="009A4BB2">
      <w:pPr>
        <w:spacing w:line="256" w:lineRule="auto"/>
        <w:rPr>
          <w:rFonts w:ascii="Calibri" w:eastAsia="Calibri" w:hAnsi="Calibri"/>
          <w:sz w:val="22"/>
          <w:szCs w:val="22"/>
          <w:lang w:eastAsia="en-US"/>
        </w:rPr>
      </w:pPr>
      <w:permStart w:id="222133246" w:edGrp="everyone"/>
    </w:p>
    <w:p w14:paraId="527C6E6B" w14:textId="2CE38DFE" w:rsidR="002D6CD1" w:rsidRPr="009A4BB2" w:rsidRDefault="00E30ED4" w:rsidP="009A4BB2">
      <w:r>
        <w:t xml:space="preserve">Invesco </w:t>
      </w:r>
      <w:r w:rsidR="00D50121" w:rsidRPr="009A4BB2">
        <w:t>acknowledge</w:t>
      </w:r>
      <w:r>
        <w:t>s</w:t>
      </w:r>
      <w:r w:rsidR="00D50121" w:rsidRPr="009A4BB2">
        <w:t xml:space="preserve"> ESMA’s </w:t>
      </w:r>
      <w:r>
        <w:t>ambition</w:t>
      </w:r>
      <w:r w:rsidR="009A4BB2">
        <w:t xml:space="preserve"> to</w:t>
      </w:r>
      <w:r>
        <w:t xml:space="preserve"> </w:t>
      </w:r>
      <w:r w:rsidR="00D50121" w:rsidRPr="009A4BB2">
        <w:t>simplify and recalibrat</w:t>
      </w:r>
      <w:r>
        <w:t>e</w:t>
      </w:r>
      <w:r w:rsidR="00D50121" w:rsidRPr="009A4BB2">
        <w:t xml:space="preserve"> the focus of reporting requirements for trading venues and SIs</w:t>
      </w:r>
      <w:r w:rsidR="009A4BB2">
        <w:t xml:space="preserve"> set out under RTS 27</w:t>
      </w:r>
      <w:r w:rsidR="008D35C4">
        <w:t xml:space="preserve"> (“RTS 27 reports”)</w:t>
      </w:r>
      <w:r w:rsidR="00D50121" w:rsidRPr="009A4BB2">
        <w:t xml:space="preserve">. </w:t>
      </w:r>
      <w:r w:rsidR="009A4BB2" w:rsidRPr="009A4BB2">
        <w:t xml:space="preserve">However, such targeted amendments and alterations would not, in our view, address the fundamental flaws relating to </w:t>
      </w:r>
      <w:r w:rsidR="008D35C4">
        <w:t xml:space="preserve">RTS 27 reports </w:t>
      </w:r>
      <w:r>
        <w:t xml:space="preserve">i.e., that </w:t>
      </w:r>
      <w:r w:rsidR="009A4BB2" w:rsidRPr="009A4BB2">
        <w:t xml:space="preserve">they do not provide timely or decision-useful information </w:t>
      </w:r>
      <w:r>
        <w:t>due to the fact that</w:t>
      </w:r>
      <w:r w:rsidR="009A4BB2" w:rsidRPr="009A4BB2">
        <w:t xml:space="preserve"> much of the data are already out of date at the time of publication.</w:t>
      </w:r>
    </w:p>
    <w:p w14:paraId="11B08B31" w14:textId="3CD89777" w:rsidR="009A4BB2" w:rsidRPr="009A4BB2" w:rsidRDefault="009A4BB2" w:rsidP="009A4BB2"/>
    <w:p w14:paraId="5C3780B4" w14:textId="06D4D61C" w:rsidR="009A4BB2" w:rsidRDefault="009A4BB2" w:rsidP="009A4BB2">
      <w:r>
        <w:t xml:space="preserve">In addition, though ESMA’s proposed changes seek to resolve issues relating to inconsistencies in the formatting of reports </w:t>
      </w:r>
      <w:r w:rsidRPr="009A4BB2">
        <w:t>published pursuant to RTS 27</w:t>
      </w:r>
      <w:r>
        <w:t xml:space="preserve">, they do not address </w:t>
      </w:r>
      <w:r w:rsidR="00C44BE5">
        <w:t xml:space="preserve">the </w:t>
      </w:r>
      <w:r w:rsidR="00A9569E">
        <w:t>underlying</w:t>
      </w:r>
      <w:r w:rsidR="00C44BE5">
        <w:t xml:space="preserve"> </w:t>
      </w:r>
      <w:r>
        <w:t xml:space="preserve">issues that trading venues and SIs themselves allude in their RTS 27 reports, such as </w:t>
      </w:r>
      <w:r w:rsidR="00A9569E">
        <w:t xml:space="preserve">the reliance on </w:t>
      </w:r>
      <w:r w:rsidRPr="009A4BB2">
        <w:t>potentially inaccurate product costs, inconsistent timestamps etc.</w:t>
      </w:r>
    </w:p>
    <w:p w14:paraId="37EC10CE" w14:textId="5E72FEE0" w:rsidR="00E30ED4" w:rsidRDefault="00E30ED4" w:rsidP="009A4BB2"/>
    <w:p w14:paraId="44F441A3" w14:textId="13EC2B72" w:rsidR="00B22DD3" w:rsidRDefault="008D35C4" w:rsidP="009A4BB2">
      <w:r>
        <w:t xml:space="preserve">Given the clear limitations of </w:t>
      </w:r>
      <w:r w:rsidR="002244D5">
        <w:t>RTS 27 reports</w:t>
      </w:r>
      <w:r>
        <w:t xml:space="preserve">, even with the proposed changes in scope applied, it is our view that </w:t>
      </w:r>
      <w:r w:rsidRPr="008D35C4">
        <w:t xml:space="preserve">policymakers </w:t>
      </w:r>
      <w:r w:rsidR="00CC6BB6">
        <w:t>should</w:t>
      </w:r>
      <w:r w:rsidRPr="008D35C4">
        <w:t xml:space="preserve"> revoke the obligation </w:t>
      </w:r>
      <w:r>
        <w:t xml:space="preserve">on </w:t>
      </w:r>
      <w:r w:rsidRPr="009A4BB2">
        <w:t>trading venues and SIs</w:t>
      </w:r>
      <w:r w:rsidRPr="008D35C4">
        <w:t xml:space="preserve"> to produce RTS 2</w:t>
      </w:r>
      <w:r>
        <w:t>7</w:t>
      </w:r>
      <w:r w:rsidRPr="008D35C4">
        <w:t xml:space="preserve"> reports</w:t>
      </w:r>
      <w:r>
        <w:t xml:space="preserve"> and, instead, focus </w:t>
      </w:r>
      <w:r w:rsidR="00CC6BB6">
        <w:t xml:space="preserve">efforts </w:t>
      </w:r>
      <w:r>
        <w:t>on</w:t>
      </w:r>
      <w:r w:rsidRPr="008D35C4">
        <w:t xml:space="preserve"> </w:t>
      </w:r>
      <w:r w:rsidR="00CC6BB6">
        <w:t xml:space="preserve">ensuring the emergence of </w:t>
      </w:r>
      <w:r w:rsidRPr="008D35C4">
        <w:t xml:space="preserve">a consolidated tape </w:t>
      </w:r>
      <w:r w:rsidR="00CC6BB6">
        <w:t xml:space="preserve">(CT). Invesco </w:t>
      </w:r>
      <w:r w:rsidRPr="008D35C4">
        <w:t>believe</w:t>
      </w:r>
      <w:r w:rsidR="00CC6BB6">
        <w:t>s</w:t>
      </w:r>
      <w:r w:rsidRPr="008D35C4">
        <w:t xml:space="preserve"> that </w:t>
      </w:r>
      <w:r w:rsidR="00CC6BB6">
        <w:t xml:space="preserve">a CT </w:t>
      </w:r>
      <w:r w:rsidRPr="008D35C4">
        <w:t xml:space="preserve">would provide an accessible, </w:t>
      </w:r>
      <w:proofErr w:type="gramStart"/>
      <w:r w:rsidRPr="008D35C4">
        <w:t>comprehensive</w:t>
      </w:r>
      <w:proofErr w:type="gramEnd"/>
      <w:r w:rsidRPr="008D35C4">
        <w:t xml:space="preserve"> and reliable overview of markets which would serve to contribute towards a number of activities including </w:t>
      </w:r>
      <w:r w:rsidR="00CC6BB6">
        <w:t>transaction cost analysis (</w:t>
      </w:r>
      <w:r w:rsidRPr="008D35C4">
        <w:t>TCA</w:t>
      </w:r>
      <w:r w:rsidR="00CC6BB6">
        <w:t>)</w:t>
      </w:r>
      <w:r w:rsidRPr="008D35C4">
        <w:t xml:space="preserve"> and document</w:t>
      </w:r>
      <w:r w:rsidR="00536A4F">
        <w:t>ation</w:t>
      </w:r>
      <w:r w:rsidRPr="008D35C4">
        <w:t xml:space="preserve"> </w:t>
      </w:r>
      <w:r w:rsidR="00A11196">
        <w:t xml:space="preserve">of </w:t>
      </w:r>
      <w:r w:rsidRPr="008D35C4">
        <w:t>best execution, market surveillance, liquidity risk management and portfolio valuation.</w:t>
      </w:r>
    </w:p>
    <w:p w14:paraId="771E5C4C" w14:textId="77777777" w:rsidR="00B22DD3" w:rsidRDefault="00B22DD3" w:rsidP="009A4BB2"/>
    <w:p w14:paraId="1B4B9D90" w14:textId="02957971" w:rsidR="008D35C4" w:rsidRDefault="008D35C4" w:rsidP="009A4BB2">
      <w:r w:rsidRPr="008D35C4">
        <w:t xml:space="preserve">We </w:t>
      </w:r>
      <w:r w:rsidR="00B22DD3">
        <w:t xml:space="preserve">strongly </w:t>
      </w:r>
      <w:r w:rsidRPr="008D35C4">
        <w:t xml:space="preserve">believe </w:t>
      </w:r>
      <w:r w:rsidR="00CC6BB6">
        <w:t xml:space="preserve">that a comprehensive CT, which operates across asset classes and in as near to real time as possible, </w:t>
      </w:r>
      <w:r w:rsidRPr="008D35C4">
        <w:t xml:space="preserve">would be much more valuable </w:t>
      </w:r>
      <w:r w:rsidR="00CC6BB6">
        <w:t xml:space="preserve">to market participants </w:t>
      </w:r>
      <w:r w:rsidRPr="008D35C4">
        <w:t xml:space="preserve">than </w:t>
      </w:r>
      <w:r w:rsidR="00CC6BB6">
        <w:t xml:space="preserve">the revised </w:t>
      </w:r>
      <w:r w:rsidRPr="008D35C4">
        <w:t>RTS 27 reports</w:t>
      </w:r>
      <w:r w:rsidR="00CC6BB6">
        <w:t xml:space="preserve"> proposed by ESMA</w:t>
      </w:r>
      <w:r w:rsidRPr="008D35C4">
        <w:t>.</w:t>
      </w:r>
    </w:p>
    <w:p w14:paraId="7E78756C" w14:textId="77777777" w:rsidR="00976E81" w:rsidRDefault="00976E81" w:rsidP="009A4BB2">
      <w:pPr>
        <w:spacing w:line="256" w:lineRule="auto"/>
        <w:rPr>
          <w:rFonts w:ascii="Calibri" w:eastAsia="Calibri" w:hAnsi="Calibri"/>
          <w:sz w:val="22"/>
          <w:szCs w:val="22"/>
          <w:lang w:eastAsia="en-US"/>
        </w:rPr>
      </w:pPr>
    </w:p>
    <w:permEnd w:id="222133246"/>
    <w:p w14:paraId="6324657C" w14:textId="05A0A221"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065626B5" w14:textId="77777777" w:rsidR="004258CF" w:rsidRPr="004258CF" w:rsidRDefault="004258CF" w:rsidP="004258CF">
      <w:pPr>
        <w:spacing w:after="160" w:line="256" w:lineRule="auto"/>
        <w:rPr>
          <w:rFonts w:ascii="Calibri" w:eastAsia="Calibri" w:hAnsi="Calibri"/>
          <w:sz w:val="22"/>
          <w:szCs w:val="22"/>
          <w:lang w:eastAsia="en-US"/>
        </w:rPr>
      </w:pPr>
    </w:p>
    <w:p w14:paraId="3217AD5F"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level of granularity by types of financial instruments instead of individual financial instruments under a new potential reporting regime? In particular, do you agree with the two proposed categories concerning shares (i.e., shares considered to have a liquid market and shares not considered to have a liquid market)? If not, please state the reasons for your answer and clarify what alternative categorisations you would propose in order to have a meaningful level of granularity for a new reporting regime.</w:t>
      </w:r>
    </w:p>
    <w:p w14:paraId="5162D12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&lt;ESMA_QUESTION_BEEX_2&gt;</w:t>
      </w:r>
    </w:p>
    <w:p w14:paraId="4C790EF5" w14:textId="77777777" w:rsidR="00976E81" w:rsidRPr="009A4BB2" w:rsidRDefault="00976E81" w:rsidP="009A4BB2">
      <w:permStart w:id="147554275" w:edGrp="everyone"/>
    </w:p>
    <w:p w14:paraId="175417D5" w14:textId="77777777" w:rsidR="00D04847" w:rsidRDefault="00327122" w:rsidP="009A4BB2">
      <w:r>
        <w:t xml:space="preserve">Again, Invesco </w:t>
      </w:r>
      <w:r w:rsidRPr="009A4BB2">
        <w:t>acknowledge</w:t>
      </w:r>
      <w:r>
        <w:t>s</w:t>
      </w:r>
      <w:r w:rsidRPr="009A4BB2">
        <w:t xml:space="preserve"> ESMA’s </w:t>
      </w:r>
      <w:r>
        <w:t>ambition to redefine the granularity of RTS 27 reports. However,</w:t>
      </w:r>
      <w:r w:rsidR="00D04847">
        <w:t xml:space="preserve"> while the proposed amendments would simplify reporting, we do not believe that the aggregation (or bundling) of reporting on different financial instruments would give rise to materially more useful RTS 27 reports.</w:t>
      </w:r>
    </w:p>
    <w:p w14:paraId="2ACC41BB" w14:textId="77777777" w:rsidR="00D04847" w:rsidRDefault="00D04847" w:rsidP="009A4BB2"/>
    <w:p w14:paraId="761D5C11" w14:textId="3FF6C190" w:rsidR="00D04847" w:rsidRDefault="00D04847" w:rsidP="009A4BB2">
      <w:r>
        <w:t xml:space="preserve">More specifically, regarding ‘Field ID 16 – Description of costs’, providing a link to qualitative information on the “nature and level of costs” applied by the execution venue </w:t>
      </w:r>
      <w:r w:rsidR="00E21B27">
        <w:t>would be of limited value if the qualitative information accessed via said link is not comparable across execution venues. In addition, regarding ‘Field ID 17 – Speed of execution’, we are not of the opinion that reporting on this metric is decision-useful as speed does not necessarily reflect execution quality. Reliability of execution, or frequency of failure, presented in percentage terms, would prove a more useful data point.</w:t>
      </w:r>
    </w:p>
    <w:p w14:paraId="3465FA83" w14:textId="6C571A1A" w:rsidR="009A4BB2" w:rsidRDefault="009A4BB2" w:rsidP="009A4BB2"/>
    <w:p w14:paraId="64913E9F" w14:textId="78737FD4" w:rsidR="00E21B27" w:rsidRDefault="00E21B27" w:rsidP="009A4BB2">
      <w:r>
        <w:t xml:space="preserve">Further, as noted in our response to Q1, the proposed amendments to the provisions governing RTS 27 reports do not, in our view, address the </w:t>
      </w:r>
      <w:r w:rsidRPr="009A4BB2">
        <w:t xml:space="preserve">fundamental flaws </w:t>
      </w:r>
      <w:r>
        <w:t>of such reports in terms of timeliness and accuracy/veracity of underlying data on which RTS 27 reports are predicated.</w:t>
      </w:r>
    </w:p>
    <w:p w14:paraId="0571730B" w14:textId="5B96D94B" w:rsidR="00E21B27" w:rsidRDefault="00E21B27" w:rsidP="009A4BB2"/>
    <w:p w14:paraId="02B0A52C" w14:textId="7BF07688" w:rsidR="00E21B27" w:rsidRDefault="00E21B27" w:rsidP="009A4BB2">
      <w:r>
        <w:t xml:space="preserve">Indeed, building on our call for policymakers to </w:t>
      </w:r>
      <w:r w:rsidRPr="00E21B27">
        <w:t>revoke the obligation on trading venues and SIs to produce RTS 27 reports and, instead, focus efforts on ensuring the emergence of a CT</w:t>
      </w:r>
      <w:r w:rsidR="00536A4F">
        <w:t xml:space="preserve"> which operates across asset classes and in as near to real time as possible, please find below the proposed scope of such a CT:</w:t>
      </w:r>
    </w:p>
    <w:p w14:paraId="2E8C7A03" w14:textId="5E31A2F9" w:rsidR="00536A4F" w:rsidRDefault="00536A4F" w:rsidP="009A4BB2"/>
    <w:p w14:paraId="4E5C22C7" w14:textId="67C975B5" w:rsidR="00536A4F" w:rsidRDefault="00536A4F" w:rsidP="00494DCC">
      <w:pPr>
        <w:pStyle w:val="ListParagraph"/>
        <w:numPr>
          <w:ilvl w:val="0"/>
          <w:numId w:val="39"/>
        </w:numPr>
      </w:pPr>
      <w:r>
        <w:t>A pre-trade CT should cover shares and all exchange traded products (ETPs). We believe that sharing pre-trade data in respect of other asset classes, such as bonds, could have a detrimental impact of market liquidity for those asset classes, and thus increase the principal risk of those asset classes.</w:t>
      </w:r>
    </w:p>
    <w:p w14:paraId="31461B27" w14:textId="2DB7BF15" w:rsidR="00536A4F" w:rsidRDefault="00536A4F" w:rsidP="00494DCC">
      <w:pPr>
        <w:pStyle w:val="ListParagraph"/>
        <w:numPr>
          <w:ilvl w:val="0"/>
          <w:numId w:val="39"/>
        </w:numPr>
      </w:pPr>
      <w:r>
        <w:t>A post-trade CT should cover a much broader suite of assets, including shares, ETPs, government and corporate bonds, and interest rate and credit default swaps.</w:t>
      </w:r>
    </w:p>
    <w:p w14:paraId="70D66041" w14:textId="7D2A41A5" w:rsidR="00E21B27" w:rsidRDefault="00E21B27" w:rsidP="009A4BB2"/>
    <w:p w14:paraId="59255FE9" w14:textId="78D41498" w:rsidR="00536A4F" w:rsidRDefault="00536A4F" w:rsidP="009A4BB2">
      <w:r>
        <w:t xml:space="preserve">Invesco </w:t>
      </w:r>
      <w:r w:rsidRPr="008D35C4">
        <w:t>believe</w:t>
      </w:r>
      <w:r>
        <w:t>s</w:t>
      </w:r>
      <w:r w:rsidRPr="008D35C4">
        <w:t xml:space="preserve"> that</w:t>
      </w:r>
      <w:r>
        <w:t xml:space="preserve"> such</w:t>
      </w:r>
      <w:r w:rsidRPr="008D35C4">
        <w:t xml:space="preserve"> </w:t>
      </w:r>
      <w:r>
        <w:t xml:space="preserve">a CT </w:t>
      </w:r>
      <w:r w:rsidRPr="008D35C4">
        <w:t xml:space="preserve">would provide an accessible, </w:t>
      </w:r>
      <w:proofErr w:type="gramStart"/>
      <w:r w:rsidRPr="008D35C4">
        <w:t>comprehensive</w:t>
      </w:r>
      <w:proofErr w:type="gramEnd"/>
      <w:r w:rsidRPr="008D35C4">
        <w:t xml:space="preserve"> and reliable overview of markets which would serve to contribute towards a number of activities including TCA and document</w:t>
      </w:r>
      <w:r>
        <w:t>ation</w:t>
      </w:r>
      <w:r w:rsidRPr="008D35C4">
        <w:t xml:space="preserve"> </w:t>
      </w:r>
      <w:r w:rsidR="00A11196">
        <w:t xml:space="preserve">of </w:t>
      </w:r>
      <w:r w:rsidRPr="008D35C4">
        <w:t>best execution, market surveillance, liquidity risk management and portfolio valuation.</w:t>
      </w:r>
      <w:r w:rsidR="00227FE7">
        <w:t xml:space="preserve"> </w:t>
      </w:r>
      <w:r w:rsidR="00227FE7" w:rsidRPr="00227FE7">
        <w:t xml:space="preserve">We believe this would be much </w:t>
      </w:r>
      <w:r w:rsidR="003E29BF" w:rsidRPr="008D35C4">
        <w:t xml:space="preserve">more valuable </w:t>
      </w:r>
      <w:r w:rsidR="003E29BF">
        <w:t xml:space="preserve">to market participants </w:t>
      </w:r>
      <w:r w:rsidR="003E29BF" w:rsidRPr="008D35C4">
        <w:t xml:space="preserve">than </w:t>
      </w:r>
      <w:r w:rsidR="003E29BF">
        <w:t xml:space="preserve">the revised </w:t>
      </w:r>
      <w:r w:rsidR="003E29BF" w:rsidRPr="008D35C4">
        <w:t>RTS 27 reports</w:t>
      </w:r>
      <w:r w:rsidR="003E29BF">
        <w:t xml:space="preserve"> proposed by ESMA</w:t>
      </w:r>
      <w:r w:rsidR="00227FE7" w:rsidRPr="00227FE7">
        <w:t>.</w:t>
      </w:r>
    </w:p>
    <w:p w14:paraId="64845042" w14:textId="77777777" w:rsidR="00976E81" w:rsidRPr="009A4BB2" w:rsidRDefault="00976E81" w:rsidP="009A4BB2"/>
    <w:permEnd w:id="147554275"/>
    <w:p w14:paraId="04853A9B" w14:textId="7014AED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&lt;ESMA_QUESTION_BEEX_2&gt;</w:t>
      </w:r>
    </w:p>
    <w:p w14:paraId="0625F6A6" w14:textId="77777777" w:rsidR="004258CF" w:rsidRPr="004258CF" w:rsidRDefault="004258CF" w:rsidP="004258CF">
      <w:pPr>
        <w:spacing w:after="160" w:line="256" w:lineRule="auto"/>
        <w:rPr>
          <w:rFonts w:ascii="Calibri" w:eastAsia="Calibri" w:hAnsi="Calibri"/>
          <w:sz w:val="22"/>
          <w:szCs w:val="22"/>
          <w:lang w:eastAsia="en-US"/>
        </w:rPr>
      </w:pPr>
    </w:p>
    <w:p w14:paraId="7973E37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metrics to report the execution quality obtained by execution venues?</w:t>
      </w:r>
    </w:p>
    <w:p w14:paraId="6DEA500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14114D9E" w14:textId="7CDCED4C" w:rsidR="00976E81" w:rsidRDefault="00976E81" w:rsidP="009A4BB2">
      <w:permStart w:id="2033745150" w:edGrp="everyone"/>
    </w:p>
    <w:p w14:paraId="42887AF0" w14:textId="4904C56F" w:rsidR="009A4BB2" w:rsidRDefault="006E265C" w:rsidP="009A4BB2">
      <w:r>
        <w:t xml:space="preserve">In line with our responses to </w:t>
      </w:r>
      <w:r w:rsidR="00506D7C">
        <w:t>Qs 1 and 2, we do not believe that the proposed metrics relating to execution quality set out in paragraph 47 of the consultation would give rise to materially more useful RTS 27 reports.</w:t>
      </w:r>
    </w:p>
    <w:p w14:paraId="5ABCF965" w14:textId="77777777" w:rsidR="00976E81" w:rsidRPr="009A4BB2" w:rsidRDefault="00976E81" w:rsidP="009A4BB2"/>
    <w:permEnd w:id="2033745150"/>
    <w:p w14:paraId="7C403DB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478CC543" w14:textId="77777777" w:rsidR="004258CF" w:rsidRPr="004258CF" w:rsidRDefault="004258CF" w:rsidP="004258CF">
      <w:pPr>
        <w:spacing w:after="160" w:line="256" w:lineRule="auto"/>
        <w:rPr>
          <w:rFonts w:ascii="Calibri" w:eastAsia="Calibri" w:hAnsi="Calibri"/>
          <w:sz w:val="22"/>
          <w:szCs w:val="22"/>
          <w:lang w:eastAsia="en-US"/>
        </w:rPr>
      </w:pPr>
    </w:p>
    <w:p w14:paraId="7E787A45"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Have you observed good or bad practices of reporting by execution venues under the current RTS 27 that can be relevant for the elaboration of proposals to enhance access and user-friendliness of this information? Please provide specific examples if possible.</w:t>
      </w:r>
    </w:p>
    <w:p w14:paraId="6EF7AE96"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2EF1A4B5" w14:textId="7CA6EA68" w:rsidR="004258CF" w:rsidRPr="009A4BB2" w:rsidRDefault="004258CF" w:rsidP="009A4BB2">
      <w:permStart w:id="1685268831" w:edGrp="everyone"/>
    </w:p>
    <w:p w14:paraId="076CBB09" w14:textId="35E448E5" w:rsidR="009A4BB2" w:rsidRDefault="00ED5443" w:rsidP="009A4BB2">
      <w:r>
        <w:t xml:space="preserve">As set out in our response to Q1, it is the case that some RTS 27 reports are published with notices stating that said reports have been published on the basis of </w:t>
      </w:r>
      <w:r w:rsidRPr="009A4BB2">
        <w:t>potentially inaccurate product costs, inconsistent timestamps etc.</w:t>
      </w:r>
      <w:r>
        <w:t>, thus undermining their reliability</w:t>
      </w:r>
      <w:r w:rsidR="00E128C3">
        <w:t xml:space="preserve"> from a usability perspective.</w:t>
      </w:r>
    </w:p>
    <w:p w14:paraId="19C2C833" w14:textId="77777777" w:rsidR="00976E81" w:rsidRPr="009A4BB2" w:rsidRDefault="00976E81" w:rsidP="009A4BB2"/>
    <w:permEnd w:id="1685268831"/>
    <w:p w14:paraId="0748831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03DA6400" w14:textId="77777777" w:rsidR="004258CF" w:rsidRPr="004258CF" w:rsidRDefault="004258CF" w:rsidP="004258CF">
      <w:pPr>
        <w:spacing w:after="160" w:line="256" w:lineRule="auto"/>
        <w:rPr>
          <w:rFonts w:ascii="Calibri" w:eastAsia="Calibri" w:hAnsi="Calibri"/>
          <w:sz w:val="22"/>
          <w:szCs w:val="22"/>
          <w:lang w:eastAsia="en-US"/>
        </w:rPr>
      </w:pPr>
    </w:p>
    <w:p w14:paraId="6C3B0886"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Have you observed good or bad practices of reporting by investment firms under the current RTS 28 that can be relevant for the elaboration of proposals to enhance access and user-friendliness of this information? Please provide specific examples if possible.</w:t>
      </w:r>
    </w:p>
    <w:p w14:paraId="2FC2E32F"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10BB13A6" w14:textId="77777777" w:rsidR="006353C9" w:rsidRDefault="006353C9" w:rsidP="009A4BB2">
      <w:permStart w:id="1373658977" w:edGrp="everyone"/>
    </w:p>
    <w:p w14:paraId="28FCBBC5" w14:textId="12E4189D" w:rsidR="009A4BB2" w:rsidRDefault="00EC0DF1" w:rsidP="009A4BB2">
      <w:r>
        <w:lastRenderedPageBreak/>
        <w:t xml:space="preserve">Though not necessarily </w:t>
      </w:r>
      <w:r w:rsidR="006353C9">
        <w:t>‘</w:t>
      </w:r>
      <w:r>
        <w:t>bad practice</w:t>
      </w:r>
      <w:r w:rsidR="006353C9">
        <w:t>’</w:t>
      </w:r>
      <w:r>
        <w:t>, in terms of the identification of execution venues, we have found that some investment firms will include in their list of ‘Top five venues’ (sometimes multiple) internal trading systems which we believe can limit the usefulness of the report and could, in some instances, call into question potential conflicts of interest and potentially impair best execution</w:t>
      </w:r>
      <w:r w:rsidR="006353C9">
        <w:t>. Po</w:t>
      </w:r>
      <w:r>
        <w:t>licymakers may wish to consider requiring investment firms that operate internal trading systems (and execution venues more broadly) to publish information on how they manage any potential conflicts of interest in this regard.</w:t>
      </w:r>
    </w:p>
    <w:p w14:paraId="5E1520D8" w14:textId="77777777" w:rsidR="00976E81" w:rsidRPr="009A4BB2" w:rsidRDefault="00976E81" w:rsidP="009A4BB2"/>
    <w:permEnd w:id="1373658977"/>
    <w:p w14:paraId="20E613D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35934677" w14:textId="77777777" w:rsidR="004258CF" w:rsidRPr="004258CF" w:rsidRDefault="004258CF" w:rsidP="004258CF">
      <w:pPr>
        <w:spacing w:after="160" w:line="256" w:lineRule="auto"/>
        <w:rPr>
          <w:rFonts w:ascii="Calibri" w:eastAsia="Calibri" w:hAnsi="Calibri"/>
          <w:sz w:val="22"/>
          <w:szCs w:val="22"/>
          <w:lang w:eastAsia="en-US"/>
        </w:rPr>
      </w:pPr>
    </w:p>
    <w:p w14:paraId="6E0321A3"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classification for reporting proposed in Annex I of the possible new RTS 28, especially with regard to the suggested methodology for the reporting on equity instruments? If not, what alternative categorisations would you propose?</w:t>
      </w:r>
    </w:p>
    <w:p w14:paraId="092E655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53F1E569" w14:textId="7F3192B5" w:rsidR="004258CF" w:rsidRPr="009A4BB2" w:rsidRDefault="004258CF" w:rsidP="009A4BB2">
      <w:permStart w:id="1906529081" w:edGrp="everyone"/>
    </w:p>
    <w:p w14:paraId="0F834D15" w14:textId="1A40DCFE" w:rsidR="007F465A" w:rsidRDefault="00EC0DF1" w:rsidP="001B3342">
      <w:r>
        <w:t xml:space="preserve">In line with our comments regarding </w:t>
      </w:r>
      <w:r w:rsidR="001B3342">
        <w:t xml:space="preserve">RTS 27 reports, Invesco </w:t>
      </w:r>
      <w:r w:rsidR="001B3342" w:rsidRPr="009A4BB2">
        <w:t>acknowledge</w:t>
      </w:r>
      <w:r w:rsidR="001B3342">
        <w:t>s</w:t>
      </w:r>
      <w:r w:rsidR="001B3342" w:rsidRPr="009A4BB2">
        <w:t xml:space="preserve"> ESMA’s </w:t>
      </w:r>
      <w:r w:rsidR="001B3342">
        <w:t xml:space="preserve">ambition to clarify </w:t>
      </w:r>
      <w:r w:rsidR="001B3342" w:rsidRPr="009A4BB2">
        <w:t>and recalibrat</w:t>
      </w:r>
      <w:r w:rsidR="001B3342">
        <w:t>e</w:t>
      </w:r>
      <w:r w:rsidR="001B3342" w:rsidRPr="009A4BB2">
        <w:t xml:space="preserve"> the focus of reporting requirements for </w:t>
      </w:r>
      <w:r w:rsidR="001B3342">
        <w:t>investment firms set out under RTS 28 (“RTS 28 reports”)</w:t>
      </w:r>
      <w:r w:rsidR="001B3342" w:rsidRPr="009A4BB2">
        <w:t>. However, such targeted amendments and alterations would not, in our view, address the fundamental flaws relating to</w:t>
      </w:r>
      <w:r w:rsidR="005825A1">
        <w:t xml:space="preserve"> RTS 28 reports i.e., they are of limited use to investment firms’ clients because </w:t>
      </w:r>
      <w:r w:rsidR="00F966D3">
        <w:t xml:space="preserve">they </w:t>
      </w:r>
      <w:r w:rsidR="005825A1" w:rsidRPr="005825A1">
        <w:t xml:space="preserve">provide </w:t>
      </w:r>
      <w:r w:rsidR="00F966D3">
        <w:t xml:space="preserve">only </w:t>
      </w:r>
      <w:r w:rsidR="005825A1" w:rsidRPr="005825A1">
        <w:t>a ‘stale’ and aggregate view of the market</w:t>
      </w:r>
      <w:r w:rsidR="005825A1">
        <w:t xml:space="preserve"> and related trading activity.</w:t>
      </w:r>
    </w:p>
    <w:p w14:paraId="5AA2EB5C" w14:textId="77777777" w:rsidR="007F465A" w:rsidRDefault="007F465A" w:rsidP="001B3342"/>
    <w:p w14:paraId="244E961B" w14:textId="3B30CFDB" w:rsidR="005825A1" w:rsidRDefault="005825A1" w:rsidP="001B3342">
      <w:r>
        <w:t xml:space="preserve">From our interactions with clients, </w:t>
      </w:r>
      <w:r w:rsidR="007F465A">
        <w:t xml:space="preserve">it is the case that they prefer more frequent and timely </w:t>
      </w:r>
      <w:r w:rsidR="007F465A" w:rsidRPr="007F465A">
        <w:t>data, specific to the activities we undertake on their behalf (such as those data which we share with them through our ongoing client servicing and reporting).</w:t>
      </w:r>
    </w:p>
    <w:p w14:paraId="5D4C4771" w14:textId="77777777" w:rsidR="005825A1" w:rsidRDefault="005825A1" w:rsidP="001B3342"/>
    <w:p w14:paraId="313874CF" w14:textId="53910159" w:rsidR="007F465A" w:rsidRDefault="001B3342" w:rsidP="001B3342">
      <w:r>
        <w:t>Given the clear limitations of RTS 2</w:t>
      </w:r>
      <w:r w:rsidR="007F465A">
        <w:t>8</w:t>
      </w:r>
      <w:r>
        <w:t xml:space="preserve"> reports</w:t>
      </w:r>
      <w:r w:rsidR="007F465A">
        <w:t xml:space="preserve"> (including the points raised in our response to Q5),</w:t>
      </w:r>
      <w:r>
        <w:t xml:space="preserve"> </w:t>
      </w:r>
      <w:r w:rsidR="007F465A">
        <w:t xml:space="preserve">even with the proposed changes in scope applied, </w:t>
      </w:r>
      <w:r>
        <w:t xml:space="preserve">it is our view that </w:t>
      </w:r>
      <w:r w:rsidRPr="008D35C4">
        <w:t xml:space="preserve">policymakers </w:t>
      </w:r>
      <w:r>
        <w:t>should</w:t>
      </w:r>
      <w:r w:rsidRPr="008D35C4">
        <w:t xml:space="preserve"> revoke the obligation </w:t>
      </w:r>
      <w:r>
        <w:t>on</w:t>
      </w:r>
      <w:r w:rsidR="007F465A">
        <w:t xml:space="preserve"> investment firms to produce RTS 28 reports. We do not believe that revoking this obligation would have a detrimental impact on investor protection.</w:t>
      </w:r>
    </w:p>
    <w:p w14:paraId="7CED83A7" w14:textId="3EE09315" w:rsidR="006353C9" w:rsidRDefault="006353C9" w:rsidP="001B3342"/>
    <w:p w14:paraId="48775862" w14:textId="6C3DAEBD" w:rsidR="006353C9" w:rsidRDefault="006353C9" w:rsidP="001B3342">
      <w:r>
        <w:t xml:space="preserve">Indeed, it is the case that our publicly available Order Execution Policy </w:t>
      </w:r>
      <w:r w:rsidR="00F52169">
        <w:t>provides</w:t>
      </w:r>
      <w:r w:rsidR="00A9569E">
        <w:t xml:space="preserve"> all</w:t>
      </w:r>
      <w:r w:rsidR="00F52169">
        <w:t xml:space="preserve"> investors with</w:t>
      </w:r>
      <w:r>
        <w:t xml:space="preserve"> relevant details of our order process, the </w:t>
      </w:r>
      <w:proofErr w:type="gramStart"/>
      <w:r>
        <w:t>brokers</w:t>
      </w:r>
      <w:proofErr w:type="gramEnd"/>
      <w:r>
        <w:t xml:space="preserve"> and venues with whom we can place or execute orders (including a list of accessible regulated markets, MTFs, OTFs and SIs, as well as a list of approved counterparties) and the types of financial instruments in which we trade. It is our view that the qualitative </w:t>
      </w:r>
      <w:r w:rsidR="001A1D5A">
        <w:t>materials</w:t>
      </w:r>
      <w:r>
        <w:t xml:space="preserve"> provided in this document provide</w:t>
      </w:r>
      <w:r w:rsidR="00A9569E">
        <w:t>s</w:t>
      </w:r>
      <w:r>
        <w:t xml:space="preserve"> more useful information regarding execution practices than RTS 28 reports, in particular for retail investors.</w:t>
      </w:r>
    </w:p>
    <w:p w14:paraId="7AF45FB9" w14:textId="77777777" w:rsidR="00976E81" w:rsidRPr="009A4BB2" w:rsidRDefault="00976E81" w:rsidP="009A4BB2"/>
    <w:permEnd w:id="1906529081"/>
    <w:p w14:paraId="01FAD932"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0F6B03CC" w14:textId="77777777" w:rsidR="004258CF" w:rsidRPr="004258CF" w:rsidRDefault="004258CF" w:rsidP="004258CF">
      <w:pPr>
        <w:spacing w:after="160" w:line="256" w:lineRule="auto"/>
        <w:rPr>
          <w:rFonts w:ascii="Calibri" w:eastAsia="Calibri" w:hAnsi="Calibri"/>
          <w:sz w:val="22"/>
          <w:szCs w:val="22"/>
          <w:lang w:eastAsia="en-US"/>
        </w:rPr>
      </w:pPr>
    </w:p>
    <w:p w14:paraId="177D582B"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proposals for a possible review of RTS 28?</w:t>
      </w:r>
    </w:p>
    <w:p w14:paraId="3EAC36CC"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6FBF0D64" w14:textId="2077C67E" w:rsidR="004258CF" w:rsidRPr="009A4BB2" w:rsidRDefault="004258CF" w:rsidP="009A4BB2">
      <w:permStart w:id="297553631" w:edGrp="everyone"/>
    </w:p>
    <w:p w14:paraId="515C94EB" w14:textId="404E9BF9" w:rsidR="009563A7" w:rsidRDefault="00EE0A3F" w:rsidP="00EE0A3F">
      <w:r>
        <w:t>In line with our responses to Qs 5 and 6, we</w:t>
      </w:r>
      <w:r w:rsidR="009563A7">
        <w:t xml:space="preserve"> believe that </w:t>
      </w:r>
      <w:r w:rsidR="009563A7" w:rsidRPr="008D35C4">
        <w:t xml:space="preserve">policymakers </w:t>
      </w:r>
      <w:r w:rsidR="009563A7">
        <w:t xml:space="preserve">should </w:t>
      </w:r>
      <w:r w:rsidR="009563A7" w:rsidRPr="008D35C4">
        <w:t xml:space="preserve">revoke the obligation </w:t>
      </w:r>
      <w:r w:rsidR="009563A7">
        <w:t>on investment firms to produce RTS 28 reports.</w:t>
      </w:r>
      <w:r w:rsidR="009563A7" w:rsidRPr="009563A7">
        <w:t xml:space="preserve"> </w:t>
      </w:r>
      <w:r w:rsidR="009563A7">
        <w:t xml:space="preserve">Given the clear limitations of RTS 28 reports, and the significant resource required to produce them (Invesco estimates </w:t>
      </w:r>
      <w:r w:rsidR="009563A7" w:rsidRPr="00EE0A3F">
        <w:t>it takes around 400 ‘people hours’ annually</w:t>
      </w:r>
      <w:r w:rsidR="009563A7">
        <w:t xml:space="preserve">, split between </w:t>
      </w:r>
      <w:r w:rsidR="009563A7" w:rsidRPr="00EE0A3F">
        <w:t>Trading, Technology and Operations, and Publishing functions</w:t>
      </w:r>
      <w:r w:rsidR="009563A7">
        <w:t xml:space="preserve">), it is our view that </w:t>
      </w:r>
      <w:r w:rsidR="009563A7" w:rsidRPr="0037054F">
        <w:t xml:space="preserve">the resource required to produce the RTS 28 reports significantly outweighs any </w:t>
      </w:r>
      <w:r w:rsidR="00EA1CA8">
        <w:t xml:space="preserve">limited </w:t>
      </w:r>
      <w:r w:rsidR="009563A7" w:rsidRPr="0037054F">
        <w:t xml:space="preserve">benefit that clients </w:t>
      </w:r>
      <w:r w:rsidR="00EA1CA8">
        <w:t xml:space="preserve">may </w:t>
      </w:r>
      <w:r w:rsidR="009563A7" w:rsidRPr="0037054F">
        <w:t xml:space="preserve">derive from their </w:t>
      </w:r>
      <w:r w:rsidR="009563A7">
        <w:t>publication</w:t>
      </w:r>
      <w:r w:rsidR="009563A7" w:rsidRPr="0037054F">
        <w:t>.</w:t>
      </w:r>
      <w:r w:rsidR="005F74D0">
        <w:t xml:space="preserve"> It is our view that existing, publicly available Order Execution Policies should take precedence over RTS 28 reports.</w:t>
      </w:r>
    </w:p>
    <w:p w14:paraId="156973A4" w14:textId="77777777" w:rsidR="00976E81" w:rsidRPr="009A4BB2" w:rsidRDefault="00976E81" w:rsidP="009A4BB2"/>
    <w:permEnd w:id="297553631"/>
    <w:p w14:paraId="0F71BB0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191FCAA4" w14:textId="77777777" w:rsidR="004258CF" w:rsidRPr="004258CF" w:rsidRDefault="004258CF" w:rsidP="004258CF">
      <w:pPr>
        <w:spacing w:after="160" w:line="256" w:lineRule="auto"/>
        <w:rPr>
          <w:rFonts w:ascii="Calibri" w:eastAsia="Calibri" w:hAnsi="Calibri"/>
          <w:sz w:val="22"/>
          <w:szCs w:val="22"/>
          <w:lang w:eastAsia="en-US"/>
        </w:rPr>
      </w:pPr>
    </w:p>
    <w:p w14:paraId="73ADAEAC"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cost benefit analysis as it has been described in Annex II?</w:t>
      </w:r>
    </w:p>
    <w:p w14:paraId="6912E60E"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&lt;ESMA_QUESTION_BEEX_8&gt;</w:t>
      </w:r>
    </w:p>
    <w:p w14:paraId="1510A4BE" w14:textId="61E21003" w:rsidR="004258CF" w:rsidRPr="009A4BB2" w:rsidRDefault="004258CF" w:rsidP="009A4BB2">
      <w:permStart w:id="1132928363" w:edGrp="everyone"/>
    </w:p>
    <w:p w14:paraId="357E0F05" w14:textId="5D786AA3" w:rsidR="00867857" w:rsidRDefault="0037054F" w:rsidP="009A4BB2">
      <w:r>
        <w:t>As set out in our previous responses, we do not believe that RTS 27 and RTS 28 reports are materially useful to intended audiences</w:t>
      </w:r>
      <w:r w:rsidR="00867857">
        <w:t>, nor would they be in revised form</w:t>
      </w:r>
      <w:r>
        <w:t>. As such, from a cost-benefit analysis perspective, we do not believe that either such report represents</w:t>
      </w:r>
      <w:r w:rsidR="001868FD">
        <w:t>, or would represent in revised form,</w:t>
      </w:r>
      <w:r>
        <w:t xml:space="preserve"> </w:t>
      </w:r>
      <w:r w:rsidR="00B814B3">
        <w:t xml:space="preserve">good </w:t>
      </w:r>
      <w:r>
        <w:t>value relative to the resource required for the production thereof.</w:t>
      </w:r>
      <w:r w:rsidR="003C2AB4">
        <w:t xml:space="preserve"> </w:t>
      </w:r>
      <w:r w:rsidR="00867857">
        <w:t>Invesco therefore disagrees with the conclusion drawn by ESMA in paragraph 66 of the consultation.</w:t>
      </w:r>
    </w:p>
    <w:p w14:paraId="2DCC32AD" w14:textId="77777777" w:rsidR="00976E81" w:rsidRPr="009A4BB2" w:rsidRDefault="00976E81" w:rsidP="009A4BB2"/>
    <w:permEnd w:id="1132928363"/>
    <w:p w14:paraId="3A8CD7F4"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&lt;ESMA_QUESTION_BEEX_8&gt;</w:t>
      </w:r>
    </w:p>
    <w:p w14:paraId="484577B1" w14:textId="77777777" w:rsidR="004258CF" w:rsidRPr="004258CF" w:rsidRDefault="004258CF" w:rsidP="004258CF">
      <w:pPr>
        <w:spacing w:after="160" w:line="256" w:lineRule="auto"/>
        <w:rPr>
          <w:rFonts w:ascii="Calibri" w:eastAsia="Calibri" w:hAnsi="Calibri"/>
          <w:sz w:val="22"/>
          <w:szCs w:val="22"/>
          <w:lang w:eastAsia="en-US"/>
        </w:rPr>
      </w:pPr>
    </w:p>
    <w:p w14:paraId="2C0DA92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Are there any additional comments that you would like to raise and/or information that you would like to provide?</w:t>
      </w:r>
    </w:p>
    <w:p w14:paraId="231F0D9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&lt;ESMA_QUESTION_BEEX_9&gt;</w:t>
      </w:r>
    </w:p>
    <w:p w14:paraId="795849B1" w14:textId="053CAFDA" w:rsidR="004258CF" w:rsidRPr="009A4BB2" w:rsidRDefault="004258CF" w:rsidP="009A4BB2">
      <w:permStart w:id="686839684" w:edGrp="everyone"/>
    </w:p>
    <w:p w14:paraId="0E86D81F" w14:textId="5C2768DF" w:rsidR="00B814B3" w:rsidRDefault="00B814B3" w:rsidP="009A4BB2">
      <w:r>
        <w:t>We agree with the sentiment expressed by the European Commission, in its November 2021 proposal to amend the EU MiFID II framework, which states that “</w:t>
      </w:r>
      <w:r w:rsidRPr="00B814B3">
        <w:t xml:space="preserve">Factual evidence and feedback from stakeholders has shown that </w:t>
      </w:r>
      <w:r>
        <w:t xml:space="preserve">[RTS 27] </w:t>
      </w:r>
      <w:r w:rsidRPr="00B814B3">
        <w:t>reports are rarely read and do not enable investors or any users of those reports to make meaningful comparisons based on the information provided in those report</w:t>
      </w:r>
      <w:r>
        <w:t>”. The European Commission also states that, with the emergence of a cross-asset class post-trade CT, “</w:t>
      </w:r>
      <w:r w:rsidRPr="00B814B3">
        <w:t xml:space="preserve">The reporting requirement laid down in Article 27(3) of </w:t>
      </w:r>
      <w:r>
        <w:t xml:space="preserve">[EU MiFID II] </w:t>
      </w:r>
      <w:r w:rsidRPr="00B814B3">
        <w:t>will therefore no longer be relevant and should therefore be deleted.</w:t>
      </w:r>
      <w:r>
        <w:t xml:space="preserve">” </w:t>
      </w:r>
    </w:p>
    <w:p w14:paraId="20707940" w14:textId="15E8426D" w:rsidR="00B814B3" w:rsidRDefault="00B814B3" w:rsidP="009A4BB2"/>
    <w:p w14:paraId="16F41F4A" w14:textId="0105E486" w:rsidR="009A4BB2" w:rsidRDefault="00EC0943" w:rsidP="009A4BB2">
      <w:r>
        <w:t>We encourage policymakers to extend this pragmatic approach to the reporting requirement laid down in Article 27(6) of the EU MiFID II framework, not only due to the fundamental flaws that we have highlighted in our responses to previous questions regarding RTS 28 reports, but also in the broader context of EU competitiveness globally. For example, the UK Financial Conduct Authority (“FCA”) recently published a Policy Statement</w:t>
      </w:r>
      <w:r>
        <w:rPr>
          <w:rStyle w:val="FootnoteReference"/>
        </w:rPr>
        <w:footnoteReference w:id="9"/>
      </w:r>
      <w:r>
        <w:t xml:space="preserve"> in which it removed obligations</w:t>
      </w:r>
      <w:r w:rsidR="00F0651A">
        <w:t>, from 1 December 2021,</w:t>
      </w:r>
      <w:r>
        <w:t xml:space="preserve"> on trading venues and SIs to produce RTS 27 reports and on investment firms to produce RTS 28 reports.</w:t>
      </w:r>
    </w:p>
    <w:p w14:paraId="5D4A3FDF" w14:textId="740F3697" w:rsidR="00EC0943" w:rsidRDefault="00EC0943" w:rsidP="009A4BB2"/>
    <w:p w14:paraId="06AE3BB1" w14:textId="6F519163" w:rsidR="007B1C72" w:rsidRDefault="007B1C72" w:rsidP="009A4BB2">
      <w:r>
        <w:t>From a competitiveness perspective, continuing to require EU investment firms to produce RTS 28 reports, where they provide extremely limited to no value to the intended audience, would put them at a competitive disadvantage in comparison to UK investment firms in the context of best execution reporting</w:t>
      </w:r>
      <w:r w:rsidR="00560DF3">
        <w:t xml:space="preserve"> obligations</w:t>
      </w:r>
      <w:r>
        <w:t>.</w:t>
      </w:r>
    </w:p>
    <w:p w14:paraId="51F8D2A2" w14:textId="77777777" w:rsidR="003C2AB4" w:rsidRPr="009A4BB2" w:rsidRDefault="003C2AB4" w:rsidP="009A4BB2"/>
    <w:permEnd w:id="686839684"/>
    <w:p w14:paraId="4B0FF93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&lt;ESMA_QUESTION_BEEX_9&gt;</w:t>
      </w:r>
    </w:p>
    <w:p w14:paraId="3ED8C52A" w14:textId="77777777" w:rsidR="004258CF" w:rsidRPr="004258CF" w:rsidRDefault="004258CF" w:rsidP="004258CF">
      <w:pPr>
        <w:spacing w:after="160" w:line="256" w:lineRule="auto"/>
        <w:rPr>
          <w:rFonts w:ascii="Calibri" w:eastAsia="Calibri" w:hAnsi="Calibri"/>
          <w:sz w:val="22"/>
          <w:szCs w:val="22"/>
          <w:lang w:eastAsia="en-US"/>
        </w:rPr>
      </w:pPr>
    </w:p>
    <w:p w14:paraId="424DF368" w14:textId="77777777" w:rsidR="004258CF" w:rsidRPr="00014A67" w:rsidRDefault="004258CF" w:rsidP="00014A67">
      <w:pPr>
        <w:rPr>
          <w:lang w:eastAsia="en-US"/>
        </w:rPr>
      </w:pPr>
    </w:p>
    <w:sectPr w:rsidR="004258CF"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242E0" w14:textId="77777777" w:rsidR="00DB310A" w:rsidRDefault="00DB310A">
      <w:r>
        <w:separator/>
      </w:r>
    </w:p>
    <w:p w14:paraId="606C93D1" w14:textId="77777777" w:rsidR="00DB310A" w:rsidRDefault="00DB310A"/>
  </w:endnote>
  <w:endnote w:type="continuationSeparator" w:id="0">
    <w:p w14:paraId="17CAC7EC" w14:textId="77777777" w:rsidR="00DB310A" w:rsidRDefault="00DB310A">
      <w:r>
        <w:continuationSeparator/>
      </w:r>
    </w:p>
    <w:p w14:paraId="596475AF" w14:textId="77777777" w:rsidR="00DB310A" w:rsidRDefault="00DB310A"/>
  </w:endnote>
  <w:endnote w:type="continuationNotice" w:id="1">
    <w:p w14:paraId="6D837418" w14:textId="77777777" w:rsidR="00DB310A" w:rsidRDefault="00DB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825A1" w:rsidRPr="00616B9B" w14:paraId="5517B000" w14:textId="77777777" w:rsidTr="00315E96">
      <w:trPr>
        <w:trHeight w:val="284"/>
      </w:trPr>
      <w:tc>
        <w:tcPr>
          <w:tcW w:w="8460" w:type="dxa"/>
        </w:tcPr>
        <w:p w14:paraId="4C959F65" w14:textId="77777777" w:rsidR="005825A1" w:rsidRPr="00315E96" w:rsidRDefault="005825A1" w:rsidP="00315E96">
          <w:pPr>
            <w:pStyle w:val="00Footer"/>
            <w:rPr>
              <w:lang w:val="fr-FR"/>
            </w:rPr>
          </w:pPr>
        </w:p>
      </w:tc>
      <w:tc>
        <w:tcPr>
          <w:tcW w:w="952" w:type="dxa"/>
        </w:tcPr>
        <w:p w14:paraId="2310C30E" w14:textId="77777777" w:rsidR="005825A1" w:rsidRPr="00616B9B" w:rsidRDefault="005825A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14:paraId="08C7C785" w14:textId="77777777" w:rsidR="005825A1" w:rsidRDefault="00582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5825A1" w:rsidRDefault="0058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64164" w14:textId="77777777" w:rsidR="00DB310A" w:rsidRDefault="00DB310A">
      <w:r>
        <w:separator/>
      </w:r>
    </w:p>
    <w:p w14:paraId="03E75520" w14:textId="77777777" w:rsidR="00DB310A" w:rsidRDefault="00DB310A"/>
  </w:footnote>
  <w:footnote w:type="continuationSeparator" w:id="0">
    <w:p w14:paraId="4E5DDA7B" w14:textId="77777777" w:rsidR="00DB310A" w:rsidRDefault="00DB310A">
      <w:r>
        <w:continuationSeparator/>
      </w:r>
    </w:p>
    <w:p w14:paraId="01937223" w14:textId="77777777" w:rsidR="00DB310A" w:rsidRDefault="00DB310A"/>
  </w:footnote>
  <w:footnote w:type="continuationNotice" w:id="1">
    <w:p w14:paraId="3D405A55" w14:textId="77777777" w:rsidR="00DB310A" w:rsidRDefault="00DB310A"/>
  </w:footnote>
  <w:footnote w:id="2">
    <w:p w14:paraId="2A574A8B" w14:textId="462BCCFA" w:rsidR="005825A1" w:rsidRDefault="005825A1">
      <w:pPr>
        <w:pStyle w:val="FootnoteText"/>
      </w:pPr>
      <w:r>
        <w:rPr>
          <w:rStyle w:val="FootnoteReference"/>
        </w:rPr>
        <w:footnoteRef/>
      </w:r>
      <w:r>
        <w:t xml:space="preserve"> </w:t>
      </w:r>
      <w:hyperlink r:id="rId1" w:history="1">
        <w:r w:rsidRPr="00B5549A">
          <w:rPr>
            <w:rStyle w:val="Hyperlink"/>
          </w:rPr>
          <w:t>Invesco</w:t>
        </w:r>
      </w:hyperlink>
      <w:r>
        <w:t xml:space="preserve">, November 2021 </w:t>
      </w:r>
    </w:p>
  </w:footnote>
  <w:footnote w:id="3">
    <w:p w14:paraId="5378639A" w14:textId="77777777" w:rsidR="005825A1" w:rsidRDefault="005825A1" w:rsidP="001B3342">
      <w:pPr>
        <w:pStyle w:val="FootnoteText"/>
      </w:pPr>
      <w:r>
        <w:rPr>
          <w:rStyle w:val="FootnoteReference"/>
        </w:rPr>
        <w:footnoteRef/>
      </w:r>
      <w:r>
        <w:t xml:space="preserve"> </w:t>
      </w:r>
      <w:hyperlink r:id="rId2" w:history="1">
        <w:r w:rsidRPr="001B3342">
          <w:rPr>
            <w:rStyle w:val="Hyperlink"/>
          </w:rPr>
          <w:t>Directive 2014/65/EU of the European Parliament and of the Council</w:t>
        </w:r>
      </w:hyperlink>
    </w:p>
  </w:footnote>
  <w:footnote w:id="4">
    <w:p w14:paraId="285DA24F" w14:textId="0173A58B" w:rsidR="005825A1" w:rsidRDefault="005825A1">
      <w:pPr>
        <w:pStyle w:val="FootnoteText"/>
      </w:pPr>
      <w:r>
        <w:rPr>
          <w:rStyle w:val="FootnoteReference"/>
        </w:rPr>
        <w:footnoteRef/>
      </w:r>
      <w:r>
        <w:t xml:space="preserve"> As enacted by </w:t>
      </w:r>
      <w:hyperlink r:id="rId3" w:history="1">
        <w:r w:rsidRPr="00310EE2">
          <w:rPr>
            <w:rStyle w:val="Hyperlink"/>
          </w:rPr>
          <w:t>Directive (EU) 2021/338 of the European Parliament and of the Council</w:t>
        </w:r>
      </w:hyperlink>
    </w:p>
  </w:footnote>
  <w:footnote w:id="5">
    <w:p w14:paraId="656B2773" w14:textId="3C35085E" w:rsidR="005825A1" w:rsidRDefault="005825A1">
      <w:pPr>
        <w:pStyle w:val="FootnoteText"/>
      </w:pPr>
      <w:r>
        <w:rPr>
          <w:rStyle w:val="FootnoteReference"/>
        </w:rPr>
        <w:footnoteRef/>
      </w:r>
      <w:r>
        <w:t xml:space="preserve"> European Commission, </w:t>
      </w:r>
      <w:hyperlink r:id="rId4" w:history="1">
        <w:r w:rsidRPr="00310EE2">
          <w:rPr>
            <w:rStyle w:val="Hyperlink"/>
          </w:rPr>
          <w:t>Capital Markets Union – Delivering one year after the Action Plan</w:t>
        </w:r>
      </w:hyperlink>
      <w:r>
        <w:t>, November 2021</w:t>
      </w:r>
    </w:p>
  </w:footnote>
  <w:footnote w:id="6">
    <w:p w14:paraId="712D453A" w14:textId="1188AEE7" w:rsidR="005825A1" w:rsidRDefault="005825A1">
      <w:pPr>
        <w:pStyle w:val="FootnoteText"/>
      </w:pPr>
      <w:r>
        <w:rPr>
          <w:rStyle w:val="FootnoteReference"/>
        </w:rPr>
        <w:footnoteRef/>
      </w:r>
      <w:r>
        <w:t xml:space="preserve"> European Commission, </w:t>
      </w:r>
      <w:hyperlink r:id="rId5" w:history="1">
        <w:r w:rsidRPr="00F1140E">
          <w:rPr>
            <w:rStyle w:val="Hyperlink"/>
          </w:rPr>
          <w:t>Proposal for a Directive of the European Parliament and of the Council amending Directive 2014/65/EU on markets in financial instruments</w:t>
        </w:r>
      </w:hyperlink>
      <w:r>
        <w:t>, November 2021</w:t>
      </w:r>
    </w:p>
  </w:footnote>
  <w:footnote w:id="7">
    <w:p w14:paraId="5E0052BD" w14:textId="5D425DBD" w:rsidR="005825A1" w:rsidRDefault="005825A1">
      <w:pPr>
        <w:pStyle w:val="FootnoteText"/>
      </w:pPr>
      <w:r>
        <w:rPr>
          <w:rStyle w:val="FootnoteReference"/>
        </w:rPr>
        <w:footnoteRef/>
      </w:r>
      <w:r>
        <w:t xml:space="preserve"> </w:t>
      </w:r>
      <w:hyperlink r:id="rId6" w:history="1">
        <w:r w:rsidRPr="001B3342">
          <w:rPr>
            <w:rStyle w:val="Hyperlink"/>
          </w:rPr>
          <w:t>Commission Delegated Regulation (EU) 2017/575</w:t>
        </w:r>
      </w:hyperlink>
    </w:p>
  </w:footnote>
  <w:footnote w:id="8">
    <w:p w14:paraId="34E1AD50" w14:textId="1D41D4D9" w:rsidR="005825A1" w:rsidRDefault="005825A1">
      <w:pPr>
        <w:pStyle w:val="FootnoteText"/>
      </w:pPr>
      <w:r>
        <w:rPr>
          <w:rStyle w:val="FootnoteReference"/>
        </w:rPr>
        <w:footnoteRef/>
      </w:r>
      <w:r>
        <w:t xml:space="preserve"> </w:t>
      </w:r>
      <w:hyperlink r:id="rId7" w:history="1">
        <w:r w:rsidRPr="001B3342">
          <w:rPr>
            <w:rStyle w:val="Hyperlink"/>
          </w:rPr>
          <w:t>Commission Delegated Regulation (EU) 2017/576</w:t>
        </w:r>
      </w:hyperlink>
    </w:p>
  </w:footnote>
  <w:footnote w:id="9">
    <w:p w14:paraId="2BAC2C3E" w14:textId="70A263DC" w:rsidR="00EC0943" w:rsidRDefault="00EC0943">
      <w:pPr>
        <w:pStyle w:val="FootnoteText"/>
      </w:pPr>
      <w:r>
        <w:rPr>
          <w:rStyle w:val="FootnoteReference"/>
        </w:rPr>
        <w:footnoteRef/>
      </w:r>
      <w:r>
        <w:t xml:space="preserve"> FCA, </w:t>
      </w:r>
      <w:hyperlink r:id="rId8" w:history="1">
        <w:r w:rsidRPr="00EC0943">
          <w:rPr>
            <w:rStyle w:val="Hyperlink"/>
          </w:rPr>
          <w:t>Policy Statement PS21/20 on changes to UK MiFID’s conduct and organisational requirements</w:t>
        </w:r>
      </w:hyperlink>
      <w:r>
        <w:t>,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5825A1" w:rsidRDefault="005825A1">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5825A1" w:rsidRDefault="005825A1"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5825A1" w:rsidRDefault="005825A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825A1" w:rsidRPr="002F4496" w14:paraId="5849CEB8" w14:textId="77777777" w:rsidTr="000C06C9">
      <w:trPr>
        <w:trHeight w:val="284"/>
      </w:trPr>
      <w:tc>
        <w:tcPr>
          <w:tcW w:w="8460" w:type="dxa"/>
        </w:tcPr>
        <w:p w14:paraId="2B1CC9DC" w14:textId="77777777" w:rsidR="005825A1" w:rsidRPr="000C3B6D" w:rsidRDefault="005825A1" w:rsidP="000C06C9">
          <w:pPr>
            <w:pStyle w:val="00Footer"/>
            <w:rPr>
              <w:lang w:val="fr-FR"/>
            </w:rPr>
          </w:pPr>
        </w:p>
      </w:tc>
      <w:tc>
        <w:tcPr>
          <w:tcW w:w="952" w:type="dxa"/>
        </w:tcPr>
        <w:p w14:paraId="0A78D32B" w14:textId="77777777" w:rsidR="005825A1" w:rsidRPr="00146B34" w:rsidRDefault="005825A1" w:rsidP="000C06C9">
          <w:pPr>
            <w:pStyle w:val="00aPagenumber"/>
            <w:rPr>
              <w:lang w:val="fr-FR"/>
            </w:rPr>
          </w:pPr>
        </w:p>
      </w:tc>
    </w:tr>
  </w:tbl>
  <w:p w14:paraId="228C483B" w14:textId="77777777" w:rsidR="005825A1" w:rsidRPr="00DB46C3" w:rsidRDefault="005825A1">
    <w:pPr>
      <w:rPr>
        <w:lang w:val="fr-FR"/>
      </w:rPr>
    </w:pPr>
  </w:p>
  <w:p w14:paraId="7ABBBBAC" w14:textId="77777777" w:rsidR="005825A1" w:rsidRPr="002F4496" w:rsidRDefault="005825A1">
    <w:pPr>
      <w:pStyle w:val="Header"/>
      <w:rPr>
        <w:lang w:val="fr-FR"/>
      </w:rPr>
    </w:pPr>
  </w:p>
  <w:p w14:paraId="0F1BB730" w14:textId="77777777" w:rsidR="005825A1" w:rsidRPr="002F4496" w:rsidRDefault="005825A1" w:rsidP="000C06C9">
    <w:pPr>
      <w:pStyle w:val="Header"/>
      <w:tabs>
        <w:tab w:val="clear" w:pos="4536"/>
        <w:tab w:val="clear" w:pos="9072"/>
        <w:tab w:val="left" w:pos="8227"/>
      </w:tabs>
      <w:rPr>
        <w:lang w:val="fr-FR"/>
      </w:rPr>
    </w:pPr>
  </w:p>
  <w:p w14:paraId="354F7019" w14:textId="77777777" w:rsidR="005825A1" w:rsidRPr="002F4496" w:rsidRDefault="005825A1" w:rsidP="000C06C9">
    <w:pPr>
      <w:pStyle w:val="Header"/>
      <w:tabs>
        <w:tab w:val="clear" w:pos="4536"/>
        <w:tab w:val="clear" w:pos="9072"/>
        <w:tab w:val="left" w:pos="8227"/>
      </w:tabs>
      <w:rPr>
        <w:lang w:val="fr-FR"/>
      </w:rPr>
    </w:pPr>
  </w:p>
  <w:p w14:paraId="438C49BF" w14:textId="77777777" w:rsidR="005825A1" w:rsidRPr="002F4496" w:rsidRDefault="005825A1">
    <w:pPr>
      <w:pStyle w:val="Header"/>
      <w:rPr>
        <w:lang w:val="fr-FR"/>
      </w:rPr>
    </w:pPr>
  </w:p>
  <w:p w14:paraId="77F5F5FB" w14:textId="77777777" w:rsidR="005825A1" w:rsidRPr="002F4496" w:rsidRDefault="005825A1">
    <w:pPr>
      <w:pStyle w:val="Header"/>
      <w:rPr>
        <w:lang w:val="fr-FR"/>
      </w:rPr>
    </w:pPr>
  </w:p>
  <w:p w14:paraId="31EA96F8" w14:textId="77777777" w:rsidR="005825A1" w:rsidRPr="002F4496" w:rsidRDefault="005825A1">
    <w:pPr>
      <w:pStyle w:val="Header"/>
      <w:rPr>
        <w:lang w:val="fr-FR"/>
      </w:rPr>
    </w:pPr>
  </w:p>
  <w:p w14:paraId="0FAE7A71" w14:textId="77777777" w:rsidR="005825A1" w:rsidRPr="002F4496" w:rsidRDefault="005825A1">
    <w:pPr>
      <w:pStyle w:val="Header"/>
      <w:rPr>
        <w:lang w:val="fr-FR"/>
      </w:rPr>
    </w:pPr>
  </w:p>
  <w:p w14:paraId="339C0C6E" w14:textId="77777777" w:rsidR="005825A1" w:rsidRPr="002F4496" w:rsidRDefault="005825A1">
    <w:pPr>
      <w:pStyle w:val="Header"/>
      <w:rPr>
        <w:highlight w:val="yellow"/>
        <w:lang w:val="fr-FR"/>
      </w:rPr>
    </w:pPr>
  </w:p>
  <w:p w14:paraId="0495A777" w14:textId="77777777" w:rsidR="005825A1" w:rsidRDefault="005825A1">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7CC5CFD"/>
    <w:multiLevelType w:val="hybridMultilevel"/>
    <w:tmpl w:val="3B78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FA6466B6"/>
    <w:lvl w:ilvl="0" w:tplc="B8FE8AE4">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BE73BA0"/>
    <w:multiLevelType w:val="multilevel"/>
    <w:tmpl w:val="5CE4FD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1"/>
  </w:num>
  <w:num w:numId="4">
    <w:abstractNumId w:val="24"/>
  </w:num>
  <w:num w:numId="5">
    <w:abstractNumId w:val="26"/>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8"/>
  </w:num>
  <w:num w:numId="16">
    <w:abstractNumId w:val="1"/>
  </w:num>
  <w:num w:numId="17">
    <w:abstractNumId w:val="14"/>
  </w:num>
  <w:num w:numId="18">
    <w:abstractNumId w:val="15"/>
  </w:num>
  <w:num w:numId="19">
    <w:abstractNumId w:val="18"/>
  </w:num>
  <w:num w:numId="20">
    <w:abstractNumId w:val="27"/>
  </w:num>
  <w:num w:numId="21">
    <w:abstractNumId w:val="37"/>
  </w:num>
  <w:num w:numId="22">
    <w:abstractNumId w:val="25"/>
  </w:num>
  <w:num w:numId="23">
    <w:abstractNumId w:val="7"/>
  </w:num>
  <w:num w:numId="24">
    <w:abstractNumId w:val="30"/>
  </w:num>
  <w:num w:numId="25">
    <w:abstractNumId w:val="29"/>
  </w:num>
  <w:num w:numId="26">
    <w:abstractNumId w:val="20"/>
  </w:num>
  <w:num w:numId="27">
    <w:abstractNumId w:val="34"/>
  </w:num>
  <w:num w:numId="28">
    <w:abstractNumId w:val="39"/>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2"/>
  </w:num>
  <w:num w:numId="39">
    <w:abstractNumId w:val="10"/>
  </w:num>
  <w:num w:numId="4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J7HZXB9gSYCILHQIW1cyfcWswNF8iwjO8PyLtE3K2MEJ3QZI2bUAAcgNGjb506Vy2efyNvbdX3N1wEFLu9wfA==" w:salt="ELPiLiG5u/Wle4LZDLwvW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0F7F"/>
    <w:rsid w:val="00062592"/>
    <w:rsid w:val="000636A1"/>
    <w:rsid w:val="000649D9"/>
    <w:rsid w:val="000652BE"/>
    <w:rsid w:val="00066479"/>
    <w:rsid w:val="00066E0B"/>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68FD"/>
    <w:rsid w:val="00187304"/>
    <w:rsid w:val="001875BE"/>
    <w:rsid w:val="0019017A"/>
    <w:rsid w:val="00190B8C"/>
    <w:rsid w:val="00190FF8"/>
    <w:rsid w:val="0019311A"/>
    <w:rsid w:val="0019508A"/>
    <w:rsid w:val="00195BFF"/>
    <w:rsid w:val="001960D8"/>
    <w:rsid w:val="001A1642"/>
    <w:rsid w:val="001A1D5A"/>
    <w:rsid w:val="001A371B"/>
    <w:rsid w:val="001A4766"/>
    <w:rsid w:val="001A5E5C"/>
    <w:rsid w:val="001A6A0D"/>
    <w:rsid w:val="001A6C51"/>
    <w:rsid w:val="001A6FAA"/>
    <w:rsid w:val="001A7D73"/>
    <w:rsid w:val="001B0363"/>
    <w:rsid w:val="001B1355"/>
    <w:rsid w:val="001B3138"/>
    <w:rsid w:val="001B3342"/>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796B"/>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44D5"/>
    <w:rsid w:val="00226633"/>
    <w:rsid w:val="00227FE7"/>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46"/>
    <w:rsid w:val="002D16E4"/>
    <w:rsid w:val="002D2FEF"/>
    <w:rsid w:val="002D36C2"/>
    <w:rsid w:val="002D3FCB"/>
    <w:rsid w:val="002D4FEF"/>
    <w:rsid w:val="002D502D"/>
    <w:rsid w:val="002D63F5"/>
    <w:rsid w:val="002D6CD1"/>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0EE2"/>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122"/>
    <w:rsid w:val="003273FE"/>
    <w:rsid w:val="0033194F"/>
    <w:rsid w:val="00332304"/>
    <w:rsid w:val="00332406"/>
    <w:rsid w:val="00332D8D"/>
    <w:rsid w:val="003331A2"/>
    <w:rsid w:val="00336B56"/>
    <w:rsid w:val="00341B25"/>
    <w:rsid w:val="00341EC0"/>
    <w:rsid w:val="0034240C"/>
    <w:rsid w:val="00344496"/>
    <w:rsid w:val="00345968"/>
    <w:rsid w:val="00347667"/>
    <w:rsid w:val="00347DC6"/>
    <w:rsid w:val="00350590"/>
    <w:rsid w:val="003507E2"/>
    <w:rsid w:val="003522B2"/>
    <w:rsid w:val="0035455E"/>
    <w:rsid w:val="00354A6F"/>
    <w:rsid w:val="00354B48"/>
    <w:rsid w:val="00355789"/>
    <w:rsid w:val="003557F4"/>
    <w:rsid w:val="00357C60"/>
    <w:rsid w:val="003609B6"/>
    <w:rsid w:val="00361119"/>
    <w:rsid w:val="0036538D"/>
    <w:rsid w:val="00365D12"/>
    <w:rsid w:val="0037018D"/>
    <w:rsid w:val="0037054F"/>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2AB4"/>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29BF"/>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8CF"/>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107"/>
    <w:rsid w:val="00455273"/>
    <w:rsid w:val="00460905"/>
    <w:rsid w:val="00461E35"/>
    <w:rsid w:val="004621DB"/>
    <w:rsid w:val="004634A7"/>
    <w:rsid w:val="00463787"/>
    <w:rsid w:val="00465AE6"/>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4DC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6D7C"/>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6A4F"/>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0DF3"/>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A1"/>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5F74D0"/>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3C9"/>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091"/>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D748D"/>
    <w:rsid w:val="006E0A4F"/>
    <w:rsid w:val="006E0C8A"/>
    <w:rsid w:val="006E265C"/>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1D7"/>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1C72"/>
    <w:rsid w:val="007B21DE"/>
    <w:rsid w:val="007B2BB9"/>
    <w:rsid w:val="007B43E8"/>
    <w:rsid w:val="007B4740"/>
    <w:rsid w:val="007B502C"/>
    <w:rsid w:val="007B5D09"/>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65A"/>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2CD9"/>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987"/>
    <w:rsid w:val="00865B01"/>
    <w:rsid w:val="00866D7A"/>
    <w:rsid w:val="00866EE3"/>
    <w:rsid w:val="00867857"/>
    <w:rsid w:val="008701E5"/>
    <w:rsid w:val="008706C5"/>
    <w:rsid w:val="00871D24"/>
    <w:rsid w:val="00871F04"/>
    <w:rsid w:val="00873B7E"/>
    <w:rsid w:val="008746C1"/>
    <w:rsid w:val="00880224"/>
    <w:rsid w:val="0088244C"/>
    <w:rsid w:val="00883367"/>
    <w:rsid w:val="00884C47"/>
    <w:rsid w:val="00884E92"/>
    <w:rsid w:val="00885E6F"/>
    <w:rsid w:val="008861AC"/>
    <w:rsid w:val="008868E4"/>
    <w:rsid w:val="00886A60"/>
    <w:rsid w:val="00886D3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5C4"/>
    <w:rsid w:val="008D3F10"/>
    <w:rsid w:val="008D611D"/>
    <w:rsid w:val="008E1B6A"/>
    <w:rsid w:val="008E3054"/>
    <w:rsid w:val="008E32FF"/>
    <w:rsid w:val="008E5625"/>
    <w:rsid w:val="008E5C5B"/>
    <w:rsid w:val="008E6A37"/>
    <w:rsid w:val="008E6B70"/>
    <w:rsid w:val="008F0354"/>
    <w:rsid w:val="008F085A"/>
    <w:rsid w:val="008F0FA7"/>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143D"/>
    <w:rsid w:val="00913401"/>
    <w:rsid w:val="00913567"/>
    <w:rsid w:val="009137B6"/>
    <w:rsid w:val="009147F5"/>
    <w:rsid w:val="00915EBA"/>
    <w:rsid w:val="00917093"/>
    <w:rsid w:val="0091799E"/>
    <w:rsid w:val="0092030E"/>
    <w:rsid w:val="009203D0"/>
    <w:rsid w:val="009217B1"/>
    <w:rsid w:val="00921A42"/>
    <w:rsid w:val="009223BB"/>
    <w:rsid w:val="00922491"/>
    <w:rsid w:val="00923BCF"/>
    <w:rsid w:val="009252EC"/>
    <w:rsid w:val="00925AEC"/>
    <w:rsid w:val="0092751A"/>
    <w:rsid w:val="009305C4"/>
    <w:rsid w:val="00931FAF"/>
    <w:rsid w:val="00934EB7"/>
    <w:rsid w:val="009360F6"/>
    <w:rsid w:val="00936E35"/>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63A7"/>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E81"/>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BB2"/>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D68F4"/>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19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69E"/>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271"/>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201E"/>
    <w:rsid w:val="00AF332C"/>
    <w:rsid w:val="00AF38AF"/>
    <w:rsid w:val="00AF3C29"/>
    <w:rsid w:val="00AF4401"/>
    <w:rsid w:val="00AF4463"/>
    <w:rsid w:val="00AF53CB"/>
    <w:rsid w:val="00AF5D6D"/>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2DD3"/>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49A"/>
    <w:rsid w:val="00B55640"/>
    <w:rsid w:val="00B57107"/>
    <w:rsid w:val="00B60D27"/>
    <w:rsid w:val="00B619E4"/>
    <w:rsid w:val="00B61D0B"/>
    <w:rsid w:val="00B6439A"/>
    <w:rsid w:val="00B6443B"/>
    <w:rsid w:val="00B6517B"/>
    <w:rsid w:val="00B65E71"/>
    <w:rsid w:val="00B66A0E"/>
    <w:rsid w:val="00B66C26"/>
    <w:rsid w:val="00B705C4"/>
    <w:rsid w:val="00B71FB3"/>
    <w:rsid w:val="00B73492"/>
    <w:rsid w:val="00B7512A"/>
    <w:rsid w:val="00B76548"/>
    <w:rsid w:val="00B76BED"/>
    <w:rsid w:val="00B806E6"/>
    <w:rsid w:val="00B814B3"/>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4BE5"/>
    <w:rsid w:val="00C456E8"/>
    <w:rsid w:val="00C46630"/>
    <w:rsid w:val="00C47A2F"/>
    <w:rsid w:val="00C50D18"/>
    <w:rsid w:val="00C51179"/>
    <w:rsid w:val="00C5281B"/>
    <w:rsid w:val="00C5282C"/>
    <w:rsid w:val="00C52FBE"/>
    <w:rsid w:val="00C5355E"/>
    <w:rsid w:val="00C535E2"/>
    <w:rsid w:val="00C539FF"/>
    <w:rsid w:val="00C53FC1"/>
    <w:rsid w:val="00C56438"/>
    <w:rsid w:val="00C570B3"/>
    <w:rsid w:val="00C570D3"/>
    <w:rsid w:val="00C6009F"/>
    <w:rsid w:val="00C60417"/>
    <w:rsid w:val="00C6046F"/>
    <w:rsid w:val="00C61A10"/>
    <w:rsid w:val="00C638C2"/>
    <w:rsid w:val="00C651D4"/>
    <w:rsid w:val="00C6669E"/>
    <w:rsid w:val="00C66F9F"/>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0C0"/>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6B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4847"/>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228"/>
    <w:rsid w:val="00D33881"/>
    <w:rsid w:val="00D34282"/>
    <w:rsid w:val="00D366B1"/>
    <w:rsid w:val="00D37AE0"/>
    <w:rsid w:val="00D416A8"/>
    <w:rsid w:val="00D4217D"/>
    <w:rsid w:val="00D4257C"/>
    <w:rsid w:val="00D425AC"/>
    <w:rsid w:val="00D42823"/>
    <w:rsid w:val="00D42D5E"/>
    <w:rsid w:val="00D43F14"/>
    <w:rsid w:val="00D44C18"/>
    <w:rsid w:val="00D4556D"/>
    <w:rsid w:val="00D50121"/>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92BBE"/>
    <w:rsid w:val="00DA0FA7"/>
    <w:rsid w:val="00DA12B0"/>
    <w:rsid w:val="00DA2BA0"/>
    <w:rsid w:val="00DA39AD"/>
    <w:rsid w:val="00DA5523"/>
    <w:rsid w:val="00DA5B13"/>
    <w:rsid w:val="00DA6917"/>
    <w:rsid w:val="00DA6926"/>
    <w:rsid w:val="00DB0965"/>
    <w:rsid w:val="00DB0E47"/>
    <w:rsid w:val="00DB2BDD"/>
    <w:rsid w:val="00DB310A"/>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1E09"/>
    <w:rsid w:val="00DE2FC2"/>
    <w:rsid w:val="00DE3223"/>
    <w:rsid w:val="00DE64A6"/>
    <w:rsid w:val="00DE66EB"/>
    <w:rsid w:val="00DE7035"/>
    <w:rsid w:val="00DF12E3"/>
    <w:rsid w:val="00DF3F1D"/>
    <w:rsid w:val="00DF595C"/>
    <w:rsid w:val="00DF7EA7"/>
    <w:rsid w:val="00E00DB9"/>
    <w:rsid w:val="00E04548"/>
    <w:rsid w:val="00E0484E"/>
    <w:rsid w:val="00E063F8"/>
    <w:rsid w:val="00E079AF"/>
    <w:rsid w:val="00E114D6"/>
    <w:rsid w:val="00E1166E"/>
    <w:rsid w:val="00E11DBD"/>
    <w:rsid w:val="00E128C3"/>
    <w:rsid w:val="00E13211"/>
    <w:rsid w:val="00E16FB5"/>
    <w:rsid w:val="00E179D6"/>
    <w:rsid w:val="00E21407"/>
    <w:rsid w:val="00E21B27"/>
    <w:rsid w:val="00E22668"/>
    <w:rsid w:val="00E227D3"/>
    <w:rsid w:val="00E22BFF"/>
    <w:rsid w:val="00E22CB0"/>
    <w:rsid w:val="00E23798"/>
    <w:rsid w:val="00E2585D"/>
    <w:rsid w:val="00E258BE"/>
    <w:rsid w:val="00E25DBD"/>
    <w:rsid w:val="00E25FA2"/>
    <w:rsid w:val="00E2723D"/>
    <w:rsid w:val="00E27C77"/>
    <w:rsid w:val="00E30ED4"/>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1CA8"/>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0943"/>
    <w:rsid w:val="00EC0DF1"/>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5443"/>
    <w:rsid w:val="00ED6BA4"/>
    <w:rsid w:val="00ED7DA7"/>
    <w:rsid w:val="00EE0598"/>
    <w:rsid w:val="00EE0A3F"/>
    <w:rsid w:val="00EE311C"/>
    <w:rsid w:val="00EE56FF"/>
    <w:rsid w:val="00EE5886"/>
    <w:rsid w:val="00EE5FBF"/>
    <w:rsid w:val="00EE6472"/>
    <w:rsid w:val="00EE76F2"/>
    <w:rsid w:val="00EF0769"/>
    <w:rsid w:val="00EF0D7C"/>
    <w:rsid w:val="00EF1AB6"/>
    <w:rsid w:val="00EF40E2"/>
    <w:rsid w:val="00EF5FB9"/>
    <w:rsid w:val="00EF61C1"/>
    <w:rsid w:val="00EF6E68"/>
    <w:rsid w:val="00EF76DB"/>
    <w:rsid w:val="00F005FD"/>
    <w:rsid w:val="00F024E2"/>
    <w:rsid w:val="00F02C04"/>
    <w:rsid w:val="00F03AF1"/>
    <w:rsid w:val="00F04BCD"/>
    <w:rsid w:val="00F05A8C"/>
    <w:rsid w:val="00F06211"/>
    <w:rsid w:val="00F0651A"/>
    <w:rsid w:val="00F10A54"/>
    <w:rsid w:val="00F10D35"/>
    <w:rsid w:val="00F1140E"/>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169"/>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6D3"/>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3F30"/>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24E"/>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7"/>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character" w:styleId="UnresolvedMention">
    <w:name w:val="Unresolved Mention"/>
    <w:basedOn w:val="DefaultParagraphFont"/>
    <w:uiPriority w:val="99"/>
    <w:semiHidden/>
    <w:unhideWhenUsed/>
    <w:rsid w:val="00310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30759119">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0633668">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fca.org.uk/publication/policy/ps21-20.pdf" TargetMode="External"/><Relationship Id="rId3" Type="http://schemas.openxmlformats.org/officeDocument/2006/relationships/hyperlink" Target="https://eur-lex.europa.eu/eli/dir/2021/338" TargetMode="External"/><Relationship Id="rId7" Type="http://schemas.openxmlformats.org/officeDocument/2006/relationships/hyperlink" Target="https://eur-lex.europa.eu/legal-content/EN/TXT/?uri=uriserv:OJ.L_.2017.087.01.0166.01.ENG" TargetMode="External"/><Relationship Id="rId2" Type="http://schemas.openxmlformats.org/officeDocument/2006/relationships/hyperlink" Target="https://eur-lex.europa.eu/legal-content/EN/TXT/?uri=CELEX%3A02014L0065-20211110" TargetMode="External"/><Relationship Id="rId1" Type="http://schemas.openxmlformats.org/officeDocument/2006/relationships/hyperlink" Target="https://ir.invesco.com/investor-relations/press-releases/press-release-details/2021/Invesco-Ltd.-Announces-October-31-2021-Assets-Under-Management/default.aspx" TargetMode="External"/><Relationship Id="rId6" Type="http://schemas.openxmlformats.org/officeDocument/2006/relationships/hyperlink" Target="https://eur-lex.europa.eu/legal-content/EN/TXT/?uri=uriserv:OJ.L_.2017.087.01.0152.01.ENG" TargetMode="External"/><Relationship Id="rId5" Type="http://schemas.openxmlformats.org/officeDocument/2006/relationships/hyperlink" Target="https://eur-lex.europa.eu/legal-content/EN/TXT/PDF/?uri=CELEX:52021PC0726&amp;from=EN" TargetMode="External"/><Relationship Id="rId4" Type="http://schemas.openxmlformats.org/officeDocument/2006/relationships/hyperlink" Target="https://eur-lex.europa.eu/legal-content/EN/TXT/?uri=CELEX:52021DC07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5.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8</Pages>
  <Words>2540</Words>
  <Characters>14478</Characters>
  <Application>Microsoft Office Word</Application>
  <DocSecurity>8</DocSecurity>
  <Lines>120</Lines>
  <Paragraphs>33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16985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Michael</cp:lastModifiedBy>
  <cp:revision>33</cp:revision>
  <cp:lastPrinted>2015-02-18T11:01:00Z</cp:lastPrinted>
  <dcterms:created xsi:type="dcterms:W3CDTF">2021-12-08T09:41:00Z</dcterms:created>
  <dcterms:modified xsi:type="dcterms:W3CDTF">2021-12-23T10:14:00Z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