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183B3304" w:rsidR="00B327E9" w:rsidRPr="00AB6D88" w:rsidRDefault="007D7DD8" w:rsidP="00F136AD">
                <w:pPr>
                  <w:rPr>
                    <w:rStyle w:val="PlaceholderText"/>
                    <w:rFonts w:cs="Arial"/>
                  </w:rPr>
                </w:pPr>
                <w:r>
                  <w:rPr>
                    <w:rStyle w:val="PlaceholderText"/>
                    <w:rFonts w:cs="Arial"/>
                  </w:rPr>
                  <w:t>E</w:t>
                </w:r>
                <w:r>
                  <w:rPr>
                    <w:rStyle w:val="PlaceholderText"/>
                  </w:rPr>
                  <w:t>lectronic Debt Markets Association (EDMA)</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0DD18D96" w:rsidR="00B327E9" w:rsidRPr="00AB6D88" w:rsidRDefault="00AF7E46"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2F7749">
                  <w:rPr>
                    <w:rFonts w:cs="Arial"/>
                  </w:rPr>
                  <w:t>Regulated Market</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1BF901E6" w:rsidR="00B327E9" w:rsidRPr="00AB6D88" w:rsidRDefault="007D7DD8"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08B456DB" w:rsidR="00B327E9" w:rsidRPr="00AB6D88" w:rsidRDefault="007D7DD8" w:rsidP="00F136AD">
                <w:pPr>
                  <w:rPr>
                    <w:rFonts w:cs="Arial"/>
                  </w:rPr>
                </w:pPr>
                <w:r>
                  <w:rPr>
                    <w:rFonts w:cs="Arial"/>
                  </w:rPr>
                  <w:t>Europe</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72984E47" w14:textId="77777777" w:rsidR="00664A74" w:rsidRPr="00866228" w:rsidRDefault="00664A74" w:rsidP="00664A74">
      <w:pPr>
        <w:jc w:val="both"/>
        <w:rPr>
          <w:rFonts w:cs="Arial"/>
          <w:color w:val="000000" w:themeColor="text1"/>
          <w:sz w:val="22"/>
          <w:szCs w:val="22"/>
        </w:rPr>
      </w:pPr>
      <w:permStart w:id="44765448" w:edGrp="everyone"/>
      <w:r w:rsidRPr="00866228">
        <w:rPr>
          <w:rFonts w:cs="Arial"/>
          <w:color w:val="000000" w:themeColor="text1"/>
          <w:sz w:val="22"/>
          <w:szCs w:val="22"/>
        </w:rPr>
        <w:t xml:space="preserve">Electronic Debt Markets Association (EDMA) represents the common interests of companies whose primary business is the operation of regulated electronic fixed income trading venues (multilateral trading facilities and regulated markets) in Europe. EDMA seeks to foster and promote liquid, transparent, </w:t>
      </w:r>
      <w:proofErr w:type="gramStart"/>
      <w:r w:rsidRPr="00866228">
        <w:rPr>
          <w:rFonts w:cs="Arial"/>
          <w:color w:val="000000" w:themeColor="text1"/>
          <w:sz w:val="22"/>
          <w:szCs w:val="22"/>
        </w:rPr>
        <w:t>safe</w:t>
      </w:r>
      <w:proofErr w:type="gramEnd"/>
      <w:r w:rsidRPr="00866228">
        <w:rPr>
          <w:rFonts w:cs="Arial"/>
          <w:color w:val="000000" w:themeColor="text1"/>
          <w:sz w:val="22"/>
          <w:szCs w:val="22"/>
        </w:rPr>
        <w:t xml:space="preserve"> and fair markets and act as the voice and a source of consultation between the members in their roles as operators of such venues. EDMA projects collective views on regulatory matters and market structure topics to governments, policy makers and regulators for the benefit of the electronic fixed income markets. Our 7 members are: BGC </w:t>
      </w:r>
      <w:proofErr w:type="spellStart"/>
      <w:r w:rsidRPr="00866228">
        <w:rPr>
          <w:rFonts w:cs="Arial"/>
          <w:color w:val="000000" w:themeColor="text1"/>
          <w:sz w:val="22"/>
          <w:szCs w:val="22"/>
        </w:rPr>
        <w:t>Fenics</w:t>
      </w:r>
      <w:proofErr w:type="spellEnd"/>
      <w:r w:rsidRPr="00866228">
        <w:rPr>
          <w:rFonts w:cs="Arial"/>
          <w:color w:val="000000" w:themeColor="text1"/>
          <w:sz w:val="22"/>
          <w:szCs w:val="22"/>
        </w:rPr>
        <w:t xml:space="preserve">, Bloomberg, </w:t>
      </w:r>
      <w:proofErr w:type="spellStart"/>
      <w:r w:rsidRPr="00866228">
        <w:rPr>
          <w:rFonts w:cs="Arial"/>
          <w:color w:val="000000" w:themeColor="text1"/>
          <w:sz w:val="22"/>
          <w:szCs w:val="22"/>
        </w:rPr>
        <w:t>BrokerTec</w:t>
      </w:r>
      <w:proofErr w:type="spellEnd"/>
      <w:r w:rsidRPr="00866228">
        <w:rPr>
          <w:rFonts w:cs="Arial"/>
          <w:color w:val="000000" w:themeColor="text1"/>
          <w:sz w:val="22"/>
          <w:szCs w:val="22"/>
        </w:rPr>
        <w:t xml:space="preserve">, </w:t>
      </w:r>
      <w:proofErr w:type="spellStart"/>
      <w:r w:rsidRPr="00866228">
        <w:rPr>
          <w:rFonts w:cs="Arial"/>
          <w:color w:val="000000" w:themeColor="text1"/>
          <w:sz w:val="22"/>
          <w:szCs w:val="22"/>
        </w:rPr>
        <w:t>Liquidnet</w:t>
      </w:r>
      <w:proofErr w:type="spellEnd"/>
      <w:r w:rsidRPr="00866228">
        <w:rPr>
          <w:rFonts w:cs="Arial"/>
          <w:color w:val="000000" w:themeColor="text1"/>
          <w:sz w:val="22"/>
          <w:szCs w:val="22"/>
        </w:rPr>
        <w:t xml:space="preserve">, MarketAxess, MTS and Tradeweb. More information is available at </w:t>
      </w:r>
      <w:hyperlink r:id="rId20" w:history="1">
        <w:r w:rsidRPr="00866228">
          <w:rPr>
            <w:rStyle w:val="Hyperlink"/>
            <w:rFonts w:cs="Arial"/>
            <w:sz w:val="22"/>
            <w:szCs w:val="22"/>
          </w:rPr>
          <w:t>www.edmae.org</w:t>
        </w:r>
      </w:hyperlink>
      <w:r w:rsidRPr="00866228">
        <w:rPr>
          <w:rFonts w:cs="Arial"/>
          <w:color w:val="000000" w:themeColor="text1"/>
          <w:sz w:val="22"/>
          <w:szCs w:val="22"/>
        </w:rPr>
        <w:t>.</w:t>
      </w:r>
    </w:p>
    <w:p w14:paraId="57FFDD72" w14:textId="77777777" w:rsidR="00664A74" w:rsidRPr="00866228" w:rsidRDefault="00664A74" w:rsidP="00664A74">
      <w:pPr>
        <w:jc w:val="both"/>
        <w:rPr>
          <w:rFonts w:cs="Arial"/>
          <w:b/>
          <w:bCs/>
          <w:color w:val="000000" w:themeColor="text1"/>
          <w:sz w:val="22"/>
          <w:szCs w:val="22"/>
        </w:rPr>
      </w:pPr>
    </w:p>
    <w:p w14:paraId="0DDF4EBC" w14:textId="77777777" w:rsidR="00664A74" w:rsidRPr="00866228" w:rsidRDefault="00664A74" w:rsidP="00664A74">
      <w:pPr>
        <w:jc w:val="both"/>
        <w:rPr>
          <w:rFonts w:cs="Arial"/>
          <w:bCs/>
          <w:color w:val="000000" w:themeColor="text1"/>
          <w:sz w:val="22"/>
          <w:szCs w:val="22"/>
        </w:rPr>
      </w:pPr>
      <w:r w:rsidRPr="00866228">
        <w:rPr>
          <w:rFonts w:cs="Arial"/>
          <w:color w:val="000000" w:themeColor="text1"/>
          <w:sz w:val="22"/>
          <w:szCs w:val="22"/>
        </w:rPr>
        <w:t xml:space="preserve">EDMA welcomes the opportunity to provide feedback to ESMA’s consultation paper on the MiFID II framework on best execution reports. EDMA always </w:t>
      </w:r>
      <w:r w:rsidRPr="00866228">
        <w:rPr>
          <w:rFonts w:cs="Arial"/>
          <w:bCs/>
          <w:color w:val="000000" w:themeColor="text1"/>
          <w:sz w:val="22"/>
          <w:szCs w:val="22"/>
        </w:rPr>
        <w:t xml:space="preserve">appreciates ESMA’s efforts to simplify the MIFID/R regime. However, EDMA would recommend the most appropriate simplification would be the permanent deletion of the entire RTS 27 requirement. </w:t>
      </w:r>
    </w:p>
    <w:p w14:paraId="4ADC407D" w14:textId="77777777" w:rsidR="00664A74" w:rsidRPr="00866228" w:rsidRDefault="00664A74" w:rsidP="00664A74">
      <w:pPr>
        <w:jc w:val="both"/>
        <w:rPr>
          <w:rFonts w:cs="Arial"/>
          <w:color w:val="000000" w:themeColor="text1"/>
          <w:sz w:val="22"/>
          <w:szCs w:val="22"/>
          <w:lang w:val="en-HK"/>
        </w:rPr>
      </w:pPr>
    </w:p>
    <w:p w14:paraId="7EA2CC1B" w14:textId="77777777" w:rsidR="00664A74" w:rsidRPr="00866228" w:rsidRDefault="00664A74" w:rsidP="00664A74">
      <w:pPr>
        <w:jc w:val="both"/>
        <w:rPr>
          <w:rFonts w:cs="Arial"/>
          <w:bCs/>
          <w:color w:val="000000" w:themeColor="text1"/>
          <w:sz w:val="22"/>
          <w:szCs w:val="22"/>
        </w:rPr>
      </w:pPr>
      <w:r w:rsidRPr="00866228">
        <w:rPr>
          <w:rFonts w:cs="Arial"/>
          <w:bCs/>
          <w:color w:val="000000" w:themeColor="text1"/>
          <w:sz w:val="22"/>
          <w:szCs w:val="22"/>
        </w:rPr>
        <w:t xml:space="preserve">RTS 27 reports are not a valuable tool of practical use to investors for best execution. </w:t>
      </w:r>
      <w:r w:rsidRPr="00866228">
        <w:rPr>
          <w:rFonts w:cs="Arial"/>
          <w:color w:val="000000" w:themeColor="text1"/>
          <w:sz w:val="22"/>
          <w:szCs w:val="22"/>
          <w:lang w:val="en-HK"/>
        </w:rPr>
        <w:t xml:space="preserve">EDMA members highlight, as is evidenced by </w:t>
      </w:r>
      <w:r w:rsidRPr="00866228">
        <w:rPr>
          <w:rFonts w:cs="Arial"/>
          <w:bCs/>
          <w:color w:val="000000" w:themeColor="text1"/>
          <w:sz w:val="22"/>
          <w:szCs w:val="22"/>
        </w:rPr>
        <w:t>the very low rate of downloads of these reports</w:t>
      </w:r>
      <w:r w:rsidRPr="00866228">
        <w:rPr>
          <w:rFonts w:cs="Arial"/>
          <w:color w:val="000000" w:themeColor="text1"/>
          <w:sz w:val="22"/>
          <w:szCs w:val="22"/>
          <w:lang w:val="en-HK"/>
        </w:rPr>
        <w:t xml:space="preserve">, that end-users of fixed income securities (including bonds and derivatives) do not value or use RTS 27 reports and instead access information on execution of trades </w:t>
      </w:r>
      <w:r w:rsidRPr="00866228">
        <w:rPr>
          <w:rFonts w:cs="Arial"/>
          <w:bCs/>
          <w:color w:val="000000" w:themeColor="text1"/>
          <w:sz w:val="22"/>
          <w:szCs w:val="22"/>
        </w:rPr>
        <w:t xml:space="preserve">from other sources. </w:t>
      </w:r>
    </w:p>
    <w:p w14:paraId="467D19B3" w14:textId="77777777" w:rsidR="00664A74" w:rsidRPr="00866228" w:rsidRDefault="00664A74" w:rsidP="00664A74">
      <w:pPr>
        <w:jc w:val="both"/>
        <w:rPr>
          <w:rFonts w:cs="Arial"/>
          <w:bCs/>
          <w:color w:val="000000" w:themeColor="text1"/>
          <w:sz w:val="22"/>
          <w:szCs w:val="22"/>
        </w:rPr>
      </w:pPr>
    </w:p>
    <w:p w14:paraId="484FC576" w14:textId="77777777" w:rsidR="00664A74" w:rsidRPr="00866228" w:rsidRDefault="00664A74" w:rsidP="00664A74">
      <w:pPr>
        <w:jc w:val="both"/>
        <w:rPr>
          <w:rFonts w:cs="Arial"/>
          <w:bCs/>
          <w:color w:val="000000" w:themeColor="text1"/>
          <w:sz w:val="22"/>
          <w:szCs w:val="22"/>
        </w:rPr>
      </w:pPr>
      <w:r w:rsidRPr="00866228">
        <w:rPr>
          <w:rFonts w:cs="Arial"/>
          <w:bCs/>
          <w:color w:val="000000" w:themeColor="text1"/>
          <w:sz w:val="22"/>
          <w:szCs w:val="22"/>
        </w:rPr>
        <w:t xml:space="preserve">EDMA strongly believes that the rationale behind the two-year suspension of quarterly best execution reports decided by EU co-legislators in early 2021 in the MiFID II </w:t>
      </w:r>
      <w:proofErr w:type="gramStart"/>
      <w:r w:rsidRPr="00866228">
        <w:rPr>
          <w:rFonts w:cs="Arial"/>
          <w:bCs/>
          <w:color w:val="000000" w:themeColor="text1"/>
          <w:sz w:val="22"/>
          <w:szCs w:val="22"/>
        </w:rPr>
        <w:t>quick-fix</w:t>
      </w:r>
      <w:proofErr w:type="gramEnd"/>
      <w:r w:rsidRPr="00866228">
        <w:rPr>
          <w:rFonts w:cs="Arial"/>
          <w:bCs/>
          <w:color w:val="000000" w:themeColor="text1"/>
          <w:sz w:val="22"/>
          <w:szCs w:val="22"/>
        </w:rPr>
        <w:t xml:space="preserve"> is generally valid and that permanent removal of the quarterly RTS 27 best execution reports requirement, as now proposed by the European Commission themselves, is warranted. </w:t>
      </w:r>
    </w:p>
    <w:permEnd w:id="44765448"/>
    <w:p w14:paraId="68F63540" w14:textId="7BAC455B" w:rsidR="00B327E9" w:rsidRPr="00BF28DA" w:rsidRDefault="00B327E9" w:rsidP="00FE6577">
      <w:r w:rsidRPr="00BF28DA">
        <w:t>&lt;ESMA_COMMENT_</w:t>
      </w:r>
      <w:r w:rsidR="00455107" w:rsidRPr="00455107">
        <w:t xml:space="preserve"> BEEX</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lastRenderedPageBreak/>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69ECEB1E" w14:textId="77777777" w:rsidR="00664A74" w:rsidRPr="00866228" w:rsidRDefault="00664A74" w:rsidP="001D78D5">
      <w:pPr>
        <w:pStyle w:val="NoSpacing"/>
        <w:jc w:val="both"/>
        <w:rPr>
          <w:rFonts w:ascii="Arial" w:hAnsi="Arial" w:cs="Arial"/>
          <w:color w:val="000000" w:themeColor="text1"/>
        </w:rPr>
      </w:pPr>
      <w:permStart w:id="222133246" w:edGrp="everyone"/>
      <w:r w:rsidRPr="00866228">
        <w:rPr>
          <w:rFonts w:ascii="Arial" w:hAnsi="Arial" w:cs="Arial"/>
          <w:color w:val="000000" w:themeColor="text1"/>
        </w:rPr>
        <w:t>No, we do not agree with ESMA’s proposed scope. RTS 27 reports should be permanently deleted as recommended by the European Commission on the 25</w:t>
      </w:r>
      <w:r w:rsidRPr="00866228">
        <w:rPr>
          <w:rFonts w:ascii="Arial" w:hAnsi="Arial" w:cs="Arial"/>
          <w:color w:val="000000" w:themeColor="text1"/>
          <w:vertAlign w:val="superscript"/>
        </w:rPr>
        <w:t>th</w:t>
      </w:r>
      <w:r w:rsidRPr="00866228">
        <w:rPr>
          <w:rFonts w:ascii="Arial" w:hAnsi="Arial" w:cs="Arial"/>
          <w:color w:val="000000" w:themeColor="text1"/>
        </w:rPr>
        <w:t xml:space="preserve"> November 2021 in </w:t>
      </w:r>
      <w:hyperlink r:id="rId21" w:history="1">
        <w:r w:rsidRPr="00866228">
          <w:rPr>
            <w:rStyle w:val="Hyperlink"/>
            <w:rFonts w:ascii="Arial" w:hAnsi="Arial" w:cs="Arial"/>
          </w:rPr>
          <w:t>2021/0384 (COD</w:t>
        </w:r>
      </w:hyperlink>
      <w:r w:rsidRPr="00866228">
        <w:rPr>
          <w:rFonts w:ascii="Arial" w:hAnsi="Arial" w:cs="Arial"/>
          <w:color w:val="000000" w:themeColor="text1"/>
        </w:rPr>
        <w:t xml:space="preserve">), Page 9, Section 7, as below: </w:t>
      </w:r>
    </w:p>
    <w:p w14:paraId="4104C560" w14:textId="77777777" w:rsidR="00664A74" w:rsidRPr="00866228" w:rsidRDefault="00664A74" w:rsidP="001D78D5">
      <w:pPr>
        <w:pStyle w:val="NoSpacing"/>
        <w:jc w:val="both"/>
        <w:rPr>
          <w:rFonts w:ascii="Arial" w:hAnsi="Arial" w:cs="Arial"/>
          <w:color w:val="000000" w:themeColor="text1"/>
        </w:rPr>
      </w:pPr>
    </w:p>
    <w:p w14:paraId="6F14C7CB" w14:textId="77777777" w:rsidR="00664A74" w:rsidRPr="00866228" w:rsidRDefault="00664A74" w:rsidP="001D78D5">
      <w:pPr>
        <w:ind w:left="709" w:right="567"/>
        <w:jc w:val="both"/>
        <w:rPr>
          <w:rFonts w:cs="Arial"/>
          <w:color w:val="000000" w:themeColor="text1"/>
          <w:sz w:val="22"/>
          <w:szCs w:val="22"/>
        </w:rPr>
      </w:pPr>
      <w:r w:rsidRPr="00866228">
        <w:rPr>
          <w:rFonts w:cs="Arial"/>
          <w:color w:val="000000" w:themeColor="text1"/>
          <w:sz w:val="22"/>
          <w:szCs w:val="22"/>
        </w:rPr>
        <w:t xml:space="preserve">“Article 27(3) of Directive 2014/65/EU contains the requirement for execution platforms to publish a list of details relating to best execution. Factual evidence and feedback from stakeholders </w:t>
      </w:r>
      <w:proofErr w:type="gramStart"/>
      <w:r w:rsidRPr="00866228">
        <w:rPr>
          <w:rFonts w:cs="Arial"/>
          <w:color w:val="000000" w:themeColor="text1"/>
          <w:sz w:val="22"/>
          <w:szCs w:val="22"/>
        </w:rPr>
        <w:t>has</w:t>
      </w:r>
      <w:proofErr w:type="gramEnd"/>
      <w:r w:rsidRPr="00866228">
        <w:rPr>
          <w:rFonts w:cs="Arial"/>
          <w:color w:val="000000" w:themeColor="text1"/>
          <w:sz w:val="22"/>
          <w:szCs w:val="22"/>
        </w:rPr>
        <w:t xml:space="preserve"> shown that those reports are rarely read and do not enable investors or any users of those reports to make meaningful comparisons based on the information provided in those reports. </w:t>
      </w:r>
      <w:proofErr w:type="gramStart"/>
      <w:r w:rsidRPr="00866228">
        <w:rPr>
          <w:rFonts w:cs="Arial"/>
          <w:color w:val="000000" w:themeColor="text1"/>
          <w:sz w:val="22"/>
          <w:szCs w:val="22"/>
        </w:rPr>
        <w:t>As a consequence</w:t>
      </w:r>
      <w:proofErr w:type="gramEnd"/>
      <w:r w:rsidRPr="00866228">
        <w:rPr>
          <w:rFonts w:cs="Arial"/>
          <w:color w:val="000000" w:themeColor="text1"/>
          <w:sz w:val="22"/>
          <w:szCs w:val="22"/>
        </w:rPr>
        <w:t>, Directive (EU) 2021/338 of the European Parliament and of the Council suspended the reporting requirement for two years in order for that requirement to be reviewed. Regulation (EU) XX/XXXX22 has amended Regulation (EU) 600/2014 to remove the obstacles that have prevented the emergence of a consolidated tape. Among the data that the consolidated tape is expected to provide are post-trade information regarding all transactions in financial instruments. That information can be used for proving best execution. The reporting requirement laid down in Article 27(3) of Directive 2014/65/EU will therefore no longer be relevant and should therefore be deleted.”</w:t>
      </w:r>
    </w:p>
    <w:p w14:paraId="0B41A15F" w14:textId="77777777" w:rsidR="00664A74" w:rsidRPr="00866228" w:rsidRDefault="00664A74" w:rsidP="001D78D5">
      <w:pPr>
        <w:ind w:left="709"/>
        <w:jc w:val="both"/>
        <w:rPr>
          <w:rFonts w:cs="Arial"/>
          <w:color w:val="000000" w:themeColor="text1"/>
          <w:sz w:val="22"/>
          <w:szCs w:val="22"/>
        </w:rPr>
      </w:pPr>
    </w:p>
    <w:p w14:paraId="5DD6F219" w14:textId="77777777" w:rsidR="00664A74" w:rsidRDefault="00664A74" w:rsidP="004258CF">
      <w:pPr>
        <w:spacing w:after="160" w:line="256" w:lineRule="auto"/>
        <w:rPr>
          <w:rFonts w:cs="Arial"/>
          <w:color w:val="000000" w:themeColor="text1"/>
          <w:sz w:val="22"/>
          <w:szCs w:val="22"/>
        </w:rPr>
      </w:pPr>
      <w:r w:rsidRPr="00866228">
        <w:rPr>
          <w:rFonts w:cs="Arial"/>
          <w:color w:val="000000" w:themeColor="text1"/>
          <w:sz w:val="22"/>
          <w:szCs w:val="22"/>
        </w:rPr>
        <w:t>EDMA agrees with the reasons the European Commission gives for the deletion of these reports, namely that the reports are rarely read and do not enable investors to make meaningful comparisons.</w:t>
      </w:r>
    </w:p>
    <w:permEnd w:id="222133246"/>
    <w:p w14:paraId="6324657C" w14:textId="08FFF141"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7BA7033C" w14:textId="4E08835E" w:rsidR="004234C5" w:rsidRDefault="004234C5" w:rsidP="004234C5">
      <w:pPr>
        <w:pStyle w:val="NoSpacing"/>
        <w:jc w:val="both"/>
        <w:rPr>
          <w:rFonts w:ascii="Arial" w:hAnsi="Arial" w:cs="Arial"/>
          <w:color w:val="000000" w:themeColor="text1"/>
        </w:rPr>
      </w:pPr>
      <w:permStart w:id="147554275" w:edGrp="everyone"/>
      <w:r w:rsidRPr="00866228">
        <w:rPr>
          <w:rFonts w:ascii="Arial" w:hAnsi="Arial" w:cs="Arial"/>
          <w:color w:val="000000" w:themeColor="text1"/>
        </w:rPr>
        <w:t>No, we do not agree with ESMA’s proposed scope. RTS 27 reports should be permanently deleted as recommended by the European Commission on the 25</w:t>
      </w:r>
      <w:r w:rsidRPr="00866228">
        <w:rPr>
          <w:rFonts w:ascii="Arial" w:hAnsi="Arial" w:cs="Arial"/>
          <w:color w:val="000000" w:themeColor="text1"/>
          <w:vertAlign w:val="superscript"/>
        </w:rPr>
        <w:t>th</w:t>
      </w:r>
      <w:r w:rsidRPr="00866228">
        <w:rPr>
          <w:rFonts w:ascii="Arial" w:hAnsi="Arial" w:cs="Arial"/>
          <w:color w:val="000000" w:themeColor="text1"/>
        </w:rPr>
        <w:t xml:space="preserve"> November 2021 in </w:t>
      </w:r>
      <w:hyperlink r:id="rId22" w:history="1">
        <w:r w:rsidRPr="00866228">
          <w:rPr>
            <w:rStyle w:val="Hyperlink"/>
            <w:rFonts w:ascii="Arial" w:hAnsi="Arial" w:cs="Arial"/>
          </w:rPr>
          <w:t>2021/0384 (COD),</w:t>
        </w:r>
      </w:hyperlink>
      <w:r w:rsidRPr="00866228">
        <w:rPr>
          <w:rFonts w:ascii="Arial" w:hAnsi="Arial" w:cs="Arial"/>
          <w:color w:val="000000" w:themeColor="text1"/>
        </w:rPr>
        <w:t xml:space="preserve"> Page 9, Section 7 for the reasons given therein.</w:t>
      </w:r>
    </w:p>
    <w:p w14:paraId="37A47CA6" w14:textId="77777777" w:rsidR="004234C5" w:rsidRPr="00866228" w:rsidRDefault="004234C5" w:rsidP="004234C5">
      <w:pPr>
        <w:pStyle w:val="NoSpacing"/>
        <w:jc w:val="both"/>
        <w:rPr>
          <w:rFonts w:ascii="Arial" w:hAnsi="Arial" w:cs="Arial"/>
          <w:color w:val="000000" w:themeColor="text1"/>
        </w:rPr>
      </w:pPr>
    </w:p>
    <w:permEnd w:id="147554275"/>
    <w:p w14:paraId="04853A9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2D4A4170" w14:textId="77777777" w:rsidR="004234C5" w:rsidRPr="00866228" w:rsidRDefault="004234C5" w:rsidP="004234C5">
      <w:pPr>
        <w:pStyle w:val="NoSpacing"/>
        <w:jc w:val="both"/>
        <w:rPr>
          <w:rFonts w:ascii="Arial" w:hAnsi="Arial" w:cs="Arial"/>
          <w:color w:val="000000" w:themeColor="text1"/>
        </w:rPr>
      </w:pPr>
      <w:permStart w:id="2033745150" w:edGrp="everyone"/>
      <w:r w:rsidRPr="00866228">
        <w:rPr>
          <w:rFonts w:ascii="Arial" w:hAnsi="Arial" w:cs="Arial"/>
          <w:color w:val="000000" w:themeColor="text1"/>
        </w:rPr>
        <w:t>No, we do not agree with ESMA’s proposed metrics. RTS 27 reports should be permanently deleted as recommended by the European Commission on the 25</w:t>
      </w:r>
      <w:r w:rsidRPr="00866228">
        <w:rPr>
          <w:rFonts w:ascii="Arial" w:hAnsi="Arial" w:cs="Arial"/>
          <w:color w:val="000000" w:themeColor="text1"/>
          <w:vertAlign w:val="superscript"/>
        </w:rPr>
        <w:t>th</w:t>
      </w:r>
      <w:r w:rsidRPr="00866228">
        <w:rPr>
          <w:rFonts w:ascii="Arial" w:hAnsi="Arial" w:cs="Arial"/>
          <w:color w:val="000000" w:themeColor="text1"/>
        </w:rPr>
        <w:t xml:space="preserve"> November 2021 in </w:t>
      </w:r>
      <w:hyperlink r:id="rId23" w:history="1">
        <w:r w:rsidRPr="00866228">
          <w:rPr>
            <w:rStyle w:val="Hyperlink"/>
            <w:rFonts w:ascii="Arial" w:hAnsi="Arial" w:cs="Arial"/>
          </w:rPr>
          <w:t>2021/0384 (COD),</w:t>
        </w:r>
      </w:hyperlink>
      <w:r w:rsidRPr="00866228">
        <w:rPr>
          <w:rFonts w:ascii="Arial" w:hAnsi="Arial" w:cs="Arial"/>
          <w:color w:val="000000" w:themeColor="text1"/>
        </w:rPr>
        <w:t xml:space="preserve"> Page 9, Section 7 for the reasons given therein.</w:t>
      </w:r>
    </w:p>
    <w:permEnd w:id="2033745150"/>
    <w:p w14:paraId="7C403DB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lastRenderedPageBreak/>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4725B954" w14:textId="77777777" w:rsidR="004234C5" w:rsidRPr="00866228" w:rsidRDefault="004234C5" w:rsidP="004234C5">
      <w:pPr>
        <w:spacing w:after="258" w:line="268" w:lineRule="auto"/>
        <w:jc w:val="both"/>
        <w:rPr>
          <w:rFonts w:eastAsia="Arial" w:cs="Arial"/>
          <w:bCs/>
          <w:color w:val="000000" w:themeColor="text1"/>
          <w:sz w:val="22"/>
          <w:szCs w:val="22"/>
        </w:rPr>
      </w:pPr>
      <w:permStart w:id="1685268831" w:edGrp="everyone"/>
      <w:r w:rsidRPr="00866228">
        <w:rPr>
          <w:rFonts w:eastAsia="Arial" w:cs="Arial"/>
          <w:bCs/>
          <w:color w:val="000000" w:themeColor="text1"/>
          <w:sz w:val="22"/>
          <w:szCs w:val="22"/>
        </w:rPr>
        <w:t>No answer.</w:t>
      </w:r>
    </w:p>
    <w:permEnd w:id="1685268831"/>
    <w:p w14:paraId="0748831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4AE5A668" w14:textId="77777777" w:rsidR="004234C5" w:rsidRPr="00866228" w:rsidRDefault="004234C5" w:rsidP="004234C5">
      <w:pPr>
        <w:spacing w:after="258" w:line="268" w:lineRule="auto"/>
        <w:jc w:val="both"/>
        <w:rPr>
          <w:rFonts w:eastAsia="Arial" w:cs="Arial"/>
          <w:bCs/>
          <w:color w:val="000000" w:themeColor="text1"/>
          <w:sz w:val="22"/>
          <w:szCs w:val="22"/>
        </w:rPr>
      </w:pPr>
      <w:permStart w:id="1373658977" w:edGrp="everyone"/>
      <w:r w:rsidRPr="00866228">
        <w:rPr>
          <w:rFonts w:eastAsia="Arial" w:cs="Arial"/>
          <w:bCs/>
          <w:color w:val="000000" w:themeColor="text1"/>
          <w:sz w:val="22"/>
          <w:szCs w:val="22"/>
        </w:rPr>
        <w:t>No answer.</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15C2ED7" w14:textId="77777777" w:rsidR="004234C5" w:rsidRPr="00866228" w:rsidRDefault="004234C5" w:rsidP="004234C5">
      <w:pPr>
        <w:spacing w:after="258" w:line="268" w:lineRule="auto"/>
        <w:jc w:val="both"/>
        <w:rPr>
          <w:rFonts w:eastAsia="Arial" w:cs="Arial"/>
          <w:bCs/>
          <w:color w:val="000000" w:themeColor="text1"/>
          <w:sz w:val="22"/>
          <w:szCs w:val="22"/>
        </w:rPr>
      </w:pPr>
      <w:permStart w:id="1906529081" w:edGrp="everyone"/>
      <w:r w:rsidRPr="00866228">
        <w:rPr>
          <w:rFonts w:eastAsia="Arial" w:cs="Arial"/>
          <w:bCs/>
          <w:color w:val="000000" w:themeColor="text1"/>
          <w:sz w:val="22"/>
          <w:szCs w:val="22"/>
        </w:rPr>
        <w:t>No answer.</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4B17F3E5" w14:textId="77777777" w:rsidR="004234C5" w:rsidRPr="00866228" w:rsidRDefault="004234C5" w:rsidP="004234C5">
      <w:pPr>
        <w:spacing w:after="258" w:line="268" w:lineRule="auto"/>
        <w:jc w:val="both"/>
        <w:rPr>
          <w:rFonts w:eastAsia="Arial" w:cs="Arial"/>
          <w:bCs/>
          <w:color w:val="000000" w:themeColor="text1"/>
          <w:sz w:val="22"/>
          <w:szCs w:val="22"/>
        </w:rPr>
      </w:pPr>
      <w:permStart w:id="297553631" w:edGrp="everyone"/>
      <w:r w:rsidRPr="00866228">
        <w:rPr>
          <w:rFonts w:eastAsia="Arial" w:cs="Arial"/>
          <w:bCs/>
          <w:color w:val="000000" w:themeColor="text1"/>
          <w:sz w:val="22"/>
          <w:szCs w:val="22"/>
        </w:rPr>
        <w:t>No answer.</w:t>
      </w:r>
    </w:p>
    <w:permEnd w:id="297553631"/>
    <w:p w14:paraId="0F71BB0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37534FB6" w14:textId="77777777" w:rsidR="004234C5" w:rsidRPr="00866228" w:rsidRDefault="004234C5" w:rsidP="004234C5">
      <w:pPr>
        <w:pStyle w:val="NoSpacing"/>
        <w:jc w:val="both"/>
        <w:rPr>
          <w:rFonts w:ascii="Arial" w:hAnsi="Arial" w:cs="Arial"/>
          <w:color w:val="000000" w:themeColor="text1"/>
        </w:rPr>
      </w:pPr>
      <w:permStart w:id="1132928363" w:edGrp="everyone"/>
      <w:r w:rsidRPr="00866228">
        <w:rPr>
          <w:rFonts w:ascii="Arial" w:hAnsi="Arial" w:cs="Arial"/>
          <w:color w:val="000000" w:themeColor="text1"/>
        </w:rPr>
        <w:t xml:space="preserve">No, we do not agree with the cost benefit analysis. While we generally support any type of regime simplification, implementation cost and effort to be spent by execution venues </w:t>
      </w:r>
      <w:proofErr w:type="gramStart"/>
      <w:r w:rsidRPr="00866228">
        <w:rPr>
          <w:rFonts w:ascii="Arial" w:hAnsi="Arial" w:cs="Arial"/>
          <w:color w:val="000000" w:themeColor="text1"/>
        </w:rPr>
        <w:t>in order to</w:t>
      </w:r>
      <w:proofErr w:type="gramEnd"/>
      <w:r w:rsidRPr="00866228">
        <w:rPr>
          <w:rFonts w:ascii="Arial" w:hAnsi="Arial" w:cs="Arial"/>
          <w:color w:val="000000" w:themeColor="text1"/>
        </w:rPr>
        <w:t xml:space="preserve"> adapt to ESMA’s proposals is significantly understated and unsubstantiated. </w:t>
      </w:r>
    </w:p>
    <w:p w14:paraId="1225BE34" w14:textId="77777777" w:rsidR="004234C5" w:rsidRPr="00866228" w:rsidRDefault="004234C5" w:rsidP="004234C5">
      <w:pPr>
        <w:pStyle w:val="NoSpacing"/>
        <w:jc w:val="both"/>
        <w:rPr>
          <w:rFonts w:ascii="Arial" w:hAnsi="Arial" w:cs="Arial"/>
          <w:color w:val="000000" w:themeColor="text1"/>
        </w:rPr>
      </w:pPr>
    </w:p>
    <w:p w14:paraId="4CFE9680" w14:textId="77777777" w:rsidR="004234C5" w:rsidRPr="00866228" w:rsidRDefault="004234C5" w:rsidP="004234C5">
      <w:pPr>
        <w:pStyle w:val="NoSpacing"/>
        <w:jc w:val="both"/>
        <w:rPr>
          <w:rFonts w:ascii="Arial" w:hAnsi="Arial" w:cs="Arial"/>
          <w:color w:val="000000" w:themeColor="text1"/>
        </w:rPr>
      </w:pPr>
      <w:r w:rsidRPr="00866228">
        <w:rPr>
          <w:rFonts w:ascii="Arial" w:hAnsi="Arial" w:cs="Arial"/>
          <w:color w:val="000000" w:themeColor="text1"/>
        </w:rPr>
        <w:lastRenderedPageBreak/>
        <w:t>Given significant industry feedback about the lack of usefulness of the reports, the “benefits” have been overstated and do not provide any advance to investment firms and investors for their continuing best execution objectives.</w:t>
      </w:r>
    </w:p>
    <w:p w14:paraId="5DE07C86" w14:textId="77777777" w:rsidR="004234C5" w:rsidRPr="00866228" w:rsidRDefault="004234C5" w:rsidP="004234C5">
      <w:pPr>
        <w:pStyle w:val="NoSpacing"/>
        <w:jc w:val="both"/>
        <w:rPr>
          <w:rFonts w:ascii="Arial" w:hAnsi="Arial" w:cs="Arial"/>
          <w:color w:val="000000" w:themeColor="text1"/>
        </w:rPr>
      </w:pPr>
    </w:p>
    <w:p w14:paraId="0815FA39" w14:textId="77777777" w:rsidR="004234C5" w:rsidRPr="00866228" w:rsidRDefault="004234C5" w:rsidP="004234C5">
      <w:pPr>
        <w:pStyle w:val="NoSpacing"/>
        <w:jc w:val="both"/>
        <w:rPr>
          <w:rFonts w:ascii="Arial" w:hAnsi="Arial" w:cs="Arial"/>
          <w:color w:val="000000" w:themeColor="text1"/>
        </w:rPr>
      </w:pPr>
      <w:r w:rsidRPr="00866228">
        <w:rPr>
          <w:rFonts w:ascii="Arial" w:hAnsi="Arial" w:cs="Arial"/>
          <w:color w:val="000000" w:themeColor="text1"/>
        </w:rPr>
        <w:t xml:space="preserve">The cost benefit analysis makes no reference or allowance for the costs to trading venues to re-engineering RTS 27 to the new specification which this consultation paper alludes. </w:t>
      </w:r>
    </w:p>
    <w:p w14:paraId="4E2D1281" w14:textId="77777777" w:rsidR="004234C5" w:rsidRPr="00866228" w:rsidRDefault="004234C5" w:rsidP="004234C5">
      <w:pPr>
        <w:pStyle w:val="NoSpacing"/>
        <w:jc w:val="both"/>
        <w:rPr>
          <w:rFonts w:ascii="Arial" w:hAnsi="Arial" w:cs="Arial"/>
          <w:color w:val="000000" w:themeColor="text1"/>
        </w:rPr>
      </w:pPr>
    </w:p>
    <w:p w14:paraId="322BC8BD" w14:textId="677B8281" w:rsidR="004234C5" w:rsidRDefault="004234C5" w:rsidP="004234C5">
      <w:pPr>
        <w:pStyle w:val="NoSpacing"/>
        <w:jc w:val="both"/>
        <w:rPr>
          <w:rFonts w:ascii="Arial" w:hAnsi="Arial" w:cs="Arial"/>
          <w:color w:val="000000" w:themeColor="text1"/>
        </w:rPr>
      </w:pPr>
      <w:r w:rsidRPr="00866228">
        <w:rPr>
          <w:rFonts w:ascii="Arial" w:hAnsi="Arial" w:cs="Arial"/>
          <w:color w:val="000000" w:themeColor="text1"/>
        </w:rPr>
        <w:t>EDMA would continue to recommend that RTS 27 reports should be permanently deleted as recommended by the European Commission on the 25</w:t>
      </w:r>
      <w:r w:rsidRPr="00866228">
        <w:rPr>
          <w:rFonts w:ascii="Arial" w:hAnsi="Arial" w:cs="Arial"/>
          <w:color w:val="000000" w:themeColor="text1"/>
          <w:vertAlign w:val="superscript"/>
        </w:rPr>
        <w:t>th</w:t>
      </w:r>
      <w:r w:rsidRPr="00866228">
        <w:rPr>
          <w:rFonts w:ascii="Arial" w:hAnsi="Arial" w:cs="Arial"/>
          <w:color w:val="000000" w:themeColor="text1"/>
        </w:rPr>
        <w:t xml:space="preserve"> November 2021 in </w:t>
      </w:r>
      <w:hyperlink r:id="rId24" w:history="1">
        <w:r w:rsidRPr="00866228">
          <w:rPr>
            <w:rStyle w:val="Hyperlink"/>
            <w:rFonts w:ascii="Arial" w:hAnsi="Arial" w:cs="Arial"/>
          </w:rPr>
          <w:t>2021/0384 (COD),</w:t>
        </w:r>
      </w:hyperlink>
      <w:r w:rsidRPr="00866228">
        <w:rPr>
          <w:rFonts w:ascii="Arial" w:hAnsi="Arial" w:cs="Arial"/>
          <w:color w:val="000000" w:themeColor="text1"/>
        </w:rPr>
        <w:t xml:space="preserve"> Page 9, Section 7 for the reasons given therein.</w:t>
      </w:r>
    </w:p>
    <w:p w14:paraId="084A8E9F" w14:textId="77777777" w:rsidR="004234C5" w:rsidRPr="00866228" w:rsidRDefault="004234C5" w:rsidP="004234C5">
      <w:pPr>
        <w:pStyle w:val="NoSpacing"/>
        <w:jc w:val="both"/>
        <w:rPr>
          <w:rFonts w:ascii="Arial" w:hAnsi="Arial" w:cs="Arial"/>
          <w:color w:val="000000" w:themeColor="text1"/>
        </w:rPr>
      </w:pP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1A7D9897" w14:textId="4B2D12B9" w:rsidR="004234C5" w:rsidRDefault="004234C5" w:rsidP="004234C5">
      <w:pPr>
        <w:pStyle w:val="NoSpacing"/>
        <w:jc w:val="both"/>
        <w:rPr>
          <w:rFonts w:ascii="Arial" w:hAnsi="Arial" w:cs="Arial"/>
          <w:color w:val="000000" w:themeColor="text1"/>
        </w:rPr>
      </w:pPr>
      <w:permStart w:id="686839684" w:edGrp="everyone"/>
      <w:r w:rsidRPr="00866228">
        <w:rPr>
          <w:rFonts w:ascii="Arial" w:hAnsi="Arial" w:cs="Arial"/>
          <w:color w:val="000000" w:themeColor="text1"/>
        </w:rPr>
        <w:t>EDMA would repeat the recommendation that RTS 27 reports should be permanently deleted as recommended by the European Commission on the 25</w:t>
      </w:r>
      <w:r w:rsidRPr="00866228">
        <w:rPr>
          <w:rFonts w:ascii="Arial" w:hAnsi="Arial" w:cs="Arial"/>
          <w:color w:val="000000" w:themeColor="text1"/>
          <w:vertAlign w:val="superscript"/>
        </w:rPr>
        <w:t>th</w:t>
      </w:r>
      <w:r w:rsidRPr="00866228">
        <w:rPr>
          <w:rFonts w:ascii="Arial" w:hAnsi="Arial" w:cs="Arial"/>
          <w:color w:val="000000" w:themeColor="text1"/>
        </w:rPr>
        <w:t xml:space="preserve"> November 2021 in </w:t>
      </w:r>
      <w:hyperlink r:id="rId25" w:history="1">
        <w:r w:rsidRPr="00866228">
          <w:rPr>
            <w:rStyle w:val="Hyperlink"/>
            <w:rFonts w:ascii="Arial" w:hAnsi="Arial" w:cs="Arial"/>
          </w:rPr>
          <w:t>2021/0384 (COD),</w:t>
        </w:r>
      </w:hyperlink>
      <w:r w:rsidRPr="00866228">
        <w:rPr>
          <w:rFonts w:ascii="Arial" w:hAnsi="Arial" w:cs="Arial"/>
          <w:color w:val="000000" w:themeColor="text1"/>
        </w:rPr>
        <w:t xml:space="preserve"> Page 9, Section 7 for the reasons given therein.</w:t>
      </w:r>
    </w:p>
    <w:p w14:paraId="1B34110F" w14:textId="77777777" w:rsidR="004234C5" w:rsidRPr="00866228" w:rsidRDefault="004234C5" w:rsidP="004234C5">
      <w:pPr>
        <w:pStyle w:val="NoSpacing"/>
        <w:jc w:val="both"/>
        <w:rPr>
          <w:rFonts w:ascii="Arial" w:hAnsi="Arial" w:cs="Arial"/>
          <w:color w:val="000000" w:themeColor="text1"/>
        </w:rPr>
      </w:pPr>
    </w:p>
    <w:permEnd w:id="686839684"/>
    <w:p w14:paraId="4B0FF93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6"/>
      <w:headerReference w:type="first" r:id="rId27"/>
      <w:footerReference w:type="firs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DEE7" w14:textId="77777777" w:rsidR="00AF7E46" w:rsidRDefault="00AF7E46">
      <w:r>
        <w:separator/>
      </w:r>
    </w:p>
    <w:p w14:paraId="062C35BD" w14:textId="77777777" w:rsidR="00AF7E46" w:rsidRDefault="00AF7E46"/>
  </w:endnote>
  <w:endnote w:type="continuationSeparator" w:id="0">
    <w:p w14:paraId="16328136" w14:textId="77777777" w:rsidR="00AF7E46" w:rsidRDefault="00AF7E46">
      <w:r>
        <w:continuationSeparator/>
      </w:r>
    </w:p>
    <w:p w14:paraId="2A93A147" w14:textId="77777777" w:rsidR="00AF7E46" w:rsidRDefault="00AF7E46"/>
  </w:endnote>
  <w:endnote w:type="continuationNotice" w:id="1">
    <w:p w14:paraId="75BD9BAA" w14:textId="77777777" w:rsidR="00AF7E46" w:rsidRDefault="00AF7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
    <w:panose1 w:val="020B0600040502020204"/>
    <w:charset w:val="00"/>
    <w:family w:val="swiss"/>
    <w:pitch w:val="variable"/>
    <w:sig w:usb0="E1000AEF" w:usb1="5000A1FF" w:usb2="00000000" w:usb3="00000000" w:csb0="000001BF" w:csb1="00000000"/>
  </w:font>
  <w:font w:name="EUAlbertina">
    <w:altName w:val="Cambria"/>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8D67" w14:textId="77777777" w:rsidR="00AF7E46" w:rsidRDefault="00AF7E46">
      <w:r>
        <w:separator/>
      </w:r>
    </w:p>
    <w:p w14:paraId="75045D8A" w14:textId="77777777" w:rsidR="00AF7E46" w:rsidRDefault="00AF7E46"/>
  </w:footnote>
  <w:footnote w:type="continuationSeparator" w:id="0">
    <w:p w14:paraId="7100DE44" w14:textId="77777777" w:rsidR="00AF7E46" w:rsidRDefault="00AF7E46">
      <w:r>
        <w:continuationSeparator/>
      </w:r>
    </w:p>
    <w:p w14:paraId="495BD389" w14:textId="77777777" w:rsidR="00AF7E46" w:rsidRDefault="00AF7E46"/>
  </w:footnote>
  <w:footnote w:type="continuationNotice" w:id="1">
    <w:p w14:paraId="3956B3B1" w14:textId="77777777" w:rsidR="00AF7E46" w:rsidRDefault="00AF7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0F7F"/>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2F774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47DC6"/>
    <w:rsid w:val="00350590"/>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34C5"/>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107"/>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4A74"/>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7DD8"/>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66A"/>
    <w:rsid w:val="008C6BD1"/>
    <w:rsid w:val="008D2DB5"/>
    <w:rsid w:val="008D3F10"/>
    <w:rsid w:val="008D611D"/>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32C"/>
    <w:rsid w:val="00AF38AF"/>
    <w:rsid w:val="00AF3C29"/>
    <w:rsid w:val="00AF4401"/>
    <w:rsid w:val="00AF4463"/>
    <w:rsid w:val="00AF53CB"/>
    <w:rsid w:val="00AF5D6D"/>
    <w:rsid w:val="00AF65C5"/>
    <w:rsid w:val="00AF7E46"/>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0C0"/>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2BBE"/>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98C"/>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24E"/>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styleId="NoSpacing">
    <w:name w:val="No Spacing"/>
    <w:uiPriority w:val="1"/>
    <w:qFormat/>
    <w:rsid w:val="00664A7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ur-lex.europa.eu/legal-content/EN/TXT/HTML/?uri=CELEX:52021PC072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hyperlink" Target="https://eur-lex.europa.eu/legal-content/EN/TXT/HTML/?uri=CELEX:52021PC0726"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www.edma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ur-lex.europa.eu/legal-content/EN/TXT/HTML/?uri=CELEX:52021PC0726"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ur-lex.europa.eu/legal-content/EN/TXT/HTML/?uri=CELEX:52021PC0726"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eur-lex.europa.eu/legal-content/EN/TXT/HTML/?uri=CELEX:52021PC0726"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1631</Words>
  <Characters>9300</Characters>
  <Application>Microsoft Office Word</Application>
  <DocSecurity>8</DocSecurity>
  <Lines>77</Lines>
  <Paragraphs>21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10910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Nicky Bullen</cp:lastModifiedBy>
  <cp:revision>5</cp:revision>
  <cp:lastPrinted>2015-02-18T11:01:00Z</cp:lastPrinted>
  <dcterms:created xsi:type="dcterms:W3CDTF">2021-12-17T17:47:00Z</dcterms:created>
  <dcterms:modified xsi:type="dcterms:W3CDTF">2021-12-20T12:43:00Z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