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3A1CEF39" w14:textId="77777777" w:rsidTr="00315E96">
        <w:trPr>
          <w:trHeight w:val="284"/>
        </w:trPr>
        <w:tc>
          <w:tcPr>
            <w:tcW w:w="9412" w:type="dxa"/>
          </w:tcPr>
          <w:p w14:paraId="4CE64CCB" w14:textId="1B4B0D46" w:rsidR="00C2094B" w:rsidRPr="00F10D35" w:rsidRDefault="008F0FA7" w:rsidP="00AF38AF">
            <w:pPr>
              <w:pStyle w:val="00bDBInfo"/>
              <w:rPr>
                <w:rFonts w:cs="Arial"/>
              </w:rPr>
            </w:pPr>
            <w:r>
              <w:rPr>
                <w:rFonts w:cs="Arial"/>
              </w:rPr>
              <w:t>30</w:t>
            </w:r>
            <w:r w:rsidR="00FE40D3" w:rsidRPr="00FE40D3">
              <w:rPr>
                <w:rFonts w:cs="Arial"/>
              </w:rPr>
              <w:t xml:space="preserve"> </w:t>
            </w:r>
            <w:r w:rsidR="00873B7E">
              <w:rPr>
                <w:rFonts w:cs="Arial"/>
              </w:rPr>
              <w:t>September</w:t>
            </w:r>
            <w:r w:rsidR="002C27F9" w:rsidRPr="00FE40D3">
              <w:rPr>
                <w:rFonts w:cs="Arial"/>
              </w:rPr>
              <w:t xml:space="preserve"> 202</w:t>
            </w:r>
            <w:r w:rsidR="00F87631">
              <w:rPr>
                <w:rFonts w:cs="Arial"/>
              </w:rPr>
              <w:t>1</w:t>
            </w:r>
          </w:p>
        </w:tc>
      </w:tr>
    </w:tbl>
    <w:p w14:paraId="031231A1" w14:textId="68FE125F" w:rsidR="00FD7A8D" w:rsidRPr="00616B9B" w:rsidRDefault="00FD7A8D" w:rsidP="00FD7A8D">
      <w:pPr>
        <w:rPr>
          <w:rFonts w:cs="Arial"/>
          <w:vanish/>
        </w:rPr>
      </w:pPr>
    </w:p>
    <w:tbl>
      <w:tblPr>
        <w:tblpPr w:leftFromText="8505" w:vertAnchor="page" w:horzAnchor="margin" w:tblpY="3556"/>
        <w:tblW w:w="9646" w:type="dxa"/>
        <w:tblLayout w:type="fixed"/>
        <w:tblCellMar>
          <w:left w:w="0" w:type="dxa"/>
          <w:right w:w="0" w:type="dxa"/>
        </w:tblCellMar>
        <w:tblLook w:val="01E0" w:firstRow="1" w:lastRow="1" w:firstColumn="1" w:lastColumn="1" w:noHBand="0" w:noVBand="0"/>
      </w:tblPr>
      <w:tblGrid>
        <w:gridCol w:w="9646"/>
      </w:tblGrid>
      <w:tr w:rsidR="00146A6C" w:rsidRPr="00616B9B" w14:paraId="117904A3" w14:textId="77777777" w:rsidTr="00146A6C">
        <w:trPr>
          <w:trHeight w:hRule="exact" w:val="2137"/>
        </w:trPr>
        <w:tc>
          <w:tcPr>
            <w:tcW w:w="9646" w:type="dxa"/>
            <w:vAlign w:val="bottom"/>
          </w:tcPr>
          <w:p w14:paraId="16F35E65" w14:textId="0F39FF35" w:rsidR="00146A6C" w:rsidRPr="00146A6C" w:rsidRDefault="00146A6C" w:rsidP="00D92BBE">
            <w:pPr>
              <w:pStyle w:val="01aDBTitle"/>
              <w:jc w:val="left"/>
              <w:rPr>
                <w:rFonts w:cs="Arial"/>
                <w:sz w:val="32"/>
                <w:szCs w:val="32"/>
              </w:rPr>
            </w:pPr>
            <w:r w:rsidRPr="00201005">
              <w:rPr>
                <w:rFonts w:cs="Arial"/>
                <w:szCs w:val="40"/>
              </w:rPr>
              <w:t>Response form for the Consultation Paper on</w:t>
            </w:r>
            <w:r w:rsidRPr="00201005">
              <w:rPr>
                <w:szCs w:val="40"/>
              </w:rPr>
              <w:t xml:space="preserve"> </w:t>
            </w:r>
            <w:r w:rsidR="00D92BBE" w:rsidRPr="00D92BBE">
              <w:rPr>
                <w:szCs w:val="40"/>
              </w:rPr>
              <w:t>Review of the MiFID II framework on best execution reports</w:t>
            </w:r>
          </w:p>
        </w:tc>
      </w:tr>
      <w:tr w:rsidR="00146A6C" w:rsidRPr="00616B9B" w14:paraId="28EA853F" w14:textId="77777777" w:rsidTr="00146A6C">
        <w:trPr>
          <w:trHeight w:hRule="exact" w:val="1237"/>
        </w:trPr>
        <w:tc>
          <w:tcPr>
            <w:tcW w:w="9646" w:type="dxa"/>
            <w:tcMar>
              <w:top w:w="142" w:type="dxa"/>
            </w:tcMar>
          </w:tcPr>
          <w:p w14:paraId="6AB3A0AD" w14:textId="77777777" w:rsidR="00146A6C" w:rsidRDefault="00146A6C" w:rsidP="00146A6C">
            <w:pPr>
              <w:pStyle w:val="01bDBSubtitle"/>
              <w:rPr>
                <w:rFonts w:ascii="Arial" w:hAnsi="Arial" w:cs="Arial"/>
                <w:sz w:val="32"/>
              </w:rPr>
            </w:pPr>
            <w:r w:rsidRPr="009A053D">
              <w:rPr>
                <w:rFonts w:ascii="Arial" w:hAnsi="Arial" w:cs="Arial"/>
                <w:sz w:val="32"/>
              </w:rPr>
              <w:t xml:space="preserve"> </w:t>
            </w:r>
          </w:p>
          <w:p w14:paraId="08280749" w14:textId="77777777" w:rsidR="00146A6C" w:rsidRDefault="00146A6C" w:rsidP="00146A6C"/>
          <w:p w14:paraId="02AC275B" w14:textId="77777777" w:rsidR="00146A6C" w:rsidRDefault="00146A6C" w:rsidP="00146A6C">
            <w:pPr>
              <w:jc w:val="center"/>
            </w:pPr>
          </w:p>
          <w:p w14:paraId="216E8B81" w14:textId="77777777" w:rsidR="00146A6C" w:rsidRPr="002C27F9" w:rsidRDefault="00146A6C" w:rsidP="00146A6C">
            <w:pPr>
              <w:jc w:val="right"/>
            </w:pPr>
          </w:p>
        </w:tc>
      </w:tr>
    </w:tbl>
    <w:p w14:paraId="156768A1"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2EF98C17" w14:textId="77777777" w:rsidTr="00315E96">
        <w:trPr>
          <w:trHeight w:hRule="exact" w:val="964"/>
        </w:trPr>
        <w:tc>
          <w:tcPr>
            <w:tcW w:w="2325" w:type="dxa"/>
          </w:tcPr>
          <w:p w14:paraId="3B25AA0D" w14:textId="5400BDD5" w:rsidR="00620D7C" w:rsidRPr="004E49B0" w:rsidRDefault="00620D7C" w:rsidP="00FE40D3">
            <w:pPr>
              <w:pStyle w:val="02Date"/>
              <w:jc w:val="right"/>
              <w:rPr>
                <w:rFonts w:cs="Arial"/>
              </w:rPr>
            </w:pPr>
            <w:r w:rsidRPr="00F10D35">
              <w:rPr>
                <w:rFonts w:cs="Arial"/>
              </w:rPr>
              <w:lastRenderedPageBreak/>
              <w:t xml:space="preserve">Date: </w:t>
            </w:r>
            <w:r w:rsidR="008F0FA7">
              <w:rPr>
                <w:rFonts w:cs="Arial"/>
              </w:rPr>
              <w:t>30</w:t>
            </w:r>
            <w:r w:rsidR="00FE40D3" w:rsidRPr="00FE40D3">
              <w:rPr>
                <w:rFonts w:cs="Arial"/>
              </w:rPr>
              <w:t xml:space="preserve"> </w:t>
            </w:r>
            <w:r w:rsidR="00873B7E">
              <w:rPr>
                <w:rFonts w:cs="Arial"/>
              </w:rPr>
              <w:t>September</w:t>
            </w:r>
            <w:r w:rsidR="00F87631">
              <w:rPr>
                <w:rFonts w:cs="Arial"/>
              </w:rPr>
              <w:t xml:space="preserve"> </w:t>
            </w:r>
            <w:r w:rsidR="005738DE" w:rsidRPr="00FE40D3">
              <w:rPr>
                <w:rFonts w:cs="Arial"/>
              </w:rPr>
              <w:t>20</w:t>
            </w:r>
            <w:r w:rsidR="002C27F9" w:rsidRPr="00FE40D3">
              <w:rPr>
                <w:rFonts w:cs="Arial"/>
              </w:rPr>
              <w:t>2</w:t>
            </w:r>
            <w:r w:rsidR="00F87631">
              <w:rPr>
                <w:rFonts w:cs="Arial"/>
              </w:rPr>
              <w:t>1</w:t>
            </w:r>
          </w:p>
        </w:tc>
      </w:tr>
    </w:tbl>
    <w:p w14:paraId="3B583CC6" w14:textId="72105B2D" w:rsidR="00FE40D3" w:rsidRPr="00FE40D3" w:rsidRDefault="00FE40D3" w:rsidP="00FE40D3">
      <w:pPr>
        <w:numPr>
          <w:ilvl w:val="1"/>
          <w:numId w:val="0"/>
        </w:numPr>
        <w:spacing w:after="240"/>
        <w:jc w:val="both"/>
        <w:rPr>
          <w:b/>
          <w:sz w:val="28"/>
          <w:highlight w:val="yellow"/>
          <w:lang w:eastAsia="en-US"/>
        </w:rPr>
      </w:pPr>
      <w:r w:rsidRPr="00FE40D3">
        <w:rPr>
          <w:b/>
          <w:sz w:val="28"/>
          <w:lang w:eastAsia="en-US"/>
        </w:rPr>
        <w:t>Responding to this paper</w:t>
      </w:r>
    </w:p>
    <w:p w14:paraId="432053DE"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ESMA invites responses to the questions set out throughout this Consultation Paper and summarised in Annex II. Responses are most helpful if they:</w:t>
      </w:r>
    </w:p>
    <w:p w14:paraId="4A3E409E" w14:textId="77777777" w:rsidR="00FE40D3" w:rsidRPr="00FE40D3" w:rsidRDefault="00FE40D3" w:rsidP="00FE40D3">
      <w:pPr>
        <w:numPr>
          <w:ilvl w:val="0"/>
          <w:numId w:val="41"/>
        </w:numPr>
        <w:spacing w:after="240" w:line="276" w:lineRule="auto"/>
        <w:jc w:val="both"/>
        <w:rPr>
          <w:sz w:val="22"/>
          <w:szCs w:val="22"/>
          <w:lang w:eastAsia="en-GB"/>
        </w:rPr>
      </w:pPr>
      <w:r w:rsidRPr="00FE40D3">
        <w:rPr>
          <w:sz w:val="22"/>
          <w:szCs w:val="22"/>
          <w:lang w:eastAsia="en-GB"/>
        </w:rPr>
        <w:t>respond to the question stated and indicate the specific question to which they relate;</w:t>
      </w:r>
    </w:p>
    <w:p w14:paraId="5141C67D" w14:textId="77777777" w:rsidR="00FE40D3" w:rsidRPr="00FE40D3" w:rsidRDefault="00FE40D3" w:rsidP="00FE40D3">
      <w:pPr>
        <w:numPr>
          <w:ilvl w:val="0"/>
          <w:numId w:val="41"/>
        </w:numPr>
        <w:spacing w:after="240" w:line="276" w:lineRule="auto"/>
        <w:jc w:val="both"/>
        <w:rPr>
          <w:sz w:val="22"/>
          <w:szCs w:val="22"/>
          <w:lang w:eastAsia="en-GB"/>
        </w:rPr>
      </w:pPr>
      <w:r w:rsidRPr="00FE40D3">
        <w:rPr>
          <w:sz w:val="22"/>
          <w:szCs w:val="22"/>
          <w:lang w:eastAsia="en-GB"/>
        </w:rPr>
        <w:t>contain a clear rationale; and</w:t>
      </w:r>
    </w:p>
    <w:p w14:paraId="63688220" w14:textId="77777777" w:rsidR="00FE40D3" w:rsidRPr="00FE40D3" w:rsidRDefault="00FE40D3" w:rsidP="00FE40D3">
      <w:pPr>
        <w:numPr>
          <w:ilvl w:val="0"/>
          <w:numId w:val="41"/>
        </w:numPr>
        <w:spacing w:after="240" w:line="276" w:lineRule="auto"/>
        <w:jc w:val="both"/>
        <w:rPr>
          <w:sz w:val="22"/>
          <w:szCs w:val="22"/>
          <w:lang w:eastAsia="en-GB"/>
        </w:rPr>
      </w:pPr>
      <w:r w:rsidRPr="00FE40D3">
        <w:rPr>
          <w:sz w:val="22"/>
          <w:szCs w:val="22"/>
          <w:lang w:eastAsia="en-GB"/>
        </w:rPr>
        <w:t>describe any alternatives ESMA should consider.</w:t>
      </w:r>
    </w:p>
    <w:p w14:paraId="3B54E1DD" w14:textId="62AC3BC0"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will consider all comments received by </w:t>
      </w:r>
      <w:r w:rsidR="00873B7E">
        <w:rPr>
          <w:b/>
        </w:rPr>
        <w:t>Thursday</w:t>
      </w:r>
      <w:r w:rsidR="00F87631" w:rsidRPr="002A7128">
        <w:rPr>
          <w:b/>
        </w:rPr>
        <w:t xml:space="preserve"> </w:t>
      </w:r>
      <w:r w:rsidR="00873B7E">
        <w:rPr>
          <w:b/>
        </w:rPr>
        <w:t>23</w:t>
      </w:r>
      <w:r w:rsidR="00F87631" w:rsidRPr="002A7128">
        <w:rPr>
          <w:b/>
          <w:vertAlign w:val="superscript"/>
        </w:rPr>
        <w:t>th</w:t>
      </w:r>
      <w:r w:rsidR="00F87631" w:rsidRPr="002A7128">
        <w:rPr>
          <w:b/>
        </w:rPr>
        <w:t xml:space="preserve"> </w:t>
      </w:r>
      <w:r w:rsidR="00873B7E">
        <w:rPr>
          <w:b/>
        </w:rPr>
        <w:t>December</w:t>
      </w:r>
      <w:r w:rsidR="00F87631" w:rsidRPr="002A7128">
        <w:rPr>
          <w:b/>
        </w:rPr>
        <w:t xml:space="preserve"> 2021.</w:t>
      </w:r>
    </w:p>
    <w:p w14:paraId="4269A5C4" w14:textId="77777777" w:rsidR="00FE40D3" w:rsidRPr="00FE40D3" w:rsidRDefault="00FE40D3" w:rsidP="00FE40D3">
      <w:pPr>
        <w:spacing w:after="240" w:line="276" w:lineRule="auto"/>
        <w:jc w:val="both"/>
        <w:rPr>
          <w:sz w:val="22"/>
          <w:szCs w:val="20"/>
          <w:lang w:eastAsia="en-US"/>
        </w:rPr>
      </w:pPr>
      <w:bookmarkStart w:id="0" w:name="_Hlk65069037"/>
      <w:r w:rsidRPr="00FE40D3">
        <w:rPr>
          <w:sz w:val="22"/>
          <w:szCs w:val="20"/>
          <w:lang w:eastAsia="en-US"/>
        </w:rPr>
        <w:t xml:space="preserve">All contributions should be submitted online at </w:t>
      </w:r>
      <w:hyperlink r:id="rId16" w:history="1">
        <w:r w:rsidRPr="00FE40D3">
          <w:rPr>
            <w:color w:val="0563C1"/>
            <w:sz w:val="22"/>
            <w:szCs w:val="20"/>
            <w:u w:val="single"/>
            <w:lang w:eastAsia="en-US"/>
          </w:rPr>
          <w:t>www.esma.europa.eu</w:t>
        </w:r>
      </w:hyperlink>
      <w:r w:rsidRPr="00FE40D3">
        <w:rPr>
          <w:sz w:val="22"/>
          <w:szCs w:val="20"/>
          <w:lang w:eastAsia="en-US"/>
        </w:rPr>
        <w:t xml:space="preserve"> under the heading ‘Your input - Consultations’. </w:t>
      </w:r>
    </w:p>
    <w:bookmarkEnd w:id="0"/>
    <w:p w14:paraId="6A0918CE" w14:textId="77777777" w:rsidR="00FE40D3" w:rsidRPr="00241178" w:rsidRDefault="00FE40D3" w:rsidP="00FE40D3">
      <w:pPr>
        <w:spacing w:after="120" w:line="276" w:lineRule="auto"/>
        <w:jc w:val="both"/>
        <w:rPr>
          <w:b/>
          <w:sz w:val="22"/>
          <w:szCs w:val="20"/>
          <w:lang w:eastAsia="en-US"/>
        </w:rPr>
      </w:pPr>
      <w:r w:rsidRPr="00241178">
        <w:rPr>
          <w:b/>
          <w:sz w:val="22"/>
          <w:szCs w:val="20"/>
          <w:lang w:eastAsia="en-US"/>
        </w:rPr>
        <w:t>Instructions</w:t>
      </w:r>
    </w:p>
    <w:p w14:paraId="7A099769" w14:textId="77777777" w:rsidR="00FE40D3" w:rsidRPr="00241178" w:rsidRDefault="00FE40D3" w:rsidP="00FE40D3">
      <w:pPr>
        <w:spacing w:after="240" w:line="276" w:lineRule="auto"/>
        <w:jc w:val="both"/>
        <w:rPr>
          <w:sz w:val="22"/>
          <w:szCs w:val="20"/>
          <w:lang w:eastAsia="en-US"/>
        </w:rPr>
      </w:pPr>
      <w:r w:rsidRPr="00241178">
        <w:rPr>
          <w:sz w:val="22"/>
          <w:szCs w:val="20"/>
          <w:lang w:eastAsia="en-US"/>
        </w:rPr>
        <w:t xml:space="preserve">In order to facilitate analysis of responses to the Consultation Paper, respondents are requested to follow the steps below when preparing and submitting their response: </w:t>
      </w:r>
    </w:p>
    <w:p w14:paraId="5D028BA8" w14:textId="01FEDD0D" w:rsidR="00FE40D3" w:rsidRPr="00241178" w:rsidRDefault="00FE40D3" w:rsidP="00FE40D3">
      <w:pPr>
        <w:numPr>
          <w:ilvl w:val="0"/>
          <w:numId w:val="41"/>
        </w:numPr>
        <w:spacing w:after="240" w:line="276" w:lineRule="auto"/>
        <w:jc w:val="both"/>
        <w:rPr>
          <w:sz w:val="22"/>
          <w:szCs w:val="22"/>
          <w:lang w:eastAsia="en-GB"/>
        </w:rPr>
      </w:pPr>
      <w:bookmarkStart w:id="1" w:name="_Hlk65154841"/>
      <w:r w:rsidRPr="00241178">
        <w:rPr>
          <w:sz w:val="22"/>
          <w:szCs w:val="22"/>
          <w:lang w:eastAsia="en-GB"/>
        </w:rPr>
        <w:t>Insert your responses to the consultation questions in th</w:t>
      </w:r>
      <w:r w:rsidR="006D0D0A">
        <w:rPr>
          <w:sz w:val="22"/>
          <w:szCs w:val="22"/>
          <w:lang w:eastAsia="en-GB"/>
        </w:rPr>
        <w:t>is</w:t>
      </w:r>
      <w:r w:rsidRPr="00241178">
        <w:rPr>
          <w:sz w:val="22"/>
          <w:szCs w:val="22"/>
          <w:lang w:eastAsia="en-GB"/>
        </w:rPr>
        <w:t xml:space="preserve"> form</w:t>
      </w:r>
      <w:r w:rsidR="006D0D0A">
        <w:rPr>
          <w:sz w:val="22"/>
          <w:szCs w:val="22"/>
          <w:lang w:eastAsia="en-GB"/>
        </w:rPr>
        <w:t>.</w:t>
      </w:r>
    </w:p>
    <w:bookmarkEnd w:id="1"/>
    <w:p w14:paraId="45B49741" w14:textId="1B9FCA3C" w:rsidR="00FE40D3" w:rsidRPr="00241178" w:rsidRDefault="00FE40D3" w:rsidP="00FE40D3">
      <w:pPr>
        <w:numPr>
          <w:ilvl w:val="0"/>
          <w:numId w:val="41"/>
        </w:numPr>
        <w:spacing w:after="240" w:line="276" w:lineRule="auto"/>
        <w:jc w:val="both"/>
        <w:rPr>
          <w:sz w:val="22"/>
          <w:szCs w:val="22"/>
          <w:lang w:eastAsia="en-GB"/>
        </w:rPr>
      </w:pPr>
      <w:r w:rsidRPr="00241178">
        <w:rPr>
          <w:sz w:val="22"/>
          <w:szCs w:val="22"/>
          <w:lang w:eastAsia="en-GB"/>
        </w:rPr>
        <w:t xml:space="preserve">Please do not remove tags of the type </w:t>
      </w:r>
      <w:r w:rsidRPr="00455107">
        <w:rPr>
          <w:sz w:val="22"/>
          <w:szCs w:val="22"/>
          <w:lang w:eastAsia="en-GB"/>
        </w:rPr>
        <w:t>&lt;ESMA_QUESTION_</w:t>
      </w:r>
      <w:r w:rsidR="00455107" w:rsidRPr="00455107">
        <w:rPr>
          <w:sz w:val="22"/>
          <w:szCs w:val="22"/>
          <w:lang w:eastAsia="en-GB"/>
        </w:rPr>
        <w:t>BEEX</w:t>
      </w:r>
      <w:r w:rsidRPr="00455107">
        <w:rPr>
          <w:sz w:val="22"/>
          <w:szCs w:val="22"/>
          <w:lang w:eastAsia="en-GB"/>
        </w:rPr>
        <w:t>_1&gt;.</w:t>
      </w:r>
      <w:r w:rsidRPr="00241178">
        <w:rPr>
          <w:sz w:val="22"/>
          <w:szCs w:val="22"/>
          <w:lang w:eastAsia="en-GB"/>
        </w:rPr>
        <w:t xml:space="preserve"> Your response to each question has to be framed by the two tags corresponding to the question. </w:t>
      </w:r>
    </w:p>
    <w:p w14:paraId="3C1B6FAE" w14:textId="77777777" w:rsidR="00FE40D3" w:rsidRPr="00241178" w:rsidRDefault="00FE40D3" w:rsidP="00FE40D3">
      <w:pPr>
        <w:numPr>
          <w:ilvl w:val="0"/>
          <w:numId w:val="41"/>
        </w:numPr>
        <w:spacing w:after="240" w:line="276" w:lineRule="auto"/>
        <w:jc w:val="both"/>
        <w:rPr>
          <w:sz w:val="22"/>
          <w:szCs w:val="22"/>
          <w:lang w:eastAsia="en-GB"/>
        </w:rPr>
      </w:pPr>
      <w:r w:rsidRPr="00241178">
        <w:rPr>
          <w:sz w:val="22"/>
          <w:szCs w:val="22"/>
          <w:lang w:eastAsia="en-GB"/>
        </w:rPr>
        <w:t>If you do not wish to respond to a given question, please do not delete it but simply leave the text “TYPE YOUR TEXT HERE” between the tags.</w:t>
      </w:r>
    </w:p>
    <w:p w14:paraId="0398429A" w14:textId="7E09D897" w:rsidR="00FE40D3" w:rsidRPr="00241178" w:rsidRDefault="00FE40D3" w:rsidP="00FE40D3">
      <w:pPr>
        <w:numPr>
          <w:ilvl w:val="0"/>
          <w:numId w:val="41"/>
        </w:numPr>
        <w:spacing w:after="240" w:line="276" w:lineRule="auto"/>
        <w:jc w:val="both"/>
        <w:rPr>
          <w:sz w:val="22"/>
          <w:szCs w:val="22"/>
          <w:lang w:eastAsia="en-GB"/>
        </w:rPr>
      </w:pPr>
      <w:r w:rsidRPr="00241178">
        <w:rPr>
          <w:sz w:val="22"/>
          <w:szCs w:val="22"/>
          <w:lang w:eastAsia="en-GB"/>
        </w:rPr>
        <w:t xml:space="preserve">When you have drafted your response, name your response form according to the following convention: </w:t>
      </w:r>
      <w:r w:rsidRPr="00455107">
        <w:rPr>
          <w:sz w:val="22"/>
          <w:szCs w:val="22"/>
          <w:lang w:eastAsia="en-GB"/>
        </w:rPr>
        <w:t>ESMA_</w:t>
      </w:r>
      <w:r w:rsidR="00455107" w:rsidRPr="00455107">
        <w:rPr>
          <w:sz w:val="22"/>
          <w:szCs w:val="22"/>
          <w:lang w:eastAsia="en-GB"/>
        </w:rPr>
        <w:t>BEEX</w:t>
      </w:r>
      <w:r w:rsidRPr="00455107">
        <w:rPr>
          <w:sz w:val="22"/>
          <w:szCs w:val="22"/>
          <w:lang w:eastAsia="en-GB"/>
        </w:rPr>
        <w:t>_nameofrespondent_RESPONSEFORM</w:t>
      </w:r>
      <w:r w:rsidRPr="00241178">
        <w:rPr>
          <w:sz w:val="22"/>
          <w:szCs w:val="22"/>
          <w:lang w:eastAsia="en-GB"/>
        </w:rPr>
        <w:t>. For example, for a respondent named ABCD, the response form would be entitled ESMA_</w:t>
      </w:r>
      <w:r w:rsidR="00455107">
        <w:rPr>
          <w:sz w:val="22"/>
          <w:szCs w:val="22"/>
          <w:lang w:eastAsia="en-GB"/>
        </w:rPr>
        <w:t>B</w:t>
      </w:r>
      <w:r w:rsidR="00075503" w:rsidRPr="00241178">
        <w:rPr>
          <w:sz w:val="22"/>
          <w:szCs w:val="22"/>
          <w:lang w:eastAsia="en-GB"/>
        </w:rPr>
        <w:t>E</w:t>
      </w:r>
      <w:r w:rsidR="00455107">
        <w:rPr>
          <w:sz w:val="22"/>
          <w:szCs w:val="22"/>
          <w:lang w:eastAsia="en-GB"/>
        </w:rPr>
        <w:t>EX</w:t>
      </w:r>
      <w:r w:rsidRPr="00241178">
        <w:rPr>
          <w:sz w:val="22"/>
          <w:szCs w:val="22"/>
          <w:lang w:eastAsia="en-GB"/>
        </w:rPr>
        <w:t>_ABCD_RESPONSEFORM.</w:t>
      </w:r>
    </w:p>
    <w:p w14:paraId="033FC000" w14:textId="2E00EAE3" w:rsidR="00FE40D3" w:rsidRPr="00241178" w:rsidRDefault="00FE40D3" w:rsidP="00FE40D3">
      <w:pPr>
        <w:numPr>
          <w:ilvl w:val="0"/>
          <w:numId w:val="41"/>
        </w:numPr>
        <w:spacing w:after="240" w:line="276" w:lineRule="auto"/>
        <w:jc w:val="both"/>
        <w:rPr>
          <w:sz w:val="22"/>
          <w:szCs w:val="22"/>
          <w:lang w:eastAsia="en-GB"/>
        </w:rPr>
      </w:pPr>
      <w:r w:rsidRPr="00241178">
        <w:rPr>
          <w:sz w:val="22"/>
          <w:szCs w:val="22"/>
          <w:lang w:eastAsia="en-GB"/>
        </w:rPr>
        <w:t>Upload the form containing your responses, in Word format, to ESMA’s website (</w:t>
      </w:r>
      <w:hyperlink r:id="rId17" w:history="1">
        <w:r w:rsidRPr="00241178">
          <w:rPr>
            <w:color w:val="0563C1"/>
            <w:sz w:val="22"/>
            <w:szCs w:val="22"/>
            <w:u w:val="single"/>
            <w:lang w:eastAsia="en-GB"/>
          </w:rPr>
          <w:t>www.esma.europa.eu</w:t>
        </w:r>
      </w:hyperlink>
      <w:r w:rsidRPr="00241178">
        <w:rPr>
          <w:sz w:val="22"/>
          <w:szCs w:val="22"/>
          <w:lang w:eastAsia="en-GB"/>
        </w:rPr>
        <w:t xml:space="preserve"> under the heading ‘Your input – Open consultations’ → ‘</w:t>
      </w:r>
      <w:r w:rsidR="00075503" w:rsidRPr="00241178">
        <w:rPr>
          <w:sz w:val="22"/>
          <w:szCs w:val="22"/>
          <w:lang w:eastAsia="en-GB"/>
        </w:rPr>
        <w:t>Consultation on</w:t>
      </w:r>
      <w:r w:rsidR="00886D30">
        <w:rPr>
          <w:sz w:val="22"/>
          <w:szCs w:val="22"/>
          <w:lang w:eastAsia="en-GB"/>
        </w:rPr>
        <w:t xml:space="preserve"> </w:t>
      </w:r>
      <w:r w:rsidR="00886D30" w:rsidRPr="00886D30">
        <w:rPr>
          <w:sz w:val="22"/>
          <w:szCs w:val="22"/>
          <w:lang w:eastAsia="en-GB"/>
        </w:rPr>
        <w:t>Review of the MiFID II framework on best execution reports</w:t>
      </w:r>
      <w:r w:rsidRPr="00241178">
        <w:rPr>
          <w:sz w:val="22"/>
          <w:szCs w:val="22"/>
          <w:lang w:eastAsia="en-GB"/>
        </w:rPr>
        <w:t>’).</w:t>
      </w:r>
    </w:p>
    <w:p w14:paraId="3FB5805D" w14:textId="77777777" w:rsidR="00FE40D3" w:rsidRPr="00FE40D3" w:rsidRDefault="00FE40D3" w:rsidP="00FE40D3">
      <w:pPr>
        <w:spacing w:after="120" w:line="264" w:lineRule="auto"/>
        <w:rPr>
          <w:b/>
          <w:sz w:val="22"/>
          <w:szCs w:val="20"/>
          <w:lang w:eastAsia="en-US"/>
        </w:rPr>
      </w:pPr>
      <w:r w:rsidRPr="00FE40D3">
        <w:rPr>
          <w:b/>
          <w:sz w:val="22"/>
          <w:szCs w:val="20"/>
          <w:lang w:eastAsia="en-US"/>
        </w:rPr>
        <w:br w:type="page"/>
      </w:r>
    </w:p>
    <w:p w14:paraId="310A4AC0" w14:textId="77777777" w:rsidR="00FE40D3" w:rsidRPr="00FE40D3" w:rsidRDefault="00FE40D3" w:rsidP="00FE40D3">
      <w:pPr>
        <w:keepNext/>
        <w:spacing w:after="120" w:line="276" w:lineRule="auto"/>
        <w:jc w:val="both"/>
        <w:rPr>
          <w:b/>
          <w:sz w:val="22"/>
          <w:szCs w:val="20"/>
          <w:lang w:eastAsia="en-US"/>
        </w:rPr>
      </w:pPr>
      <w:r w:rsidRPr="00FE40D3">
        <w:rPr>
          <w:b/>
          <w:sz w:val="22"/>
          <w:szCs w:val="20"/>
          <w:lang w:eastAsia="en-US"/>
        </w:rPr>
        <w:lastRenderedPageBreak/>
        <w:t>Publication of responses</w:t>
      </w:r>
    </w:p>
    <w:p w14:paraId="72E285DB"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received will be published following the close of the consultation, unless you request otherwise. </w:t>
      </w:r>
      <w:r w:rsidRPr="00FE40D3">
        <w:rPr>
          <w:sz w:val="22"/>
          <w:szCs w:val="20"/>
          <w:u w:val="single"/>
          <w:lang w:eastAsia="en-US"/>
        </w:rPr>
        <w:t>If you do not wish for your response to be publicly disclosed, please clearly indicate this by ticking the appropriate box on the website submission page</w:t>
      </w:r>
      <w:r w:rsidRPr="00FE40D3">
        <w:rPr>
          <w:sz w:val="22"/>
          <w:szCs w:val="20"/>
          <w:lang w:eastAsia="en-US"/>
        </w:rPr>
        <w:t>.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7362827"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Data protection</w:t>
      </w:r>
    </w:p>
    <w:p w14:paraId="73AF5B46"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Information on data protection can be found at </w:t>
      </w:r>
      <w:hyperlink r:id="rId18" w:history="1">
        <w:r w:rsidRPr="00FE40D3">
          <w:rPr>
            <w:color w:val="0563C1"/>
            <w:sz w:val="22"/>
            <w:szCs w:val="20"/>
            <w:u w:val="single"/>
            <w:lang w:eastAsia="en-US"/>
          </w:rPr>
          <w:t>www.esma.europa.eu</w:t>
        </w:r>
      </w:hyperlink>
      <w:r w:rsidRPr="00FE40D3">
        <w:rPr>
          <w:sz w:val="22"/>
          <w:szCs w:val="20"/>
          <w:lang w:eastAsia="en-US"/>
        </w:rPr>
        <w:t xml:space="preserve"> under the heading </w:t>
      </w:r>
      <w:r w:rsidRPr="00FE40D3">
        <w:rPr>
          <w:color w:val="0563C1"/>
          <w:sz w:val="22"/>
          <w:szCs w:val="20"/>
          <w:u w:val="single"/>
          <w:lang w:eastAsia="en-US"/>
        </w:rPr>
        <w:t>‘</w:t>
      </w:r>
      <w:hyperlink r:id="rId19" w:history="1">
        <w:r w:rsidRPr="00FE40D3">
          <w:rPr>
            <w:color w:val="0563C1"/>
            <w:sz w:val="22"/>
            <w:szCs w:val="20"/>
            <w:u w:val="single"/>
            <w:lang w:eastAsia="en-US"/>
          </w:rPr>
          <w:t>Data protection</w:t>
        </w:r>
      </w:hyperlink>
      <w:r w:rsidRPr="00FE40D3">
        <w:rPr>
          <w:color w:val="0563C1"/>
          <w:sz w:val="22"/>
          <w:szCs w:val="20"/>
          <w:u w:val="single"/>
          <w:lang w:eastAsia="en-US"/>
        </w:rPr>
        <w:t>’</w:t>
      </w:r>
      <w:r w:rsidRPr="00FE40D3">
        <w:rPr>
          <w:sz w:val="22"/>
          <w:szCs w:val="20"/>
          <w:lang w:eastAsia="en-US"/>
        </w:rPr>
        <w:t>.</w:t>
      </w:r>
    </w:p>
    <w:p w14:paraId="294D770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Who should read this paper?</w:t>
      </w:r>
    </w:p>
    <w:p w14:paraId="3FADC208" w14:textId="0DA37575" w:rsidR="00332304" w:rsidRPr="001021EF" w:rsidRDefault="0091143D" w:rsidP="00FE40D3">
      <w:pPr>
        <w:spacing w:after="240"/>
        <w:jc w:val="both"/>
        <w:rPr>
          <w:b/>
          <w:bCs/>
        </w:rPr>
      </w:pPr>
      <w:r w:rsidRPr="0091143D">
        <w:rPr>
          <w:sz w:val="22"/>
          <w:szCs w:val="20"/>
          <w:lang w:eastAsia="en-US"/>
        </w:rPr>
        <w:t>This document is of interest to execution venues, investment firms and their associations, investors, consumer associations, as well as any market participant engaged in the execution of orders under the MiFID II framework.</w:t>
      </w:r>
      <w:r w:rsidR="00332304" w:rsidRPr="001021EF">
        <w:rPr>
          <w:b/>
          <w:bCs/>
        </w:rPr>
        <w:br w:type="page"/>
      </w:r>
    </w:p>
    <w:p w14:paraId="07F9766A" w14:textId="77777777" w:rsidR="00B327E9" w:rsidRPr="00AB6D88" w:rsidRDefault="00B327E9" w:rsidP="00B327E9">
      <w:pPr>
        <w:pStyle w:val="Heading1"/>
        <w:numPr>
          <w:ilvl w:val="0"/>
          <w:numId w:val="0"/>
        </w:numPr>
      </w:pPr>
      <w:r w:rsidRPr="00AB6D88">
        <w:lastRenderedPageBreak/>
        <w:t>General information about respondent</w:t>
      </w:r>
    </w:p>
    <w:p w14:paraId="08407B41"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02AAC332" w14:textId="77777777" w:rsidTr="00F136AD">
        <w:tc>
          <w:tcPr>
            <w:tcW w:w="3929" w:type="dxa"/>
            <w:shd w:val="clear" w:color="auto" w:fill="auto"/>
          </w:tcPr>
          <w:p w14:paraId="2CC52FAD" w14:textId="77777777" w:rsidR="00B327E9" w:rsidRPr="00E40A5C" w:rsidRDefault="00B327E9" w:rsidP="00F136AD">
            <w:pPr>
              <w:rPr>
                <w:rFonts w:cs="Arial"/>
                <w:sz w:val="22"/>
              </w:rPr>
            </w:pPr>
            <w:r w:rsidRPr="00E40A5C">
              <w:rPr>
                <w:rFonts w:cs="Arial"/>
                <w:sz w:val="22"/>
              </w:rPr>
              <w:t>Name of the company / organisation</w:t>
            </w:r>
          </w:p>
        </w:tc>
        <w:sdt>
          <w:sdtPr>
            <w:rPr>
              <w:rStyle w:val="PlaceholderText"/>
              <w:rFonts w:cs="Arial"/>
            </w:rPr>
            <w:id w:val="-1905066999"/>
            <w:text/>
          </w:sdtPr>
          <w:sdtEndPr>
            <w:rPr>
              <w:rStyle w:val="PlaceholderText"/>
            </w:rPr>
          </w:sdtEndPr>
          <w:sdtContent>
            <w:permStart w:id="1493633476" w:edGrp="everyone" w:displacedByCustomXml="prev"/>
            <w:tc>
              <w:tcPr>
                <w:tcW w:w="5595" w:type="dxa"/>
                <w:shd w:val="clear" w:color="auto" w:fill="auto"/>
              </w:tcPr>
              <w:p w14:paraId="23C2C921" w14:textId="343A4719" w:rsidR="00B327E9" w:rsidRPr="00AB6D88" w:rsidRDefault="001743F1" w:rsidP="00F136AD">
                <w:pPr>
                  <w:rPr>
                    <w:rStyle w:val="PlaceholderText"/>
                    <w:rFonts w:cs="Arial"/>
                  </w:rPr>
                </w:pPr>
                <w:r>
                  <w:rPr>
                    <w:rStyle w:val="PlaceholderText"/>
                    <w:rFonts w:cs="Arial"/>
                  </w:rPr>
                  <w:t>European Association of Co-operative Banks</w:t>
                </w:r>
              </w:p>
            </w:tc>
            <w:permEnd w:id="1493633476" w:displacedByCustomXml="next"/>
          </w:sdtContent>
        </w:sdt>
      </w:tr>
      <w:tr w:rsidR="00B327E9" w:rsidRPr="00AB6D88" w14:paraId="0D2401D8" w14:textId="77777777" w:rsidTr="00F136AD">
        <w:tc>
          <w:tcPr>
            <w:tcW w:w="3929" w:type="dxa"/>
            <w:shd w:val="clear" w:color="auto" w:fill="auto"/>
          </w:tcPr>
          <w:p w14:paraId="6C0EFE39" w14:textId="77777777" w:rsidR="00B327E9" w:rsidRPr="00E40A5C" w:rsidRDefault="00B327E9" w:rsidP="00F136AD">
            <w:pPr>
              <w:rPr>
                <w:rFonts w:cs="Arial"/>
                <w:sz w:val="22"/>
              </w:rPr>
            </w:pPr>
            <w:permStart w:id="438450997" w:edGrp="everyone" w:colFirst="1" w:colLast="1"/>
            <w:r w:rsidRPr="00E40A5C">
              <w:rPr>
                <w:rFonts w:cs="Arial"/>
                <w:sz w:val="22"/>
              </w:rPr>
              <w:t>Activity</w:t>
            </w:r>
          </w:p>
        </w:tc>
        <w:tc>
          <w:tcPr>
            <w:tcW w:w="5595" w:type="dxa"/>
            <w:shd w:val="clear" w:color="auto" w:fill="auto"/>
          </w:tcPr>
          <w:p w14:paraId="163BBF3B" w14:textId="1A669275" w:rsidR="00B327E9" w:rsidRPr="00AB6D88" w:rsidRDefault="00F53917" w:rsidP="00F136AD">
            <w:pPr>
              <w:rPr>
                <w:rFonts w:cs="Arial"/>
              </w:rPr>
            </w:pPr>
            <w:sdt>
              <w:sdtPr>
                <w:rPr>
                  <w:rFonts w:cs="Arial"/>
                </w:rPr>
                <w:alias w:val="Activity"/>
                <w:tag w:val="Activity"/>
                <w:id w:val="-476845391"/>
                <w:comboBox>
                  <w:listItem w:value="Choose an item."/>
                  <w:listItem w:displayText="AIFM" w:value="AIFM"/>
                  <w:listItem w:displayText="Asset Manager Association" w:value="Asset Manager Association"/>
                  <w:listItem w:displayText="Data/ Ratings Provider" w:value="Data/ Ratings Provider"/>
                  <w:listItem w:displayText="Exchange or Trading System" w:value="Exchange or Trading System"/>
                  <w:listItem w:displayText="Investment Analyst" w:value="Investment Analyst"/>
                  <w:listItem w:displayText="Investor" w:value="Investor"/>
                  <w:listItem w:displayText="Investor/ Consumer Association" w:value="Investor/ Consumer Association"/>
                  <w:listItem w:displayText="Issuer/ Non-Financial Undertaking" w:value="Issuer/ Non-Financial Undertaking"/>
                  <w:listItem w:displayText="Issuer Association" w:value="Issuer Association"/>
                  <w:listItem w:displayText="Legal and Accountancy" w:value="Legal and Accountancy"/>
                  <w:listItem w:displayText="Non-governmental Organisation and Other Associations" w:value="Non-governmental Organisation and Other Associations"/>
                  <w:listItem w:displayText="Regulated Market" w:value="Regulated Market"/>
                  <w:listItem w:displayText="Self-managed UCITS Investment Company/ Internally-managed AIF" w:value="Self-managed UCITS Investment Company/ Internally-managed AIF"/>
                  <w:listItem w:displayText="Standard Setter" w:value="Standard Setter"/>
                  <w:listItem w:displayText="UCITS Management Company / AIFM" w:value="UCITS Management Company / AIFM"/>
                  <w:listItem w:displayText="Other" w:value="Other"/>
                </w:comboBox>
              </w:sdtPr>
              <w:sdtEndPr/>
              <w:sdtContent>
                <w:r w:rsidR="001743F1">
                  <w:rPr>
                    <w:rFonts w:cs="Arial"/>
                  </w:rPr>
                  <w:t>Non-governmental Organisation and Other Associations</w:t>
                </w:r>
              </w:sdtContent>
            </w:sdt>
          </w:p>
        </w:tc>
      </w:tr>
      <w:permEnd w:id="438450997"/>
      <w:tr w:rsidR="00B327E9" w:rsidRPr="00AB6D88" w14:paraId="1A153F17" w14:textId="77777777" w:rsidTr="00F136AD">
        <w:tc>
          <w:tcPr>
            <w:tcW w:w="3929" w:type="dxa"/>
            <w:shd w:val="clear" w:color="auto" w:fill="auto"/>
          </w:tcPr>
          <w:p w14:paraId="396772EB" w14:textId="77777777" w:rsidR="00B327E9" w:rsidRPr="00E40A5C" w:rsidRDefault="00B327E9" w:rsidP="00F136AD">
            <w:pPr>
              <w:rPr>
                <w:rFonts w:cs="Arial"/>
                <w:sz w:val="22"/>
              </w:rPr>
            </w:pPr>
            <w:r w:rsidRPr="00E40A5C">
              <w:rPr>
                <w:rFonts w:cs="Arial"/>
                <w:sz w:val="22"/>
              </w:rPr>
              <w:t>Are you representing an association?</w:t>
            </w:r>
          </w:p>
        </w:tc>
        <w:permStart w:id="728653664" w:edGrp="everyone" w:displacedByCustomXml="next"/>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50B064BB" w14:textId="32980257" w:rsidR="00B327E9" w:rsidRPr="00AB6D88" w:rsidRDefault="00F53917" w:rsidP="00F136AD">
                <w:pPr>
                  <w:rPr>
                    <w:rFonts w:cs="Arial"/>
                  </w:rPr>
                </w:pPr>
                <w:r>
                  <w:rPr>
                    <w:rFonts w:ascii="MS Gothic" w:eastAsia="MS Gothic" w:hAnsi="MS Gothic" w:cs="Arial" w:hint="eastAsia"/>
                  </w:rPr>
                  <w:t>☒</w:t>
                </w:r>
              </w:p>
            </w:tc>
          </w:sdtContent>
        </w:sdt>
        <w:permEnd w:id="728653664" w:displacedByCustomXml="prev"/>
      </w:tr>
      <w:tr w:rsidR="00B327E9" w:rsidRPr="00AB6D88" w14:paraId="4F3F3D16" w14:textId="77777777" w:rsidTr="00F136AD">
        <w:tc>
          <w:tcPr>
            <w:tcW w:w="3929" w:type="dxa"/>
            <w:shd w:val="clear" w:color="auto" w:fill="auto"/>
          </w:tcPr>
          <w:p w14:paraId="3C221113" w14:textId="77777777" w:rsidR="00B327E9" w:rsidRPr="00E40A5C" w:rsidRDefault="00B327E9" w:rsidP="00F136AD">
            <w:pPr>
              <w:rPr>
                <w:rFonts w:cs="Arial"/>
                <w:sz w:val="22"/>
              </w:rPr>
            </w:pPr>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2146979738" w:edGrp="everyone" w:displacedByCustomXml="prev"/>
            <w:tc>
              <w:tcPr>
                <w:tcW w:w="5595" w:type="dxa"/>
                <w:shd w:val="clear" w:color="auto" w:fill="auto"/>
              </w:tcPr>
              <w:p w14:paraId="01F5D6D4" w14:textId="7740F0AF" w:rsidR="00B327E9" w:rsidRPr="00AB6D88" w:rsidRDefault="001743F1" w:rsidP="00F136AD">
                <w:pPr>
                  <w:rPr>
                    <w:rFonts w:cs="Arial"/>
                  </w:rPr>
                </w:pPr>
                <w:r>
                  <w:rPr>
                    <w:rFonts w:cs="Arial"/>
                  </w:rPr>
                  <w:t>Belgium</w:t>
                </w:r>
              </w:p>
            </w:tc>
            <w:permEnd w:id="2146979738" w:displacedByCustomXml="next"/>
          </w:sdtContent>
        </w:sdt>
      </w:tr>
    </w:tbl>
    <w:p w14:paraId="48174611" w14:textId="77777777" w:rsidR="00B327E9" w:rsidRDefault="00B327E9" w:rsidP="00B327E9">
      <w:pPr>
        <w:spacing w:after="120" w:line="264" w:lineRule="auto"/>
      </w:pPr>
    </w:p>
    <w:p w14:paraId="3FE7D92F" w14:textId="77777777" w:rsidR="00B327E9" w:rsidRDefault="00B327E9" w:rsidP="00FE6577">
      <w:pPr>
        <w:pStyle w:val="Heading1"/>
        <w:numPr>
          <w:ilvl w:val="0"/>
          <w:numId w:val="0"/>
        </w:numPr>
        <w:ind w:left="431" w:hanging="431"/>
      </w:pPr>
      <w:r>
        <w:t>Introduction</w:t>
      </w:r>
    </w:p>
    <w:p w14:paraId="3C83C634" w14:textId="77777777" w:rsidR="00B327E9" w:rsidRPr="00E40A5C" w:rsidRDefault="00B327E9" w:rsidP="00FE6577">
      <w:pPr>
        <w:rPr>
          <w:rStyle w:val="IntenseEmphasis"/>
          <w:sz w:val="22"/>
        </w:rPr>
      </w:pPr>
      <w:r w:rsidRPr="00E40A5C">
        <w:rPr>
          <w:rStyle w:val="IntenseEmphasis"/>
          <w:sz w:val="22"/>
        </w:rPr>
        <w:t>Please make your introductory comments below, if any:</w:t>
      </w:r>
    </w:p>
    <w:p w14:paraId="26578279" w14:textId="77777777" w:rsidR="00B327E9" w:rsidRPr="00BF28DA" w:rsidRDefault="00B327E9" w:rsidP="00FE6577"/>
    <w:p w14:paraId="06351DAC" w14:textId="4EA6DF3F" w:rsidR="00B327E9" w:rsidRPr="006F4535" w:rsidRDefault="00B327E9" w:rsidP="00FE6577">
      <w:r w:rsidRPr="006F4535">
        <w:t>&lt;ESMA_COMMENT_</w:t>
      </w:r>
      <w:r w:rsidR="00455107" w:rsidRPr="00455107">
        <w:t>B</w:t>
      </w:r>
      <w:r w:rsidR="00A014B6" w:rsidRPr="00455107">
        <w:t>E</w:t>
      </w:r>
      <w:r w:rsidR="00455107" w:rsidRPr="00455107">
        <w:t>EX</w:t>
      </w:r>
      <w:r w:rsidRPr="006F4535">
        <w:t>_1&gt;</w:t>
      </w:r>
    </w:p>
    <w:p w14:paraId="3F3B99D9" w14:textId="77777777" w:rsidR="00474A00" w:rsidRDefault="0096727A" w:rsidP="00FE6577">
      <w:permStart w:id="44765448" w:edGrp="everyone"/>
      <w:r>
        <w:t>The European Association of Co-operative Banks welcomes the opportunity to be able to provide its views on the ESMA consultation regarding the review of the MiFID best execution reporting regime.</w:t>
      </w:r>
      <w:r w:rsidR="00BC1563">
        <w:t xml:space="preserve"> During the</w:t>
      </w:r>
      <w:r w:rsidR="00E84C6F">
        <w:t xml:space="preserve"> start of the COVID pandemic, the members of the EACB were actively engaged on the </w:t>
      </w:r>
      <w:r w:rsidR="00A863C5">
        <w:t xml:space="preserve">discussions surrounding the </w:t>
      </w:r>
      <w:r w:rsidR="00E84C6F">
        <w:t xml:space="preserve">proposed amendments being made by the European Commission </w:t>
      </w:r>
      <w:r w:rsidR="00A863C5">
        <w:t>to</w:t>
      </w:r>
      <w:r w:rsidR="00E84C6F">
        <w:t xml:space="preserve"> MiFID II under the Capital Markets Recovery Package.</w:t>
      </w:r>
    </w:p>
    <w:p w14:paraId="031C61BF" w14:textId="77777777" w:rsidR="00474A00" w:rsidRDefault="00474A00" w:rsidP="00FE6577"/>
    <w:p w14:paraId="3EC00E6D" w14:textId="0726FEB1" w:rsidR="00B327E9" w:rsidRDefault="00E84C6F" w:rsidP="00FE6577">
      <w:r>
        <w:t>In</w:t>
      </w:r>
      <w:r w:rsidR="00474A00">
        <w:t xml:space="preserve"> fact</w:t>
      </w:r>
      <w:r>
        <w:t xml:space="preserve">, EACB members </w:t>
      </w:r>
      <w:r w:rsidR="006D4641">
        <w:t xml:space="preserve">had </w:t>
      </w:r>
      <w:r>
        <w:t>support</w:t>
      </w:r>
      <w:r w:rsidR="006D4641">
        <w:t>ed</w:t>
      </w:r>
      <w:r>
        <w:t xml:space="preserve"> the ‘</w:t>
      </w:r>
      <w:r w:rsidR="00A863C5">
        <w:t xml:space="preserve">MiFID </w:t>
      </w:r>
      <w:r>
        <w:t xml:space="preserve">quick fix’ </w:t>
      </w:r>
      <w:r w:rsidR="00F6233F">
        <w:t xml:space="preserve">as disclosed under </w:t>
      </w:r>
      <w:r w:rsidR="00A863C5">
        <w:t xml:space="preserve">Article 1 (6) of Directive (EU) 2021/338, which provides for a temporary suspension of </w:t>
      </w:r>
      <w:r w:rsidR="00474A00">
        <w:t xml:space="preserve">RTS 27 of MiFID II until 28 February 2023. EACB had also supported a similar proposal for RTS 28, MiFID II – although this was never adopted – for similar reasons behind the temporary suspension of RTS 27, </w:t>
      </w:r>
      <w:proofErr w:type="gramStart"/>
      <w:r w:rsidR="00474A00">
        <w:t>i.e.</w:t>
      </w:r>
      <w:proofErr w:type="gramEnd"/>
      <w:r w:rsidR="00474A00">
        <w:t xml:space="preserve"> costliness of implementation of the reports</w:t>
      </w:r>
      <w:r w:rsidR="003332DD">
        <w:t xml:space="preserve"> in comparison to the low usage of such reports by investors, and the fact that the buy-side seems to receive its information on the </w:t>
      </w:r>
      <w:r w:rsidR="000447EA">
        <w:t>orders</w:t>
      </w:r>
      <w:r w:rsidR="003332DD">
        <w:t xml:space="preserve"> from other means.</w:t>
      </w:r>
    </w:p>
    <w:p w14:paraId="1F7DE6C2" w14:textId="3C0A760C" w:rsidR="003332DD" w:rsidRDefault="003332DD" w:rsidP="00FE6577"/>
    <w:p w14:paraId="785F6E77" w14:textId="3FD6EBB7" w:rsidR="003332DD" w:rsidRDefault="006D4641" w:rsidP="00FE6577">
      <w:r>
        <w:t>Following the publication on 25 November 2021 of the European Commission’s proposal for a directive amending MiFID, the EACB would like to extend its support for the proposed abolition of RTS 27 best execution reports in lieu of the regulation setting up a consolidated tape published on the same date. We also believe that the above abolition should be extended to RTS 28 reports and that the proposed directive should be amended accordingly to reflect this proposal.</w:t>
      </w:r>
    </w:p>
    <w:p w14:paraId="0AB35432" w14:textId="1CB1C53A" w:rsidR="003332DD" w:rsidRDefault="003332DD" w:rsidP="00FE6577"/>
    <w:p w14:paraId="6AE80B59" w14:textId="3BF98C18" w:rsidR="003332DD" w:rsidRDefault="003332DD" w:rsidP="00FE6577">
      <w:r>
        <w:t>For further information, please read our answers to the following questions.</w:t>
      </w:r>
    </w:p>
    <w:p w14:paraId="02CDD3A2" w14:textId="2B13E574" w:rsidR="00A863C5" w:rsidRDefault="00A863C5" w:rsidP="00FE6577"/>
    <w:p w14:paraId="35564E56" w14:textId="77777777" w:rsidR="00A863C5" w:rsidRDefault="00A863C5" w:rsidP="00FE6577"/>
    <w:permEnd w:id="44765448"/>
    <w:p w14:paraId="68F63540" w14:textId="7BAC455B" w:rsidR="00B327E9" w:rsidRPr="00BF28DA" w:rsidRDefault="00B327E9" w:rsidP="00FE6577">
      <w:r w:rsidRPr="00BF28DA">
        <w:t>&lt;ESMA_COMMENT_</w:t>
      </w:r>
      <w:r w:rsidR="00455107" w:rsidRPr="00455107">
        <w:t xml:space="preserve"> BEEX</w:t>
      </w:r>
      <w:r w:rsidR="000A58BE">
        <w:t>_</w:t>
      </w:r>
      <w:r w:rsidRPr="00BF28DA">
        <w:t>1&gt;</w:t>
      </w:r>
    </w:p>
    <w:p w14:paraId="4865C74B" w14:textId="77777777" w:rsidR="002E7113" w:rsidRDefault="002E7113" w:rsidP="002E7113">
      <w:pPr>
        <w:pStyle w:val="Heading1"/>
        <w:numPr>
          <w:ilvl w:val="0"/>
          <w:numId w:val="0"/>
        </w:numPr>
      </w:pPr>
    </w:p>
    <w:p w14:paraId="039B696F" w14:textId="77777777" w:rsidR="00F31E57" w:rsidRPr="00BF28DA" w:rsidRDefault="00F31E57" w:rsidP="00D34282"/>
    <w:p w14:paraId="5B79D316" w14:textId="4E9789C6" w:rsidR="00014A67" w:rsidRDefault="00F31E57" w:rsidP="00014A67">
      <w:pPr>
        <w:pStyle w:val="Questionstyle"/>
      </w:pPr>
      <w:r w:rsidRPr="0075015C">
        <w:br w:type="page"/>
      </w:r>
    </w:p>
    <w:p w14:paraId="36E568B8" w14:textId="77777777" w:rsidR="004258CF" w:rsidRPr="004258CF" w:rsidRDefault="004258CF" w:rsidP="004258CF">
      <w:pPr>
        <w:numPr>
          <w:ilvl w:val="0"/>
          <w:numId w:val="36"/>
        </w:numPr>
        <w:spacing w:after="250" w:line="276" w:lineRule="auto"/>
        <w:contextualSpacing/>
        <w:jc w:val="both"/>
        <w:rPr>
          <w:rFonts w:cs="Arial"/>
          <w:b/>
          <w:szCs w:val="22"/>
          <w:lang w:val="en-US" w:eastAsia="en-US"/>
        </w:rPr>
      </w:pPr>
      <w:r w:rsidRPr="004258CF">
        <w:rPr>
          <w:rFonts w:cs="Arial"/>
          <w:b/>
          <w:szCs w:val="20"/>
          <w:lang w:val="en-US" w:eastAsia="en-GB"/>
        </w:rPr>
        <w:lastRenderedPageBreak/>
        <w:t>: Do you agree with the proposed scope in terms of execution venues for the reporting under a possible new RTS 27?</w:t>
      </w:r>
    </w:p>
    <w:p w14:paraId="19EF215B"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&lt;ESMA_QUESTION_BEEX_1&gt;</w:t>
      </w:r>
    </w:p>
    <w:p w14:paraId="3DE01095" w14:textId="393A386A" w:rsidR="009D62BC" w:rsidRPr="00095F8D" w:rsidRDefault="009D62BC" w:rsidP="009D62BC">
      <w:pPr>
        <w:rPr>
          <w:rFonts w:cstheme="minorHAnsi"/>
          <w:b/>
          <w:color w:val="00B050"/>
        </w:rPr>
      </w:pPr>
      <w:permStart w:id="222133246" w:edGrp="everyone"/>
    </w:p>
    <w:p w14:paraId="29A3D52C" w14:textId="446FDE41" w:rsidR="009D62BC" w:rsidRPr="00134553" w:rsidRDefault="00134553" w:rsidP="009D62BC">
      <w:r w:rsidRPr="00134553">
        <w:t>The EACB notes</w:t>
      </w:r>
      <w:r w:rsidR="009D62BC" w:rsidRPr="00134553">
        <w:t xml:space="preserve"> that the crucial question for RTS 27 reports is </w:t>
      </w:r>
      <w:r w:rsidRPr="00134553">
        <w:t>whether</w:t>
      </w:r>
      <w:r w:rsidR="009D62BC" w:rsidRPr="00134553">
        <w:t xml:space="preserve"> these reports should be re-instated.  Based on the evidence </w:t>
      </w:r>
      <w:r>
        <w:t>provided by our members</w:t>
      </w:r>
      <w:r w:rsidR="009D62BC" w:rsidRPr="00134553">
        <w:t>, we do not think that th</w:t>
      </w:r>
      <w:r>
        <w:t>e RTS 27 reports</w:t>
      </w:r>
      <w:r w:rsidR="009D62BC" w:rsidRPr="00134553">
        <w:t xml:space="preserve"> provide meaningful information which justifies the efforts in producing these reports. Neither have these reports been widely used by prospective recipients so far (measured by observed page views) nor are they helpful for investment firm’s own decisions to determine suitable best execution venues. We do not expect that the proposed modifications of RTS 27 reports would change that.</w:t>
      </w:r>
    </w:p>
    <w:p w14:paraId="0D35D12E" w14:textId="77777777" w:rsidR="009D62BC" w:rsidRPr="00134553" w:rsidRDefault="009D62BC" w:rsidP="009D62BC"/>
    <w:p w14:paraId="64A67D2B" w14:textId="1656038B" w:rsidR="009D62BC" w:rsidRPr="00134553" w:rsidRDefault="009D62BC" w:rsidP="009D62BC">
      <w:r w:rsidRPr="00134553">
        <w:t xml:space="preserve">In this context, we very much welcome the fact that the </w:t>
      </w:r>
      <w:r w:rsidR="00134553">
        <w:t>European Commission</w:t>
      </w:r>
      <w:r w:rsidRPr="00134553">
        <w:t xml:space="preserve"> has proposed a deletion of Art. 27 (3) [RTS 27] as part of the Capital Markets Union package</w:t>
      </w:r>
      <w:r w:rsidR="00AF748A">
        <w:t>, and that this deletion will be covered by the establishment of the consolidated tape (of which proposal was published on the same date).</w:t>
      </w:r>
    </w:p>
    <w:p w14:paraId="3E96173E" w14:textId="77777777" w:rsidR="009D62BC" w:rsidRPr="00134553" w:rsidRDefault="009D62BC" w:rsidP="009D62BC"/>
    <w:p w14:paraId="3B5647A0" w14:textId="7DFC672A" w:rsidR="009D62BC" w:rsidRPr="00134553" w:rsidRDefault="009D62BC" w:rsidP="009D62BC">
      <w:r w:rsidRPr="00134553">
        <w:t xml:space="preserve">We do not agree </w:t>
      </w:r>
      <w:r w:rsidR="00A71AD0">
        <w:t xml:space="preserve">however </w:t>
      </w:r>
      <w:r w:rsidRPr="00134553">
        <w:t xml:space="preserve">that reports shall be published via a planned EU Single Access Point (ESAP) according to Article 5 (3) of RTS 27 (new). This is an additional administrative burden which is not in proportion to the questionable benefit the report has for the recipients. </w:t>
      </w:r>
    </w:p>
    <w:p w14:paraId="21CE691B" w14:textId="77777777" w:rsidR="009D62BC" w:rsidRPr="009D62BC" w:rsidRDefault="009D62BC" w:rsidP="009D62BC">
      <w:pPr>
        <w:rPr>
          <w:rFonts w:cstheme="minorHAnsi"/>
          <w:color w:val="548DD4" w:themeColor="text2" w:themeTint="99"/>
        </w:rPr>
      </w:pPr>
    </w:p>
    <w:permEnd w:id="222133246"/>
    <w:p w14:paraId="6324657C"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&lt;ESMA_QUESTION_BEEX_1&gt;</w:t>
      </w:r>
    </w:p>
    <w:p w14:paraId="065626B5" w14:textId="77777777" w:rsidR="004258CF" w:rsidRPr="004258CF" w:rsidRDefault="004258CF" w:rsidP="004258CF">
      <w:pPr>
        <w:spacing w:after="160" w:line="256" w:lineRule="auto"/>
        <w:rPr>
          <w:rFonts w:ascii="Calibri" w:eastAsia="Calibri" w:hAnsi="Calibri"/>
          <w:sz w:val="22"/>
          <w:szCs w:val="22"/>
          <w:lang w:eastAsia="en-US"/>
        </w:rPr>
      </w:pPr>
    </w:p>
    <w:p w14:paraId="3217AD5F" w14:textId="77777777" w:rsidR="004258CF" w:rsidRPr="004258CF" w:rsidRDefault="004258CF" w:rsidP="004258CF">
      <w:pPr>
        <w:numPr>
          <w:ilvl w:val="0"/>
          <w:numId w:val="36"/>
        </w:numPr>
        <w:spacing w:after="250" w:line="276" w:lineRule="auto"/>
        <w:contextualSpacing/>
        <w:jc w:val="both"/>
        <w:rPr>
          <w:rFonts w:cs="Arial"/>
          <w:b/>
          <w:szCs w:val="20"/>
          <w:lang w:val="en-US" w:eastAsia="en-GB"/>
        </w:rPr>
      </w:pPr>
      <w:r w:rsidRPr="004258CF">
        <w:rPr>
          <w:rFonts w:cs="Arial"/>
          <w:b/>
          <w:szCs w:val="20"/>
          <w:lang w:val="en-US" w:eastAsia="en-GB"/>
        </w:rPr>
        <w:t>: Do you agree with the proposed level of granularity by types of financial instruments instead of individual financial instruments under a new potential reporting regime? In particular, do you agree with the two proposed categories concerning shares (i.e., shares considered to have a liquid market and shares not considered to have a liquid market)? If not, please state the reasons for your answer and clarify what alternative categorisations you would propose in order to have a meaningful level of granularity for a new reporting regime.</w:t>
      </w:r>
    </w:p>
    <w:p w14:paraId="5162D127"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&lt;ESMA_QUESTION_BEEX_2&gt;</w:t>
      </w:r>
    </w:p>
    <w:p w14:paraId="04853A9B" w14:textId="480E00D3" w:rsidR="004258CF" w:rsidRPr="004258CF" w:rsidRDefault="00BC7109" w:rsidP="004258CF">
      <w:pPr>
        <w:spacing w:after="160" w:line="256" w:lineRule="auto"/>
        <w:rPr>
          <w:rFonts w:ascii="Calibri" w:eastAsia="Calibri" w:hAnsi="Calibri"/>
          <w:sz w:val="22"/>
          <w:szCs w:val="22"/>
          <w:lang w:eastAsia="en-US"/>
        </w:rPr>
      </w:pPr>
      <w:permStart w:id="147554275" w:edGrp="everyone"/>
      <w:r>
        <w:t xml:space="preserve">The EACB strongly supports a deletion of RTS 27 best execution </w:t>
      </w:r>
      <w:proofErr w:type="gramStart"/>
      <w:r>
        <w:t>reporting.</w:t>
      </w:r>
      <w:permEnd w:id="147554275"/>
      <w:r w:rsidR="004258CF" w:rsidRPr="004258CF">
        <w:rPr>
          <w:rFonts w:ascii="Calibri" w:eastAsia="Calibri" w:hAnsi="Calibri"/>
          <w:sz w:val="22"/>
          <w:szCs w:val="22"/>
          <w:lang w:eastAsia="en-US"/>
        </w:rPr>
        <w:t>&lt;</w:t>
      </w:r>
      <w:proofErr w:type="gramEnd"/>
      <w:r w:rsidR="004258CF" w:rsidRPr="004258CF">
        <w:rPr>
          <w:rFonts w:ascii="Calibri" w:eastAsia="Calibri" w:hAnsi="Calibri"/>
          <w:sz w:val="22"/>
          <w:szCs w:val="22"/>
          <w:lang w:eastAsia="en-US"/>
        </w:rPr>
        <w:t>ESMA_QUESTION_BEEX_2&gt;</w:t>
      </w:r>
    </w:p>
    <w:p w14:paraId="0625F6A6" w14:textId="77777777" w:rsidR="004258CF" w:rsidRPr="004258CF" w:rsidRDefault="004258CF" w:rsidP="004258CF">
      <w:pPr>
        <w:spacing w:after="160" w:line="256" w:lineRule="auto"/>
        <w:rPr>
          <w:rFonts w:ascii="Calibri" w:eastAsia="Calibri" w:hAnsi="Calibri"/>
          <w:sz w:val="22"/>
          <w:szCs w:val="22"/>
          <w:lang w:eastAsia="en-US"/>
        </w:rPr>
      </w:pPr>
    </w:p>
    <w:p w14:paraId="7973E377" w14:textId="77777777" w:rsidR="004258CF" w:rsidRPr="004258CF" w:rsidRDefault="004258CF" w:rsidP="004258CF">
      <w:pPr>
        <w:numPr>
          <w:ilvl w:val="0"/>
          <w:numId w:val="36"/>
        </w:numPr>
        <w:spacing w:after="250" w:line="276" w:lineRule="auto"/>
        <w:contextualSpacing/>
        <w:jc w:val="both"/>
        <w:rPr>
          <w:rFonts w:cs="Arial"/>
          <w:b/>
          <w:szCs w:val="20"/>
          <w:lang w:val="en-US" w:eastAsia="en-GB"/>
        </w:rPr>
      </w:pPr>
      <w:r w:rsidRPr="004258CF">
        <w:rPr>
          <w:rFonts w:cs="Arial"/>
          <w:b/>
          <w:szCs w:val="20"/>
          <w:lang w:val="en-US" w:eastAsia="en-GB"/>
        </w:rPr>
        <w:t>: Do you agree with the proposed metrics to report the execution quality obtained by execution venues?</w:t>
      </w:r>
    </w:p>
    <w:p w14:paraId="6DEA5007"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&lt;ESMA_QUESTION_BEEX_3&gt;</w:t>
      </w:r>
    </w:p>
    <w:p w14:paraId="337A9E56" w14:textId="27BD8DD8" w:rsidR="00CF2406" w:rsidRPr="00BC7109" w:rsidRDefault="00BC7109" w:rsidP="00BC7109">
      <w:pPr>
        <w:rPr>
          <w:color w:val="FF0000"/>
          <w:lang w:val="fr-FR"/>
        </w:rPr>
      </w:pPr>
      <w:permStart w:id="2033745150" w:edGrp="everyone"/>
      <w:r>
        <w:t>The EACB strongly supports a deletion of RTS 27 best execution reporting.</w:t>
      </w:r>
    </w:p>
    <w:permEnd w:id="2033745150"/>
    <w:p w14:paraId="7C403DB8"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&lt;ESMA_QUESTION_BEEX_3&gt;</w:t>
      </w:r>
    </w:p>
    <w:p w14:paraId="478CC543" w14:textId="77777777" w:rsidR="004258CF" w:rsidRPr="004258CF" w:rsidRDefault="004258CF" w:rsidP="004258CF">
      <w:pPr>
        <w:spacing w:after="160" w:line="256" w:lineRule="auto"/>
        <w:rPr>
          <w:rFonts w:ascii="Calibri" w:eastAsia="Calibri" w:hAnsi="Calibri"/>
          <w:sz w:val="22"/>
          <w:szCs w:val="22"/>
          <w:lang w:eastAsia="en-US"/>
        </w:rPr>
      </w:pPr>
    </w:p>
    <w:p w14:paraId="7E787A45" w14:textId="77777777" w:rsidR="004258CF" w:rsidRPr="004258CF" w:rsidRDefault="004258CF" w:rsidP="004258CF">
      <w:pPr>
        <w:numPr>
          <w:ilvl w:val="0"/>
          <w:numId w:val="36"/>
        </w:numPr>
        <w:spacing w:after="250" w:line="276" w:lineRule="auto"/>
        <w:contextualSpacing/>
        <w:jc w:val="both"/>
        <w:rPr>
          <w:rFonts w:cs="Arial"/>
          <w:b/>
          <w:szCs w:val="20"/>
          <w:lang w:val="en-US" w:eastAsia="en-GB"/>
        </w:rPr>
      </w:pPr>
      <w:r w:rsidRPr="004258CF">
        <w:rPr>
          <w:rFonts w:cs="Arial"/>
          <w:b/>
          <w:szCs w:val="20"/>
          <w:lang w:val="en-US" w:eastAsia="en-GB"/>
        </w:rPr>
        <w:t>: Have you observed good or bad practices of reporting by execution venues under the current RTS 27 that can be relevant for the elaboration of proposals to enhance access and user-friendliness of this information? Please provide specific examples if possible.</w:t>
      </w:r>
    </w:p>
    <w:p w14:paraId="6EF7AE96"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&lt;ESMA_QUESTION_BEEX_4&gt;</w:t>
      </w:r>
    </w:p>
    <w:p w14:paraId="2EF1A4B5" w14:textId="77777777" w:rsidR="004258CF" w:rsidRPr="004258CF" w:rsidRDefault="004258CF" w:rsidP="004258CF">
      <w:pPr>
        <w:spacing w:after="160" w:line="256" w:lineRule="auto"/>
        <w:rPr>
          <w:rFonts w:ascii="Calibri" w:eastAsia="Calibri" w:hAnsi="Calibri"/>
          <w:sz w:val="22"/>
          <w:szCs w:val="22"/>
          <w:lang w:eastAsia="en-US"/>
        </w:rPr>
      </w:pPr>
      <w:permStart w:id="1685268831" w:edGrp="everyone"/>
      <w:r w:rsidRPr="004258CF">
        <w:rPr>
          <w:rFonts w:ascii="Calibri" w:eastAsia="Calibri" w:hAnsi="Calibri"/>
          <w:sz w:val="22"/>
          <w:szCs w:val="22"/>
          <w:lang w:eastAsia="en-US"/>
        </w:rPr>
        <w:t>TYPE YOUR TEXT HERE</w:t>
      </w:r>
    </w:p>
    <w:permEnd w:id="1685268831"/>
    <w:p w14:paraId="0748831B"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&lt;ESMA_QUESTION_BEEX_4&gt;</w:t>
      </w:r>
    </w:p>
    <w:p w14:paraId="03DA6400" w14:textId="77777777" w:rsidR="004258CF" w:rsidRPr="004258CF" w:rsidRDefault="004258CF" w:rsidP="004258CF">
      <w:pPr>
        <w:spacing w:after="160" w:line="256" w:lineRule="auto"/>
        <w:rPr>
          <w:rFonts w:ascii="Calibri" w:eastAsia="Calibri" w:hAnsi="Calibri"/>
          <w:sz w:val="22"/>
          <w:szCs w:val="22"/>
          <w:lang w:eastAsia="en-US"/>
        </w:rPr>
      </w:pPr>
    </w:p>
    <w:p w14:paraId="6C3B0886" w14:textId="77777777" w:rsidR="004258CF" w:rsidRPr="004258CF" w:rsidRDefault="004258CF" w:rsidP="004258CF">
      <w:pPr>
        <w:numPr>
          <w:ilvl w:val="0"/>
          <w:numId w:val="36"/>
        </w:numPr>
        <w:spacing w:after="250" w:line="276" w:lineRule="auto"/>
        <w:contextualSpacing/>
        <w:jc w:val="both"/>
        <w:rPr>
          <w:rFonts w:cs="Arial"/>
          <w:b/>
          <w:szCs w:val="20"/>
          <w:lang w:val="en-US" w:eastAsia="en-GB"/>
        </w:rPr>
      </w:pPr>
      <w:r w:rsidRPr="004258CF">
        <w:rPr>
          <w:rFonts w:cs="Arial"/>
          <w:b/>
          <w:szCs w:val="20"/>
          <w:lang w:val="en-US" w:eastAsia="en-GB"/>
        </w:rPr>
        <w:lastRenderedPageBreak/>
        <w:t>: Have you observed good or bad practices of reporting by investment firms under the current RTS 28 that can be relevant for the elaboration of proposals to enhance access and user-friendliness of this information? Please provide specific examples if possible.</w:t>
      </w:r>
    </w:p>
    <w:p w14:paraId="2FC2E32F"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&lt;ESMA_QUESTION_BEEX_5&gt;</w:t>
      </w:r>
    </w:p>
    <w:p w14:paraId="52983ADB" w14:textId="2DF75FB3" w:rsidR="00C32667" w:rsidRPr="009D62BC" w:rsidRDefault="00C32667" w:rsidP="0015471A">
      <w:pPr>
        <w:autoSpaceDE w:val="0"/>
        <w:autoSpaceDN w:val="0"/>
        <w:adjustRightInd w:val="0"/>
        <w:spacing w:after="120"/>
        <w:rPr>
          <w:rFonts w:ascii="Tahoma" w:hAnsi="Tahoma" w:cs="Tahoma"/>
          <w:color w:val="000000"/>
          <w:lang w:val="en-US"/>
        </w:rPr>
      </w:pPr>
      <w:permStart w:id="1373658977" w:edGrp="everyone"/>
      <w:r w:rsidRPr="009D62BC">
        <w:rPr>
          <w:rFonts w:ascii="Tahoma" w:hAnsi="Tahoma" w:cs="Tahoma"/>
          <w:color w:val="000000"/>
          <w:lang w:val="en-US"/>
        </w:rPr>
        <w:t>Our members have been publishing reports under RTS 28 MiFID over the last few years and have to-date experienced a document that is not achieving its objectives with respect to providing quantitative and qualitative information that is understandable for retail clients when it comes to the execution of orders by investment firms.</w:t>
      </w:r>
    </w:p>
    <w:p w14:paraId="07687443" w14:textId="54D6B1EE" w:rsidR="000447EA" w:rsidRPr="009D62BC" w:rsidRDefault="000447EA" w:rsidP="0015471A">
      <w:pPr>
        <w:autoSpaceDE w:val="0"/>
        <w:autoSpaceDN w:val="0"/>
        <w:adjustRightInd w:val="0"/>
        <w:spacing w:after="120"/>
        <w:rPr>
          <w:rFonts w:ascii="Tahoma" w:hAnsi="Tahoma" w:cs="Tahoma"/>
          <w:color w:val="000000"/>
          <w:lang w:val="en-US"/>
        </w:rPr>
      </w:pPr>
      <w:proofErr w:type="gramStart"/>
      <w:r w:rsidRPr="009D62BC">
        <w:rPr>
          <w:rFonts w:ascii="Tahoma" w:hAnsi="Tahoma" w:cs="Tahoma"/>
          <w:color w:val="000000"/>
          <w:lang w:val="en-US"/>
        </w:rPr>
        <w:t>In reality, retail</w:t>
      </w:r>
      <w:proofErr w:type="gramEnd"/>
      <w:r w:rsidRPr="009D62BC">
        <w:rPr>
          <w:rFonts w:ascii="Tahoma" w:hAnsi="Tahoma" w:cs="Tahoma"/>
          <w:color w:val="000000"/>
          <w:lang w:val="en-US"/>
        </w:rPr>
        <w:t xml:space="preserve"> clients are not using the RTS 28 reports to choose their service providers since most of them contract with their current bank.</w:t>
      </w:r>
    </w:p>
    <w:p w14:paraId="39CA8258" w14:textId="7E887178" w:rsidR="003E406A" w:rsidRPr="009D62BC" w:rsidRDefault="003E406A" w:rsidP="0015471A">
      <w:pPr>
        <w:autoSpaceDE w:val="0"/>
        <w:autoSpaceDN w:val="0"/>
        <w:adjustRightInd w:val="0"/>
        <w:spacing w:after="120"/>
        <w:rPr>
          <w:rFonts w:ascii="Tahoma" w:hAnsi="Tahoma" w:cs="Tahoma"/>
          <w:color w:val="000000"/>
          <w:lang w:val="en-US"/>
        </w:rPr>
      </w:pPr>
      <w:r w:rsidRPr="009D62BC">
        <w:rPr>
          <w:rFonts w:ascii="Tahoma" w:hAnsi="Tahoma" w:cs="Tahoma"/>
          <w:color w:val="000000"/>
          <w:lang w:val="en-US"/>
        </w:rPr>
        <w:t>When it comes to professional clients, they might make use of the reports because they include information not communicated beforehand. However, the current format does not allow for real comparison between providers</w:t>
      </w:r>
      <w:r w:rsidR="00BC7109">
        <w:rPr>
          <w:rFonts w:ascii="Tahoma" w:hAnsi="Tahoma" w:cs="Tahoma"/>
          <w:color w:val="000000"/>
          <w:lang w:val="en-US"/>
        </w:rPr>
        <w:t>.</w:t>
      </w:r>
    </w:p>
    <w:p w14:paraId="1F2626E1" w14:textId="5375F28B" w:rsidR="009D62BC" w:rsidRDefault="003E406A" w:rsidP="00BF7C3D">
      <w:pPr>
        <w:autoSpaceDE w:val="0"/>
        <w:autoSpaceDN w:val="0"/>
        <w:adjustRightInd w:val="0"/>
        <w:spacing w:after="120"/>
        <w:rPr>
          <w:rFonts w:ascii="Tahoma" w:hAnsi="Tahoma" w:cs="Tahoma"/>
          <w:color w:val="000000"/>
          <w:lang w:val="en-US"/>
        </w:rPr>
      </w:pPr>
      <w:r w:rsidRPr="009D62BC">
        <w:rPr>
          <w:rFonts w:ascii="Tahoma" w:hAnsi="Tahoma" w:cs="Tahoma"/>
          <w:color w:val="000000"/>
          <w:lang w:val="en-US"/>
        </w:rPr>
        <w:t xml:space="preserve">Furthermore, we note that passive and </w:t>
      </w:r>
      <w:proofErr w:type="spellStart"/>
      <w:r w:rsidRPr="009D62BC">
        <w:rPr>
          <w:rFonts w:ascii="Tahoma" w:hAnsi="Tahoma" w:cs="Tahoma"/>
          <w:color w:val="000000"/>
          <w:lang w:val="en-US"/>
        </w:rPr>
        <w:t>agressive</w:t>
      </w:r>
      <w:proofErr w:type="spellEnd"/>
      <w:r w:rsidRPr="009D62BC">
        <w:rPr>
          <w:rFonts w:ascii="Tahoma" w:hAnsi="Tahoma" w:cs="Tahoma"/>
          <w:color w:val="000000"/>
          <w:lang w:val="en-US"/>
        </w:rPr>
        <w:t xml:space="preserve"> orders are not defined by regulation</w:t>
      </w:r>
      <w:r w:rsidR="00BF7C3D" w:rsidRPr="009D62BC">
        <w:rPr>
          <w:rFonts w:ascii="Tahoma" w:hAnsi="Tahoma" w:cs="Tahoma"/>
          <w:color w:val="000000"/>
          <w:lang w:val="en-US"/>
        </w:rPr>
        <w:t xml:space="preserve"> and are thus dependent on what the platforms and markets wish to transmit. As a result, these orders are impossible to calculate on a reliable basis and are thus not so useful since there are other ways investment firms can fill and calculate an order.</w:t>
      </w:r>
    </w:p>
    <w:p w14:paraId="6EE69257" w14:textId="64864254" w:rsidR="00BC7109" w:rsidRPr="00095F8D" w:rsidRDefault="00BC7109" w:rsidP="00BF7C3D">
      <w:pPr>
        <w:autoSpaceDE w:val="0"/>
        <w:autoSpaceDN w:val="0"/>
        <w:adjustRightInd w:val="0"/>
        <w:spacing w:after="120"/>
        <w:rPr>
          <w:rFonts w:ascii="Tahoma" w:hAnsi="Tahoma" w:cs="Tahoma"/>
          <w:color w:val="000000"/>
          <w:lang w:val="en-US"/>
        </w:rPr>
      </w:pPr>
      <w:r>
        <w:rPr>
          <w:rFonts w:ascii="Tahoma" w:hAnsi="Tahoma" w:cs="Tahoma"/>
          <w:color w:val="000000"/>
          <w:lang w:val="en-US"/>
        </w:rPr>
        <w:t>We thus strongly support deletion of RTS 28 best execution reports.</w:t>
      </w:r>
    </w:p>
    <w:permEnd w:id="1373658977"/>
    <w:p w14:paraId="20E613D3"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&lt;ESMA_QUESTION_BEEX_5&gt;</w:t>
      </w:r>
    </w:p>
    <w:p w14:paraId="35934677" w14:textId="77777777" w:rsidR="004258CF" w:rsidRPr="004258CF" w:rsidRDefault="004258CF" w:rsidP="004258CF">
      <w:pPr>
        <w:spacing w:after="160" w:line="256" w:lineRule="auto"/>
        <w:rPr>
          <w:rFonts w:ascii="Calibri" w:eastAsia="Calibri" w:hAnsi="Calibri"/>
          <w:sz w:val="22"/>
          <w:szCs w:val="22"/>
          <w:lang w:eastAsia="en-US"/>
        </w:rPr>
      </w:pPr>
    </w:p>
    <w:p w14:paraId="6E0321A3" w14:textId="77777777" w:rsidR="004258CF" w:rsidRPr="004258CF" w:rsidRDefault="004258CF" w:rsidP="004258CF">
      <w:pPr>
        <w:numPr>
          <w:ilvl w:val="0"/>
          <w:numId w:val="36"/>
        </w:numPr>
        <w:spacing w:after="250" w:line="276" w:lineRule="auto"/>
        <w:contextualSpacing/>
        <w:jc w:val="both"/>
        <w:rPr>
          <w:rFonts w:cs="Arial"/>
          <w:b/>
          <w:szCs w:val="20"/>
          <w:lang w:val="en-US" w:eastAsia="en-GB"/>
        </w:rPr>
      </w:pPr>
      <w:r w:rsidRPr="004258CF">
        <w:rPr>
          <w:rFonts w:cs="Arial"/>
          <w:b/>
          <w:szCs w:val="20"/>
          <w:lang w:val="en-US" w:eastAsia="en-GB"/>
        </w:rPr>
        <w:t>: Do you agree with the classification for reporting proposed in Annex I of the possible new RTS 28, especially with regard to the suggested methodology for the reporting on equity instruments? If not, what alternative categorisations would you propose?</w:t>
      </w:r>
    </w:p>
    <w:p w14:paraId="092E6553"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&lt;ESMA_QUESTION_BEEX_6&gt;</w:t>
      </w:r>
    </w:p>
    <w:p w14:paraId="3F98EBB3" w14:textId="42F2FA87" w:rsidR="0015471A" w:rsidRPr="0015471A" w:rsidRDefault="00BC7109" w:rsidP="0015471A">
      <w:pPr>
        <w:autoSpaceDE w:val="0"/>
        <w:autoSpaceDN w:val="0"/>
        <w:adjustRightInd w:val="0"/>
        <w:spacing w:after="120"/>
        <w:rPr>
          <w:rFonts w:ascii="Tahoma" w:hAnsi="Tahoma" w:cs="Tahoma"/>
          <w:color w:val="0070C0"/>
          <w:lang w:val="de-DE"/>
        </w:rPr>
      </w:pPr>
      <w:permStart w:id="1906529081" w:edGrp="everyone"/>
      <w:r>
        <w:rPr>
          <w:rFonts w:ascii="Tahoma" w:hAnsi="Tahoma" w:cs="Tahoma"/>
          <w:color w:val="000000"/>
          <w:lang w:val="en-US"/>
        </w:rPr>
        <w:t>The EACB strongly supports the deletion of RTS 28 best execution reports.</w:t>
      </w:r>
    </w:p>
    <w:permEnd w:id="1906529081"/>
    <w:p w14:paraId="01FAD932"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&lt;ESMA_QUESTION_BEEX_6&gt;</w:t>
      </w:r>
    </w:p>
    <w:p w14:paraId="0F6B03CC" w14:textId="77777777" w:rsidR="004258CF" w:rsidRPr="004258CF" w:rsidRDefault="004258CF" w:rsidP="004258CF">
      <w:pPr>
        <w:spacing w:after="160" w:line="256" w:lineRule="auto"/>
        <w:rPr>
          <w:rFonts w:ascii="Calibri" w:eastAsia="Calibri" w:hAnsi="Calibri"/>
          <w:sz w:val="22"/>
          <w:szCs w:val="22"/>
          <w:lang w:eastAsia="en-US"/>
        </w:rPr>
      </w:pPr>
    </w:p>
    <w:p w14:paraId="177D582B" w14:textId="77777777" w:rsidR="004258CF" w:rsidRPr="004258CF" w:rsidRDefault="004258CF" w:rsidP="004258CF">
      <w:pPr>
        <w:numPr>
          <w:ilvl w:val="0"/>
          <w:numId w:val="36"/>
        </w:numPr>
        <w:spacing w:after="250" w:line="276" w:lineRule="auto"/>
        <w:contextualSpacing/>
        <w:jc w:val="both"/>
        <w:rPr>
          <w:rFonts w:cs="Arial"/>
          <w:b/>
          <w:szCs w:val="20"/>
          <w:lang w:val="en-US" w:eastAsia="en-GB"/>
        </w:rPr>
      </w:pPr>
      <w:r w:rsidRPr="004258CF">
        <w:rPr>
          <w:rFonts w:cs="Arial"/>
          <w:b/>
          <w:szCs w:val="20"/>
          <w:lang w:val="en-US" w:eastAsia="en-GB"/>
        </w:rPr>
        <w:t>: Do you agree with the proposals for a possible review of RTS 28?</w:t>
      </w:r>
    </w:p>
    <w:p w14:paraId="3EAC36CC"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&lt;ESMA_QUESTION_BEEX_7&gt;</w:t>
      </w:r>
    </w:p>
    <w:p w14:paraId="331CE373" w14:textId="214179BA" w:rsidR="00095F8D" w:rsidRPr="00095F8D" w:rsidRDefault="00095F8D" w:rsidP="00095F8D">
      <w:pPr>
        <w:autoSpaceDE w:val="0"/>
        <w:autoSpaceDN w:val="0"/>
        <w:adjustRightInd w:val="0"/>
        <w:spacing w:after="120"/>
        <w:rPr>
          <w:rFonts w:ascii="Tahoma" w:hAnsi="Tahoma" w:cs="Tahoma"/>
          <w:color w:val="00B050"/>
          <w:lang w:val="en-US"/>
        </w:rPr>
      </w:pPr>
      <w:permStart w:id="297553631" w:edGrp="everyone"/>
    </w:p>
    <w:p w14:paraId="764E7C6E" w14:textId="756A3229" w:rsidR="00095F8D" w:rsidRPr="00BC7109" w:rsidRDefault="00BC7109" w:rsidP="00BC7109">
      <w:pPr>
        <w:autoSpaceDE w:val="0"/>
        <w:autoSpaceDN w:val="0"/>
        <w:adjustRightInd w:val="0"/>
        <w:spacing w:after="120"/>
        <w:rPr>
          <w:rFonts w:ascii="Tahoma" w:hAnsi="Tahoma" w:cs="Tahoma"/>
          <w:color w:val="000000"/>
          <w:lang w:val="en-US"/>
        </w:rPr>
      </w:pPr>
      <w:r>
        <w:rPr>
          <w:rFonts w:ascii="Tahoma" w:hAnsi="Tahoma" w:cs="Tahoma"/>
          <w:color w:val="000000"/>
          <w:lang w:val="en-US"/>
        </w:rPr>
        <w:t>Based on our members’ evidence regarding RTS 28 reports</w:t>
      </w:r>
      <w:r w:rsidR="00095F8D" w:rsidRPr="00BC7109">
        <w:rPr>
          <w:rFonts w:ascii="Tahoma" w:hAnsi="Tahoma" w:cs="Tahoma"/>
          <w:color w:val="000000"/>
          <w:lang w:val="en-US"/>
        </w:rPr>
        <w:t xml:space="preserve">, we do not think that they provide meaningful information which justifies the efforts in producing these reports. We could not observe any significant use by customers and therefore consider the market relevance of the reports very low. Relevance of the RTS 28 reports is apparently for regulatory purposes only. We do not think that modifications to the RTS 28 reports will significantly change this outcome. </w:t>
      </w:r>
      <w:proofErr w:type="gramStart"/>
      <w:r w:rsidR="00095F8D" w:rsidRPr="00BC7109">
        <w:rPr>
          <w:rFonts w:ascii="Tahoma" w:hAnsi="Tahoma" w:cs="Tahoma"/>
          <w:color w:val="000000"/>
          <w:lang w:val="en-US"/>
        </w:rPr>
        <w:t>Therefore</w:t>
      </w:r>
      <w:proofErr w:type="gramEnd"/>
      <w:r w:rsidR="00095F8D" w:rsidRPr="00BC7109">
        <w:rPr>
          <w:rFonts w:ascii="Tahoma" w:hAnsi="Tahoma" w:cs="Tahoma"/>
          <w:color w:val="000000"/>
          <w:lang w:val="en-US"/>
        </w:rPr>
        <w:t xml:space="preserve"> the RTS 28 reports should be abolished. As the UK (FCA) will delete RTS 27/28 (https://www.fca.org.uk/publication/policy/ps21-20.pdf), we believe that there will be a serious competitive disadvantage for EU institutions if this obligation is maintained.</w:t>
      </w:r>
    </w:p>
    <w:p w14:paraId="3C78F402" w14:textId="77777777" w:rsidR="00095F8D" w:rsidRPr="00CF2406" w:rsidRDefault="00095F8D" w:rsidP="00CF2406">
      <w:pPr>
        <w:jc w:val="both"/>
        <w:rPr>
          <w:color w:val="FF0000"/>
        </w:rPr>
      </w:pPr>
    </w:p>
    <w:permEnd w:id="297553631"/>
    <w:p w14:paraId="0F71BB01"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&lt;ESMA_QUESTION_BEEX_7&gt;</w:t>
      </w:r>
    </w:p>
    <w:p w14:paraId="191FCAA4" w14:textId="77777777" w:rsidR="004258CF" w:rsidRPr="004258CF" w:rsidRDefault="004258CF" w:rsidP="004258CF">
      <w:pPr>
        <w:spacing w:after="160" w:line="256" w:lineRule="auto"/>
        <w:rPr>
          <w:rFonts w:ascii="Calibri" w:eastAsia="Calibri" w:hAnsi="Calibri"/>
          <w:sz w:val="22"/>
          <w:szCs w:val="22"/>
          <w:lang w:eastAsia="en-US"/>
        </w:rPr>
      </w:pPr>
    </w:p>
    <w:p w14:paraId="73ADAEAC" w14:textId="77777777" w:rsidR="004258CF" w:rsidRPr="004258CF" w:rsidRDefault="004258CF" w:rsidP="004258CF">
      <w:pPr>
        <w:numPr>
          <w:ilvl w:val="0"/>
          <w:numId w:val="36"/>
        </w:numPr>
        <w:spacing w:after="250" w:line="276" w:lineRule="auto"/>
        <w:contextualSpacing/>
        <w:jc w:val="both"/>
        <w:rPr>
          <w:rFonts w:cs="Arial"/>
          <w:b/>
          <w:szCs w:val="20"/>
          <w:lang w:val="en-US" w:eastAsia="en-GB"/>
        </w:rPr>
      </w:pPr>
      <w:r w:rsidRPr="004258CF">
        <w:rPr>
          <w:rFonts w:cs="Arial"/>
          <w:b/>
          <w:szCs w:val="20"/>
          <w:lang w:val="en-US" w:eastAsia="en-GB"/>
        </w:rPr>
        <w:t>: Do you agree with the cost benefit analysis as it has been described in Annex II?</w:t>
      </w:r>
    </w:p>
    <w:p w14:paraId="6912E60E"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lastRenderedPageBreak/>
        <w:t>&lt;ESMA_QUESTION_BEEX_8&gt;</w:t>
      </w:r>
    </w:p>
    <w:p w14:paraId="016530D0" w14:textId="77777777" w:rsidR="009D62BC" w:rsidRPr="00284148" w:rsidRDefault="009D62BC" w:rsidP="009D62BC">
      <w:pPr>
        <w:rPr>
          <w:rFonts w:ascii="Tahoma" w:hAnsi="Tahoma" w:cs="Tahoma"/>
          <w:color w:val="000000"/>
          <w:lang w:val="en-US"/>
        </w:rPr>
      </w:pPr>
      <w:permStart w:id="1132928363" w:edGrp="everyone"/>
      <w:r w:rsidRPr="00284148">
        <w:rPr>
          <w:rFonts w:ascii="Tahoma" w:hAnsi="Tahoma" w:cs="Tahoma"/>
          <w:color w:val="000000"/>
          <w:lang w:val="en-US"/>
        </w:rPr>
        <w:t xml:space="preserve">We strongly object to the cost benefit analysis in Annex II. Given the fact that there are significant doubts that the RTS 27 and 28 reports provide meaningful information to the public and market participants justifying the costs to the industry in the EEA we believe ESMA should have considered abolishing the obligation to provide both reports altogether. It had already been decided as part of the MiFID II quick fix to suspend the RTS 27 obligation. With this background, we believe that any cost benefit analysis on future obligations </w:t>
      </w:r>
      <w:proofErr w:type="gramStart"/>
      <w:r w:rsidRPr="00284148">
        <w:rPr>
          <w:rFonts w:ascii="Tahoma" w:hAnsi="Tahoma" w:cs="Tahoma"/>
          <w:color w:val="000000"/>
          <w:lang w:val="en-US"/>
        </w:rPr>
        <w:t>has to</w:t>
      </w:r>
      <w:proofErr w:type="gramEnd"/>
      <w:r w:rsidRPr="00284148">
        <w:rPr>
          <w:rFonts w:ascii="Tahoma" w:hAnsi="Tahoma" w:cs="Tahoma"/>
          <w:color w:val="000000"/>
          <w:lang w:val="en-US"/>
        </w:rPr>
        <w:t xml:space="preserve"> discuss in detail the pros and cons of abolishing both reports. But the existing cost benefit analysis does not cover this important topic at all.</w:t>
      </w:r>
    </w:p>
    <w:p w14:paraId="220E5C9A" w14:textId="77777777" w:rsidR="009D62BC" w:rsidRPr="00284148" w:rsidRDefault="009D62BC" w:rsidP="009D62BC">
      <w:pPr>
        <w:rPr>
          <w:rFonts w:ascii="Tahoma" w:hAnsi="Tahoma" w:cs="Tahoma"/>
          <w:color w:val="000000"/>
          <w:lang w:val="en-US"/>
        </w:rPr>
      </w:pPr>
    </w:p>
    <w:p w14:paraId="1C034CE6" w14:textId="120FF127" w:rsidR="009D62BC" w:rsidRPr="00284148" w:rsidRDefault="00284148" w:rsidP="009D62BC">
      <w:pPr>
        <w:rPr>
          <w:rFonts w:ascii="Tahoma" w:hAnsi="Tahoma" w:cs="Tahoma"/>
          <w:color w:val="000000"/>
          <w:lang w:val="en-US"/>
        </w:rPr>
      </w:pPr>
      <w:r>
        <w:rPr>
          <w:rFonts w:ascii="Tahoma" w:hAnsi="Tahoma" w:cs="Tahoma"/>
          <w:color w:val="000000"/>
          <w:lang w:val="en-US"/>
        </w:rPr>
        <w:t>It should be further</w:t>
      </w:r>
      <w:r w:rsidR="009D62BC" w:rsidRPr="00284148">
        <w:rPr>
          <w:rFonts w:ascii="Tahoma" w:hAnsi="Tahoma" w:cs="Tahoma"/>
          <w:color w:val="000000"/>
          <w:lang w:val="en-US"/>
        </w:rPr>
        <w:t xml:space="preserve"> noted that even the intended simplifications will cause significant initial costs </w:t>
      </w:r>
      <w:proofErr w:type="gramStart"/>
      <w:r w:rsidR="009D62BC" w:rsidRPr="00284148">
        <w:rPr>
          <w:rFonts w:ascii="Tahoma" w:hAnsi="Tahoma" w:cs="Tahoma"/>
          <w:color w:val="000000"/>
          <w:lang w:val="en-US"/>
        </w:rPr>
        <w:t>in light of</w:t>
      </w:r>
      <w:proofErr w:type="gramEnd"/>
      <w:r w:rsidR="009D62BC" w:rsidRPr="00284148">
        <w:rPr>
          <w:rFonts w:ascii="Tahoma" w:hAnsi="Tahoma" w:cs="Tahoma"/>
          <w:color w:val="000000"/>
          <w:lang w:val="en-US"/>
        </w:rPr>
        <w:t xml:space="preserve"> which the targeted positive effects are overall rather low. If the new regulation leaves any discrepancies in requirements resulting out of RTS 27 and RTS 28 this might even cause additional burdens which do not seem to be adequately </w:t>
      </w:r>
      <w:proofErr w:type="gramStart"/>
      <w:r w:rsidR="009D62BC" w:rsidRPr="00284148">
        <w:rPr>
          <w:rFonts w:ascii="Tahoma" w:hAnsi="Tahoma" w:cs="Tahoma"/>
          <w:color w:val="000000"/>
          <w:lang w:val="en-US"/>
        </w:rPr>
        <w:t>taken into account</w:t>
      </w:r>
      <w:proofErr w:type="gramEnd"/>
      <w:r w:rsidR="009D62BC" w:rsidRPr="00284148">
        <w:rPr>
          <w:rFonts w:ascii="Tahoma" w:hAnsi="Tahoma" w:cs="Tahoma"/>
          <w:color w:val="000000"/>
          <w:lang w:val="en-US"/>
        </w:rPr>
        <w:t>.</w:t>
      </w:r>
    </w:p>
    <w:p w14:paraId="634DED4E" w14:textId="77777777" w:rsidR="009D62BC" w:rsidRPr="00B9790C" w:rsidRDefault="009D62BC" w:rsidP="00EF3C84">
      <w:pPr>
        <w:jc w:val="both"/>
        <w:rPr>
          <w:rFonts w:ascii="Calibri" w:hAnsi="Calibri"/>
          <w:color w:val="FF0000"/>
          <w:szCs w:val="22"/>
          <w:lang w:eastAsia="en-US"/>
        </w:rPr>
      </w:pPr>
    </w:p>
    <w:permEnd w:id="1132928363"/>
    <w:p w14:paraId="3A8CD7F4"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&lt;ESMA_QUESTION_BEEX_8&gt;</w:t>
      </w:r>
    </w:p>
    <w:p w14:paraId="484577B1" w14:textId="77777777" w:rsidR="004258CF" w:rsidRPr="004258CF" w:rsidRDefault="004258CF" w:rsidP="004258CF">
      <w:pPr>
        <w:spacing w:after="160" w:line="256" w:lineRule="auto"/>
        <w:rPr>
          <w:rFonts w:ascii="Calibri" w:eastAsia="Calibri" w:hAnsi="Calibri"/>
          <w:sz w:val="22"/>
          <w:szCs w:val="22"/>
          <w:lang w:eastAsia="en-US"/>
        </w:rPr>
      </w:pPr>
    </w:p>
    <w:p w14:paraId="2C0DA927" w14:textId="77777777" w:rsidR="004258CF" w:rsidRPr="004258CF" w:rsidRDefault="004258CF" w:rsidP="004258CF">
      <w:pPr>
        <w:numPr>
          <w:ilvl w:val="0"/>
          <w:numId w:val="36"/>
        </w:numPr>
        <w:spacing w:after="250" w:line="276" w:lineRule="auto"/>
        <w:contextualSpacing/>
        <w:jc w:val="both"/>
        <w:rPr>
          <w:rFonts w:cs="Arial"/>
          <w:b/>
          <w:szCs w:val="20"/>
          <w:lang w:val="en-US" w:eastAsia="en-GB"/>
        </w:rPr>
      </w:pPr>
      <w:r w:rsidRPr="004258CF">
        <w:rPr>
          <w:rFonts w:cs="Arial"/>
          <w:b/>
          <w:szCs w:val="20"/>
          <w:lang w:val="en-US" w:eastAsia="en-GB"/>
        </w:rPr>
        <w:t>: Are there any additional comments that you would like to raise and/or information that you would like to provide?</w:t>
      </w:r>
    </w:p>
    <w:p w14:paraId="231F0D91"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&lt;ESMA_QUESTION_BEEX_9&gt;</w:t>
      </w:r>
    </w:p>
    <w:p w14:paraId="03A0BC07" w14:textId="40D6D4A6" w:rsidR="00095F8D" w:rsidRPr="00095F8D" w:rsidRDefault="00095F8D" w:rsidP="00284148">
      <w:pPr>
        <w:jc w:val="both"/>
        <w:rPr>
          <w:rFonts w:ascii="Tahoma" w:hAnsi="Tahoma" w:cs="Tahoma"/>
          <w:color w:val="00B050"/>
          <w:lang w:val="en-US"/>
        </w:rPr>
      </w:pPr>
      <w:permStart w:id="686839684" w:edGrp="everyone"/>
    </w:p>
    <w:p w14:paraId="4E2E2A4B" w14:textId="19D787C0" w:rsidR="00095F8D" w:rsidRPr="00284148" w:rsidRDefault="00095F8D" w:rsidP="00095F8D">
      <w:pPr>
        <w:rPr>
          <w:rFonts w:ascii="Tahoma" w:hAnsi="Tahoma" w:cs="Tahoma"/>
          <w:color w:val="000000"/>
          <w:lang w:val="en-US"/>
        </w:rPr>
      </w:pPr>
      <w:r w:rsidRPr="00284148">
        <w:rPr>
          <w:rFonts w:ascii="Tahoma" w:hAnsi="Tahoma" w:cs="Tahoma"/>
          <w:color w:val="000000"/>
          <w:lang w:val="en-US"/>
        </w:rPr>
        <w:t xml:space="preserve">We </w:t>
      </w:r>
      <w:r w:rsidR="00284148">
        <w:rPr>
          <w:rFonts w:ascii="Tahoma" w:hAnsi="Tahoma" w:cs="Tahoma"/>
          <w:color w:val="000000"/>
          <w:lang w:val="en-US"/>
        </w:rPr>
        <w:t>note that the European</w:t>
      </w:r>
      <w:r w:rsidRPr="00284148">
        <w:rPr>
          <w:rFonts w:ascii="Tahoma" w:hAnsi="Tahoma" w:cs="Tahoma"/>
          <w:color w:val="000000"/>
          <w:lang w:val="en-US"/>
        </w:rPr>
        <w:t xml:space="preserve"> Commission rightly </w:t>
      </w:r>
      <w:r w:rsidR="00284148">
        <w:rPr>
          <w:rFonts w:ascii="Tahoma" w:hAnsi="Tahoma" w:cs="Tahoma"/>
          <w:color w:val="000000"/>
          <w:lang w:val="en-US"/>
        </w:rPr>
        <w:t>recognized the</w:t>
      </w:r>
      <w:r w:rsidRPr="00284148">
        <w:rPr>
          <w:rFonts w:ascii="Tahoma" w:hAnsi="Tahoma" w:cs="Tahoma"/>
          <w:color w:val="000000"/>
          <w:lang w:val="en-US"/>
        </w:rPr>
        <w:t xml:space="preserve"> very low numbers of downloads from website</w:t>
      </w:r>
      <w:r w:rsidR="00284148">
        <w:rPr>
          <w:rFonts w:ascii="Tahoma" w:hAnsi="Tahoma" w:cs="Tahoma"/>
          <w:color w:val="000000"/>
          <w:lang w:val="en-US"/>
        </w:rPr>
        <w:t>s of the best execution reports</w:t>
      </w:r>
      <w:r w:rsidRPr="00284148">
        <w:rPr>
          <w:rFonts w:ascii="Tahoma" w:hAnsi="Tahoma" w:cs="Tahoma"/>
          <w:color w:val="000000"/>
          <w:lang w:val="en-US"/>
        </w:rPr>
        <w:t xml:space="preserve">. It is therefore assumed that investors cannot or do not make any meaningful comparisons between firms on the basis of this data (recital (9) </w:t>
      </w:r>
      <w:hyperlink r:id="rId20" w:history="1">
        <w:r w:rsidRPr="00284148">
          <w:rPr>
            <w:rFonts w:ascii="Tahoma" w:hAnsi="Tahoma" w:cs="Tahoma"/>
            <w:color w:val="000000"/>
            <w:lang w:val="en-US"/>
          </w:rPr>
          <w:t>DIRECTIVE (EU) 2021/338</w:t>
        </w:r>
      </w:hyperlink>
      <w:r w:rsidRPr="00284148">
        <w:rPr>
          <w:rFonts w:ascii="Tahoma" w:hAnsi="Tahoma" w:cs="Tahoma"/>
          <w:color w:val="000000"/>
          <w:lang w:val="en-US"/>
        </w:rPr>
        <w:t>). We therefore strongly advocate the abolition of best ex</w:t>
      </w:r>
      <w:r w:rsidR="00284148">
        <w:rPr>
          <w:rFonts w:ascii="Tahoma" w:hAnsi="Tahoma" w:cs="Tahoma"/>
          <w:color w:val="000000"/>
          <w:lang w:val="en-US"/>
        </w:rPr>
        <w:t>ecution reporting for both RTS 27 and 28 reports.</w:t>
      </w:r>
    </w:p>
    <w:p w14:paraId="576CEA20" w14:textId="77777777" w:rsidR="00095F8D" w:rsidRPr="00095F8D" w:rsidRDefault="00095F8D" w:rsidP="0015471A">
      <w:pPr>
        <w:jc w:val="both"/>
        <w:rPr>
          <w:rFonts w:ascii="Tahoma" w:hAnsi="Tahoma" w:cs="Tahoma"/>
          <w:color w:val="00B050"/>
        </w:rPr>
      </w:pPr>
    </w:p>
    <w:permEnd w:id="686839684"/>
    <w:p w14:paraId="4B0FF938"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&lt;ESMA_QUESTION_BEEX_9&gt;</w:t>
      </w:r>
    </w:p>
    <w:p w14:paraId="3ED8C52A" w14:textId="77777777" w:rsidR="004258CF" w:rsidRPr="004258CF" w:rsidRDefault="004258CF" w:rsidP="004258CF">
      <w:pPr>
        <w:spacing w:after="160" w:line="256" w:lineRule="auto"/>
        <w:rPr>
          <w:rFonts w:ascii="Calibri" w:eastAsia="Calibri" w:hAnsi="Calibri"/>
          <w:sz w:val="22"/>
          <w:szCs w:val="22"/>
          <w:lang w:eastAsia="en-US"/>
        </w:rPr>
      </w:pPr>
    </w:p>
    <w:p w14:paraId="424DF368" w14:textId="77777777" w:rsidR="004258CF" w:rsidRPr="00014A67" w:rsidRDefault="004258CF" w:rsidP="00014A67">
      <w:pPr>
        <w:rPr>
          <w:lang w:eastAsia="en-US"/>
        </w:rPr>
      </w:pPr>
    </w:p>
    <w:sectPr w:rsidR="004258CF" w:rsidRPr="00014A67"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16395" w14:textId="77777777" w:rsidR="006D748D" w:rsidRDefault="006D748D">
      <w:r>
        <w:separator/>
      </w:r>
    </w:p>
    <w:p w14:paraId="32163707" w14:textId="77777777" w:rsidR="006D748D" w:rsidRDefault="006D748D"/>
  </w:endnote>
  <w:endnote w:type="continuationSeparator" w:id="0">
    <w:p w14:paraId="3FD45B3E" w14:textId="77777777" w:rsidR="006D748D" w:rsidRDefault="006D748D">
      <w:r>
        <w:continuationSeparator/>
      </w:r>
    </w:p>
    <w:p w14:paraId="50BD354F" w14:textId="77777777" w:rsidR="006D748D" w:rsidRDefault="006D748D"/>
  </w:endnote>
  <w:endnote w:type="continuationNotice" w:id="1">
    <w:p w14:paraId="3FD74B0D" w14:textId="77777777" w:rsidR="006D748D" w:rsidRDefault="006D74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5517B000" w14:textId="77777777" w:rsidTr="00315E96">
      <w:trPr>
        <w:trHeight w:val="284"/>
      </w:trPr>
      <w:tc>
        <w:tcPr>
          <w:tcW w:w="8460" w:type="dxa"/>
        </w:tcPr>
        <w:p w14:paraId="4C959F65" w14:textId="77777777" w:rsidR="00811EDA" w:rsidRPr="00315E96" w:rsidRDefault="00811EDA" w:rsidP="00315E96">
          <w:pPr>
            <w:pStyle w:val="00Footer"/>
            <w:rPr>
              <w:lang w:val="fr-FR"/>
            </w:rPr>
          </w:pPr>
        </w:p>
      </w:tc>
      <w:tc>
        <w:tcPr>
          <w:tcW w:w="952" w:type="dxa"/>
        </w:tcPr>
        <w:p w14:paraId="2310C30E" w14:textId="7777777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E5D63">
            <w:rPr>
              <w:rFonts w:cs="Arial"/>
              <w:noProof/>
              <w:sz w:val="22"/>
              <w:szCs w:val="22"/>
            </w:rPr>
            <w:t>6</w:t>
          </w:r>
          <w:r w:rsidRPr="00616B9B">
            <w:rPr>
              <w:rFonts w:cs="Arial"/>
              <w:noProof/>
              <w:sz w:val="22"/>
              <w:szCs w:val="22"/>
            </w:rPr>
            <w:fldChar w:fldCharType="end"/>
          </w:r>
        </w:p>
      </w:tc>
    </w:tr>
  </w:tbl>
  <w:p w14:paraId="08C7C785" w14:textId="77777777" w:rsidR="00811EDA" w:rsidRDefault="0081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6AEC"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15C01" w14:textId="77777777" w:rsidR="006D748D" w:rsidRDefault="006D748D">
      <w:r>
        <w:separator/>
      </w:r>
    </w:p>
    <w:p w14:paraId="278357F9" w14:textId="77777777" w:rsidR="006D748D" w:rsidRDefault="006D748D"/>
  </w:footnote>
  <w:footnote w:type="continuationSeparator" w:id="0">
    <w:p w14:paraId="536F3739" w14:textId="77777777" w:rsidR="006D748D" w:rsidRDefault="006D748D">
      <w:r>
        <w:continuationSeparator/>
      </w:r>
    </w:p>
    <w:p w14:paraId="6CA661F1" w14:textId="77777777" w:rsidR="006D748D" w:rsidRDefault="006D748D"/>
  </w:footnote>
  <w:footnote w:type="continuationNotice" w:id="1">
    <w:p w14:paraId="47412A72" w14:textId="77777777" w:rsidR="006D748D" w:rsidRDefault="006D74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FC29" w14:textId="77777777" w:rsidR="00811EDA" w:rsidRDefault="00DE66EB">
    <w:pPr>
      <w:pStyle w:val="Header"/>
    </w:pPr>
    <w:r>
      <w:rPr>
        <w:noProof/>
        <w:lang w:eastAsia="en-GB"/>
      </w:rPr>
      <w:drawing>
        <wp:anchor distT="0" distB="0" distL="114300" distR="114300" simplePos="0" relativeHeight="251658240" behindDoc="0" locked="0" layoutInCell="1" allowOverlap="1" wp14:anchorId="58007497" wp14:editId="2485B028">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37C3A634" wp14:editId="67CBF127">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FA7D6"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7EF13" w14:textId="77777777" w:rsidR="00811EDA" w:rsidRDefault="00DE66EB" w:rsidP="00013CCE">
    <w:pPr>
      <w:pStyle w:val="Header"/>
      <w:jc w:val="right"/>
    </w:pPr>
    <w:r>
      <w:rPr>
        <w:noProof/>
        <w:lang w:eastAsia="en-GB"/>
      </w:rPr>
      <w:drawing>
        <wp:anchor distT="0" distB="0" distL="114300" distR="114300" simplePos="0" relativeHeight="251657216" behindDoc="0" locked="0" layoutInCell="1" allowOverlap="1" wp14:anchorId="15EF6453" wp14:editId="1BE880FF">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41A97CFF" wp14:editId="1E2D0B9F">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14387" w14:textId="77777777"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849CEB8" w14:textId="77777777" w:rsidTr="000C06C9">
      <w:trPr>
        <w:trHeight w:val="284"/>
      </w:trPr>
      <w:tc>
        <w:tcPr>
          <w:tcW w:w="8460" w:type="dxa"/>
        </w:tcPr>
        <w:p w14:paraId="2B1CC9DC" w14:textId="77777777" w:rsidR="00811EDA" w:rsidRPr="000C3B6D" w:rsidRDefault="00811EDA" w:rsidP="000C06C9">
          <w:pPr>
            <w:pStyle w:val="00Footer"/>
            <w:rPr>
              <w:lang w:val="fr-FR"/>
            </w:rPr>
          </w:pPr>
        </w:p>
      </w:tc>
      <w:tc>
        <w:tcPr>
          <w:tcW w:w="952" w:type="dxa"/>
        </w:tcPr>
        <w:p w14:paraId="0A78D32B" w14:textId="77777777" w:rsidR="00811EDA" w:rsidRPr="00146B34" w:rsidRDefault="00811EDA" w:rsidP="000C06C9">
          <w:pPr>
            <w:pStyle w:val="00aPagenumber"/>
            <w:rPr>
              <w:lang w:val="fr-FR"/>
            </w:rPr>
          </w:pPr>
        </w:p>
      </w:tc>
    </w:tr>
  </w:tbl>
  <w:p w14:paraId="228C483B" w14:textId="77777777" w:rsidR="00811EDA" w:rsidRPr="00DB46C3" w:rsidRDefault="00811EDA">
    <w:pPr>
      <w:rPr>
        <w:lang w:val="fr-FR"/>
      </w:rPr>
    </w:pPr>
  </w:p>
  <w:p w14:paraId="7ABBBBAC" w14:textId="77777777" w:rsidR="00811EDA" w:rsidRPr="002F4496" w:rsidRDefault="00811EDA">
    <w:pPr>
      <w:pStyle w:val="Header"/>
      <w:rPr>
        <w:lang w:val="fr-FR"/>
      </w:rPr>
    </w:pPr>
  </w:p>
  <w:p w14:paraId="0F1BB730" w14:textId="77777777" w:rsidR="00811EDA" w:rsidRPr="002F4496" w:rsidRDefault="00811EDA" w:rsidP="000C06C9">
    <w:pPr>
      <w:pStyle w:val="Header"/>
      <w:tabs>
        <w:tab w:val="clear" w:pos="4536"/>
        <w:tab w:val="clear" w:pos="9072"/>
        <w:tab w:val="left" w:pos="8227"/>
      </w:tabs>
      <w:rPr>
        <w:lang w:val="fr-FR"/>
      </w:rPr>
    </w:pPr>
  </w:p>
  <w:p w14:paraId="354F7019" w14:textId="77777777" w:rsidR="00811EDA" w:rsidRPr="002F4496" w:rsidRDefault="00811EDA" w:rsidP="000C06C9">
    <w:pPr>
      <w:pStyle w:val="Header"/>
      <w:tabs>
        <w:tab w:val="clear" w:pos="4536"/>
        <w:tab w:val="clear" w:pos="9072"/>
        <w:tab w:val="left" w:pos="8227"/>
      </w:tabs>
      <w:rPr>
        <w:lang w:val="fr-FR"/>
      </w:rPr>
    </w:pPr>
  </w:p>
  <w:p w14:paraId="438C49BF" w14:textId="77777777" w:rsidR="00811EDA" w:rsidRPr="002F4496" w:rsidRDefault="00811EDA">
    <w:pPr>
      <w:pStyle w:val="Header"/>
      <w:rPr>
        <w:lang w:val="fr-FR"/>
      </w:rPr>
    </w:pPr>
  </w:p>
  <w:p w14:paraId="77F5F5FB" w14:textId="77777777" w:rsidR="00811EDA" w:rsidRPr="002F4496" w:rsidRDefault="00811EDA">
    <w:pPr>
      <w:pStyle w:val="Header"/>
      <w:rPr>
        <w:lang w:val="fr-FR"/>
      </w:rPr>
    </w:pPr>
  </w:p>
  <w:p w14:paraId="31EA96F8" w14:textId="77777777" w:rsidR="00811EDA" w:rsidRPr="002F4496" w:rsidRDefault="00811EDA">
    <w:pPr>
      <w:pStyle w:val="Header"/>
      <w:rPr>
        <w:lang w:val="fr-FR"/>
      </w:rPr>
    </w:pPr>
  </w:p>
  <w:p w14:paraId="0FAE7A71" w14:textId="77777777" w:rsidR="00811EDA" w:rsidRPr="002F4496" w:rsidRDefault="00811EDA">
    <w:pPr>
      <w:pStyle w:val="Header"/>
      <w:rPr>
        <w:lang w:val="fr-FR"/>
      </w:rPr>
    </w:pPr>
  </w:p>
  <w:p w14:paraId="339C0C6E" w14:textId="77777777" w:rsidR="00811EDA" w:rsidRPr="002F4496" w:rsidRDefault="00811EDA">
    <w:pPr>
      <w:pStyle w:val="Header"/>
      <w:rPr>
        <w:highlight w:val="yellow"/>
        <w:lang w:val="fr-FR"/>
      </w:rPr>
    </w:pPr>
  </w:p>
  <w:p w14:paraId="0495A777" w14:textId="77777777"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41238317" wp14:editId="0A68E94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02F5C"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75C99C5C" wp14:editId="52805A4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25F4"/>
    <w:multiLevelType w:val="hybridMultilevel"/>
    <w:tmpl w:val="94F274C6"/>
    <w:lvl w:ilvl="0" w:tplc="040C000D">
      <w:start w:val="1"/>
      <w:numFmt w:val="bullet"/>
      <w:lvlText w:val=""/>
      <w:lvlJc w:val="left"/>
      <w:pPr>
        <w:ind w:left="1080" w:hanging="360"/>
      </w:pPr>
      <w:rPr>
        <w:rFonts w:ascii="Wingdings" w:hAnsi="Wingdings" w:hint="default"/>
        <w:b w:val="0"/>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1"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2"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FA6466B6"/>
    <w:lvl w:ilvl="0" w:tplc="B8FE8AE4">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3F722C03"/>
    <w:multiLevelType w:val="multilevel"/>
    <w:tmpl w:val="7A3AA5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E67700"/>
    <w:multiLevelType w:val="hybridMultilevel"/>
    <w:tmpl w:val="75FA8684"/>
    <w:lvl w:ilvl="0" w:tplc="34B43D72">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0E6AB1"/>
    <w:multiLevelType w:val="hybridMultilevel"/>
    <w:tmpl w:val="08F6041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9"/>
  </w:num>
  <w:num w:numId="3">
    <w:abstractNumId w:val="11"/>
  </w:num>
  <w:num w:numId="4">
    <w:abstractNumId w:val="24"/>
  </w:num>
  <w:num w:numId="5">
    <w:abstractNumId w:val="26"/>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3"/>
  </w:num>
  <w:num w:numId="15">
    <w:abstractNumId w:val="9"/>
  </w:num>
  <w:num w:numId="16">
    <w:abstractNumId w:val="2"/>
  </w:num>
  <w:num w:numId="17">
    <w:abstractNumId w:val="14"/>
  </w:num>
  <w:num w:numId="18">
    <w:abstractNumId w:val="15"/>
  </w:num>
  <w:num w:numId="19">
    <w:abstractNumId w:val="17"/>
  </w:num>
  <w:num w:numId="20">
    <w:abstractNumId w:val="27"/>
  </w:num>
  <w:num w:numId="21">
    <w:abstractNumId w:val="38"/>
  </w:num>
  <w:num w:numId="22">
    <w:abstractNumId w:val="25"/>
  </w:num>
  <w:num w:numId="23">
    <w:abstractNumId w:val="8"/>
  </w:num>
  <w:num w:numId="24">
    <w:abstractNumId w:val="30"/>
  </w:num>
  <w:num w:numId="25">
    <w:abstractNumId w:val="29"/>
  </w:num>
  <w:num w:numId="26">
    <w:abstractNumId w:val="20"/>
  </w:num>
  <w:num w:numId="27">
    <w:abstractNumId w:val="34"/>
  </w:num>
  <w:num w:numId="28">
    <w:abstractNumId w:val="40"/>
  </w:num>
  <w:num w:numId="29">
    <w:abstractNumId w:val="6"/>
  </w:num>
  <w:num w:numId="30">
    <w:abstractNumId w:val="3"/>
  </w:num>
  <w:num w:numId="31">
    <w:abstractNumId w:val="22"/>
  </w:num>
  <w:num w:numId="32">
    <w:abstractNumId w:val="21"/>
  </w:num>
  <w:num w:numId="33">
    <w:abstractNumId w:val="37"/>
  </w:num>
  <w:num w:numId="34">
    <w:abstractNumId w:val="36"/>
  </w:num>
  <w:num w:numId="35">
    <w:abstractNumId w:val="10"/>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32"/>
  </w:num>
  <w:num w:numId="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GJ7HZXB9gSYCILHQIW1cyfcWswNF8iwjO8PyLtE3K2MEJ3QZI2bUAAcgNGjb506Vy2efyNvbdX3N1wEFLu9wfA==" w:salt="ELPiLiG5u/Wle4LZDLwvWQ=="/>
  <w:defaultTabStop w:val="709"/>
  <w:autoHyphenation/>
  <w:hyphenationZone w:val="567"/>
  <w:characterSpacingControl w:val="doNotCompress"/>
  <w:hdrShapeDefaults>
    <o:shapedefaults v:ext="edit" spidmax="2048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8A1"/>
    <w:rsid w:val="00006C2B"/>
    <w:rsid w:val="00007014"/>
    <w:rsid w:val="00007968"/>
    <w:rsid w:val="0001067A"/>
    <w:rsid w:val="00013CCE"/>
    <w:rsid w:val="000140D5"/>
    <w:rsid w:val="0001410B"/>
    <w:rsid w:val="000141D6"/>
    <w:rsid w:val="00014A67"/>
    <w:rsid w:val="00014A95"/>
    <w:rsid w:val="00015B5E"/>
    <w:rsid w:val="00015F1D"/>
    <w:rsid w:val="0001774B"/>
    <w:rsid w:val="00020D0F"/>
    <w:rsid w:val="000215EB"/>
    <w:rsid w:val="00021E83"/>
    <w:rsid w:val="000229B7"/>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47EA"/>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0F7F"/>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5503"/>
    <w:rsid w:val="0007609D"/>
    <w:rsid w:val="00077C67"/>
    <w:rsid w:val="00080976"/>
    <w:rsid w:val="00081148"/>
    <w:rsid w:val="00081CEB"/>
    <w:rsid w:val="00081E60"/>
    <w:rsid w:val="00082D8E"/>
    <w:rsid w:val="00082E31"/>
    <w:rsid w:val="00083AA3"/>
    <w:rsid w:val="000844F2"/>
    <w:rsid w:val="00085947"/>
    <w:rsid w:val="000868FE"/>
    <w:rsid w:val="000878D1"/>
    <w:rsid w:val="000921AE"/>
    <w:rsid w:val="000921D7"/>
    <w:rsid w:val="000925FF"/>
    <w:rsid w:val="000932E0"/>
    <w:rsid w:val="00094C4C"/>
    <w:rsid w:val="00095F8D"/>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0890"/>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3C5C"/>
    <w:rsid w:val="000F55B7"/>
    <w:rsid w:val="000F604F"/>
    <w:rsid w:val="000F7399"/>
    <w:rsid w:val="001021EF"/>
    <w:rsid w:val="001027F1"/>
    <w:rsid w:val="00104F2E"/>
    <w:rsid w:val="00106124"/>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4553"/>
    <w:rsid w:val="00135F2B"/>
    <w:rsid w:val="001372DD"/>
    <w:rsid w:val="001405BA"/>
    <w:rsid w:val="00141497"/>
    <w:rsid w:val="0014253A"/>
    <w:rsid w:val="001425C8"/>
    <w:rsid w:val="001431AE"/>
    <w:rsid w:val="00143B87"/>
    <w:rsid w:val="0014451A"/>
    <w:rsid w:val="001459E3"/>
    <w:rsid w:val="00146A0B"/>
    <w:rsid w:val="00146A6C"/>
    <w:rsid w:val="0014761E"/>
    <w:rsid w:val="00151907"/>
    <w:rsid w:val="001544C8"/>
    <w:rsid w:val="0015471A"/>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268A"/>
    <w:rsid w:val="00173AC7"/>
    <w:rsid w:val="001743F1"/>
    <w:rsid w:val="001745D7"/>
    <w:rsid w:val="00175754"/>
    <w:rsid w:val="00176982"/>
    <w:rsid w:val="0017701C"/>
    <w:rsid w:val="00177C6B"/>
    <w:rsid w:val="00181264"/>
    <w:rsid w:val="001817D7"/>
    <w:rsid w:val="00181BD1"/>
    <w:rsid w:val="0018204A"/>
    <w:rsid w:val="00182526"/>
    <w:rsid w:val="00182981"/>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C796B"/>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1005"/>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0776"/>
    <w:rsid w:val="00232F90"/>
    <w:rsid w:val="00233B08"/>
    <w:rsid w:val="00233C3B"/>
    <w:rsid w:val="0023499C"/>
    <w:rsid w:val="00235CE3"/>
    <w:rsid w:val="0023636A"/>
    <w:rsid w:val="00236F34"/>
    <w:rsid w:val="002372F7"/>
    <w:rsid w:val="00240651"/>
    <w:rsid w:val="00240803"/>
    <w:rsid w:val="00241178"/>
    <w:rsid w:val="0024426D"/>
    <w:rsid w:val="00244F1D"/>
    <w:rsid w:val="00245004"/>
    <w:rsid w:val="00245FB4"/>
    <w:rsid w:val="00247FB6"/>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4148"/>
    <w:rsid w:val="00286064"/>
    <w:rsid w:val="002867B1"/>
    <w:rsid w:val="00287BBB"/>
    <w:rsid w:val="00287E3B"/>
    <w:rsid w:val="00290638"/>
    <w:rsid w:val="00291763"/>
    <w:rsid w:val="00291D80"/>
    <w:rsid w:val="00293156"/>
    <w:rsid w:val="00293BE7"/>
    <w:rsid w:val="002946DC"/>
    <w:rsid w:val="00296005"/>
    <w:rsid w:val="002A092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7F9"/>
    <w:rsid w:val="002C2865"/>
    <w:rsid w:val="002C2EFE"/>
    <w:rsid w:val="002C53AA"/>
    <w:rsid w:val="002C5B2D"/>
    <w:rsid w:val="002C6AF9"/>
    <w:rsid w:val="002C7DFC"/>
    <w:rsid w:val="002D14F3"/>
    <w:rsid w:val="002D1646"/>
    <w:rsid w:val="002D16E4"/>
    <w:rsid w:val="002D2FEF"/>
    <w:rsid w:val="002D36C2"/>
    <w:rsid w:val="002D3FCB"/>
    <w:rsid w:val="002D4FEF"/>
    <w:rsid w:val="002D502D"/>
    <w:rsid w:val="002D63F5"/>
    <w:rsid w:val="002D6E1A"/>
    <w:rsid w:val="002E036D"/>
    <w:rsid w:val="002E1517"/>
    <w:rsid w:val="002E1B22"/>
    <w:rsid w:val="002E30BB"/>
    <w:rsid w:val="002E387F"/>
    <w:rsid w:val="002E5D63"/>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31A2"/>
    <w:rsid w:val="003332DD"/>
    <w:rsid w:val="00336B56"/>
    <w:rsid w:val="00341B25"/>
    <w:rsid w:val="00341EC0"/>
    <w:rsid w:val="0034240C"/>
    <w:rsid w:val="00344496"/>
    <w:rsid w:val="00345968"/>
    <w:rsid w:val="00347667"/>
    <w:rsid w:val="00347DC6"/>
    <w:rsid w:val="00350590"/>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5F8E"/>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0A78"/>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D7C66"/>
    <w:rsid w:val="003E0F84"/>
    <w:rsid w:val="003E1FF3"/>
    <w:rsid w:val="003E3ACA"/>
    <w:rsid w:val="003E406A"/>
    <w:rsid w:val="003E50EA"/>
    <w:rsid w:val="003E68C7"/>
    <w:rsid w:val="003E79B0"/>
    <w:rsid w:val="003F0403"/>
    <w:rsid w:val="003F1094"/>
    <w:rsid w:val="003F1D41"/>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247B"/>
    <w:rsid w:val="004142ED"/>
    <w:rsid w:val="0041634D"/>
    <w:rsid w:val="00417EF7"/>
    <w:rsid w:val="00422A7D"/>
    <w:rsid w:val="00422BFC"/>
    <w:rsid w:val="00424642"/>
    <w:rsid w:val="0042504C"/>
    <w:rsid w:val="004258CF"/>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107"/>
    <w:rsid w:val="00455273"/>
    <w:rsid w:val="00460905"/>
    <w:rsid w:val="00461E35"/>
    <w:rsid w:val="004621DB"/>
    <w:rsid w:val="004634A7"/>
    <w:rsid w:val="00463787"/>
    <w:rsid w:val="00466926"/>
    <w:rsid w:val="00466FDA"/>
    <w:rsid w:val="004671D0"/>
    <w:rsid w:val="004674D1"/>
    <w:rsid w:val="00470356"/>
    <w:rsid w:val="00470773"/>
    <w:rsid w:val="00471FF9"/>
    <w:rsid w:val="00473E74"/>
    <w:rsid w:val="00473FEF"/>
    <w:rsid w:val="00474A00"/>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2B3A"/>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77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1F47"/>
    <w:rsid w:val="00542297"/>
    <w:rsid w:val="005424BC"/>
    <w:rsid w:val="00542A28"/>
    <w:rsid w:val="005441D4"/>
    <w:rsid w:val="0054672D"/>
    <w:rsid w:val="00550109"/>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57DF"/>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D6C8C"/>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5F6F7F"/>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52C"/>
    <w:rsid w:val="00620D7C"/>
    <w:rsid w:val="00621089"/>
    <w:rsid w:val="00621E1F"/>
    <w:rsid w:val="006228B2"/>
    <w:rsid w:val="006228E1"/>
    <w:rsid w:val="00622E32"/>
    <w:rsid w:val="00623688"/>
    <w:rsid w:val="006247E0"/>
    <w:rsid w:val="00625F82"/>
    <w:rsid w:val="00627999"/>
    <w:rsid w:val="006301E3"/>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06E1"/>
    <w:rsid w:val="006710D2"/>
    <w:rsid w:val="00671A8B"/>
    <w:rsid w:val="00671F53"/>
    <w:rsid w:val="006725A0"/>
    <w:rsid w:val="006754A4"/>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091"/>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0D0A"/>
    <w:rsid w:val="006D399F"/>
    <w:rsid w:val="006D4641"/>
    <w:rsid w:val="006D4F0C"/>
    <w:rsid w:val="006D5645"/>
    <w:rsid w:val="006D748D"/>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6F7CA5"/>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1C5"/>
    <w:rsid w:val="00743DE7"/>
    <w:rsid w:val="0074509E"/>
    <w:rsid w:val="00745B9F"/>
    <w:rsid w:val="0074726F"/>
    <w:rsid w:val="0075015C"/>
    <w:rsid w:val="00752D4F"/>
    <w:rsid w:val="00752DC8"/>
    <w:rsid w:val="0075409F"/>
    <w:rsid w:val="0075525A"/>
    <w:rsid w:val="00755609"/>
    <w:rsid w:val="00755874"/>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6C11"/>
    <w:rsid w:val="00777046"/>
    <w:rsid w:val="007770DA"/>
    <w:rsid w:val="007805B9"/>
    <w:rsid w:val="00780C3A"/>
    <w:rsid w:val="007834A1"/>
    <w:rsid w:val="00791EB4"/>
    <w:rsid w:val="007928F1"/>
    <w:rsid w:val="00792BDA"/>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D09"/>
    <w:rsid w:val="007B5F3B"/>
    <w:rsid w:val="007C02B0"/>
    <w:rsid w:val="007C063E"/>
    <w:rsid w:val="007C068C"/>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090C"/>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7F79DB"/>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124D"/>
    <w:rsid w:val="00862DDD"/>
    <w:rsid w:val="0086326D"/>
    <w:rsid w:val="00863CC1"/>
    <w:rsid w:val="00865987"/>
    <w:rsid w:val="00865B01"/>
    <w:rsid w:val="00866D7A"/>
    <w:rsid w:val="00866EE3"/>
    <w:rsid w:val="008701E5"/>
    <w:rsid w:val="008706C5"/>
    <w:rsid w:val="00871D24"/>
    <w:rsid w:val="00871F04"/>
    <w:rsid w:val="00873B7E"/>
    <w:rsid w:val="008746C1"/>
    <w:rsid w:val="00880224"/>
    <w:rsid w:val="0088244C"/>
    <w:rsid w:val="00883367"/>
    <w:rsid w:val="00884C47"/>
    <w:rsid w:val="00884E92"/>
    <w:rsid w:val="00885E6F"/>
    <w:rsid w:val="008861AC"/>
    <w:rsid w:val="008868E4"/>
    <w:rsid w:val="00886A60"/>
    <w:rsid w:val="00886D30"/>
    <w:rsid w:val="0088759B"/>
    <w:rsid w:val="008909B4"/>
    <w:rsid w:val="008922E8"/>
    <w:rsid w:val="00893916"/>
    <w:rsid w:val="008941B9"/>
    <w:rsid w:val="0089442C"/>
    <w:rsid w:val="008952F5"/>
    <w:rsid w:val="00895818"/>
    <w:rsid w:val="008A2585"/>
    <w:rsid w:val="008A2718"/>
    <w:rsid w:val="008A4CF6"/>
    <w:rsid w:val="008A4E42"/>
    <w:rsid w:val="008A51AA"/>
    <w:rsid w:val="008A65C3"/>
    <w:rsid w:val="008A6A12"/>
    <w:rsid w:val="008B09E3"/>
    <w:rsid w:val="008B0DC6"/>
    <w:rsid w:val="008B2B9E"/>
    <w:rsid w:val="008B31F5"/>
    <w:rsid w:val="008B4C79"/>
    <w:rsid w:val="008B5D2D"/>
    <w:rsid w:val="008B6022"/>
    <w:rsid w:val="008B6361"/>
    <w:rsid w:val="008C0320"/>
    <w:rsid w:val="008C1A51"/>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E6B70"/>
    <w:rsid w:val="008F0354"/>
    <w:rsid w:val="008F085A"/>
    <w:rsid w:val="008F0FA7"/>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143D"/>
    <w:rsid w:val="00913401"/>
    <w:rsid w:val="00913567"/>
    <w:rsid w:val="009137B6"/>
    <w:rsid w:val="009147F5"/>
    <w:rsid w:val="00915EBA"/>
    <w:rsid w:val="00917093"/>
    <w:rsid w:val="0091799E"/>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3A42"/>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B8"/>
    <w:rsid w:val="009661DF"/>
    <w:rsid w:val="009667BD"/>
    <w:rsid w:val="0096727A"/>
    <w:rsid w:val="00967674"/>
    <w:rsid w:val="00967CE2"/>
    <w:rsid w:val="00971DA3"/>
    <w:rsid w:val="00972161"/>
    <w:rsid w:val="0097261B"/>
    <w:rsid w:val="009744FD"/>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2BC"/>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4B6"/>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0762"/>
    <w:rsid w:val="00A71AD0"/>
    <w:rsid w:val="00A74F9F"/>
    <w:rsid w:val="00A750B3"/>
    <w:rsid w:val="00A75559"/>
    <w:rsid w:val="00A7623D"/>
    <w:rsid w:val="00A824A7"/>
    <w:rsid w:val="00A83644"/>
    <w:rsid w:val="00A83C07"/>
    <w:rsid w:val="00A83F40"/>
    <w:rsid w:val="00A84945"/>
    <w:rsid w:val="00A85226"/>
    <w:rsid w:val="00A85543"/>
    <w:rsid w:val="00A863C5"/>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271"/>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201E"/>
    <w:rsid w:val="00AF332C"/>
    <w:rsid w:val="00AF38AF"/>
    <w:rsid w:val="00AF3C29"/>
    <w:rsid w:val="00AF4401"/>
    <w:rsid w:val="00AF4463"/>
    <w:rsid w:val="00AF53CB"/>
    <w:rsid w:val="00AF5D6D"/>
    <w:rsid w:val="00AF65C5"/>
    <w:rsid w:val="00AF748A"/>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67E4"/>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41E"/>
    <w:rsid w:val="00B85661"/>
    <w:rsid w:val="00B85C8A"/>
    <w:rsid w:val="00B86FBD"/>
    <w:rsid w:val="00B91B86"/>
    <w:rsid w:val="00B927CA"/>
    <w:rsid w:val="00B928AE"/>
    <w:rsid w:val="00B93CDA"/>
    <w:rsid w:val="00B942E9"/>
    <w:rsid w:val="00B9433A"/>
    <w:rsid w:val="00B948EE"/>
    <w:rsid w:val="00B949F5"/>
    <w:rsid w:val="00B94BF3"/>
    <w:rsid w:val="00B94F90"/>
    <w:rsid w:val="00B95DC5"/>
    <w:rsid w:val="00B9790C"/>
    <w:rsid w:val="00B97E34"/>
    <w:rsid w:val="00B97FEF"/>
    <w:rsid w:val="00BA1354"/>
    <w:rsid w:val="00BA24F8"/>
    <w:rsid w:val="00BA31AA"/>
    <w:rsid w:val="00BA45D8"/>
    <w:rsid w:val="00BA5828"/>
    <w:rsid w:val="00BA647A"/>
    <w:rsid w:val="00BA64B3"/>
    <w:rsid w:val="00BA7228"/>
    <w:rsid w:val="00BA754A"/>
    <w:rsid w:val="00BA7820"/>
    <w:rsid w:val="00BA794C"/>
    <w:rsid w:val="00BB09FB"/>
    <w:rsid w:val="00BB1617"/>
    <w:rsid w:val="00BB238D"/>
    <w:rsid w:val="00BB37CC"/>
    <w:rsid w:val="00BB48C4"/>
    <w:rsid w:val="00BB4956"/>
    <w:rsid w:val="00BB5C6F"/>
    <w:rsid w:val="00BB6907"/>
    <w:rsid w:val="00BB7A20"/>
    <w:rsid w:val="00BC1563"/>
    <w:rsid w:val="00BC15B1"/>
    <w:rsid w:val="00BC16E9"/>
    <w:rsid w:val="00BC1D4B"/>
    <w:rsid w:val="00BC3C06"/>
    <w:rsid w:val="00BC4E8B"/>
    <w:rsid w:val="00BC5622"/>
    <w:rsid w:val="00BC6060"/>
    <w:rsid w:val="00BC6596"/>
    <w:rsid w:val="00BC7109"/>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37A5"/>
    <w:rsid w:val="00BF557C"/>
    <w:rsid w:val="00BF62D2"/>
    <w:rsid w:val="00BF6D9E"/>
    <w:rsid w:val="00BF6E3E"/>
    <w:rsid w:val="00BF71BB"/>
    <w:rsid w:val="00BF76F7"/>
    <w:rsid w:val="00BF7C3D"/>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2667"/>
    <w:rsid w:val="00C33916"/>
    <w:rsid w:val="00C33BCF"/>
    <w:rsid w:val="00C34D1D"/>
    <w:rsid w:val="00C353A0"/>
    <w:rsid w:val="00C368D7"/>
    <w:rsid w:val="00C36CFA"/>
    <w:rsid w:val="00C36FD1"/>
    <w:rsid w:val="00C371A5"/>
    <w:rsid w:val="00C372AF"/>
    <w:rsid w:val="00C400B0"/>
    <w:rsid w:val="00C40F4E"/>
    <w:rsid w:val="00C413FC"/>
    <w:rsid w:val="00C422C5"/>
    <w:rsid w:val="00C4245C"/>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570D3"/>
    <w:rsid w:val="00C6009F"/>
    <w:rsid w:val="00C60417"/>
    <w:rsid w:val="00C6046F"/>
    <w:rsid w:val="00C638C2"/>
    <w:rsid w:val="00C651D4"/>
    <w:rsid w:val="00C6669E"/>
    <w:rsid w:val="00C66F9F"/>
    <w:rsid w:val="00C672B0"/>
    <w:rsid w:val="00C729C7"/>
    <w:rsid w:val="00C761FA"/>
    <w:rsid w:val="00C777AD"/>
    <w:rsid w:val="00C80C53"/>
    <w:rsid w:val="00C81195"/>
    <w:rsid w:val="00C85387"/>
    <w:rsid w:val="00C85E52"/>
    <w:rsid w:val="00C86471"/>
    <w:rsid w:val="00C8677B"/>
    <w:rsid w:val="00C86F96"/>
    <w:rsid w:val="00C909C6"/>
    <w:rsid w:val="00C923B7"/>
    <w:rsid w:val="00C93A9C"/>
    <w:rsid w:val="00C940C0"/>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0E0A"/>
    <w:rsid w:val="00CC1783"/>
    <w:rsid w:val="00CC38E9"/>
    <w:rsid w:val="00CC3B46"/>
    <w:rsid w:val="00CC3D8B"/>
    <w:rsid w:val="00CC49EE"/>
    <w:rsid w:val="00CC4E27"/>
    <w:rsid w:val="00CC570C"/>
    <w:rsid w:val="00CC62B6"/>
    <w:rsid w:val="00CC76AA"/>
    <w:rsid w:val="00CC7CD2"/>
    <w:rsid w:val="00CD05CF"/>
    <w:rsid w:val="00CD06AB"/>
    <w:rsid w:val="00CD1FAE"/>
    <w:rsid w:val="00CD232F"/>
    <w:rsid w:val="00CD279E"/>
    <w:rsid w:val="00CD2986"/>
    <w:rsid w:val="00CD2F92"/>
    <w:rsid w:val="00CD3899"/>
    <w:rsid w:val="00CD4EB0"/>
    <w:rsid w:val="00CD512D"/>
    <w:rsid w:val="00CD5831"/>
    <w:rsid w:val="00CD6F6E"/>
    <w:rsid w:val="00CE08D1"/>
    <w:rsid w:val="00CE157F"/>
    <w:rsid w:val="00CE1966"/>
    <w:rsid w:val="00CE1ED4"/>
    <w:rsid w:val="00CE2216"/>
    <w:rsid w:val="00CE3014"/>
    <w:rsid w:val="00CE30E5"/>
    <w:rsid w:val="00CE6FC6"/>
    <w:rsid w:val="00CF2056"/>
    <w:rsid w:val="00CF240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AAA"/>
    <w:rsid w:val="00D64B69"/>
    <w:rsid w:val="00D67101"/>
    <w:rsid w:val="00D7106D"/>
    <w:rsid w:val="00D71B45"/>
    <w:rsid w:val="00D71F8A"/>
    <w:rsid w:val="00D75603"/>
    <w:rsid w:val="00D75FEE"/>
    <w:rsid w:val="00D76933"/>
    <w:rsid w:val="00D76D88"/>
    <w:rsid w:val="00D77CC9"/>
    <w:rsid w:val="00D83D4B"/>
    <w:rsid w:val="00D871C6"/>
    <w:rsid w:val="00D91010"/>
    <w:rsid w:val="00D92BBE"/>
    <w:rsid w:val="00DA0FA7"/>
    <w:rsid w:val="00DA12B0"/>
    <w:rsid w:val="00DA2BA0"/>
    <w:rsid w:val="00DA39AD"/>
    <w:rsid w:val="00DA5523"/>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4A46"/>
    <w:rsid w:val="00DD61F5"/>
    <w:rsid w:val="00DD658B"/>
    <w:rsid w:val="00DE2FC2"/>
    <w:rsid w:val="00DE3223"/>
    <w:rsid w:val="00DE64A6"/>
    <w:rsid w:val="00DE66EB"/>
    <w:rsid w:val="00DE7035"/>
    <w:rsid w:val="00DF12E3"/>
    <w:rsid w:val="00DF3F1D"/>
    <w:rsid w:val="00DF595C"/>
    <w:rsid w:val="00DF7EA7"/>
    <w:rsid w:val="00E00DB9"/>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8BE"/>
    <w:rsid w:val="00E25DBD"/>
    <w:rsid w:val="00E25FA2"/>
    <w:rsid w:val="00E2723D"/>
    <w:rsid w:val="00E27C77"/>
    <w:rsid w:val="00E3179E"/>
    <w:rsid w:val="00E32AC9"/>
    <w:rsid w:val="00E34586"/>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4C6F"/>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1AB6"/>
    <w:rsid w:val="00EF3C84"/>
    <w:rsid w:val="00EF40E2"/>
    <w:rsid w:val="00EF5FB9"/>
    <w:rsid w:val="00EF61C1"/>
    <w:rsid w:val="00EF6E68"/>
    <w:rsid w:val="00EF76DB"/>
    <w:rsid w:val="00F005FD"/>
    <w:rsid w:val="00F024E2"/>
    <w:rsid w:val="00F02C04"/>
    <w:rsid w:val="00F03AF1"/>
    <w:rsid w:val="00F04BCD"/>
    <w:rsid w:val="00F05A8C"/>
    <w:rsid w:val="00F06211"/>
    <w:rsid w:val="00F10A54"/>
    <w:rsid w:val="00F10D35"/>
    <w:rsid w:val="00F123D0"/>
    <w:rsid w:val="00F13200"/>
    <w:rsid w:val="00F13411"/>
    <w:rsid w:val="00F143BA"/>
    <w:rsid w:val="00F14D98"/>
    <w:rsid w:val="00F170BB"/>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917"/>
    <w:rsid w:val="00F53E59"/>
    <w:rsid w:val="00F5475B"/>
    <w:rsid w:val="00F551CC"/>
    <w:rsid w:val="00F574D0"/>
    <w:rsid w:val="00F6031F"/>
    <w:rsid w:val="00F61664"/>
    <w:rsid w:val="00F61B99"/>
    <w:rsid w:val="00F61BA8"/>
    <w:rsid w:val="00F6233F"/>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25"/>
    <w:rsid w:val="00F82FF3"/>
    <w:rsid w:val="00F8453C"/>
    <w:rsid w:val="00F84D4C"/>
    <w:rsid w:val="00F8657D"/>
    <w:rsid w:val="00F8730F"/>
    <w:rsid w:val="00F87631"/>
    <w:rsid w:val="00F87DA3"/>
    <w:rsid w:val="00F90004"/>
    <w:rsid w:val="00F90EF4"/>
    <w:rsid w:val="00F917BF"/>
    <w:rsid w:val="00F920B4"/>
    <w:rsid w:val="00F9260D"/>
    <w:rsid w:val="00F92727"/>
    <w:rsid w:val="00F93CCF"/>
    <w:rsid w:val="00F94307"/>
    <w:rsid w:val="00F9580B"/>
    <w:rsid w:val="00F95F15"/>
    <w:rsid w:val="00F968C6"/>
    <w:rsid w:val="00F975CA"/>
    <w:rsid w:val="00FA0B60"/>
    <w:rsid w:val="00FA2528"/>
    <w:rsid w:val="00FA2B0D"/>
    <w:rsid w:val="00FA5535"/>
    <w:rsid w:val="00FA7206"/>
    <w:rsid w:val="00FA7E01"/>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5EC4"/>
    <w:rsid w:val="00FD7858"/>
    <w:rsid w:val="00FD7A8D"/>
    <w:rsid w:val="00FE1330"/>
    <w:rsid w:val="00FE1CE5"/>
    <w:rsid w:val="00FE2832"/>
    <w:rsid w:val="00FE2D38"/>
    <w:rsid w:val="00FE3929"/>
    <w:rsid w:val="00FE40D3"/>
    <w:rsid w:val="00FE624E"/>
    <w:rsid w:val="00FE6577"/>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2d4491,#283583"/>
    </o:shapedefaults>
    <o:shapelayout v:ext="edit">
      <o:idmap v:ext="edit" data="1"/>
    </o:shapelayout>
  </w:shapeDefaults>
  <w:decimalSymbol w:val="."/>
  <w:listSeparator w:val=","/>
  <w14:docId w14:val="1B88CD27"/>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1A2"/>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492B3A"/>
    <w:pPr>
      <w:numPr>
        <w:numId w:val="37"/>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492B3A"/>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Paragraph">
    <w:name w:val="Paragraph"/>
    <w:basedOn w:val="Normal"/>
    <w:link w:val="ParagraphChar"/>
    <w:qFormat/>
    <w:rsid w:val="00106124"/>
    <w:pPr>
      <w:spacing w:before="120" w:after="120" w:line="276" w:lineRule="auto"/>
      <w:ind w:left="360" w:hanging="360"/>
      <w:jc w:val="both"/>
    </w:pPr>
    <w:rPr>
      <w:rFonts w:asciiTheme="minorHAnsi" w:hAnsiTheme="minorHAnsi"/>
      <w:sz w:val="22"/>
      <w:szCs w:val="20"/>
      <w:lang w:eastAsia="en-US"/>
    </w:rPr>
  </w:style>
  <w:style w:type="character" w:customStyle="1" w:styleId="ParagraphChar">
    <w:name w:val="Paragraph Char"/>
    <w:link w:val="Paragraph"/>
    <w:locked/>
    <w:rsid w:val="00106124"/>
    <w:rPr>
      <w:rFonts w:asciiTheme="minorHAnsi" w:hAnsiTheme="minorHAns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68493509">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395059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66697930">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0370490">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30759119">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15711491">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92249008">
      <w:bodyDiv w:val="1"/>
      <w:marLeft w:val="0"/>
      <w:marRight w:val="0"/>
      <w:marTop w:val="0"/>
      <w:marBottom w:val="0"/>
      <w:divBdr>
        <w:top w:val="none" w:sz="0" w:space="0" w:color="auto"/>
        <w:left w:val="none" w:sz="0" w:space="0" w:color="auto"/>
        <w:bottom w:val="none" w:sz="0" w:space="0" w:color="auto"/>
        <w:right w:val="none" w:sz="0" w:space="0" w:color="auto"/>
      </w:divBdr>
    </w:div>
    <w:div w:id="1294671225">
      <w:bodyDiv w:val="1"/>
      <w:marLeft w:val="0"/>
      <w:marRight w:val="0"/>
      <w:marTop w:val="0"/>
      <w:marBottom w:val="0"/>
      <w:divBdr>
        <w:top w:val="none" w:sz="0" w:space="0" w:color="auto"/>
        <w:left w:val="none" w:sz="0" w:space="0" w:color="auto"/>
        <w:bottom w:val="none" w:sz="0" w:space="0" w:color="auto"/>
        <w:right w:val="none" w:sz="0" w:space="0" w:color="auto"/>
      </w:divBdr>
    </w:div>
    <w:div w:id="1350569672">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89990526">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11488642">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yperlink" Target="https://eur-lex.europa.eu/legal-content/EN/TXT/HTML/?uri=CELEX:32021L0338&amp;from=D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esma.europa.eu/about-esma/data-protectio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3b122f42-3680-41b8-abdb-8f838d66b94f">ESMA35-42-1086</_dlc_DocId>
    <_dlc_DocIdUrl xmlns="3b122f42-3680-41b8-abdb-8f838d66b94f">
      <Url>https://sherpa.esma.europa.eu/sites/INIIPI/_layouts/15/DocIdRedir.aspx?ID=ESMA35-42-1086</Url>
      <Description>ESMA35-42-1086</Description>
    </_dlc_DocIdUrl>
    <TaxCatchAll xmlns="3b122f42-3680-41b8-abdb-8f838d66b94f">
      <Value>125</Value>
      <Value>62</Value>
      <Value>30</Value>
      <Value>309</Value>
      <Value>49</Value>
    </TaxCatchAll>
    <MeetingDate xmlns="3b122f42-3680-41b8-abdb-8f838d66b94f">2020-11-04T23:00:00+00:00</MeetingDate>
    <Year xmlns="3b122f42-3680-41b8-abdb-8f838d66b94f">2020</Year>
    <f926fd9ddf4e43dc9baf43a17188d082 xmlns="3b122f42-3680-41b8-abdb-8f838d66b94f">
      <Terms xmlns="http://schemas.microsoft.com/office/infopath/2007/PartnerControls">
        <TermInfo xmlns="http://schemas.microsoft.com/office/infopath/2007/PartnerControls">
          <TermName xmlns="http://schemas.microsoft.com/office/infopath/2007/PartnerControls">Sustainable Finance</TermName>
          <TermId xmlns="http://schemas.microsoft.com/office/infopath/2007/PartnerControls">2b3d71a9-35a3-4434-9d75-bd09a37940bf</TermId>
        </TermInfo>
      </Terms>
    </f926fd9ddf4e43dc9baf43a17188d082>
    <ldf822d702374457a75b2650fd19956f xmlns="3b122f42-3680-41b8-abdb-8f838d66b94f">
      <Terms xmlns="http://schemas.microsoft.com/office/infopath/2007/PartnerControls"/>
    </ldf822d702374457a75b2650fd19956f>
    <IconOverlay xmlns="http://schemas.microsoft.com/sharepoint/v4" xsi:nil="true"/>
    <b1f7cdd549a8454fb97376e5c37040fc xmlns="3b122f42-3680-41b8-abdb-8f838d66b94f">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b1f7cdd549a8454fb97376e5c37040fc>
    <i5ab60d4d76744fa8f19029305834a0f xmlns="3b122f42-3680-41b8-abdb-8f838d66b94f">
      <Terms xmlns="http://schemas.microsoft.com/office/infopath/2007/PartnerControls">
        <TermInfo xmlns="http://schemas.microsoft.com/office/infopath/2007/PartnerControls">
          <TermName xmlns="http://schemas.microsoft.com/office/infopath/2007/PartnerControls">Investor Protection and Intermediaries</TermName>
          <TermId xmlns="http://schemas.microsoft.com/office/infopath/2007/PartnerControls">98c55de3-414a-4dc7-97ca-58b003cd9a35</TermId>
        </TermInfo>
      </Terms>
    </i5ab60d4d76744fa8f19029305834a0f>
    <ja89261ff8244daf864530e8b7973c66 xmlns="3b122f42-3680-41b8-abdb-8f838d66b94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a89261ff8244daf864530e8b7973c66>
    <nd85f6bbfc564f3fa1f39842b48e85f3 xmlns="3b122f42-3680-41b8-abdb-8f838d66b94f">
      <Terms xmlns="http://schemas.microsoft.com/office/infopath/2007/PartnerControls">
        <TermInfo xmlns="http://schemas.microsoft.com/office/infopath/2007/PartnerControls">
          <TermName xmlns="http://schemas.microsoft.com/office/infopath/2007/PartnerControls">Other Work</TermName>
          <TermId xmlns="http://schemas.microsoft.com/office/infopath/2007/PartnerControls">8e467236-62cb-4258-b359-81b56229d8cf</TermId>
        </TermInfo>
      </Terms>
    </nd85f6bbfc564f3fa1f39842b48e85f3>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Other Work Document" ma:contentTypeID="0x0101004C1F842F26F0BF46AAFF4A33AAF0FAB9020E00058A08C15AC1864D8EE7048745AAA068" ma:contentTypeVersion="145" ma:contentTypeDescription="" ma:contentTypeScope="" ma:versionID="2309983eb822269fd72e2a60a53940d4">
  <xsd:schema xmlns:xsd="http://www.w3.org/2001/XMLSchema" xmlns:xs="http://www.w3.org/2001/XMLSchema" xmlns:p="http://schemas.microsoft.com/office/2006/metadata/properties" xmlns:ns2="3b122f42-3680-41b8-abdb-8f838d66b94f" xmlns:ns3="http://schemas.microsoft.com/sharepoint/v4" targetNamespace="http://schemas.microsoft.com/office/2006/metadata/properties" ma:root="true" ma:fieldsID="c86cf930dbcd5bc90d4a71097f38bcb6" ns2:_="" ns3:_="">
    <xsd:import namespace="3b122f42-3680-41b8-abdb-8f838d66b94f"/>
    <xsd:import namespace="http://schemas.microsoft.com/sharepoint/v4"/>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_dlc_DocIdPersistId" minOccurs="0"/>
                <xsd:element ref="ns2:i5ab60d4d76744fa8f19029305834a0f" minOccurs="0"/>
                <xsd:element ref="ns2:b1f7cdd549a8454fb97376e5c37040fc" minOccurs="0"/>
                <xsd:element ref="ns2:ja89261ff8244daf864530e8b7973c66" minOccurs="0"/>
                <xsd:element ref="ns2:ldf822d702374457a75b2650fd19956f" minOccurs="0"/>
                <xsd:element ref="ns2:nd85f6bbfc564f3fa1f39842b48e85f3" minOccurs="0"/>
                <xsd:element ref="ns2:TaxCatchAllLabel" minOccurs="0"/>
                <xsd:element ref="ns2:f926fd9ddf4e43dc9baf43a17188d082"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22f42-3680-41b8-abdb-8f838d66b94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TaxCatchAll" ma:index="11" nillable="true" ma:displayName="Taxonomy Catch All Column" ma:hidden="true" ma:list="{1d591544-b9e9-463f-8aea-85c90ce7dc60}" ma:internalName="TaxCatchAll" ma:showField="CatchAllData" ma:web="3b122f42-3680-41b8-abdb-8f838d66b94f">
      <xsd:complexType>
        <xsd:complexContent>
          <xsd:extension base="dms:MultiChoiceLookup">
            <xsd:sequence>
              <xsd:element name="Value" type="dms:Lookup" maxOccurs="unbounded" minOccurs="0" nillable="true"/>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i5ab60d4d76744fa8f19029305834a0f" ma:index="14" ma:taxonomy="true" ma:internalName="i5ab60d4d76744fa8f19029305834a0f" ma:taxonomyFieldName="TeamName" ma:displayName="Team Name" ma:default="30;#Investor Protection and Intermediaries|98c55de3-414a-4dc7-97ca-58b003cd9a35" ma:fieldId="{25ab60d4-d767-44fa-8f19-029305834a0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b1f7cdd549a8454fb97376e5c37040fc" ma:index="16" ma:taxonomy="true" ma:internalName="b1f7cdd549a8454fb97376e5c37040fc" ma:taxonomyFieldName="DocumentType" ma:displayName="Document Type" ma:readOnly="false" ma:default="" ma:fieldId="{b1f7cdd5-49a8-454f-b973-76e5c37040fc}"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a89261ff8244daf864530e8b7973c66" ma:index="18" ma:taxonomy="true" ma:internalName="ja89261ff8244daf864530e8b7973c66" ma:taxonomyFieldName="ConfidentialityLevel" ma:displayName="Confidentiality Level" ma:readOnly="false" ma:default="15;#Regular|07f1e362-856b-423d-bea6-a14079762141" ma:fieldId="{3a89261f-f824-4daf-8645-30e8b7973c66}"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ldf822d702374457a75b2650fd19956f" ma:index="20" nillable="true" ma:taxonomy="true" ma:internalName="ldf822d702374457a75b2650fd19956f" ma:taxonomyFieldName="EsmaAudience" ma:displayName="Audience" ma:default="" ma:fieldId="{5df822d7-0237-4457-a75b-2650fd19956f}"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nd85f6bbfc564f3fa1f39842b48e85f3" ma:index="23" nillable="true" ma:taxonomy="true" ma:internalName="nd85f6bbfc564f3fa1f39842b48e85f3" ma:taxonomyFieldName="TeamTopic" ma:displayName="Team Topic" ma:readOnly="false" ma:default="125;#Other Work|8e467236-62cb-4258-b359-81b56229d8cf" ma:fieldId="{7d85f6bb-fc56-4f3f-a1f3-9842b48e85f3}" ma:taxonomyMulti="true" ma:sspId="0ac1876e-32bf-4158-94e7-cdbcd053a335" ma:termSetId="850502f9-36b0-41fb-966b-d9fcd2f00296"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1d591544-b9e9-463f-8aea-85c90ce7dc60}" ma:internalName="TaxCatchAllLabel" ma:readOnly="true" ma:showField="CatchAllDataLabel" ma:web="3b122f42-3680-41b8-abdb-8f838d66b94f">
      <xsd:complexType>
        <xsd:complexContent>
          <xsd:extension base="dms:MultiChoiceLookup">
            <xsd:sequence>
              <xsd:element name="Value" type="dms:Lookup" maxOccurs="unbounded" minOccurs="0" nillable="true"/>
            </xsd:sequence>
          </xsd:extension>
        </xsd:complexContent>
      </xsd:complexType>
    </xsd:element>
    <xsd:element name="f926fd9ddf4e43dc9baf43a17188d082" ma:index="25" nillable="true" ma:taxonomy="true" ma:internalName="f926fd9ddf4e43dc9baf43a17188d082" ma:taxonomyFieldName="Topic" ma:displayName="Topic" ma:default="" ma:fieldId="{f926fd9d-df4e-43dc-9baf-43a17188d082}" ma:sspId="0ac1876e-32bf-4158-94e7-cdbcd053a335" ma:termSetId="1204d773-6b06-4d02-bc01-ea5b5466ecf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2.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3b122f42-3680-41b8-abdb-8f838d66b94f"/>
    <ds:schemaRef ds:uri="http://schemas.microsoft.com/sharepoint/v4"/>
  </ds:schemaRefs>
</ds:datastoreItem>
</file>

<file path=customXml/itemProps3.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4.xml><?xml version="1.0" encoding="utf-8"?>
<ds:datastoreItem xmlns:ds="http://schemas.openxmlformats.org/officeDocument/2006/customXml" ds:itemID="{05F0B5A2-D6CE-4251-B5B3-8185936F3DBB}">
  <ds:schemaRefs>
    <ds:schemaRef ds:uri="http://schemas.openxmlformats.org/officeDocument/2006/bibliography"/>
  </ds:schemaRefs>
</ds:datastoreItem>
</file>

<file path=customXml/itemProps5.xml><?xml version="1.0" encoding="utf-8"?>
<ds:datastoreItem xmlns:ds="http://schemas.openxmlformats.org/officeDocument/2006/customXml" ds:itemID="{BA53AC4E-1B9E-4EAF-B866-EE07015F1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22f42-3680-41b8-abdb-8f838d66b94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F2D1AF0-A89F-43B0-9F8C-0C6B56ED8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1808</Words>
  <Characters>10128</Characters>
  <Application>Microsoft Office Word</Application>
  <DocSecurity>12</DocSecurity>
  <Lines>84</Lines>
  <Paragraphs>23</Paragraphs>
  <ScaleCrop>false</ScaleCrop>
  <HeadingPairs>
    <vt:vector size="10" baseType="variant">
      <vt:variant>
        <vt:lpstr>Title</vt:lpstr>
      </vt:variant>
      <vt:variant>
        <vt:i4>1</vt:i4>
      </vt:variant>
      <vt:variant>
        <vt:lpstr>Titel</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11913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Tamara Chetcuti</cp:lastModifiedBy>
  <cp:revision>2</cp:revision>
  <cp:lastPrinted>2015-02-18T11:01:00Z</cp:lastPrinted>
  <dcterms:created xsi:type="dcterms:W3CDTF">2021-12-16T13:34:00Z</dcterms:created>
  <dcterms:modified xsi:type="dcterms:W3CDTF">2021-12-16T13:34:00Z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0x0101004C1F842F26F0BF46AAFF4A33AAF0FAB9020E00058A08C15AC1864D8EE7048745AAA068</vt:lpwstr>
  </property>
  <property fmtid="{D5CDD505-2E9C-101B-9397-08002B2CF9AE}" pid="3" name="EsmaAudience">
    <vt:lpwstr/>
  </property>
  <property fmtid="{D5CDD505-2E9C-101B-9397-08002B2CF9AE}" pid="4" name="TeamName">
    <vt:lpwstr>30;#Investor Protection and Intermediaries|98c55de3-414a-4dc7-97ca-58b003cd9a35</vt:lpwstr>
  </property>
  <property fmtid="{D5CDD505-2E9C-101B-9397-08002B2CF9AE}" pid="5" name="Topic">
    <vt:lpwstr>309;#Sustainable Finance|2b3d71a9-35a3-4434-9d75-bd09a37940bf</vt:lpwstr>
  </property>
  <property fmtid="{D5CDD505-2E9C-101B-9397-08002B2CF9AE}" pid="6" name="SubTopic">
    <vt:lpwstr>211;#ESAs|fa72426c-f4c1-4de0-83a0-2806812bd296</vt:lpwstr>
  </property>
  <property fmtid="{D5CDD505-2E9C-101B-9397-08002B2CF9AE}" pid="7" name="DocumentType">
    <vt:lpwstr>49;#Questionnaire|a849d609-a31c-415e-a1a8-503bcc16b083</vt:lpwstr>
  </property>
  <property fmtid="{D5CDD505-2E9C-101B-9397-08002B2CF9AE}" pid="8" name="ConfidentialityLevel">
    <vt:lpwstr>62;#Public|a0c619ff-bd46-48f0-b213-6b7c03fe156d</vt:lpwstr>
  </property>
  <property fmtid="{D5CDD505-2E9C-101B-9397-08002B2CF9AE}" pid="9" name="_dlc_DocIdItemGuid">
    <vt:lpwstr>8fb716ed-9d55-4b9a-8e94-42b55d51da19</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InternalStakeholders">
    <vt:lpwstr/>
  </property>
  <property fmtid="{D5CDD505-2E9C-101B-9397-08002B2CF9AE}" pid="17" name="ExternalStakeholders">
    <vt:lpwstr/>
  </property>
  <property fmtid="{D5CDD505-2E9C-101B-9397-08002B2CF9AE}" pid="18" name="StatusOfLegislation">
    <vt:lpwstr/>
  </property>
  <property fmtid="{D5CDD505-2E9C-101B-9397-08002B2CF9AE}" pid="19" name="TeamTopic">
    <vt:lpwstr>125;#Other Work|8e467236-62cb-4258-b359-81b56229d8cf</vt:lpwstr>
  </property>
</Properties>
</file>