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Kop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permStart w:id="1493633476" w:edGrp="everyone" w:displacedByCustomXml="prev"/>
            <w:tc>
              <w:tcPr>
                <w:tcW w:w="5595" w:type="dxa"/>
                <w:shd w:val="clear" w:color="auto" w:fill="auto"/>
              </w:tcPr>
              <w:p w14:paraId="23C2C921" w14:textId="0ED184EB" w:rsidR="00B327E9" w:rsidRPr="00AB6D88" w:rsidRDefault="00B5004F" w:rsidP="00F136AD">
                <w:pPr>
                  <w:rPr>
                    <w:rStyle w:val="Tekstvantijdelijkeaanduiding"/>
                    <w:rFonts w:cs="Arial"/>
                  </w:rPr>
                </w:pPr>
                <w:r>
                  <w:rPr>
                    <w:rStyle w:val="Tekstvantijdelijkeaanduiding"/>
                    <w:rFonts w:cs="Arial"/>
                  </w:rPr>
                  <w:t>D</w:t>
                </w:r>
                <w:r>
                  <w:rPr>
                    <w:rStyle w:val="Tekstvantijdelijkeaanduiding"/>
                  </w:rPr>
                  <w:t>ACSI</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3293E5F8" w:rsidR="00B327E9" w:rsidRPr="00AB6D88" w:rsidRDefault="00D24F95"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1E2C02">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01D7307D" w:rsidR="00B327E9" w:rsidRPr="00AB6D88" w:rsidRDefault="001E2C02"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12FC80E7" w:rsidR="00B327E9" w:rsidRPr="00AB6D88" w:rsidRDefault="00F7319D" w:rsidP="00F136AD">
                <w:pPr>
                  <w:rPr>
                    <w:rFonts w:cs="Arial"/>
                  </w:rPr>
                </w:pPr>
                <w:r>
                  <w:rPr>
                    <w:rFonts w:cs="Arial"/>
                  </w:rPr>
                  <w:t>Netherlands</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Kop1"/>
        <w:numPr>
          <w:ilvl w:val="0"/>
          <w:numId w:val="0"/>
        </w:numPr>
        <w:ind w:left="431" w:hanging="431"/>
      </w:pPr>
      <w:r>
        <w:t>Introduction</w:t>
      </w:r>
    </w:p>
    <w:p w14:paraId="3C83C634" w14:textId="77777777" w:rsidR="00B327E9" w:rsidRPr="00E40A5C" w:rsidRDefault="00B327E9" w:rsidP="00FE6577">
      <w:pPr>
        <w:rPr>
          <w:rStyle w:val="Intensievebenadrukking"/>
          <w:sz w:val="22"/>
        </w:rPr>
      </w:pPr>
      <w:r w:rsidRPr="00E40A5C">
        <w:rPr>
          <w:rStyle w:val="Intensievebenadrukking"/>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17A18165" w14:textId="77777777" w:rsidR="00FA3C53" w:rsidRPr="00817E40" w:rsidRDefault="00FA3C53" w:rsidP="00FA3C53">
      <w:pPr>
        <w:ind w:right="55"/>
        <w:jc w:val="both"/>
        <w:rPr>
          <w:rFonts w:cs="Arial Unicode MS"/>
          <w:szCs w:val="21"/>
        </w:rPr>
      </w:pPr>
      <w:permStart w:id="44765448" w:edGrp="everyone"/>
      <w:r>
        <w:rPr>
          <w:rFonts w:cs="Arial Unicode MS"/>
          <w:szCs w:val="21"/>
        </w:rPr>
        <w:t>DACSI – the Dutch Advisory Committee Securities Industry – welcomes the opportunity to express its view on the review of this reporting framework. Our orientation is getting a more effective reporting (in terms of achieving its high-level objectives), while combining this with a lighter burden  for reporting entities</w:t>
      </w:r>
      <w:r w:rsidRPr="00DF5687">
        <w:rPr>
          <w:rFonts w:cs="Arial Unicode MS"/>
          <w:szCs w:val="21"/>
        </w:rPr>
        <w:t xml:space="preserve"> </w:t>
      </w:r>
      <w:r>
        <w:rPr>
          <w:rFonts w:cs="Arial Unicode MS"/>
          <w:szCs w:val="21"/>
        </w:rPr>
        <w:t>where possible.</w:t>
      </w:r>
    </w:p>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Kop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65132978" w14:textId="77777777" w:rsidR="006133BC" w:rsidRPr="00A15A55" w:rsidRDefault="006133BC" w:rsidP="006133BC">
      <w:pPr>
        <w:tabs>
          <w:tab w:val="left" w:pos="3329"/>
        </w:tabs>
        <w:spacing w:before="60"/>
        <w:rPr>
          <w:bCs/>
        </w:rPr>
      </w:pPr>
      <w:permStart w:id="222133246" w:edGrp="everyone"/>
      <w:r>
        <w:rPr>
          <w:bCs/>
        </w:rPr>
        <w:t>DACSI agrees in general</w:t>
      </w:r>
      <w:r w:rsidRPr="00A15A55">
        <w:rPr>
          <w:bCs/>
        </w:rPr>
        <w:t xml:space="preserve">. </w:t>
      </w:r>
      <w:r>
        <w:rPr>
          <w:bCs/>
        </w:rPr>
        <w:br/>
      </w:r>
      <w:r w:rsidRPr="00A15A55">
        <w:rPr>
          <w:bCs/>
        </w:rPr>
        <w:t xml:space="preserve">Consolidation of reporting by trading venues will provide a clearer picture to investors when making execution decisions. The only point </w:t>
      </w:r>
      <w:r>
        <w:rPr>
          <w:bCs/>
        </w:rPr>
        <w:t>where DACSI members</w:t>
      </w:r>
      <w:r w:rsidRPr="00A15A55">
        <w:rPr>
          <w:bCs/>
        </w:rPr>
        <w:t xml:space="preserve"> disagree is the disclosure of the identi</w:t>
      </w:r>
      <w:r>
        <w:rPr>
          <w:bCs/>
        </w:rPr>
        <w:t>t</w:t>
      </w:r>
      <w:r w:rsidRPr="00A15A55">
        <w:rPr>
          <w:bCs/>
        </w:rPr>
        <w:t>y of market makers and their contribution</w:t>
      </w:r>
      <w:r>
        <w:rPr>
          <w:bCs/>
        </w:rPr>
        <w:t>:</w:t>
      </w:r>
      <w:r w:rsidRPr="00A15A55">
        <w:rPr>
          <w:bCs/>
        </w:rPr>
        <w:t xml:space="preserve"> this is not relevant to the overall execution quality of the venue.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7A5AEB31" w14:textId="77777777" w:rsidR="005F6B5A" w:rsidRDefault="005F6B5A" w:rsidP="005F6B5A">
      <w:pPr>
        <w:tabs>
          <w:tab w:val="left" w:pos="3329"/>
        </w:tabs>
        <w:spacing w:before="60"/>
        <w:rPr>
          <w:rFonts w:eastAsiaTheme="minorHAnsi" w:cstheme="minorBidi"/>
          <w:szCs w:val="21"/>
        </w:rPr>
      </w:pPr>
      <w:permStart w:id="147554275" w:edGrp="everyone"/>
      <w:r>
        <w:rPr>
          <w:rFonts w:eastAsiaTheme="minorHAnsi" w:cstheme="minorBidi"/>
          <w:szCs w:val="21"/>
        </w:rPr>
        <w:t>Yes, we agree.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3DB5E719" w14:textId="77777777" w:rsidR="00A02308" w:rsidRDefault="00A02308" w:rsidP="00A02308">
      <w:pPr>
        <w:tabs>
          <w:tab w:val="left" w:pos="3329"/>
        </w:tabs>
        <w:spacing w:before="60"/>
        <w:ind w:left="567" w:hanging="567"/>
        <w:rPr>
          <w:bCs/>
        </w:rPr>
      </w:pPr>
      <w:permStart w:id="2033745150" w:edGrp="everyone"/>
      <w:r>
        <w:rPr>
          <w:bCs/>
        </w:rPr>
        <w:t>We roughly agree.</w:t>
      </w:r>
    </w:p>
    <w:p w14:paraId="066F7696" w14:textId="77777777" w:rsidR="00A02308" w:rsidRDefault="00A02308" w:rsidP="00A02308">
      <w:pPr>
        <w:tabs>
          <w:tab w:val="num" w:pos="709"/>
          <w:tab w:val="left" w:pos="3329"/>
        </w:tabs>
        <w:spacing w:before="300" w:after="60"/>
        <w:rPr>
          <w:rFonts w:cstheme="minorHAnsi"/>
          <w:color w:val="000000"/>
        </w:rPr>
      </w:pPr>
      <w:r>
        <w:rPr>
          <w:rFonts w:cstheme="minorHAnsi"/>
          <w:color w:val="000000"/>
        </w:rPr>
        <w:t xml:space="preserve">In DACSI’s view, the proposal to use generic metrics contributes to the usability of the reporting by creating a limited set of comparable high-level data. </w:t>
      </w:r>
      <w:r>
        <w:rPr>
          <w:rFonts w:cstheme="minorHAnsi"/>
          <w:color w:val="000000"/>
        </w:rPr>
        <w:br/>
        <w:t>Needless to say that real comparability depends on the actual calculus behind the proposed metrics, as applied by the individual execution venues. We think that some additional regulatory measures are necessary to assure consistent calculus and – consequently – comparable data. Our concern specifically refers to:</w:t>
      </w:r>
    </w:p>
    <w:p w14:paraId="7D251D6C" w14:textId="77777777" w:rsidR="00A02308" w:rsidRPr="002D28E2" w:rsidRDefault="00A02308" w:rsidP="00A02308">
      <w:pPr>
        <w:pStyle w:val="Lijstalinea"/>
        <w:numPr>
          <w:ilvl w:val="0"/>
          <w:numId w:val="50"/>
        </w:numPr>
        <w:rPr>
          <w:rFonts w:asciiTheme="minorHAnsi" w:hAnsiTheme="minorHAnsi" w:cstheme="minorHAnsi"/>
          <w:sz w:val="21"/>
          <w:szCs w:val="21"/>
          <w:lang w:val="fr-FR"/>
        </w:rPr>
      </w:pPr>
      <w:r w:rsidRPr="002D28E2">
        <w:rPr>
          <w:rFonts w:asciiTheme="minorHAnsi" w:hAnsiTheme="minorHAnsi" w:cstheme="minorHAnsi"/>
          <w:sz w:val="21"/>
          <w:szCs w:val="21"/>
        </w:rPr>
        <w:t>The costs for a median transaction showing the fees the execution venue applied to any of its users for a median transaction during the previous reporting period</w:t>
      </w:r>
      <w:r>
        <w:rPr>
          <w:rFonts w:asciiTheme="minorHAnsi" w:hAnsiTheme="minorHAnsi" w:cstheme="minorHAnsi"/>
          <w:sz w:val="21"/>
          <w:szCs w:val="21"/>
        </w:rPr>
        <w:t>;</w:t>
      </w:r>
    </w:p>
    <w:p w14:paraId="13E6BCA3" w14:textId="77777777" w:rsidR="00A02308" w:rsidRPr="002D28E2" w:rsidRDefault="00A02308" w:rsidP="00A02308">
      <w:pPr>
        <w:pStyle w:val="Lijstalinea"/>
        <w:numPr>
          <w:ilvl w:val="0"/>
          <w:numId w:val="50"/>
        </w:numPr>
        <w:rPr>
          <w:rFonts w:asciiTheme="minorHAnsi" w:hAnsiTheme="minorHAnsi" w:cstheme="minorHAnsi"/>
          <w:sz w:val="21"/>
          <w:szCs w:val="21"/>
          <w:lang w:val="fr-FR"/>
        </w:rPr>
      </w:pPr>
      <w:r w:rsidRPr="002D28E2">
        <w:rPr>
          <w:rFonts w:asciiTheme="minorHAnsi" w:hAnsiTheme="minorHAnsi" w:cstheme="minorHAnsi"/>
          <w:sz w:val="21"/>
          <w:szCs w:val="21"/>
        </w:rPr>
        <w:t xml:space="preserve">The bid-offer spread related to the median transaction of the previous quarter </w:t>
      </w:r>
      <w:r>
        <w:rPr>
          <w:rFonts w:asciiTheme="minorHAnsi" w:hAnsiTheme="minorHAnsi" w:cstheme="minorHAnsi"/>
          <w:sz w:val="21"/>
          <w:szCs w:val="21"/>
        </w:rPr>
        <w:t>.</w:t>
      </w:r>
    </w:p>
    <w:p w14:paraId="15DF6B32" w14:textId="77777777" w:rsidR="00A02308" w:rsidRDefault="00A02308" w:rsidP="00A02308">
      <w:pPr>
        <w:tabs>
          <w:tab w:val="num" w:pos="709"/>
          <w:tab w:val="left" w:pos="3329"/>
        </w:tabs>
        <w:spacing w:before="300" w:after="60"/>
        <w:rPr>
          <w:rFonts w:cstheme="minorHAnsi"/>
          <w:color w:val="000000"/>
          <w:lang w:val="fr-FR"/>
        </w:rPr>
      </w:pPr>
      <w:r w:rsidRPr="007E5348">
        <w:rPr>
          <w:rFonts w:cstheme="minorHAnsi"/>
          <w:color w:val="000000"/>
        </w:rPr>
        <w:t xml:space="preserve">We also note that, since the median bid-offer spread </w:t>
      </w:r>
      <w:r>
        <w:rPr>
          <w:rFonts w:cstheme="minorHAnsi"/>
          <w:color w:val="000000"/>
        </w:rPr>
        <w:t xml:space="preserve">would </w:t>
      </w:r>
      <w:r w:rsidRPr="007E5348">
        <w:rPr>
          <w:rFonts w:cstheme="minorHAnsi"/>
          <w:color w:val="000000"/>
        </w:rPr>
        <w:t>appl</w:t>
      </w:r>
      <w:r>
        <w:rPr>
          <w:rFonts w:cstheme="minorHAnsi"/>
          <w:color w:val="000000"/>
        </w:rPr>
        <w:t>y</w:t>
      </w:r>
      <w:r w:rsidRPr="007E5348">
        <w:rPr>
          <w:rFonts w:cstheme="minorHAnsi"/>
          <w:color w:val="000000"/>
        </w:rPr>
        <w:t xml:space="preserve"> to an aggregated class of financial instruments</w:t>
      </w:r>
      <w:r>
        <w:rPr>
          <w:rFonts w:cstheme="minorHAnsi"/>
          <w:color w:val="000000"/>
        </w:rPr>
        <w:t>,</w:t>
      </w:r>
      <w:r w:rsidRPr="007E5348">
        <w:rPr>
          <w:rFonts w:cstheme="minorHAnsi"/>
          <w:color w:val="000000"/>
        </w:rPr>
        <w:t xml:space="preserve"> it</w:t>
      </w:r>
      <w:r>
        <w:rPr>
          <w:rFonts w:cstheme="minorHAnsi"/>
          <w:color w:val="000000"/>
        </w:rPr>
        <w:t xml:space="preserve"> would</w:t>
      </w:r>
      <w:r w:rsidRPr="007E5348">
        <w:rPr>
          <w:rFonts w:cstheme="minorHAnsi"/>
          <w:color w:val="000000"/>
        </w:rPr>
        <w:t xml:space="preserve"> lose its information value given the range of bid-off spreads across individual financial instruments</w:t>
      </w:r>
      <w:r w:rsidRPr="007E5348">
        <w:rPr>
          <w:rFonts w:cstheme="minorHAnsi"/>
          <w:color w:val="000000"/>
          <w:lang w:val="fr-FR"/>
        </w:rPr>
        <w:t>.</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lastRenderedPageBreak/>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C7AD60E" w14:textId="77777777" w:rsidR="00515220" w:rsidRDefault="00515220" w:rsidP="00515220">
      <w:pPr>
        <w:tabs>
          <w:tab w:val="left" w:pos="3329"/>
        </w:tabs>
        <w:spacing w:before="60"/>
        <w:rPr>
          <w:bCs/>
        </w:rPr>
      </w:pPr>
      <w:permStart w:id="1373658977" w:edGrp="everyone"/>
      <w:r>
        <w:rPr>
          <w:bCs/>
        </w:rPr>
        <w:t>DACSI’s members (as far as they are investment firms) have published these reports over the last few years. We do not believe that the reported data provide the information that clients would need to choose between service providers.</w:t>
      </w:r>
    </w:p>
    <w:p w14:paraId="4F72BD70" w14:textId="77777777" w:rsidR="00515220" w:rsidRDefault="00515220" w:rsidP="00515220">
      <w:pPr>
        <w:tabs>
          <w:tab w:val="left" w:pos="3329"/>
        </w:tabs>
        <w:spacing w:before="60"/>
        <w:rPr>
          <w:bCs/>
        </w:rPr>
      </w:pPr>
      <w:r>
        <w:rPr>
          <w:bCs/>
        </w:rPr>
        <w:t>For retail clients, the data in the reports are too detailed conceptually and difficult to reach in practice, and – at the same time – would not be fully relevant and/or sufficient for their decision making; in practice, they often choose for a much wider service package than order execution.</w:t>
      </w:r>
    </w:p>
    <w:p w14:paraId="7FDA502B" w14:textId="77777777" w:rsidR="00515220" w:rsidRDefault="00515220" w:rsidP="00515220">
      <w:pPr>
        <w:tabs>
          <w:tab w:val="left" w:pos="3329"/>
        </w:tabs>
        <w:spacing w:before="60"/>
        <w:rPr>
          <w:bCs/>
        </w:rPr>
      </w:pPr>
      <w:r>
        <w:rPr>
          <w:bCs/>
        </w:rPr>
        <w:t>For wholesale clients, the reports are conceptually relevant, but lack comparability.</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C9E83F8" w14:textId="77777777" w:rsidR="00330032" w:rsidRPr="006D725A" w:rsidRDefault="00330032" w:rsidP="00330032">
      <w:pPr>
        <w:tabs>
          <w:tab w:val="left" w:pos="3329"/>
        </w:tabs>
        <w:spacing w:before="60"/>
      </w:pPr>
      <w:permStart w:id="1906529081" w:edGrp="everyone"/>
      <w:r w:rsidRPr="00000D41">
        <w:rPr>
          <w:bCs/>
        </w:rPr>
        <w:t>Yes, we agree.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63ACAAFD" w14:textId="77777777" w:rsidR="00964CB0" w:rsidRPr="006D725A" w:rsidRDefault="00964CB0" w:rsidP="00964CB0">
      <w:pPr>
        <w:tabs>
          <w:tab w:val="left" w:pos="3329"/>
        </w:tabs>
        <w:spacing w:before="60"/>
      </w:pPr>
      <w:permStart w:id="297553631" w:edGrp="everyone"/>
      <w:r w:rsidRPr="00000D41">
        <w:rPr>
          <w:bCs/>
        </w:rPr>
        <w:t>Yes, we agree.</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lastRenderedPageBreak/>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58D4" w14:textId="77777777" w:rsidR="00D24F95" w:rsidRDefault="00D24F95">
      <w:r>
        <w:separator/>
      </w:r>
    </w:p>
    <w:p w14:paraId="2438C3D0" w14:textId="77777777" w:rsidR="00D24F95" w:rsidRDefault="00D24F95"/>
  </w:endnote>
  <w:endnote w:type="continuationSeparator" w:id="0">
    <w:p w14:paraId="5712BC17" w14:textId="77777777" w:rsidR="00D24F95" w:rsidRDefault="00D24F95">
      <w:r>
        <w:continuationSeparator/>
      </w:r>
    </w:p>
    <w:p w14:paraId="04C6A96F" w14:textId="77777777" w:rsidR="00D24F95" w:rsidRDefault="00D24F95"/>
  </w:endnote>
  <w:endnote w:type="continuationNotice" w:id="1">
    <w:p w14:paraId="4EB018FC" w14:textId="77777777" w:rsidR="00D24F95" w:rsidRDefault="00D24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DAB2" w14:textId="77777777" w:rsidR="00D24F95" w:rsidRDefault="00D24F95">
      <w:r>
        <w:separator/>
      </w:r>
    </w:p>
    <w:p w14:paraId="0CB9B4C3" w14:textId="77777777" w:rsidR="00D24F95" w:rsidRDefault="00D24F95"/>
  </w:footnote>
  <w:footnote w:type="continuationSeparator" w:id="0">
    <w:p w14:paraId="145BF8A1" w14:textId="77777777" w:rsidR="00D24F95" w:rsidRDefault="00D24F95">
      <w:r>
        <w:continuationSeparator/>
      </w:r>
    </w:p>
    <w:p w14:paraId="275DF3FC" w14:textId="77777777" w:rsidR="00D24F95" w:rsidRDefault="00D24F95"/>
  </w:footnote>
  <w:footnote w:type="continuationNotice" w:id="1">
    <w:p w14:paraId="0D7F6F1D" w14:textId="77777777" w:rsidR="00D24F95" w:rsidRDefault="00D24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Koptekst"/>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1B3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Koptekst"/>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tekst"/>
      <w:rPr>
        <w:lang w:val="fr-FR"/>
      </w:rPr>
    </w:pPr>
  </w:p>
  <w:p w14:paraId="0F1BB730" w14:textId="77777777" w:rsidR="00811EDA" w:rsidRPr="002F4496" w:rsidRDefault="00811EDA" w:rsidP="000C06C9">
    <w:pPr>
      <w:pStyle w:val="Koptekst"/>
      <w:tabs>
        <w:tab w:val="clear" w:pos="4536"/>
        <w:tab w:val="clear" w:pos="9072"/>
        <w:tab w:val="left" w:pos="8227"/>
      </w:tabs>
      <w:rPr>
        <w:lang w:val="fr-FR"/>
      </w:rPr>
    </w:pPr>
  </w:p>
  <w:p w14:paraId="354F7019" w14:textId="77777777" w:rsidR="00811EDA" w:rsidRPr="002F4496" w:rsidRDefault="00811EDA" w:rsidP="000C06C9">
    <w:pPr>
      <w:pStyle w:val="Koptekst"/>
      <w:tabs>
        <w:tab w:val="clear" w:pos="4536"/>
        <w:tab w:val="clear" w:pos="9072"/>
        <w:tab w:val="left" w:pos="8227"/>
      </w:tabs>
      <w:rPr>
        <w:lang w:val="fr-FR"/>
      </w:rPr>
    </w:pPr>
  </w:p>
  <w:p w14:paraId="438C49BF" w14:textId="77777777" w:rsidR="00811EDA" w:rsidRPr="002F4496" w:rsidRDefault="00811EDA">
    <w:pPr>
      <w:pStyle w:val="Koptekst"/>
      <w:rPr>
        <w:lang w:val="fr-FR"/>
      </w:rPr>
    </w:pPr>
  </w:p>
  <w:p w14:paraId="77F5F5FB" w14:textId="77777777" w:rsidR="00811EDA" w:rsidRPr="002F4496" w:rsidRDefault="00811EDA">
    <w:pPr>
      <w:pStyle w:val="Koptekst"/>
      <w:rPr>
        <w:lang w:val="fr-FR"/>
      </w:rPr>
    </w:pPr>
  </w:p>
  <w:p w14:paraId="31EA96F8" w14:textId="77777777" w:rsidR="00811EDA" w:rsidRPr="002F4496" w:rsidRDefault="00811EDA">
    <w:pPr>
      <w:pStyle w:val="Koptekst"/>
      <w:rPr>
        <w:lang w:val="fr-FR"/>
      </w:rPr>
    </w:pPr>
  </w:p>
  <w:p w14:paraId="0FAE7A71" w14:textId="77777777" w:rsidR="00811EDA" w:rsidRPr="002F4496" w:rsidRDefault="00811EDA">
    <w:pPr>
      <w:pStyle w:val="Koptekst"/>
      <w:rPr>
        <w:lang w:val="fr-FR"/>
      </w:rPr>
    </w:pPr>
  </w:p>
  <w:p w14:paraId="339C0C6E" w14:textId="77777777" w:rsidR="00811EDA" w:rsidRPr="002F4496" w:rsidRDefault="00811EDA">
    <w:pPr>
      <w:pStyle w:val="Koptekst"/>
      <w:rPr>
        <w:highlight w:val="yellow"/>
        <w:lang w:val="fr-FR"/>
      </w:rPr>
    </w:pPr>
  </w:p>
  <w:p w14:paraId="0495A777" w14:textId="77777777" w:rsidR="00811EDA" w:rsidRDefault="00DE66EB">
    <w:pPr>
      <w:pStyle w:val="Koptekst"/>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6FC3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3005CB"/>
    <w:multiLevelType w:val="hybridMultilevel"/>
    <w:tmpl w:val="D83E41F2"/>
    <w:lvl w:ilvl="0" w:tplc="04130005">
      <w:start w:val="1"/>
      <w:numFmt w:val="bullet"/>
      <w:lvlText w:val=""/>
      <w:lvlJc w:val="left"/>
      <w:pPr>
        <w:ind w:left="1080" w:hanging="360"/>
      </w:pPr>
      <w:rPr>
        <w:rFonts w:ascii="Wingdings" w:hAnsi="Wingdings" w:hint="default"/>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3"/>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2C02"/>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7E8D"/>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0032"/>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0AF4"/>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4BE5"/>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22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5A"/>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33BC"/>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52F"/>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4CB0"/>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08"/>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04F"/>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F95"/>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19D"/>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3C53"/>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31A2"/>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492B3A"/>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ardalinea-lettertype"/>
    <w:link w:val="myNormal0"/>
    <w:locked/>
    <w:rsid w:val="00AF38AF"/>
    <w:rPr>
      <w:rFonts w:ascii="Georgia" w:hAnsi="Georgia"/>
      <w:lang w:eastAsia="de-DE"/>
    </w:rPr>
  </w:style>
  <w:style w:type="paragraph" w:customStyle="1" w:styleId="myNormal0">
    <w:name w:val="myNormal"/>
    <w:basedOn w:val="Standa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1175</Words>
  <Characters>6698</Characters>
  <Application>Microsoft Office Word</Application>
  <DocSecurity>8</DocSecurity>
  <Lines>55</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7858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best execution reporting</dc:title>
  <dc:creator>ESMA</dc:creator>
  <cp:lastModifiedBy>Henk Bruggeman</cp:lastModifiedBy>
  <cp:revision>14</cp:revision>
  <cp:lastPrinted>2015-02-18T11:01:00Z</cp:lastPrinted>
  <dcterms:created xsi:type="dcterms:W3CDTF">2021-12-17T13:30:00Z</dcterms:created>
  <dcterms:modified xsi:type="dcterms:W3CDTF">2021-12-17T13:44:00Z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