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20"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21"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2"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Ttul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permStart w:id="1493633476" w:edGrp="everyone" w:displacedByCustomXml="prev"/>
            <w:tc>
              <w:tcPr>
                <w:tcW w:w="5595" w:type="dxa"/>
                <w:shd w:val="clear" w:color="auto" w:fill="auto"/>
              </w:tcPr>
              <w:p w14:paraId="23C2C921" w14:textId="341FC9D9" w:rsidR="00B327E9" w:rsidRPr="00AB6D88" w:rsidRDefault="00BA6282" w:rsidP="00F136AD">
                <w:pPr>
                  <w:rPr>
                    <w:rStyle w:val="Textodelmarcadordeposicin"/>
                    <w:rFonts w:cs="Arial"/>
                  </w:rPr>
                </w:pPr>
                <w:proofErr w:type="spellStart"/>
                <w:r>
                  <w:rPr>
                    <w:rStyle w:val="Textodelmarcadordeposicin"/>
                    <w:rFonts w:cs="Arial"/>
                  </w:rPr>
                  <w:t>Bolsas</w:t>
                </w:r>
                <w:proofErr w:type="spellEnd"/>
                <w:r>
                  <w:rPr>
                    <w:rStyle w:val="Textodelmarcadordeposicin"/>
                    <w:rFonts w:cs="Arial"/>
                  </w:rPr>
                  <w:t xml:space="preserve"> y Mercados </w:t>
                </w:r>
                <w:proofErr w:type="spellStart"/>
                <w:r>
                  <w:rPr>
                    <w:rStyle w:val="Textodelmarcadordeposicin"/>
                    <w:rFonts w:cs="Arial"/>
                  </w:rPr>
                  <w:t>Españoles</w:t>
                </w:r>
                <w:proofErr w:type="spellEnd"/>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FA36015" w:rsidR="00B327E9" w:rsidRPr="00AB6D88" w:rsidRDefault="007D186E"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Pr>
                    <w:rFonts w:cs="Arial"/>
                  </w:rPr>
                  <w:t>Exchange or Trading System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38FD79F" w:rsidR="00B327E9" w:rsidRPr="00AB6D88" w:rsidRDefault="00BA6282" w:rsidP="00F136AD">
                <w:pPr>
                  <w:rPr>
                    <w:rFonts w:cs="Arial"/>
                  </w:rPr>
                </w:pPr>
                <w:r>
                  <w:rPr>
                    <w:rFonts w:cs="Arial"/>
                  </w:rPr>
                  <w:t>Spain</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tulo1"/>
        <w:numPr>
          <w:ilvl w:val="0"/>
          <w:numId w:val="0"/>
        </w:numPr>
        <w:ind w:left="431" w:hanging="431"/>
      </w:pPr>
      <w:r>
        <w:t>Introduction</w:t>
      </w:r>
    </w:p>
    <w:p w14:paraId="3C83C634" w14:textId="77777777" w:rsidR="00B327E9" w:rsidRPr="00E40A5C" w:rsidRDefault="00B327E9" w:rsidP="00FE6577">
      <w:pPr>
        <w:rPr>
          <w:rStyle w:val="nfasisintenso"/>
          <w:sz w:val="22"/>
        </w:rPr>
      </w:pPr>
      <w:r w:rsidRPr="00E40A5C">
        <w:rPr>
          <w:rStyle w:val="nfasisintenso"/>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14DE2B5C" w14:textId="77777777" w:rsidR="00BA6282" w:rsidRPr="00C778B6" w:rsidRDefault="00BA6282" w:rsidP="001C4862">
      <w:pPr>
        <w:rPr>
          <w:rFonts w:asciiTheme="minorHAnsi" w:hAnsiTheme="minorHAnsi" w:cstheme="minorHAnsi"/>
          <w:sz w:val="22"/>
          <w:szCs w:val="28"/>
        </w:rPr>
      </w:pPr>
      <w:permStart w:id="44765448" w:edGrp="everyone"/>
      <w:proofErr w:type="spellStart"/>
      <w:r w:rsidRPr="00C778B6">
        <w:rPr>
          <w:rFonts w:asciiTheme="minorHAnsi" w:hAnsiTheme="minorHAnsi" w:cstheme="minorHAnsi"/>
          <w:sz w:val="22"/>
          <w:szCs w:val="28"/>
        </w:rPr>
        <w:t>Bolsas</w:t>
      </w:r>
      <w:proofErr w:type="spellEnd"/>
      <w:r w:rsidRPr="00C778B6">
        <w:rPr>
          <w:rFonts w:asciiTheme="minorHAnsi" w:hAnsiTheme="minorHAnsi" w:cstheme="minorHAnsi"/>
          <w:sz w:val="22"/>
          <w:szCs w:val="28"/>
        </w:rPr>
        <w:t xml:space="preserve"> y Mercados </w:t>
      </w:r>
      <w:proofErr w:type="spellStart"/>
      <w:r w:rsidRPr="00C778B6">
        <w:rPr>
          <w:rFonts w:asciiTheme="minorHAnsi" w:hAnsiTheme="minorHAnsi" w:cstheme="minorHAnsi"/>
          <w:sz w:val="22"/>
          <w:szCs w:val="28"/>
        </w:rPr>
        <w:t>Españoles</w:t>
      </w:r>
      <w:proofErr w:type="spellEnd"/>
      <w:r w:rsidRPr="00C778B6">
        <w:rPr>
          <w:rFonts w:asciiTheme="minorHAnsi" w:hAnsiTheme="minorHAnsi" w:cstheme="minorHAnsi"/>
          <w:sz w:val="22"/>
          <w:szCs w:val="28"/>
        </w:rPr>
        <w:t xml:space="preserve"> (BME) is the operator of all stock Markets and financial systems in Spain. BME has been a listed company from 2006 to 2020 and is a SIX Group Company. One of the strengths of the Group resides in its diversification, apparent on the company structure that that aims to provide a full range of products and services to its clients.</w:t>
      </w:r>
    </w:p>
    <w:p w14:paraId="2A321EE5" w14:textId="77777777" w:rsidR="00BA6282" w:rsidRPr="00C778B6" w:rsidRDefault="00BA6282" w:rsidP="001C4862">
      <w:pPr>
        <w:rPr>
          <w:rFonts w:asciiTheme="minorHAnsi" w:hAnsiTheme="minorHAnsi" w:cstheme="minorHAnsi"/>
          <w:sz w:val="22"/>
          <w:szCs w:val="28"/>
        </w:rPr>
      </w:pPr>
      <w:r w:rsidRPr="00C778B6">
        <w:rPr>
          <w:rFonts w:asciiTheme="minorHAnsi" w:hAnsiTheme="minorHAnsi" w:cstheme="minorHAnsi"/>
          <w:sz w:val="22"/>
          <w:szCs w:val="28"/>
        </w:rPr>
        <w:t xml:space="preserve">BME is committed to contribute decisively to a transparent, </w:t>
      </w:r>
      <w:proofErr w:type="gramStart"/>
      <w:r w:rsidRPr="00C778B6">
        <w:rPr>
          <w:rFonts w:asciiTheme="minorHAnsi" w:hAnsiTheme="minorHAnsi" w:cstheme="minorHAnsi"/>
          <w:sz w:val="22"/>
          <w:szCs w:val="28"/>
        </w:rPr>
        <w:t>safe</w:t>
      </w:r>
      <w:proofErr w:type="gramEnd"/>
      <w:r w:rsidRPr="00C778B6">
        <w:rPr>
          <w:rFonts w:asciiTheme="minorHAnsi" w:hAnsiTheme="minorHAnsi" w:cstheme="minorHAnsi"/>
          <w:sz w:val="22"/>
          <w:szCs w:val="28"/>
        </w:rPr>
        <w:t xml:space="preserve"> and efficient functioning of the markets to support the economic growth of our companies, creating value for our shareholders.</w:t>
      </w:r>
    </w:p>
    <w:p w14:paraId="68F63540" w14:textId="6E9EF050" w:rsidR="00B327E9" w:rsidRPr="00BF28DA" w:rsidRDefault="00BA6282" w:rsidP="00FE6577">
      <w:r w:rsidRPr="00C778B6">
        <w:rPr>
          <w:rFonts w:asciiTheme="minorHAnsi" w:hAnsiTheme="minorHAnsi" w:cstheme="minorHAnsi"/>
          <w:sz w:val="22"/>
          <w:szCs w:val="28"/>
        </w:rPr>
        <w:t xml:space="preserve">BME welcomes the opportunity to comment on the Review of RTS 27 thus contributing to the overarching objectives of CMU, integrity, transparency and resilience for the financial </w:t>
      </w:r>
      <w:proofErr w:type="gramStart"/>
      <w:r w:rsidRPr="00C778B6">
        <w:rPr>
          <w:rFonts w:asciiTheme="minorHAnsi" w:hAnsiTheme="minorHAnsi" w:cstheme="minorHAnsi"/>
          <w:sz w:val="22"/>
          <w:szCs w:val="28"/>
        </w:rPr>
        <w:t>markets</w:t>
      </w:r>
      <w:r w:rsidRPr="00DC5961">
        <w:t>.</w:t>
      </w:r>
      <w:permEnd w:id="44765448"/>
      <w:r w:rsidR="00B327E9" w:rsidRPr="00BF28DA">
        <w:t>&lt;</w:t>
      </w:r>
      <w:proofErr w:type="gramEnd"/>
      <w:r w:rsidR="00B327E9" w:rsidRPr="00BF28DA">
        <w:t>ESMA_COMMENT_</w:t>
      </w:r>
      <w:r w:rsidR="00455107" w:rsidRPr="00455107">
        <w:t xml:space="preserve"> BEEX</w:t>
      </w:r>
      <w:r w:rsidR="000A58BE">
        <w:t>_</w:t>
      </w:r>
      <w:r w:rsidR="00B327E9" w:rsidRPr="00BF28DA">
        <w:t>1&gt;</w:t>
      </w:r>
    </w:p>
    <w:p w14:paraId="4865C74B" w14:textId="77777777" w:rsidR="002E7113" w:rsidRDefault="002E7113" w:rsidP="002E7113">
      <w:pPr>
        <w:pStyle w:val="Ttulo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6CEAC156" w14:textId="77777777" w:rsidR="003565E2" w:rsidRDefault="00B37A07" w:rsidP="004258CF">
      <w:pPr>
        <w:spacing w:after="160" w:line="256" w:lineRule="auto"/>
        <w:rPr>
          <w:rFonts w:ascii="Calibri" w:eastAsia="Calibri" w:hAnsi="Calibri"/>
          <w:sz w:val="22"/>
          <w:szCs w:val="22"/>
          <w:lang w:val="en-US" w:eastAsia="en-US"/>
        </w:rPr>
      </w:pPr>
      <w:permStart w:id="222133246" w:edGrp="everyone"/>
      <w:r>
        <w:rPr>
          <w:rFonts w:ascii="Calibri" w:eastAsia="Calibri" w:hAnsi="Calibri"/>
          <w:sz w:val="22"/>
          <w:szCs w:val="22"/>
          <w:lang w:eastAsia="en-US"/>
        </w:rPr>
        <w:t xml:space="preserve">BME agrees with the rationale that the RTS 27 reporting should aim at </w:t>
      </w:r>
      <w:r w:rsidRPr="00B37A07">
        <w:rPr>
          <w:rFonts w:ascii="Calibri" w:eastAsia="Calibri" w:hAnsi="Calibri"/>
          <w:sz w:val="22"/>
          <w:szCs w:val="22"/>
          <w:lang w:val="en-US" w:eastAsia="en-US"/>
        </w:rPr>
        <w:t xml:space="preserve">providing firms and the public with </w:t>
      </w:r>
      <w:r w:rsidRPr="00826F65">
        <w:rPr>
          <w:rFonts w:ascii="Calibri" w:eastAsia="Calibri" w:hAnsi="Calibri"/>
          <w:sz w:val="22"/>
          <w:szCs w:val="22"/>
          <w:lang w:val="en-US" w:eastAsia="en-US"/>
        </w:rPr>
        <w:t>relevant data related to the execution quality achieved</w:t>
      </w:r>
      <w:r w:rsidRPr="00B37A07">
        <w:rPr>
          <w:rFonts w:ascii="Calibri" w:eastAsia="Calibri" w:hAnsi="Calibri"/>
          <w:sz w:val="22"/>
          <w:szCs w:val="22"/>
          <w:lang w:val="en-US" w:eastAsia="en-US"/>
        </w:rPr>
        <w:t xml:space="preserve"> on venues</w:t>
      </w:r>
      <w:r>
        <w:rPr>
          <w:rFonts w:ascii="Calibri" w:eastAsia="Calibri" w:hAnsi="Calibri"/>
          <w:sz w:val="22"/>
          <w:szCs w:val="22"/>
          <w:lang w:val="en-US" w:eastAsia="en-US"/>
        </w:rPr>
        <w:t xml:space="preserve"> and</w:t>
      </w:r>
      <w:r w:rsidRPr="00B37A07">
        <w:rPr>
          <w:rFonts w:ascii="Calibri" w:eastAsia="Calibri" w:hAnsi="Calibri"/>
          <w:sz w:val="22"/>
          <w:szCs w:val="22"/>
          <w:lang w:val="en-US" w:eastAsia="en-US"/>
        </w:rPr>
        <w:t xml:space="preserve"> to help them </w:t>
      </w:r>
      <w:r w:rsidRPr="00826F65">
        <w:rPr>
          <w:rFonts w:ascii="Calibri" w:eastAsia="Calibri" w:hAnsi="Calibri"/>
          <w:sz w:val="22"/>
          <w:szCs w:val="22"/>
          <w:lang w:val="en-US" w:eastAsia="en-US"/>
        </w:rPr>
        <w:t>determine the best way to execute</w:t>
      </w:r>
      <w:r w:rsidRPr="00B37A07">
        <w:rPr>
          <w:rFonts w:ascii="Calibri" w:eastAsia="Calibri" w:hAnsi="Calibri"/>
          <w:b/>
          <w:bCs/>
          <w:sz w:val="22"/>
          <w:szCs w:val="22"/>
          <w:lang w:val="en-US" w:eastAsia="en-US"/>
        </w:rPr>
        <w:t xml:space="preserve"> </w:t>
      </w:r>
      <w:r w:rsidRPr="00B37A07">
        <w:rPr>
          <w:rFonts w:ascii="Calibri" w:eastAsia="Calibri" w:hAnsi="Calibri"/>
          <w:sz w:val="22"/>
          <w:szCs w:val="22"/>
          <w:lang w:val="en-US" w:eastAsia="en-US"/>
        </w:rPr>
        <w:t>client orders</w:t>
      </w:r>
      <w:r>
        <w:rPr>
          <w:rFonts w:ascii="Calibri" w:eastAsia="Calibri" w:hAnsi="Calibri"/>
          <w:sz w:val="22"/>
          <w:szCs w:val="22"/>
          <w:lang w:val="en-US" w:eastAsia="en-US"/>
        </w:rPr>
        <w:t>.</w:t>
      </w:r>
    </w:p>
    <w:p w14:paraId="03C60AC5" w14:textId="77777777" w:rsidR="003565E2" w:rsidRDefault="00B04F53" w:rsidP="004258CF">
      <w:pPr>
        <w:spacing w:after="160" w:line="256" w:lineRule="auto"/>
        <w:rPr>
          <w:rFonts w:ascii="Calibri" w:eastAsia="Calibri" w:hAnsi="Calibri"/>
          <w:sz w:val="22"/>
          <w:szCs w:val="22"/>
          <w:lang w:val="en-US" w:eastAsia="en-US"/>
        </w:rPr>
      </w:pPr>
      <w:r>
        <w:rPr>
          <w:rFonts w:ascii="Calibri" w:eastAsia="Calibri" w:hAnsi="Calibri"/>
          <w:sz w:val="22"/>
          <w:szCs w:val="22"/>
          <w:lang w:val="en-US" w:eastAsia="en-US"/>
        </w:rPr>
        <w:t>BME also agrees that, if this change is adopted by RTS 27, the definition of “execution venues”, only for the purpose of the new RTS 27, should be modified to exclude “market makers”.</w:t>
      </w:r>
      <w:r w:rsidR="004C7DBF">
        <w:rPr>
          <w:rFonts w:ascii="Calibri" w:eastAsia="Calibri" w:hAnsi="Calibri"/>
          <w:sz w:val="22"/>
          <w:szCs w:val="22"/>
          <w:lang w:val="en-US" w:eastAsia="en-US"/>
        </w:rPr>
        <w:t xml:space="preserve"> </w:t>
      </w:r>
    </w:p>
    <w:permEnd w:id="222133246"/>
    <w:p w14:paraId="6324657C" w14:textId="78161F92"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2EEF8382" w14:textId="3828F004" w:rsidR="004F382B" w:rsidRDefault="004F382B" w:rsidP="00DC7841">
      <w:pPr>
        <w:spacing w:after="160" w:line="256" w:lineRule="auto"/>
        <w:jc w:val="both"/>
        <w:rPr>
          <w:rFonts w:ascii="Calibri" w:eastAsia="Calibri" w:hAnsi="Calibri"/>
          <w:sz w:val="22"/>
          <w:szCs w:val="22"/>
          <w:lang w:eastAsia="en-US"/>
        </w:rPr>
      </w:pPr>
      <w:permStart w:id="147554275" w:edGrp="everyone"/>
      <w:r>
        <w:rPr>
          <w:rFonts w:ascii="Calibri" w:eastAsia="Calibri" w:hAnsi="Calibri"/>
          <w:sz w:val="22"/>
          <w:szCs w:val="22"/>
          <w:lang w:eastAsia="en-US"/>
        </w:rPr>
        <w:t xml:space="preserve">BME agrees that the current level of data, together with the heterogeneity in the data formats and accessibility of the files makes impossible a user-friendly comparison across different venues. </w:t>
      </w:r>
      <w:r w:rsidR="00B04F53">
        <w:rPr>
          <w:rFonts w:ascii="Calibri" w:eastAsia="Calibri" w:hAnsi="Calibri"/>
          <w:sz w:val="22"/>
          <w:szCs w:val="22"/>
          <w:lang w:eastAsia="en-US"/>
        </w:rPr>
        <w:t>Thus, BME also agrees that specific measures should be adopted to obtain a meaningful set of metrics.</w:t>
      </w:r>
    </w:p>
    <w:p w14:paraId="158CAE03" w14:textId="36603221" w:rsidR="00B04F53" w:rsidRDefault="00B04F53" w:rsidP="00DC7841">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 xml:space="preserve">However, BME does not agree with the proposed level of granularity by types of financial instruments instead of individual financial instruments and the additional category concerning the liquidity profile. </w:t>
      </w:r>
    </w:p>
    <w:p w14:paraId="22055899" w14:textId="69BA730E" w:rsidR="00B04F53" w:rsidRDefault="00B04F53" w:rsidP="00DC7841">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In the first place, the technical developments have already been established to calculate the data per financial instrument, therefore this new categorisation would involve</w:t>
      </w:r>
      <w:r w:rsidR="00826F65">
        <w:rPr>
          <w:rFonts w:ascii="Calibri" w:eastAsia="Calibri" w:hAnsi="Calibri"/>
          <w:sz w:val="22"/>
          <w:szCs w:val="22"/>
          <w:lang w:eastAsia="en-US"/>
        </w:rPr>
        <w:t xml:space="preserve"> further</w:t>
      </w:r>
      <w:r>
        <w:rPr>
          <w:rFonts w:ascii="Calibri" w:eastAsia="Calibri" w:hAnsi="Calibri"/>
          <w:sz w:val="22"/>
          <w:szCs w:val="22"/>
          <w:lang w:eastAsia="en-US"/>
        </w:rPr>
        <w:t xml:space="preserve"> technical developments. </w:t>
      </w:r>
    </w:p>
    <w:p w14:paraId="413F3C7F" w14:textId="5508BFA9" w:rsidR="0013702E" w:rsidRDefault="00B04F53" w:rsidP="00DC7841">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Secondly</w:t>
      </w:r>
      <w:r w:rsidR="000F4C8E">
        <w:rPr>
          <w:rFonts w:ascii="Calibri" w:eastAsia="Calibri" w:hAnsi="Calibri"/>
          <w:sz w:val="22"/>
          <w:szCs w:val="22"/>
          <w:lang w:eastAsia="en-US"/>
        </w:rPr>
        <w:t xml:space="preserve"> and most importantly, aggregating data metrics by type of financial instrument means losing relevant information about individual instruments and results in new metrics which would not be representative of the venue’s execution quality. Aggregating blue chips’ data with small market capitalization stocks, although all considered to have a liquid market, results in metrics which are not</w:t>
      </w:r>
      <w:r w:rsidR="00826F65">
        <w:rPr>
          <w:rFonts w:ascii="Calibri" w:eastAsia="Calibri" w:hAnsi="Calibri"/>
          <w:sz w:val="22"/>
          <w:szCs w:val="22"/>
          <w:lang w:eastAsia="en-US"/>
        </w:rPr>
        <w:t xml:space="preserve"> as</w:t>
      </w:r>
      <w:r w:rsidR="000F4C8E">
        <w:rPr>
          <w:rFonts w:ascii="Calibri" w:eastAsia="Calibri" w:hAnsi="Calibri"/>
          <w:sz w:val="22"/>
          <w:szCs w:val="22"/>
          <w:lang w:eastAsia="en-US"/>
        </w:rPr>
        <w:t xml:space="preserve"> relevant, neither in absolute terms nor in relative terms if trying to compare across venues.</w:t>
      </w:r>
      <w:r w:rsidR="0013702E">
        <w:rPr>
          <w:rFonts w:ascii="Calibri" w:eastAsia="Calibri" w:hAnsi="Calibri"/>
          <w:sz w:val="22"/>
          <w:szCs w:val="22"/>
          <w:lang w:eastAsia="en-US"/>
        </w:rPr>
        <w:t xml:space="preserve"> </w:t>
      </w:r>
    </w:p>
    <w:p w14:paraId="4C861EF3" w14:textId="77777777" w:rsidR="00FD5BB3" w:rsidRDefault="0013702E" w:rsidP="00DC7841">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Additionally, the range of instruments with</w:t>
      </w:r>
      <w:r w:rsidR="00FD5BB3">
        <w:rPr>
          <w:rFonts w:ascii="Calibri" w:eastAsia="Calibri" w:hAnsi="Calibri"/>
          <w:sz w:val="22"/>
          <w:szCs w:val="22"/>
          <w:lang w:eastAsia="en-US"/>
        </w:rPr>
        <w:t xml:space="preserve">in a particular type of instrument and </w:t>
      </w:r>
      <w:r>
        <w:rPr>
          <w:rFonts w:ascii="Calibri" w:eastAsia="Calibri" w:hAnsi="Calibri"/>
          <w:sz w:val="22"/>
          <w:szCs w:val="22"/>
          <w:lang w:eastAsia="en-US"/>
        </w:rPr>
        <w:t xml:space="preserve">liquidity profile (for instance, shares considered to have a liquid market) which are listed on a </w:t>
      </w:r>
      <w:r w:rsidR="00FD5BB3">
        <w:rPr>
          <w:rFonts w:ascii="Calibri" w:eastAsia="Calibri" w:hAnsi="Calibri"/>
          <w:sz w:val="22"/>
          <w:szCs w:val="22"/>
          <w:lang w:eastAsia="en-US"/>
        </w:rPr>
        <w:t>specific</w:t>
      </w:r>
      <w:r>
        <w:rPr>
          <w:rFonts w:ascii="Calibri" w:eastAsia="Calibri" w:hAnsi="Calibri"/>
          <w:sz w:val="22"/>
          <w:szCs w:val="22"/>
          <w:lang w:eastAsia="en-US"/>
        </w:rPr>
        <w:t xml:space="preserve"> execution venue may </w:t>
      </w:r>
      <w:r w:rsidR="00FD5BB3">
        <w:rPr>
          <w:rFonts w:ascii="Calibri" w:eastAsia="Calibri" w:hAnsi="Calibri"/>
          <w:sz w:val="22"/>
          <w:szCs w:val="22"/>
          <w:lang w:eastAsia="en-US"/>
        </w:rPr>
        <w:t>interact with</w:t>
      </w:r>
      <w:r>
        <w:rPr>
          <w:rFonts w:ascii="Calibri" w:eastAsia="Calibri" w:hAnsi="Calibri"/>
          <w:sz w:val="22"/>
          <w:szCs w:val="22"/>
          <w:lang w:eastAsia="en-US"/>
        </w:rPr>
        <w:t xml:space="preserve"> the results of the metric, as this factor is not being accounted for. </w:t>
      </w:r>
    </w:p>
    <w:p w14:paraId="0185A648" w14:textId="245CA51C" w:rsidR="00D370F0" w:rsidRDefault="00D370F0" w:rsidP="00DC7841">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 xml:space="preserve">BME suggests </w:t>
      </w:r>
      <w:proofErr w:type="gramStart"/>
      <w:r>
        <w:rPr>
          <w:rFonts w:ascii="Calibri" w:eastAsia="Calibri" w:hAnsi="Calibri"/>
          <w:sz w:val="22"/>
          <w:szCs w:val="22"/>
          <w:lang w:eastAsia="en-US"/>
        </w:rPr>
        <w:t>to maintain</w:t>
      </w:r>
      <w:proofErr w:type="gramEnd"/>
      <w:r>
        <w:rPr>
          <w:rFonts w:ascii="Calibri" w:eastAsia="Calibri" w:hAnsi="Calibri"/>
          <w:sz w:val="22"/>
          <w:szCs w:val="22"/>
          <w:lang w:eastAsia="en-US"/>
        </w:rPr>
        <w:t xml:space="preserve"> the level of granularity </w:t>
      </w:r>
      <w:r w:rsidRPr="00FD5BB3">
        <w:rPr>
          <w:rFonts w:ascii="Calibri" w:eastAsia="Calibri" w:hAnsi="Calibri"/>
          <w:b/>
          <w:bCs/>
          <w:sz w:val="22"/>
          <w:szCs w:val="22"/>
          <w:lang w:eastAsia="en-US"/>
        </w:rPr>
        <w:t>by individual financial instrument</w:t>
      </w:r>
      <w:r>
        <w:rPr>
          <w:rFonts w:ascii="Calibri" w:eastAsia="Calibri" w:hAnsi="Calibri"/>
          <w:sz w:val="22"/>
          <w:szCs w:val="22"/>
          <w:lang w:eastAsia="en-US"/>
        </w:rPr>
        <w:t>, although examining the quality metrics reported under RTS 27.</w:t>
      </w:r>
    </w:p>
    <w:p w14:paraId="4AD3A003" w14:textId="40B7252A" w:rsidR="00AA46CE" w:rsidRPr="000F4C8E" w:rsidRDefault="00AA46CE" w:rsidP="00DC7841">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 xml:space="preserve">BME </w:t>
      </w:r>
      <w:r w:rsidR="00FD5BB3">
        <w:rPr>
          <w:rFonts w:ascii="Calibri" w:eastAsia="Calibri" w:hAnsi="Calibri"/>
          <w:sz w:val="22"/>
          <w:szCs w:val="22"/>
          <w:lang w:eastAsia="en-US"/>
        </w:rPr>
        <w:t xml:space="preserve">also </w:t>
      </w:r>
      <w:r>
        <w:rPr>
          <w:rFonts w:ascii="Calibri" w:eastAsia="Calibri" w:hAnsi="Calibri"/>
          <w:sz w:val="22"/>
          <w:szCs w:val="22"/>
          <w:lang w:eastAsia="en-US"/>
        </w:rPr>
        <w:t xml:space="preserve">suggests </w:t>
      </w:r>
      <w:proofErr w:type="gramStart"/>
      <w:r>
        <w:rPr>
          <w:rFonts w:ascii="Calibri" w:eastAsia="Calibri" w:hAnsi="Calibri"/>
          <w:sz w:val="22"/>
          <w:szCs w:val="22"/>
          <w:lang w:eastAsia="en-US"/>
        </w:rPr>
        <w:t>to aggregate</w:t>
      </w:r>
      <w:proofErr w:type="gramEnd"/>
      <w:r>
        <w:rPr>
          <w:rFonts w:ascii="Calibri" w:eastAsia="Calibri" w:hAnsi="Calibri"/>
          <w:sz w:val="22"/>
          <w:szCs w:val="22"/>
          <w:lang w:eastAsia="en-US"/>
        </w:rPr>
        <w:t xml:space="preserve"> </w:t>
      </w:r>
      <w:r w:rsidRPr="00FD5BB3">
        <w:rPr>
          <w:rFonts w:ascii="Calibri" w:eastAsia="Calibri" w:hAnsi="Calibri"/>
          <w:b/>
          <w:bCs/>
          <w:sz w:val="22"/>
          <w:szCs w:val="22"/>
          <w:lang w:eastAsia="en-US"/>
        </w:rPr>
        <w:t>per time period</w:t>
      </w:r>
      <w:r>
        <w:rPr>
          <w:rFonts w:ascii="Calibri" w:eastAsia="Calibri" w:hAnsi="Calibri"/>
          <w:sz w:val="22"/>
          <w:szCs w:val="22"/>
          <w:lang w:eastAsia="en-US"/>
        </w:rPr>
        <w:t>, for instance, with monthly instead of daily metrics to reduce the amount of data in the reports.</w:t>
      </w:r>
    </w:p>
    <w:permEnd w:id="147554275"/>
    <w:p w14:paraId="04853A9B" w14:textId="46A04210"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12DC40F6" w14:textId="25C68BE6" w:rsidR="00DB1148" w:rsidRDefault="00DB1148" w:rsidP="004258CF">
      <w:pPr>
        <w:spacing w:after="160" w:line="256" w:lineRule="auto"/>
        <w:rPr>
          <w:rFonts w:ascii="Calibri" w:eastAsia="Calibri" w:hAnsi="Calibri"/>
          <w:sz w:val="22"/>
          <w:szCs w:val="22"/>
          <w:lang w:eastAsia="en-US"/>
        </w:rPr>
      </w:pPr>
      <w:permStart w:id="2033745150" w:edGrp="everyone"/>
      <w:r>
        <w:rPr>
          <w:rFonts w:ascii="Calibri" w:eastAsia="Calibri" w:hAnsi="Calibri"/>
          <w:sz w:val="22"/>
          <w:szCs w:val="22"/>
          <w:lang w:eastAsia="en-US"/>
        </w:rPr>
        <w:t xml:space="preserve">BME agrees that </w:t>
      </w:r>
      <w:r w:rsidR="00171055">
        <w:rPr>
          <w:rFonts w:ascii="Calibri" w:eastAsia="Calibri" w:hAnsi="Calibri"/>
          <w:sz w:val="22"/>
          <w:szCs w:val="22"/>
          <w:lang w:eastAsia="en-US"/>
        </w:rPr>
        <w:t xml:space="preserve">it is a good idea to elaborate a set of specific indicators to disclose execution quality achieved by venues. BME also agrees that the current metrics should be examined, as </w:t>
      </w:r>
      <w:r w:rsidR="00F84526">
        <w:rPr>
          <w:rFonts w:ascii="Calibri" w:eastAsia="Calibri" w:hAnsi="Calibri"/>
          <w:sz w:val="22"/>
          <w:szCs w:val="22"/>
          <w:lang w:eastAsia="en-US"/>
        </w:rPr>
        <w:t>some</w:t>
      </w:r>
      <w:r w:rsidR="00171055">
        <w:rPr>
          <w:rFonts w:ascii="Calibri" w:eastAsia="Calibri" w:hAnsi="Calibri"/>
          <w:sz w:val="22"/>
          <w:szCs w:val="22"/>
          <w:lang w:eastAsia="en-US"/>
        </w:rPr>
        <w:t xml:space="preserve"> of them are not </w:t>
      </w:r>
      <w:r w:rsidR="00F84526">
        <w:rPr>
          <w:rFonts w:ascii="Calibri" w:eastAsia="Calibri" w:hAnsi="Calibri"/>
          <w:sz w:val="22"/>
          <w:szCs w:val="22"/>
          <w:lang w:eastAsia="en-US"/>
        </w:rPr>
        <w:t>as</w:t>
      </w:r>
      <w:r w:rsidR="00171055">
        <w:rPr>
          <w:rFonts w:ascii="Calibri" w:eastAsia="Calibri" w:hAnsi="Calibri"/>
          <w:sz w:val="22"/>
          <w:szCs w:val="22"/>
          <w:lang w:eastAsia="en-US"/>
        </w:rPr>
        <w:t xml:space="preserve"> relevant </w:t>
      </w:r>
      <w:proofErr w:type="gramStart"/>
      <w:r w:rsidR="00171055">
        <w:rPr>
          <w:rFonts w:ascii="Calibri" w:eastAsia="Calibri" w:hAnsi="Calibri"/>
          <w:sz w:val="22"/>
          <w:szCs w:val="22"/>
          <w:lang w:eastAsia="en-US"/>
        </w:rPr>
        <w:t>in order to</w:t>
      </w:r>
      <w:proofErr w:type="gramEnd"/>
      <w:r w:rsidR="00171055">
        <w:rPr>
          <w:rFonts w:ascii="Calibri" w:eastAsia="Calibri" w:hAnsi="Calibri"/>
          <w:sz w:val="22"/>
          <w:szCs w:val="22"/>
          <w:lang w:eastAsia="en-US"/>
        </w:rPr>
        <w:t xml:space="preserve"> sense execution quality. </w:t>
      </w:r>
    </w:p>
    <w:p w14:paraId="22316777" w14:textId="433523D1" w:rsidR="00B87D9B" w:rsidRPr="0053783C" w:rsidRDefault="00B87D9B" w:rsidP="004258CF">
      <w:pPr>
        <w:spacing w:after="160" w:line="256" w:lineRule="auto"/>
        <w:rPr>
          <w:rFonts w:ascii="Calibri" w:eastAsia="Calibri" w:hAnsi="Calibri"/>
          <w:sz w:val="22"/>
          <w:szCs w:val="22"/>
          <w:lang w:eastAsia="en-US"/>
        </w:rPr>
      </w:pPr>
      <w:r>
        <w:rPr>
          <w:rFonts w:ascii="Calibri" w:eastAsia="Calibri" w:hAnsi="Calibri"/>
          <w:sz w:val="22"/>
          <w:szCs w:val="22"/>
          <w:lang w:eastAsia="en-US"/>
        </w:rPr>
        <w:t xml:space="preserve">As a general input to the proposed list of metrics, BME suggests </w:t>
      </w:r>
      <w:proofErr w:type="gramStart"/>
      <w:r>
        <w:rPr>
          <w:rFonts w:ascii="Calibri" w:eastAsia="Calibri" w:hAnsi="Calibri"/>
          <w:sz w:val="22"/>
          <w:szCs w:val="22"/>
          <w:lang w:eastAsia="en-US"/>
        </w:rPr>
        <w:t>to maintain</w:t>
      </w:r>
      <w:proofErr w:type="gramEnd"/>
      <w:r>
        <w:rPr>
          <w:rFonts w:ascii="Calibri" w:eastAsia="Calibri" w:hAnsi="Calibri"/>
          <w:sz w:val="22"/>
          <w:szCs w:val="22"/>
          <w:lang w:eastAsia="en-US"/>
        </w:rPr>
        <w:t xml:space="preserve"> the current level of granularity by </w:t>
      </w:r>
      <w:r w:rsidRPr="00B87D9B">
        <w:rPr>
          <w:rFonts w:ascii="Calibri" w:eastAsia="Calibri" w:hAnsi="Calibri"/>
          <w:b/>
          <w:bCs/>
          <w:sz w:val="22"/>
          <w:szCs w:val="22"/>
          <w:lang w:eastAsia="en-US"/>
        </w:rPr>
        <w:t>individual financial instrument</w:t>
      </w:r>
      <w:r>
        <w:rPr>
          <w:rFonts w:ascii="Calibri" w:eastAsia="Calibri" w:hAnsi="Calibri"/>
          <w:sz w:val="22"/>
          <w:szCs w:val="22"/>
          <w:lang w:eastAsia="en-US"/>
        </w:rPr>
        <w:t xml:space="preserve">, whilst aggregating by time period on a </w:t>
      </w:r>
      <w:r w:rsidRPr="00B87D9B">
        <w:rPr>
          <w:rFonts w:ascii="Calibri" w:eastAsia="Calibri" w:hAnsi="Calibri"/>
          <w:b/>
          <w:bCs/>
          <w:sz w:val="22"/>
          <w:szCs w:val="22"/>
          <w:lang w:eastAsia="en-US"/>
        </w:rPr>
        <w:t>monthly basis</w:t>
      </w:r>
      <w:r>
        <w:rPr>
          <w:rFonts w:ascii="Calibri" w:eastAsia="Calibri" w:hAnsi="Calibri"/>
          <w:sz w:val="22"/>
          <w:szCs w:val="22"/>
          <w:lang w:eastAsia="en-US"/>
        </w:rPr>
        <w:t xml:space="preserve"> (instead of the current </w:t>
      </w:r>
      <w:r w:rsidRPr="0053783C">
        <w:rPr>
          <w:rFonts w:ascii="Calibri" w:eastAsia="Calibri" w:hAnsi="Calibri"/>
          <w:sz w:val="22"/>
          <w:szCs w:val="22"/>
          <w:lang w:eastAsia="en-US"/>
        </w:rPr>
        <w:t>daily periodicity).</w:t>
      </w:r>
    </w:p>
    <w:p w14:paraId="430D5261" w14:textId="4CF1B0D9" w:rsidR="0053783C" w:rsidRPr="0053783C" w:rsidRDefault="00B87D9B" w:rsidP="004258CF">
      <w:pPr>
        <w:spacing w:after="160" w:line="256" w:lineRule="auto"/>
        <w:rPr>
          <w:rFonts w:ascii="Calibri" w:eastAsia="Calibri" w:hAnsi="Calibri"/>
          <w:sz w:val="22"/>
          <w:szCs w:val="22"/>
          <w:lang w:val="en-US" w:eastAsia="en-US"/>
        </w:rPr>
      </w:pPr>
      <w:r w:rsidRPr="0053783C">
        <w:rPr>
          <w:rFonts w:ascii="Calibri" w:eastAsia="Calibri" w:hAnsi="Calibri"/>
          <w:sz w:val="22"/>
          <w:szCs w:val="22"/>
          <w:lang w:eastAsia="en-US"/>
        </w:rPr>
        <w:t xml:space="preserve">Furthermore, </w:t>
      </w:r>
      <w:r w:rsidRPr="0053783C">
        <w:rPr>
          <w:rFonts w:ascii="Calibri" w:eastAsia="Calibri" w:hAnsi="Calibri"/>
          <w:sz w:val="22"/>
          <w:szCs w:val="22"/>
          <w:lang w:val="en-US" w:eastAsia="en-US"/>
        </w:rPr>
        <w:t>although the median approach may be useful in some cases to eliminate outlier values, referencing specific metrics to the median monetary transaction may entail several drawbacks.</w:t>
      </w:r>
      <w:r w:rsidR="0053783C" w:rsidRPr="0053783C">
        <w:rPr>
          <w:rFonts w:ascii="Calibri" w:eastAsia="Calibri" w:hAnsi="Calibri"/>
          <w:sz w:val="22"/>
          <w:szCs w:val="22"/>
          <w:lang w:val="en-US" w:eastAsia="en-US"/>
        </w:rPr>
        <w:t xml:space="preserve"> Firstly, its comprehensiveness may be questionable, as providing a median or average quality metric seems more intuitive than using the metric of a hypothetical median transaction. In addition, these figures may not be easy to technically calculate.</w:t>
      </w:r>
    </w:p>
    <w:p w14:paraId="2F53AFB0" w14:textId="6F1A5ACF" w:rsidR="00B87D9B" w:rsidRPr="0053783C" w:rsidRDefault="00B87D9B" w:rsidP="004258CF">
      <w:pPr>
        <w:spacing w:after="160" w:line="256" w:lineRule="auto"/>
        <w:rPr>
          <w:rFonts w:ascii="Calibri" w:eastAsia="Calibri" w:hAnsi="Calibri"/>
          <w:sz w:val="22"/>
          <w:szCs w:val="22"/>
          <w:lang w:val="en-US" w:eastAsia="en-US"/>
        </w:rPr>
      </w:pPr>
      <w:r w:rsidRPr="0053783C">
        <w:rPr>
          <w:rFonts w:ascii="Calibri" w:eastAsia="Calibri" w:hAnsi="Calibri"/>
          <w:sz w:val="22"/>
          <w:szCs w:val="22"/>
          <w:lang w:val="en-US" w:eastAsia="en-US"/>
        </w:rPr>
        <w:t>In the</w:t>
      </w:r>
      <w:r w:rsidR="0053783C" w:rsidRPr="0053783C">
        <w:rPr>
          <w:rFonts w:ascii="Calibri" w:eastAsia="Calibri" w:hAnsi="Calibri"/>
          <w:sz w:val="22"/>
          <w:szCs w:val="22"/>
          <w:lang w:val="en-US" w:eastAsia="en-US"/>
        </w:rPr>
        <w:t xml:space="preserve">se cases, BME suggests </w:t>
      </w:r>
      <w:proofErr w:type="gramStart"/>
      <w:r w:rsidR="0053783C" w:rsidRPr="0053783C">
        <w:rPr>
          <w:rFonts w:ascii="Calibri" w:eastAsia="Calibri" w:hAnsi="Calibri"/>
          <w:sz w:val="22"/>
          <w:szCs w:val="22"/>
          <w:lang w:val="en-US" w:eastAsia="en-US"/>
        </w:rPr>
        <w:t>to use</w:t>
      </w:r>
      <w:proofErr w:type="gramEnd"/>
      <w:r w:rsidR="0053783C" w:rsidRPr="0053783C">
        <w:rPr>
          <w:rFonts w:ascii="Calibri" w:eastAsia="Calibri" w:hAnsi="Calibri"/>
          <w:sz w:val="22"/>
          <w:szCs w:val="22"/>
          <w:lang w:val="en-US" w:eastAsia="en-US"/>
        </w:rPr>
        <w:t xml:space="preserve"> the </w:t>
      </w:r>
      <w:r w:rsidR="0053783C" w:rsidRPr="00F84526">
        <w:rPr>
          <w:rFonts w:ascii="Calibri" w:eastAsia="Calibri" w:hAnsi="Calibri"/>
          <w:b/>
          <w:bCs/>
          <w:sz w:val="22"/>
          <w:szCs w:val="22"/>
          <w:lang w:val="en-US" w:eastAsia="en-US"/>
        </w:rPr>
        <w:t>average</w:t>
      </w:r>
      <w:r w:rsidR="0053783C" w:rsidRPr="0053783C">
        <w:rPr>
          <w:rFonts w:ascii="Calibri" w:eastAsia="Calibri" w:hAnsi="Calibri"/>
          <w:sz w:val="22"/>
          <w:szCs w:val="22"/>
          <w:lang w:val="en-US" w:eastAsia="en-US"/>
        </w:rPr>
        <w:t xml:space="preserve"> of the quality metric per instrument and month.</w:t>
      </w:r>
    </w:p>
    <w:p w14:paraId="6B9B6D13" w14:textId="4C6468F0" w:rsidR="005134C0" w:rsidRDefault="005134C0" w:rsidP="004258CF">
      <w:pPr>
        <w:spacing w:after="160" w:line="256" w:lineRule="auto"/>
        <w:rPr>
          <w:rFonts w:ascii="Calibri" w:eastAsia="Calibri" w:hAnsi="Calibri"/>
          <w:sz w:val="22"/>
          <w:szCs w:val="22"/>
          <w:lang w:eastAsia="en-US"/>
        </w:rPr>
      </w:pPr>
      <w:r>
        <w:rPr>
          <w:rFonts w:ascii="Calibri" w:eastAsia="Calibri" w:hAnsi="Calibri"/>
          <w:sz w:val="22"/>
          <w:szCs w:val="22"/>
          <w:lang w:eastAsia="en-US"/>
        </w:rPr>
        <w:t>Based on the Consultation Paper’s proposed list of metrics and the existing RTS 27 reporting requirements</w:t>
      </w:r>
      <w:r w:rsidR="00FE16FB">
        <w:rPr>
          <w:rFonts w:ascii="Calibri" w:eastAsia="Calibri" w:hAnsi="Calibri"/>
          <w:sz w:val="22"/>
          <w:szCs w:val="22"/>
          <w:lang w:eastAsia="en-US"/>
        </w:rPr>
        <w:t>,</w:t>
      </w:r>
      <w:r>
        <w:rPr>
          <w:rFonts w:ascii="Calibri" w:eastAsia="Calibri" w:hAnsi="Calibri"/>
          <w:sz w:val="22"/>
          <w:szCs w:val="22"/>
          <w:lang w:eastAsia="en-US"/>
        </w:rPr>
        <w:t xml:space="preserve"> BME has gathered a list of suggested indicators</w:t>
      </w:r>
      <w:r w:rsidR="00FE16FB">
        <w:rPr>
          <w:rFonts w:ascii="Calibri" w:eastAsia="Calibri" w:hAnsi="Calibri"/>
          <w:sz w:val="22"/>
          <w:szCs w:val="22"/>
          <w:lang w:eastAsia="en-US"/>
        </w:rPr>
        <w:t xml:space="preserve">, following the </w:t>
      </w:r>
      <w:r>
        <w:rPr>
          <w:rFonts w:ascii="Calibri" w:eastAsia="Calibri" w:hAnsi="Calibri"/>
          <w:sz w:val="22"/>
          <w:szCs w:val="22"/>
          <w:lang w:eastAsia="en-US"/>
        </w:rPr>
        <w:t xml:space="preserve">philosophy of simplification, </w:t>
      </w:r>
      <w:proofErr w:type="gramStart"/>
      <w:r>
        <w:rPr>
          <w:rFonts w:ascii="Calibri" w:eastAsia="Calibri" w:hAnsi="Calibri"/>
          <w:sz w:val="22"/>
          <w:szCs w:val="22"/>
          <w:lang w:eastAsia="en-US"/>
        </w:rPr>
        <w:t>comprehensiveness</w:t>
      </w:r>
      <w:proofErr w:type="gramEnd"/>
      <w:r>
        <w:rPr>
          <w:rFonts w:ascii="Calibri" w:eastAsia="Calibri" w:hAnsi="Calibri"/>
          <w:sz w:val="22"/>
          <w:szCs w:val="22"/>
          <w:lang w:eastAsia="en-US"/>
        </w:rPr>
        <w:t xml:space="preserve"> and usefulness of the data</w:t>
      </w:r>
      <w:r w:rsidR="00FE16FB">
        <w:rPr>
          <w:rFonts w:ascii="Calibri" w:eastAsia="Calibri" w:hAnsi="Calibri"/>
          <w:sz w:val="22"/>
          <w:szCs w:val="22"/>
          <w:lang w:eastAsia="en-US"/>
        </w:rPr>
        <w:t xml:space="preserve">. </w:t>
      </w:r>
    </w:p>
    <w:p w14:paraId="546F952B" w14:textId="295BEB9D" w:rsidR="0053783C" w:rsidRDefault="00155432" w:rsidP="004258CF">
      <w:pPr>
        <w:spacing w:after="160" w:line="256" w:lineRule="auto"/>
        <w:rPr>
          <w:rFonts w:ascii="Calibri" w:eastAsia="Calibri" w:hAnsi="Calibri"/>
          <w:sz w:val="22"/>
          <w:szCs w:val="22"/>
          <w:lang w:eastAsia="en-US"/>
        </w:rPr>
      </w:pPr>
      <w:r w:rsidRPr="00155432">
        <w:rPr>
          <w:rFonts w:ascii="Calibri" w:eastAsia="Calibri" w:hAnsi="Calibri"/>
          <w:b/>
          <w:bCs/>
          <w:sz w:val="22"/>
          <w:szCs w:val="22"/>
          <w:lang w:eastAsia="en-US"/>
        </w:rPr>
        <w:t xml:space="preserve">1. </w:t>
      </w:r>
      <w:r w:rsidRPr="00155432">
        <w:rPr>
          <w:rFonts w:ascii="Calibri" w:eastAsia="Calibri" w:hAnsi="Calibri"/>
          <w:b/>
          <w:bCs/>
          <w:sz w:val="22"/>
          <w:szCs w:val="22"/>
          <w:lang w:val="en-US" w:eastAsia="en-US"/>
        </w:rPr>
        <w:t xml:space="preserve">Total nominal or monetary value of all transactions per </w:t>
      </w:r>
      <w:r w:rsidRPr="00155432">
        <w:rPr>
          <w:rFonts w:ascii="Calibri" w:eastAsia="Calibri" w:hAnsi="Calibri"/>
          <w:b/>
          <w:bCs/>
          <w:i/>
          <w:iCs/>
          <w:sz w:val="22"/>
          <w:szCs w:val="22"/>
          <w:lang w:val="en-US" w:eastAsia="en-US"/>
        </w:rPr>
        <w:t>individual</w:t>
      </w:r>
      <w:r w:rsidRPr="00155432">
        <w:rPr>
          <w:rFonts w:ascii="Calibri" w:eastAsia="Calibri" w:hAnsi="Calibri"/>
          <w:b/>
          <w:bCs/>
          <w:sz w:val="22"/>
          <w:szCs w:val="22"/>
          <w:lang w:val="en-US" w:eastAsia="en-US"/>
        </w:rPr>
        <w:t xml:space="preserve"> financial instrument that were executed by the venue (previous quarter, </w:t>
      </w:r>
      <w:proofErr w:type="gramStart"/>
      <w:r w:rsidRPr="00155432">
        <w:rPr>
          <w:rFonts w:ascii="Calibri" w:eastAsia="Calibri" w:hAnsi="Calibri"/>
          <w:b/>
          <w:bCs/>
          <w:i/>
          <w:iCs/>
          <w:sz w:val="22"/>
          <w:szCs w:val="22"/>
          <w:lang w:val="en-US" w:eastAsia="en-US"/>
        </w:rPr>
        <w:t>on a monthly basis</w:t>
      </w:r>
      <w:proofErr w:type="gramEnd"/>
      <w:r w:rsidRPr="00155432">
        <w:rPr>
          <w:rFonts w:ascii="Calibri" w:eastAsia="Calibri" w:hAnsi="Calibri"/>
          <w:b/>
          <w:bCs/>
          <w:sz w:val="22"/>
          <w:szCs w:val="22"/>
          <w:lang w:val="en-US" w:eastAsia="en-US"/>
        </w:rPr>
        <w:t>).</w:t>
      </w:r>
      <w:r>
        <w:rPr>
          <w:rFonts w:ascii="Calibri" w:eastAsia="Calibri" w:hAnsi="Calibri"/>
          <w:sz w:val="22"/>
          <w:szCs w:val="22"/>
          <w:lang w:val="en-US" w:eastAsia="en-US"/>
        </w:rPr>
        <w:t xml:space="preserve"> BME agree</w:t>
      </w:r>
      <w:r w:rsidR="0000374B">
        <w:rPr>
          <w:rFonts w:ascii="Calibri" w:eastAsia="Calibri" w:hAnsi="Calibri"/>
          <w:sz w:val="22"/>
          <w:szCs w:val="22"/>
          <w:lang w:val="en-US" w:eastAsia="en-US"/>
        </w:rPr>
        <w:t>s</w:t>
      </w:r>
      <w:r>
        <w:rPr>
          <w:rFonts w:ascii="Calibri" w:eastAsia="Calibri" w:hAnsi="Calibri"/>
          <w:sz w:val="22"/>
          <w:szCs w:val="22"/>
          <w:lang w:val="en-US" w:eastAsia="en-US"/>
        </w:rPr>
        <w:t xml:space="preserve"> that this is a relevant metric, which is already </w:t>
      </w:r>
      <w:r w:rsidR="00AD2BD7">
        <w:rPr>
          <w:rFonts w:ascii="Calibri" w:eastAsia="Calibri" w:hAnsi="Calibri"/>
          <w:sz w:val="22"/>
          <w:szCs w:val="22"/>
          <w:lang w:val="en-US" w:eastAsia="en-US"/>
        </w:rPr>
        <w:t>included</w:t>
      </w:r>
      <w:r>
        <w:rPr>
          <w:rFonts w:ascii="Calibri" w:eastAsia="Calibri" w:hAnsi="Calibri"/>
          <w:sz w:val="22"/>
          <w:szCs w:val="22"/>
          <w:lang w:val="en-US" w:eastAsia="en-US"/>
        </w:rPr>
        <w:t xml:space="preserve"> </w:t>
      </w:r>
      <w:r w:rsidR="00AD2BD7">
        <w:rPr>
          <w:rFonts w:ascii="Calibri" w:eastAsia="Calibri" w:hAnsi="Calibri"/>
          <w:sz w:val="22"/>
          <w:szCs w:val="22"/>
          <w:lang w:val="en-US" w:eastAsia="en-US"/>
        </w:rPr>
        <w:t>in the current requirements (</w:t>
      </w:r>
      <w:r>
        <w:rPr>
          <w:rFonts w:ascii="Calibri" w:eastAsia="Calibri" w:hAnsi="Calibri"/>
          <w:sz w:val="22"/>
          <w:szCs w:val="22"/>
          <w:lang w:val="en-US" w:eastAsia="en-US"/>
        </w:rPr>
        <w:t>Table 6</w:t>
      </w:r>
      <w:r w:rsidR="00AD2BD7">
        <w:rPr>
          <w:rFonts w:ascii="Calibri" w:eastAsia="Calibri" w:hAnsi="Calibri"/>
          <w:sz w:val="22"/>
          <w:szCs w:val="22"/>
          <w:lang w:val="en-US" w:eastAsia="en-US"/>
        </w:rPr>
        <w:t>)</w:t>
      </w:r>
      <w:r>
        <w:rPr>
          <w:rFonts w:ascii="Calibri" w:eastAsia="Calibri" w:hAnsi="Calibri"/>
          <w:sz w:val="22"/>
          <w:szCs w:val="22"/>
          <w:lang w:val="en-US" w:eastAsia="en-US"/>
        </w:rPr>
        <w:t>. However, it should be determined and explicitly specified to the public the trading categories included in the calculation (</w:t>
      </w:r>
      <w:proofErr w:type="spellStart"/>
      <w:r>
        <w:rPr>
          <w:rFonts w:ascii="Calibri" w:eastAsia="Calibri" w:hAnsi="Calibri"/>
          <w:sz w:val="22"/>
          <w:szCs w:val="22"/>
          <w:lang w:val="en-US" w:eastAsia="en-US"/>
        </w:rPr>
        <w:t>CLOB</w:t>
      </w:r>
      <w:proofErr w:type="spellEnd"/>
      <w:r>
        <w:rPr>
          <w:rFonts w:ascii="Calibri" w:eastAsia="Calibri" w:hAnsi="Calibri"/>
          <w:sz w:val="22"/>
          <w:szCs w:val="22"/>
          <w:lang w:val="en-US" w:eastAsia="en-US"/>
        </w:rPr>
        <w:t>, Auctions, FBA, Dark Book, Off-Book…). This nuance is important as trading venues differ in their market models and thus it will affect comparison across them.</w:t>
      </w:r>
    </w:p>
    <w:p w14:paraId="253E636F" w14:textId="563F5E94" w:rsidR="004A1411" w:rsidRPr="004A1411" w:rsidRDefault="00155432" w:rsidP="004258CF">
      <w:pPr>
        <w:spacing w:after="160" w:line="256" w:lineRule="auto"/>
        <w:rPr>
          <w:rFonts w:ascii="Calibri" w:eastAsia="Calibri" w:hAnsi="Calibri"/>
          <w:sz w:val="22"/>
          <w:szCs w:val="22"/>
          <w:lang w:eastAsia="en-US"/>
        </w:rPr>
      </w:pPr>
      <w:r w:rsidRPr="00155432">
        <w:rPr>
          <w:rFonts w:ascii="Calibri" w:eastAsia="Calibri" w:hAnsi="Calibri"/>
          <w:b/>
          <w:bCs/>
          <w:sz w:val="22"/>
          <w:szCs w:val="22"/>
          <w:lang w:eastAsia="en-US"/>
        </w:rPr>
        <w:t xml:space="preserve">2. </w:t>
      </w:r>
      <w:r w:rsidR="004A1411">
        <w:rPr>
          <w:rFonts w:ascii="Calibri" w:eastAsia="Calibri" w:hAnsi="Calibri"/>
          <w:b/>
          <w:bCs/>
          <w:sz w:val="22"/>
          <w:szCs w:val="22"/>
          <w:lang w:eastAsia="en-US"/>
        </w:rPr>
        <w:t xml:space="preserve">Total number of trades </w:t>
      </w:r>
      <w:r w:rsidR="004A1411" w:rsidRPr="00155432">
        <w:rPr>
          <w:rFonts w:ascii="Calibri" w:eastAsia="Calibri" w:hAnsi="Calibri"/>
          <w:b/>
          <w:bCs/>
          <w:sz w:val="22"/>
          <w:szCs w:val="22"/>
          <w:lang w:val="en-US" w:eastAsia="en-US"/>
        </w:rPr>
        <w:t xml:space="preserve">per </w:t>
      </w:r>
      <w:r w:rsidR="004A1411" w:rsidRPr="00155432">
        <w:rPr>
          <w:rFonts w:ascii="Calibri" w:eastAsia="Calibri" w:hAnsi="Calibri"/>
          <w:b/>
          <w:bCs/>
          <w:i/>
          <w:iCs/>
          <w:sz w:val="22"/>
          <w:szCs w:val="22"/>
          <w:lang w:val="en-US" w:eastAsia="en-US"/>
        </w:rPr>
        <w:t>individual</w:t>
      </w:r>
      <w:r w:rsidR="004A1411" w:rsidRPr="00155432">
        <w:rPr>
          <w:rFonts w:ascii="Calibri" w:eastAsia="Calibri" w:hAnsi="Calibri"/>
          <w:b/>
          <w:bCs/>
          <w:sz w:val="22"/>
          <w:szCs w:val="22"/>
          <w:lang w:val="en-US" w:eastAsia="en-US"/>
        </w:rPr>
        <w:t xml:space="preserve"> financial instrument that were executed by the venue (previous quarter, </w:t>
      </w:r>
      <w:proofErr w:type="gramStart"/>
      <w:r w:rsidR="004A1411" w:rsidRPr="00155432">
        <w:rPr>
          <w:rFonts w:ascii="Calibri" w:eastAsia="Calibri" w:hAnsi="Calibri"/>
          <w:b/>
          <w:bCs/>
          <w:i/>
          <w:iCs/>
          <w:sz w:val="22"/>
          <w:szCs w:val="22"/>
          <w:lang w:val="en-US" w:eastAsia="en-US"/>
        </w:rPr>
        <w:t>on a monthly basis</w:t>
      </w:r>
      <w:proofErr w:type="gramEnd"/>
      <w:r w:rsidR="004A1411" w:rsidRPr="00155432">
        <w:rPr>
          <w:rFonts w:ascii="Calibri" w:eastAsia="Calibri" w:hAnsi="Calibri"/>
          <w:b/>
          <w:bCs/>
          <w:sz w:val="22"/>
          <w:szCs w:val="22"/>
          <w:lang w:val="en-US" w:eastAsia="en-US"/>
        </w:rPr>
        <w:t>).</w:t>
      </w:r>
      <w:r w:rsidR="004A1411">
        <w:rPr>
          <w:rFonts w:ascii="Calibri" w:eastAsia="Calibri" w:hAnsi="Calibri"/>
          <w:b/>
          <w:bCs/>
          <w:sz w:val="22"/>
          <w:szCs w:val="22"/>
          <w:lang w:val="en-US" w:eastAsia="en-US"/>
        </w:rPr>
        <w:t xml:space="preserve"> </w:t>
      </w:r>
      <w:r w:rsidR="004A1411">
        <w:rPr>
          <w:rFonts w:ascii="Calibri" w:eastAsia="Calibri" w:hAnsi="Calibri"/>
          <w:sz w:val="22"/>
          <w:szCs w:val="22"/>
          <w:lang w:val="en-US" w:eastAsia="en-US"/>
        </w:rPr>
        <w:t xml:space="preserve">BME suggests </w:t>
      </w:r>
      <w:proofErr w:type="gramStart"/>
      <w:r w:rsidR="004A1411">
        <w:rPr>
          <w:rFonts w:ascii="Calibri" w:eastAsia="Calibri" w:hAnsi="Calibri"/>
          <w:sz w:val="22"/>
          <w:szCs w:val="22"/>
          <w:lang w:val="en-US" w:eastAsia="en-US"/>
        </w:rPr>
        <w:t>to include</w:t>
      </w:r>
      <w:proofErr w:type="gramEnd"/>
      <w:r w:rsidR="004A1411">
        <w:rPr>
          <w:rFonts w:ascii="Calibri" w:eastAsia="Calibri" w:hAnsi="Calibri"/>
          <w:sz w:val="22"/>
          <w:szCs w:val="22"/>
          <w:lang w:val="en-US" w:eastAsia="en-US"/>
        </w:rPr>
        <w:t xml:space="preserve"> this metric within the main indicators, which is currently being disclosed under the existing requirements (Table 4).</w:t>
      </w:r>
    </w:p>
    <w:p w14:paraId="26D4118C" w14:textId="6671BC27" w:rsidR="0053783C" w:rsidRDefault="004A1411" w:rsidP="004258CF">
      <w:pPr>
        <w:spacing w:after="160" w:line="256" w:lineRule="auto"/>
        <w:rPr>
          <w:rFonts w:ascii="Calibri" w:eastAsia="Calibri" w:hAnsi="Calibri"/>
          <w:sz w:val="22"/>
          <w:szCs w:val="22"/>
          <w:lang w:val="en-US" w:eastAsia="en-US"/>
        </w:rPr>
      </w:pPr>
      <w:r>
        <w:rPr>
          <w:rFonts w:ascii="Calibri" w:eastAsia="Calibri" w:hAnsi="Calibri"/>
          <w:b/>
          <w:bCs/>
          <w:sz w:val="22"/>
          <w:szCs w:val="22"/>
          <w:lang w:eastAsia="en-US"/>
        </w:rPr>
        <w:t xml:space="preserve">3. </w:t>
      </w:r>
      <w:r w:rsidR="00155432" w:rsidRPr="00155432">
        <w:rPr>
          <w:rFonts w:ascii="Calibri" w:eastAsia="Calibri" w:hAnsi="Calibri"/>
          <w:b/>
          <w:bCs/>
          <w:sz w:val="22"/>
          <w:szCs w:val="22"/>
          <w:lang w:eastAsia="en-US"/>
        </w:rPr>
        <w:t>Median</w:t>
      </w:r>
      <w:r w:rsidR="00155432" w:rsidRPr="00155432">
        <w:rPr>
          <w:rFonts w:ascii="Calibri" w:eastAsia="Calibri" w:hAnsi="Calibri"/>
          <w:b/>
          <w:bCs/>
          <w:color w:val="FF0000"/>
          <w:sz w:val="22"/>
          <w:szCs w:val="22"/>
          <w:lang w:eastAsia="en-US"/>
        </w:rPr>
        <w:t xml:space="preserve"> </w:t>
      </w:r>
      <w:r w:rsidR="00155432" w:rsidRPr="00155432">
        <w:rPr>
          <w:rFonts w:ascii="Calibri" w:eastAsia="Calibri" w:hAnsi="Calibri"/>
          <w:b/>
          <w:bCs/>
          <w:sz w:val="22"/>
          <w:szCs w:val="22"/>
          <w:lang w:eastAsia="en-US"/>
        </w:rPr>
        <w:t xml:space="preserve">transaction </w:t>
      </w:r>
      <w:r w:rsidR="00155432" w:rsidRPr="00155432">
        <w:rPr>
          <w:rFonts w:ascii="Calibri" w:eastAsia="Calibri" w:hAnsi="Calibri"/>
          <w:b/>
          <w:bCs/>
          <w:sz w:val="22"/>
          <w:szCs w:val="22"/>
          <w:lang w:val="en-US" w:eastAsia="en-US"/>
        </w:rPr>
        <w:t xml:space="preserve">value per </w:t>
      </w:r>
      <w:r w:rsidR="00155432" w:rsidRPr="00155432">
        <w:rPr>
          <w:rFonts w:ascii="Calibri" w:eastAsia="Calibri" w:hAnsi="Calibri"/>
          <w:b/>
          <w:bCs/>
          <w:i/>
          <w:iCs/>
          <w:sz w:val="22"/>
          <w:szCs w:val="22"/>
          <w:lang w:val="en-US" w:eastAsia="en-US"/>
        </w:rPr>
        <w:t>individual</w:t>
      </w:r>
      <w:r w:rsidR="00155432" w:rsidRPr="00155432">
        <w:rPr>
          <w:rFonts w:ascii="Calibri" w:eastAsia="Calibri" w:hAnsi="Calibri"/>
          <w:b/>
          <w:bCs/>
          <w:sz w:val="22"/>
          <w:szCs w:val="22"/>
          <w:lang w:val="en-US" w:eastAsia="en-US"/>
        </w:rPr>
        <w:t xml:space="preserve"> financial instrument in the previous quarter of the year</w:t>
      </w:r>
      <w:r w:rsidR="00155432" w:rsidRPr="00155432">
        <w:rPr>
          <w:rFonts w:ascii="Calibri" w:eastAsia="Calibri" w:hAnsi="Calibri"/>
          <w:b/>
          <w:bCs/>
          <w:i/>
          <w:iCs/>
          <w:sz w:val="22"/>
          <w:szCs w:val="22"/>
          <w:lang w:val="en-US" w:eastAsia="en-US"/>
        </w:rPr>
        <w:t xml:space="preserve"> (</w:t>
      </w:r>
      <w:proofErr w:type="gramStart"/>
      <w:r w:rsidR="00155432" w:rsidRPr="00155432">
        <w:rPr>
          <w:rFonts w:ascii="Calibri" w:eastAsia="Calibri" w:hAnsi="Calibri"/>
          <w:b/>
          <w:bCs/>
          <w:i/>
          <w:iCs/>
          <w:sz w:val="22"/>
          <w:szCs w:val="22"/>
          <w:lang w:val="en-US" w:eastAsia="en-US"/>
        </w:rPr>
        <w:t>on a monthly basis</w:t>
      </w:r>
      <w:proofErr w:type="gramEnd"/>
      <w:r w:rsidR="00155432" w:rsidRPr="00155432">
        <w:rPr>
          <w:rFonts w:ascii="Calibri" w:eastAsia="Calibri" w:hAnsi="Calibri"/>
          <w:b/>
          <w:bCs/>
          <w:i/>
          <w:iCs/>
          <w:sz w:val="22"/>
          <w:szCs w:val="22"/>
          <w:lang w:val="en-US" w:eastAsia="en-US"/>
        </w:rPr>
        <w:t>)</w:t>
      </w:r>
      <w:r w:rsidR="00155432" w:rsidRPr="00155432">
        <w:rPr>
          <w:rFonts w:ascii="Calibri" w:eastAsia="Calibri" w:hAnsi="Calibri"/>
          <w:b/>
          <w:bCs/>
          <w:sz w:val="22"/>
          <w:szCs w:val="22"/>
          <w:lang w:val="en-US" w:eastAsia="en-US"/>
        </w:rPr>
        <w:t>.</w:t>
      </w:r>
      <w:r w:rsidR="00155432">
        <w:rPr>
          <w:rFonts w:ascii="Calibri" w:eastAsia="Calibri" w:hAnsi="Calibri"/>
          <w:sz w:val="22"/>
          <w:szCs w:val="22"/>
          <w:lang w:eastAsia="en-US"/>
        </w:rPr>
        <w:t xml:space="preserve"> </w:t>
      </w:r>
      <w:r w:rsidR="0000374B">
        <w:rPr>
          <w:rFonts w:ascii="Calibri" w:eastAsia="Calibri" w:hAnsi="Calibri"/>
          <w:sz w:val="22"/>
          <w:szCs w:val="22"/>
          <w:lang w:val="en-US" w:eastAsia="en-US"/>
        </w:rPr>
        <w:t xml:space="preserve">BME agrees that this is a relevant metric, which is already included in the current requirements (Table 6). </w:t>
      </w:r>
      <w:r w:rsidR="0000374B" w:rsidRPr="003567BD">
        <w:rPr>
          <w:rFonts w:ascii="Calibri" w:eastAsia="Calibri" w:hAnsi="Calibri"/>
          <w:sz w:val="22"/>
          <w:szCs w:val="22"/>
          <w:lang w:val="en-US" w:eastAsia="en-US"/>
        </w:rPr>
        <w:t xml:space="preserve">However, BME suggests </w:t>
      </w:r>
      <w:proofErr w:type="gramStart"/>
      <w:r w:rsidR="0000374B" w:rsidRPr="003567BD">
        <w:rPr>
          <w:rFonts w:ascii="Calibri" w:eastAsia="Calibri" w:hAnsi="Calibri"/>
          <w:sz w:val="22"/>
          <w:szCs w:val="22"/>
          <w:lang w:val="en-US" w:eastAsia="en-US"/>
        </w:rPr>
        <w:t>to change</w:t>
      </w:r>
      <w:proofErr w:type="gramEnd"/>
      <w:r w:rsidR="0000374B" w:rsidRPr="003567BD">
        <w:rPr>
          <w:rFonts w:ascii="Calibri" w:eastAsia="Calibri" w:hAnsi="Calibri"/>
          <w:sz w:val="22"/>
          <w:szCs w:val="22"/>
          <w:lang w:val="en-US" w:eastAsia="en-US"/>
        </w:rPr>
        <w:t xml:space="preserve"> the median transaction value by the </w:t>
      </w:r>
      <w:r w:rsidR="0000374B" w:rsidRPr="003567BD">
        <w:rPr>
          <w:rFonts w:ascii="Calibri" w:eastAsia="Calibri" w:hAnsi="Calibri"/>
          <w:sz w:val="22"/>
          <w:szCs w:val="22"/>
          <w:u w:val="single"/>
          <w:lang w:val="en-US" w:eastAsia="en-US"/>
        </w:rPr>
        <w:t>average</w:t>
      </w:r>
      <w:r w:rsidR="0000374B" w:rsidRPr="003567BD">
        <w:rPr>
          <w:rFonts w:ascii="Calibri" w:eastAsia="Calibri" w:hAnsi="Calibri"/>
          <w:sz w:val="22"/>
          <w:szCs w:val="22"/>
          <w:lang w:val="en-US" w:eastAsia="en-US"/>
        </w:rPr>
        <w:t xml:space="preserve"> transaction value. </w:t>
      </w:r>
      <w:r w:rsidR="0000374B">
        <w:rPr>
          <w:rFonts w:ascii="Calibri" w:eastAsia="Calibri" w:hAnsi="Calibri"/>
          <w:sz w:val="22"/>
          <w:szCs w:val="22"/>
          <w:lang w:val="en-US" w:eastAsia="en-US"/>
        </w:rPr>
        <w:t>In addition, t</w:t>
      </w:r>
      <w:r w:rsidR="00155432">
        <w:rPr>
          <w:rFonts w:ascii="Calibri" w:eastAsia="Calibri" w:hAnsi="Calibri"/>
          <w:sz w:val="22"/>
          <w:szCs w:val="22"/>
          <w:lang w:val="en-US" w:eastAsia="en-US"/>
        </w:rPr>
        <w:t xml:space="preserve">he trading categories included in the calculation on the transaction value should also be specified. </w:t>
      </w:r>
    </w:p>
    <w:p w14:paraId="6881B2F1" w14:textId="4FD43987" w:rsidR="0000374B" w:rsidRDefault="004A1411" w:rsidP="0000374B">
      <w:pPr>
        <w:spacing w:after="160" w:line="256" w:lineRule="auto"/>
        <w:rPr>
          <w:rFonts w:ascii="Calibri" w:eastAsia="Calibri" w:hAnsi="Calibri"/>
          <w:sz w:val="22"/>
          <w:szCs w:val="22"/>
          <w:lang w:val="en-US" w:eastAsia="en-US"/>
        </w:rPr>
      </w:pPr>
      <w:r>
        <w:rPr>
          <w:rFonts w:ascii="Calibri" w:eastAsia="Calibri" w:hAnsi="Calibri"/>
          <w:b/>
          <w:bCs/>
          <w:sz w:val="22"/>
          <w:szCs w:val="22"/>
          <w:lang w:val="en-US" w:eastAsia="en-US"/>
        </w:rPr>
        <w:t>4</w:t>
      </w:r>
      <w:r w:rsidR="00155432" w:rsidRPr="0000374B">
        <w:rPr>
          <w:rFonts w:ascii="Calibri" w:eastAsia="Calibri" w:hAnsi="Calibri"/>
          <w:b/>
          <w:bCs/>
          <w:sz w:val="22"/>
          <w:szCs w:val="22"/>
          <w:lang w:val="en-US" w:eastAsia="en-US"/>
        </w:rPr>
        <w:t xml:space="preserve">. </w:t>
      </w:r>
      <w:r w:rsidR="0000374B" w:rsidRPr="0000374B">
        <w:rPr>
          <w:rFonts w:ascii="Calibri" w:eastAsia="Calibri" w:hAnsi="Calibri"/>
          <w:b/>
          <w:bCs/>
          <w:sz w:val="22"/>
          <w:szCs w:val="22"/>
          <w:lang w:val="en-US" w:eastAsia="en-US"/>
        </w:rPr>
        <w:t>Total value of all costs (as % of total traded value during the reporting period volume)</w:t>
      </w:r>
      <w:r w:rsidR="0000374B">
        <w:rPr>
          <w:rFonts w:ascii="Calibri" w:eastAsia="Calibri" w:hAnsi="Calibri"/>
          <w:sz w:val="22"/>
          <w:szCs w:val="22"/>
          <w:lang w:val="en-US" w:eastAsia="en-US"/>
        </w:rPr>
        <w:t xml:space="preserve"> </w:t>
      </w:r>
      <w:r w:rsidR="0000374B" w:rsidRPr="0000374B">
        <w:rPr>
          <w:rFonts w:ascii="Calibri" w:eastAsia="Calibri" w:hAnsi="Calibri"/>
          <w:b/>
          <w:bCs/>
          <w:sz w:val="22"/>
          <w:szCs w:val="22"/>
          <w:lang w:val="en-US" w:eastAsia="en-US"/>
        </w:rPr>
        <w:t>and Total value of all rebates, discounts, or other payments offered (as % of total traded value during the reporting period</w:t>
      </w:r>
      <w:r w:rsidR="0000374B">
        <w:rPr>
          <w:rFonts w:ascii="Calibri" w:eastAsia="Calibri" w:hAnsi="Calibri"/>
          <w:b/>
          <w:bCs/>
          <w:sz w:val="22"/>
          <w:szCs w:val="22"/>
          <w:lang w:val="en-US" w:eastAsia="en-US"/>
        </w:rPr>
        <w:t>)</w:t>
      </w:r>
      <w:r w:rsidR="0000374B" w:rsidRPr="0000374B">
        <w:rPr>
          <w:rFonts w:ascii="Calibri" w:eastAsia="Calibri" w:hAnsi="Calibri"/>
          <w:b/>
          <w:bCs/>
          <w:sz w:val="22"/>
          <w:szCs w:val="22"/>
          <w:lang w:val="en-US" w:eastAsia="en-US"/>
        </w:rPr>
        <w:t>.</w:t>
      </w:r>
      <w:r w:rsidR="0000374B">
        <w:rPr>
          <w:rFonts w:ascii="Calibri" w:eastAsia="Calibri" w:hAnsi="Calibri"/>
          <w:sz w:val="22"/>
          <w:szCs w:val="22"/>
          <w:lang w:val="en-US" w:eastAsia="en-US"/>
        </w:rPr>
        <w:t xml:space="preserve"> These are fields already calculated </w:t>
      </w:r>
      <w:proofErr w:type="gramStart"/>
      <w:r w:rsidR="0000374B">
        <w:rPr>
          <w:rFonts w:ascii="Calibri" w:eastAsia="Calibri" w:hAnsi="Calibri"/>
          <w:sz w:val="22"/>
          <w:szCs w:val="22"/>
          <w:lang w:val="en-US" w:eastAsia="en-US"/>
        </w:rPr>
        <w:t>on a monthly basis</w:t>
      </w:r>
      <w:proofErr w:type="gramEnd"/>
      <w:r w:rsidR="0000374B">
        <w:rPr>
          <w:rFonts w:ascii="Calibri" w:eastAsia="Calibri" w:hAnsi="Calibri"/>
          <w:sz w:val="22"/>
          <w:szCs w:val="22"/>
          <w:lang w:val="en-US" w:eastAsia="en-US"/>
        </w:rPr>
        <w:t xml:space="preserve"> in Table 5. BME suggests </w:t>
      </w:r>
      <w:proofErr w:type="gramStart"/>
      <w:r w:rsidR="0000374B">
        <w:rPr>
          <w:rFonts w:ascii="Calibri" w:eastAsia="Calibri" w:hAnsi="Calibri"/>
          <w:sz w:val="22"/>
          <w:szCs w:val="22"/>
          <w:lang w:val="en-US" w:eastAsia="en-US"/>
        </w:rPr>
        <w:t>to maintain</w:t>
      </w:r>
      <w:proofErr w:type="gramEnd"/>
      <w:r w:rsidR="0000374B">
        <w:rPr>
          <w:rFonts w:ascii="Calibri" w:eastAsia="Calibri" w:hAnsi="Calibri"/>
          <w:sz w:val="22"/>
          <w:szCs w:val="22"/>
          <w:lang w:val="en-US" w:eastAsia="en-US"/>
        </w:rPr>
        <w:t xml:space="preserve"> these fields per financial instrument instead of switching to a metric calculated for a median transaction.</w:t>
      </w:r>
    </w:p>
    <w:p w14:paraId="610C9130" w14:textId="41457BC2" w:rsidR="0000374B" w:rsidRDefault="004A1411" w:rsidP="004258CF">
      <w:pPr>
        <w:spacing w:after="160" w:line="256" w:lineRule="auto"/>
        <w:rPr>
          <w:rFonts w:ascii="Calibri" w:eastAsia="Calibri" w:hAnsi="Calibri"/>
          <w:sz w:val="22"/>
          <w:szCs w:val="22"/>
          <w:lang w:val="en-US" w:eastAsia="en-US"/>
        </w:rPr>
      </w:pPr>
      <w:r>
        <w:rPr>
          <w:rFonts w:ascii="Calibri" w:eastAsia="Calibri" w:hAnsi="Calibri"/>
          <w:b/>
          <w:bCs/>
          <w:sz w:val="22"/>
          <w:szCs w:val="22"/>
          <w:lang w:val="en-US" w:eastAsia="en-US"/>
        </w:rPr>
        <w:t>5</w:t>
      </w:r>
      <w:r w:rsidR="0000374B" w:rsidRPr="0000374B">
        <w:rPr>
          <w:rFonts w:ascii="Calibri" w:eastAsia="Calibri" w:hAnsi="Calibri"/>
          <w:b/>
          <w:bCs/>
          <w:sz w:val="22"/>
          <w:szCs w:val="22"/>
          <w:lang w:val="en-US" w:eastAsia="en-US"/>
        </w:rPr>
        <w:t xml:space="preserve">. Average </w:t>
      </w:r>
      <w:r w:rsidR="0000374B" w:rsidRPr="004A1411">
        <w:rPr>
          <w:rFonts w:ascii="Calibri" w:eastAsia="Calibri" w:hAnsi="Calibri"/>
          <w:b/>
          <w:bCs/>
          <w:i/>
          <w:iCs/>
          <w:sz w:val="22"/>
          <w:szCs w:val="22"/>
          <w:lang w:val="en-US" w:eastAsia="en-US"/>
        </w:rPr>
        <w:t>monthly</w:t>
      </w:r>
      <w:r w:rsidR="0000374B" w:rsidRPr="0000374B">
        <w:rPr>
          <w:rFonts w:ascii="Calibri" w:eastAsia="Calibri" w:hAnsi="Calibri"/>
          <w:b/>
          <w:bCs/>
          <w:sz w:val="22"/>
          <w:szCs w:val="22"/>
          <w:lang w:val="en-US" w:eastAsia="en-US"/>
        </w:rPr>
        <w:t xml:space="preserve"> bid-offer spread per individual financial instrument.</w:t>
      </w:r>
      <w:r w:rsidR="0000374B">
        <w:rPr>
          <w:rFonts w:ascii="Calibri" w:eastAsia="Calibri" w:hAnsi="Calibri"/>
          <w:sz w:val="22"/>
          <w:szCs w:val="22"/>
          <w:lang w:val="en-US" w:eastAsia="en-US"/>
        </w:rPr>
        <w:t xml:space="preserve"> BME suggests this metric relative to spreads instead of a spread related to a median transaction, which is already being reported </w:t>
      </w:r>
      <w:proofErr w:type="gramStart"/>
      <w:r w:rsidR="0000374B">
        <w:rPr>
          <w:rFonts w:ascii="Calibri" w:eastAsia="Calibri" w:hAnsi="Calibri"/>
          <w:sz w:val="22"/>
          <w:szCs w:val="22"/>
          <w:lang w:val="en-US" w:eastAsia="en-US"/>
        </w:rPr>
        <w:t>on a daily basis</w:t>
      </w:r>
      <w:proofErr w:type="gramEnd"/>
      <w:r w:rsidR="0000374B">
        <w:rPr>
          <w:rFonts w:ascii="Calibri" w:eastAsia="Calibri" w:hAnsi="Calibri"/>
          <w:sz w:val="22"/>
          <w:szCs w:val="22"/>
          <w:lang w:val="en-US" w:eastAsia="en-US"/>
        </w:rPr>
        <w:t xml:space="preserve"> (Table 8). </w:t>
      </w:r>
    </w:p>
    <w:p w14:paraId="2E14AD42" w14:textId="5B72667B" w:rsidR="004A1411" w:rsidRDefault="004A1411" w:rsidP="0013617E">
      <w:pPr>
        <w:spacing w:after="160" w:line="256" w:lineRule="auto"/>
        <w:rPr>
          <w:rFonts w:ascii="Calibri" w:eastAsia="Calibri" w:hAnsi="Calibri"/>
          <w:b/>
          <w:bCs/>
          <w:sz w:val="22"/>
          <w:szCs w:val="22"/>
          <w:lang w:val="en-US" w:eastAsia="en-US"/>
        </w:rPr>
      </w:pPr>
      <w:r>
        <w:rPr>
          <w:rFonts w:ascii="Calibri" w:eastAsia="Calibri" w:hAnsi="Calibri"/>
          <w:b/>
          <w:bCs/>
          <w:sz w:val="22"/>
          <w:szCs w:val="22"/>
          <w:lang w:val="en-US" w:eastAsia="en-US"/>
        </w:rPr>
        <w:t>6</w:t>
      </w:r>
      <w:r w:rsidR="0013617E" w:rsidRPr="0013617E">
        <w:rPr>
          <w:rFonts w:ascii="Calibri" w:eastAsia="Calibri" w:hAnsi="Calibri"/>
          <w:b/>
          <w:bCs/>
          <w:sz w:val="22"/>
          <w:szCs w:val="22"/>
          <w:lang w:val="en-US" w:eastAsia="en-US"/>
        </w:rPr>
        <w:t>.</w:t>
      </w:r>
      <w:r>
        <w:rPr>
          <w:rFonts w:ascii="Calibri" w:eastAsia="Calibri" w:hAnsi="Calibri"/>
          <w:b/>
          <w:bCs/>
          <w:sz w:val="22"/>
          <w:szCs w:val="22"/>
          <w:lang w:val="en-US" w:eastAsia="en-US"/>
        </w:rPr>
        <w:t xml:space="preserve"> Average </w:t>
      </w:r>
      <w:r>
        <w:rPr>
          <w:rFonts w:ascii="Calibri" w:eastAsia="Calibri" w:hAnsi="Calibri"/>
          <w:b/>
          <w:bCs/>
          <w:i/>
          <w:iCs/>
          <w:sz w:val="22"/>
          <w:szCs w:val="22"/>
          <w:lang w:val="en-US" w:eastAsia="en-US"/>
        </w:rPr>
        <w:t>monthly</w:t>
      </w:r>
      <w:r>
        <w:rPr>
          <w:rFonts w:ascii="Calibri" w:eastAsia="Calibri" w:hAnsi="Calibri"/>
          <w:b/>
          <w:bCs/>
          <w:sz w:val="22"/>
          <w:szCs w:val="22"/>
          <w:lang w:val="en-US" w:eastAsia="en-US"/>
        </w:rPr>
        <w:t xml:space="preserve"> volume at best bid and offer. </w:t>
      </w:r>
      <w:r>
        <w:rPr>
          <w:rFonts w:ascii="Calibri" w:eastAsia="Calibri" w:hAnsi="Calibri"/>
          <w:sz w:val="22"/>
          <w:szCs w:val="22"/>
          <w:lang w:val="en-US" w:eastAsia="en-US"/>
        </w:rPr>
        <w:t xml:space="preserve">Although not included within the Consultation’s core metrics, BME suggests </w:t>
      </w:r>
      <w:proofErr w:type="gramStart"/>
      <w:r>
        <w:rPr>
          <w:rFonts w:ascii="Calibri" w:eastAsia="Calibri" w:hAnsi="Calibri"/>
          <w:sz w:val="22"/>
          <w:szCs w:val="22"/>
          <w:lang w:val="en-US" w:eastAsia="en-US"/>
        </w:rPr>
        <w:t>to include</w:t>
      </w:r>
      <w:proofErr w:type="gramEnd"/>
      <w:r>
        <w:rPr>
          <w:rFonts w:ascii="Calibri" w:eastAsia="Calibri" w:hAnsi="Calibri"/>
          <w:sz w:val="22"/>
          <w:szCs w:val="22"/>
          <w:lang w:val="en-US" w:eastAsia="en-US"/>
        </w:rPr>
        <w:t xml:space="preserve"> a book depth average indicator, which is already being reported on a daily basis (Table 8).</w:t>
      </w:r>
      <w:r w:rsidR="0013617E" w:rsidRPr="0013617E">
        <w:rPr>
          <w:rFonts w:ascii="Calibri" w:eastAsia="Calibri" w:hAnsi="Calibri"/>
          <w:b/>
          <w:bCs/>
          <w:sz w:val="22"/>
          <w:szCs w:val="22"/>
          <w:lang w:val="en-US" w:eastAsia="en-US"/>
        </w:rPr>
        <w:t xml:space="preserve"> </w:t>
      </w:r>
    </w:p>
    <w:p w14:paraId="5C68A9CA" w14:textId="7FCE01EC" w:rsidR="0000374B" w:rsidRDefault="004A1411" w:rsidP="0013617E">
      <w:pPr>
        <w:spacing w:after="160" w:line="256" w:lineRule="auto"/>
        <w:rPr>
          <w:rFonts w:ascii="Calibri" w:eastAsia="Calibri" w:hAnsi="Calibri"/>
          <w:sz w:val="22"/>
          <w:szCs w:val="22"/>
          <w:lang w:val="en-US" w:eastAsia="en-US"/>
        </w:rPr>
      </w:pPr>
      <w:r>
        <w:rPr>
          <w:rFonts w:ascii="Calibri" w:eastAsia="Calibri" w:hAnsi="Calibri"/>
          <w:b/>
          <w:bCs/>
          <w:sz w:val="22"/>
          <w:szCs w:val="22"/>
          <w:lang w:val="en-US" w:eastAsia="en-US"/>
        </w:rPr>
        <w:t xml:space="preserve">7. </w:t>
      </w:r>
      <w:r w:rsidR="0013617E" w:rsidRPr="0013617E">
        <w:rPr>
          <w:rFonts w:ascii="Calibri" w:eastAsia="Calibri" w:hAnsi="Calibri"/>
          <w:b/>
          <w:bCs/>
          <w:sz w:val="22"/>
          <w:szCs w:val="22"/>
          <w:lang w:val="en-US" w:eastAsia="en-US"/>
        </w:rPr>
        <w:t xml:space="preserve">Average </w:t>
      </w:r>
      <w:r w:rsidR="0013617E" w:rsidRPr="004A1411">
        <w:rPr>
          <w:rFonts w:ascii="Calibri" w:eastAsia="Calibri" w:hAnsi="Calibri"/>
          <w:b/>
          <w:bCs/>
          <w:i/>
          <w:iCs/>
          <w:sz w:val="22"/>
          <w:szCs w:val="22"/>
          <w:lang w:val="en-US" w:eastAsia="en-US"/>
        </w:rPr>
        <w:t>monthly</w:t>
      </w:r>
      <w:r w:rsidR="0013617E" w:rsidRPr="0013617E">
        <w:rPr>
          <w:rFonts w:ascii="Calibri" w:eastAsia="Calibri" w:hAnsi="Calibri"/>
          <w:b/>
          <w:bCs/>
          <w:sz w:val="22"/>
          <w:szCs w:val="22"/>
          <w:lang w:val="en-US" w:eastAsia="en-US"/>
        </w:rPr>
        <w:t xml:space="preserve"> speed of execution for unmodified passive orders at best bid and offer (milliseconds).</w:t>
      </w:r>
      <w:r w:rsidR="0013617E">
        <w:rPr>
          <w:rFonts w:ascii="Calibri" w:eastAsia="Calibri" w:hAnsi="Calibri"/>
          <w:sz w:val="22"/>
          <w:szCs w:val="22"/>
          <w:lang w:val="en-US" w:eastAsia="en-US"/>
        </w:rPr>
        <w:t xml:space="preserve"> BME suggests </w:t>
      </w:r>
      <w:proofErr w:type="gramStart"/>
      <w:r w:rsidR="0013617E">
        <w:rPr>
          <w:rFonts w:ascii="Calibri" w:eastAsia="Calibri" w:hAnsi="Calibri"/>
          <w:sz w:val="22"/>
          <w:szCs w:val="22"/>
          <w:lang w:val="en-US" w:eastAsia="en-US"/>
        </w:rPr>
        <w:t>to use</w:t>
      </w:r>
      <w:proofErr w:type="gramEnd"/>
      <w:r w:rsidR="0013617E">
        <w:rPr>
          <w:rFonts w:ascii="Calibri" w:eastAsia="Calibri" w:hAnsi="Calibri"/>
          <w:sz w:val="22"/>
          <w:szCs w:val="22"/>
          <w:lang w:val="en-US" w:eastAsia="en-US"/>
        </w:rPr>
        <w:t xml:space="preserve"> this metric to represent the</w:t>
      </w:r>
      <w:r w:rsidR="0013617E" w:rsidRPr="0013617E">
        <w:rPr>
          <w:rFonts w:ascii="Calibri" w:eastAsia="Calibri" w:hAnsi="Calibri"/>
          <w:sz w:val="22"/>
          <w:szCs w:val="22"/>
          <w:lang w:val="en-US" w:eastAsia="en-US"/>
        </w:rPr>
        <w:t xml:space="preserve"> </w:t>
      </w:r>
      <w:r w:rsidR="0013617E" w:rsidRPr="0049499B">
        <w:rPr>
          <w:rFonts w:ascii="Calibri" w:eastAsia="Calibri" w:hAnsi="Calibri"/>
          <w:sz w:val="22"/>
          <w:szCs w:val="22"/>
          <w:lang w:val="en-US" w:eastAsia="en-US"/>
        </w:rPr>
        <w:t>speed of execution</w:t>
      </w:r>
      <w:r w:rsidR="0013617E">
        <w:rPr>
          <w:rFonts w:ascii="Calibri" w:eastAsia="Calibri" w:hAnsi="Calibri"/>
          <w:sz w:val="22"/>
          <w:szCs w:val="22"/>
          <w:lang w:val="en-US" w:eastAsia="en-US"/>
        </w:rPr>
        <w:t>, which is already being disclosed on a daily basis (Table 8).</w:t>
      </w:r>
      <w:r w:rsidR="00354A73">
        <w:rPr>
          <w:rFonts w:ascii="Calibri" w:eastAsia="Calibri" w:hAnsi="Calibri"/>
          <w:sz w:val="22"/>
          <w:szCs w:val="22"/>
          <w:lang w:val="en-US" w:eastAsia="en-US"/>
        </w:rPr>
        <w:t xml:space="preserve"> </w:t>
      </w:r>
    </w:p>
    <w:p w14:paraId="416C4BF3" w14:textId="4ED2716C" w:rsidR="003F1F67" w:rsidRDefault="004A1411" w:rsidP="0013617E">
      <w:pPr>
        <w:spacing w:after="160" w:line="256" w:lineRule="auto"/>
        <w:rPr>
          <w:rFonts w:ascii="Calibri" w:eastAsia="Calibri" w:hAnsi="Calibri"/>
          <w:sz w:val="22"/>
          <w:szCs w:val="22"/>
          <w:lang w:val="en-US" w:eastAsia="en-US"/>
        </w:rPr>
      </w:pPr>
      <w:r>
        <w:rPr>
          <w:rFonts w:ascii="Calibri" w:eastAsia="Calibri" w:hAnsi="Calibri"/>
          <w:b/>
          <w:bCs/>
          <w:sz w:val="22"/>
          <w:szCs w:val="22"/>
          <w:lang w:val="en-US" w:eastAsia="en-US"/>
        </w:rPr>
        <w:t>8</w:t>
      </w:r>
      <w:r w:rsidR="003F1F67" w:rsidRPr="00F50926">
        <w:rPr>
          <w:rFonts w:ascii="Calibri" w:eastAsia="Calibri" w:hAnsi="Calibri"/>
          <w:b/>
          <w:bCs/>
          <w:sz w:val="22"/>
          <w:szCs w:val="22"/>
          <w:lang w:val="en-US" w:eastAsia="en-US"/>
        </w:rPr>
        <w:t xml:space="preserve">. </w:t>
      </w:r>
      <w:r w:rsidR="00F50926" w:rsidRPr="00F50926">
        <w:rPr>
          <w:rFonts w:ascii="Calibri" w:eastAsia="Calibri" w:hAnsi="Calibri"/>
          <w:b/>
          <w:bCs/>
          <w:sz w:val="22"/>
          <w:szCs w:val="22"/>
          <w:lang w:val="en-US" w:eastAsia="en-US"/>
        </w:rPr>
        <w:t xml:space="preserve">Total number of market makers designated by the venue </w:t>
      </w:r>
      <w:r w:rsidR="00F50926" w:rsidRPr="00F50926">
        <w:rPr>
          <w:rFonts w:ascii="Calibri" w:eastAsia="Calibri" w:hAnsi="Calibri"/>
          <w:b/>
          <w:bCs/>
          <w:i/>
          <w:iCs/>
          <w:sz w:val="22"/>
          <w:szCs w:val="22"/>
          <w:lang w:val="en-US" w:eastAsia="en-US"/>
        </w:rPr>
        <w:t>individual</w:t>
      </w:r>
      <w:r w:rsidR="00F50926" w:rsidRPr="00F50926">
        <w:rPr>
          <w:rFonts w:ascii="Calibri" w:eastAsia="Calibri" w:hAnsi="Calibri"/>
          <w:b/>
          <w:bCs/>
          <w:sz w:val="22"/>
          <w:szCs w:val="22"/>
          <w:lang w:val="en-US" w:eastAsia="en-US"/>
        </w:rPr>
        <w:t xml:space="preserve"> financial instrument.</w:t>
      </w:r>
      <w:r w:rsidR="00F50926">
        <w:rPr>
          <w:rFonts w:ascii="Calibri" w:eastAsia="Calibri" w:hAnsi="Calibri"/>
          <w:sz w:val="22"/>
          <w:szCs w:val="22"/>
          <w:lang w:val="en-US" w:eastAsia="en-US"/>
        </w:rPr>
        <w:t xml:space="preserve"> BME agrees to include this metric, which is already included in the existing requirements (Table 6)</w:t>
      </w:r>
      <w:r>
        <w:rPr>
          <w:rFonts w:ascii="Calibri" w:eastAsia="Calibri" w:hAnsi="Calibri"/>
          <w:sz w:val="22"/>
          <w:szCs w:val="22"/>
          <w:lang w:val="en-US" w:eastAsia="en-US"/>
        </w:rPr>
        <w:t>.</w:t>
      </w:r>
    </w:p>
    <w:p w14:paraId="6760E642" w14:textId="51D6634C" w:rsidR="00354A73" w:rsidRDefault="00354A73" w:rsidP="004258CF">
      <w:pPr>
        <w:spacing w:after="160" w:line="256" w:lineRule="auto"/>
        <w:rPr>
          <w:rFonts w:ascii="Calibri" w:eastAsia="Calibri" w:hAnsi="Calibri"/>
          <w:sz w:val="22"/>
          <w:szCs w:val="22"/>
          <w:lang w:val="en-US" w:eastAsia="en-US"/>
        </w:rPr>
      </w:pPr>
      <w:r>
        <w:rPr>
          <w:rFonts w:ascii="Calibri" w:eastAsia="Calibri" w:hAnsi="Calibri"/>
          <w:sz w:val="22"/>
          <w:szCs w:val="22"/>
          <w:lang w:val="en-US" w:eastAsia="en-US"/>
        </w:rPr>
        <w:t xml:space="preserve">In any case, all indicators established under new RTS 27 must be very defined </w:t>
      </w:r>
      <w:proofErr w:type="gramStart"/>
      <w:r>
        <w:rPr>
          <w:rFonts w:ascii="Calibri" w:eastAsia="Calibri" w:hAnsi="Calibri"/>
          <w:sz w:val="22"/>
          <w:szCs w:val="22"/>
          <w:lang w:val="en-US" w:eastAsia="en-US"/>
        </w:rPr>
        <w:t>in order to</w:t>
      </w:r>
      <w:proofErr w:type="gramEnd"/>
      <w:r>
        <w:rPr>
          <w:rFonts w:ascii="Calibri" w:eastAsia="Calibri" w:hAnsi="Calibri"/>
          <w:sz w:val="22"/>
          <w:szCs w:val="22"/>
          <w:lang w:val="en-US" w:eastAsia="en-US"/>
        </w:rPr>
        <w:t xml:space="preserve"> be comparable.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748831B"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permEnd w:id="1685268831"/>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05077D41" w14:textId="77777777" w:rsidR="0031354F" w:rsidRPr="0031354F" w:rsidRDefault="0031354F" w:rsidP="0031354F">
      <w:pPr>
        <w:spacing w:after="160" w:line="256" w:lineRule="auto"/>
        <w:rPr>
          <w:rFonts w:ascii="Calibri" w:eastAsia="Calibri" w:hAnsi="Calibri"/>
          <w:sz w:val="22"/>
          <w:szCs w:val="22"/>
          <w:lang w:eastAsia="en-US"/>
        </w:rPr>
      </w:pPr>
      <w:permStart w:id="1373658977" w:edGrp="everyone"/>
      <w:r w:rsidRPr="0031354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6FBF0D64" w14:textId="77777777" w:rsidR="004258CF" w:rsidRPr="004258CF" w:rsidRDefault="004258CF" w:rsidP="004258CF">
      <w:pPr>
        <w:spacing w:after="160" w:line="256" w:lineRule="auto"/>
        <w:rPr>
          <w:rFonts w:ascii="Calibri" w:eastAsia="Calibri" w:hAnsi="Calibri"/>
          <w:sz w:val="22"/>
          <w:szCs w:val="22"/>
          <w:lang w:eastAsia="en-US"/>
        </w:rPr>
      </w:pPr>
      <w:permStart w:id="297553631" w:edGrp="everyone"/>
      <w:r w:rsidRPr="004258CF">
        <w:rPr>
          <w:rFonts w:ascii="Calibri" w:eastAsia="Calibri" w:hAnsi="Calibri"/>
          <w:sz w:val="22"/>
          <w:szCs w:val="22"/>
          <w:lang w:eastAsia="en-US"/>
        </w:rPr>
        <w:t>TYPE YOUR TEXT HERE</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692CD23F" w14:textId="77777777" w:rsidR="003565E2" w:rsidRDefault="00717B04" w:rsidP="00717B04">
      <w:pPr>
        <w:spacing w:after="160" w:line="256" w:lineRule="auto"/>
        <w:rPr>
          <w:rFonts w:ascii="Calibri" w:eastAsia="Calibri" w:hAnsi="Calibri"/>
          <w:sz w:val="22"/>
          <w:szCs w:val="22"/>
          <w:lang w:val="en-US" w:eastAsia="en-US"/>
        </w:rPr>
      </w:pPr>
      <w:permStart w:id="1132928363" w:edGrp="everyone"/>
      <w:r>
        <w:rPr>
          <w:rFonts w:ascii="Calibri" w:eastAsia="Calibri" w:hAnsi="Calibri"/>
          <w:sz w:val="22"/>
          <w:szCs w:val="22"/>
          <w:lang w:eastAsia="en-US"/>
        </w:rPr>
        <w:t xml:space="preserve"> As previously stated, </w:t>
      </w:r>
      <w:r w:rsidRPr="00717B04">
        <w:rPr>
          <w:rFonts w:ascii="Calibri" w:eastAsia="Calibri" w:hAnsi="Calibri"/>
          <w:sz w:val="22"/>
          <w:szCs w:val="22"/>
          <w:lang w:eastAsia="en-US"/>
        </w:rPr>
        <w:t>BME agrees with the</w:t>
      </w:r>
      <w:r>
        <w:rPr>
          <w:rFonts w:ascii="Calibri" w:eastAsia="Calibri" w:hAnsi="Calibri"/>
          <w:sz w:val="22"/>
          <w:szCs w:val="22"/>
          <w:lang w:eastAsia="en-US"/>
        </w:rPr>
        <w:t xml:space="preserve"> CP’s</w:t>
      </w:r>
      <w:r w:rsidRPr="00717B04">
        <w:rPr>
          <w:rFonts w:ascii="Calibri" w:eastAsia="Calibri" w:hAnsi="Calibri"/>
          <w:sz w:val="22"/>
          <w:szCs w:val="22"/>
          <w:lang w:eastAsia="en-US"/>
        </w:rPr>
        <w:t xml:space="preserve"> rationale that the RTS 27 reporting should aim at </w:t>
      </w:r>
      <w:r w:rsidRPr="00717B04">
        <w:rPr>
          <w:rFonts w:ascii="Calibri" w:eastAsia="Calibri" w:hAnsi="Calibri"/>
          <w:sz w:val="22"/>
          <w:szCs w:val="22"/>
          <w:lang w:val="en-US" w:eastAsia="en-US"/>
        </w:rPr>
        <w:t xml:space="preserve">providing firms and the public with </w:t>
      </w:r>
      <w:r w:rsidRPr="00D343C9">
        <w:rPr>
          <w:rFonts w:ascii="Calibri" w:eastAsia="Calibri" w:hAnsi="Calibri"/>
          <w:sz w:val="22"/>
          <w:szCs w:val="22"/>
          <w:lang w:val="en-US" w:eastAsia="en-US"/>
        </w:rPr>
        <w:t>relevant data related to the execution quality achieved on venues and to help them determine the best way to execute client orders.</w:t>
      </w:r>
    </w:p>
    <w:p w14:paraId="67066174" w14:textId="272FA07E" w:rsidR="00717B04" w:rsidRDefault="00717B04" w:rsidP="00717B04">
      <w:pPr>
        <w:spacing w:after="160" w:line="256" w:lineRule="auto"/>
        <w:rPr>
          <w:rFonts w:ascii="Calibri" w:eastAsia="Calibri" w:hAnsi="Calibri"/>
          <w:sz w:val="22"/>
          <w:szCs w:val="22"/>
          <w:lang w:val="en-US" w:eastAsia="en-US"/>
        </w:rPr>
      </w:pPr>
      <w:r>
        <w:rPr>
          <w:rFonts w:ascii="Calibri" w:eastAsia="Calibri" w:hAnsi="Calibri"/>
          <w:sz w:val="22"/>
          <w:szCs w:val="22"/>
          <w:lang w:val="en-US" w:eastAsia="en-US"/>
        </w:rPr>
        <w:t>BME agrees that there are benefits derived from the simplification of the RTS 27 reported indicators</w:t>
      </w:r>
      <w:r w:rsidR="00740930">
        <w:rPr>
          <w:rFonts w:ascii="Calibri" w:eastAsia="Calibri" w:hAnsi="Calibri"/>
          <w:sz w:val="22"/>
          <w:szCs w:val="22"/>
          <w:lang w:val="en-US" w:eastAsia="en-US"/>
        </w:rPr>
        <w:t xml:space="preserve"> and that overlapping with MiFID II transparency requirements should be minimized</w:t>
      </w:r>
      <w:r>
        <w:rPr>
          <w:rFonts w:ascii="Calibri" w:eastAsia="Calibri" w:hAnsi="Calibri"/>
          <w:sz w:val="22"/>
          <w:szCs w:val="22"/>
          <w:lang w:val="en-US" w:eastAsia="en-US"/>
        </w:rPr>
        <w:t>. However, aggregating data by type of financial instrument</w:t>
      </w:r>
      <w:r w:rsidR="00E6118E">
        <w:rPr>
          <w:rFonts w:ascii="Calibri" w:eastAsia="Calibri" w:hAnsi="Calibri"/>
          <w:sz w:val="22"/>
          <w:szCs w:val="22"/>
          <w:lang w:val="en-US" w:eastAsia="en-US"/>
        </w:rPr>
        <w:t xml:space="preserve"> and liquidity profile seems an oversimplification that results in a great loss of information </w:t>
      </w:r>
      <w:proofErr w:type="gramStart"/>
      <w:r w:rsidR="00E6118E">
        <w:rPr>
          <w:rFonts w:ascii="Calibri" w:eastAsia="Calibri" w:hAnsi="Calibri"/>
          <w:sz w:val="22"/>
          <w:szCs w:val="22"/>
          <w:lang w:val="en-US" w:eastAsia="en-US"/>
        </w:rPr>
        <w:t>and,</w:t>
      </w:r>
      <w:proofErr w:type="gramEnd"/>
      <w:r w:rsidR="00E6118E">
        <w:rPr>
          <w:rFonts w:ascii="Calibri" w:eastAsia="Calibri" w:hAnsi="Calibri"/>
          <w:sz w:val="22"/>
          <w:szCs w:val="22"/>
          <w:lang w:val="en-US" w:eastAsia="en-US"/>
        </w:rPr>
        <w:t xml:space="preserve"> therefore, significantly decreas</w:t>
      </w:r>
      <w:r w:rsidR="00740930">
        <w:rPr>
          <w:rFonts w:ascii="Calibri" w:eastAsia="Calibri" w:hAnsi="Calibri"/>
          <w:sz w:val="22"/>
          <w:szCs w:val="22"/>
          <w:lang w:val="en-US" w:eastAsia="en-US"/>
        </w:rPr>
        <w:t>ing</w:t>
      </w:r>
      <w:r w:rsidR="00E6118E">
        <w:rPr>
          <w:rFonts w:ascii="Calibri" w:eastAsia="Calibri" w:hAnsi="Calibri"/>
          <w:sz w:val="22"/>
          <w:szCs w:val="22"/>
          <w:lang w:val="en-US" w:eastAsia="en-US"/>
        </w:rPr>
        <w:t xml:space="preserve"> transparency and hind</w:t>
      </w:r>
      <w:r w:rsidR="00740930">
        <w:rPr>
          <w:rFonts w:ascii="Calibri" w:eastAsia="Calibri" w:hAnsi="Calibri"/>
          <w:sz w:val="22"/>
          <w:szCs w:val="22"/>
          <w:lang w:val="en-US" w:eastAsia="en-US"/>
        </w:rPr>
        <w:t>ering</w:t>
      </w:r>
      <w:r w:rsidR="00E6118E">
        <w:rPr>
          <w:rFonts w:ascii="Calibri" w:eastAsia="Calibri" w:hAnsi="Calibri"/>
          <w:sz w:val="22"/>
          <w:szCs w:val="22"/>
          <w:lang w:val="en-US" w:eastAsia="en-US"/>
        </w:rPr>
        <w:t xml:space="preserve"> comparability across venues. </w:t>
      </w:r>
    </w:p>
    <w:p w14:paraId="628EB351" w14:textId="63597A71" w:rsidR="00E43172" w:rsidRDefault="00E43172" w:rsidP="00717B04">
      <w:pPr>
        <w:spacing w:after="160" w:line="256" w:lineRule="auto"/>
        <w:rPr>
          <w:rFonts w:ascii="Calibri" w:eastAsia="Calibri" w:hAnsi="Calibri"/>
          <w:sz w:val="22"/>
          <w:szCs w:val="22"/>
          <w:lang w:val="en-US" w:eastAsia="en-US"/>
        </w:rPr>
      </w:pPr>
      <w:r>
        <w:rPr>
          <w:rFonts w:ascii="Calibri" w:eastAsia="Calibri" w:hAnsi="Calibri"/>
          <w:sz w:val="22"/>
          <w:szCs w:val="22"/>
          <w:lang w:val="en-US" w:eastAsia="en-US"/>
        </w:rPr>
        <w:t xml:space="preserve">BME suggests an intermediate approach with a simplification of the existing tables into the list of indicators suggested in the response to Question 3 of this CP (see above), maintaining the current level of granularity by individual financial instrument but aggregating data </w:t>
      </w:r>
      <w:proofErr w:type="gramStart"/>
      <w:r>
        <w:rPr>
          <w:rFonts w:ascii="Calibri" w:eastAsia="Calibri" w:hAnsi="Calibri"/>
          <w:sz w:val="22"/>
          <w:szCs w:val="22"/>
          <w:lang w:val="en-US" w:eastAsia="en-US"/>
        </w:rPr>
        <w:t>on a monthly basis</w:t>
      </w:r>
      <w:proofErr w:type="gramEnd"/>
      <w:r>
        <w:rPr>
          <w:rFonts w:ascii="Calibri" w:eastAsia="Calibri" w:hAnsi="Calibri"/>
          <w:sz w:val="22"/>
          <w:szCs w:val="22"/>
          <w:lang w:val="en-US" w:eastAsia="en-US"/>
        </w:rPr>
        <w:t xml:space="preserve"> (versus the current daily data). </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4B0FF938" w14:textId="02916CF0" w:rsidR="004258CF" w:rsidRPr="004258CF" w:rsidRDefault="004258CF" w:rsidP="004258CF">
      <w:pPr>
        <w:spacing w:after="160" w:line="256" w:lineRule="auto"/>
        <w:rPr>
          <w:rFonts w:ascii="Calibri" w:eastAsia="Calibri" w:hAnsi="Calibri"/>
          <w:sz w:val="22"/>
          <w:szCs w:val="22"/>
          <w:lang w:eastAsia="en-US"/>
        </w:rPr>
      </w:pPr>
      <w:permStart w:id="686839684" w:edGrp="everyone"/>
      <w:permEnd w:id="686839684"/>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4888B" w14:textId="77777777" w:rsidR="009A2677" w:rsidRDefault="009A2677">
      <w:r>
        <w:separator/>
      </w:r>
    </w:p>
    <w:p w14:paraId="08271EA8" w14:textId="77777777" w:rsidR="009A2677" w:rsidRDefault="009A2677"/>
  </w:endnote>
  <w:endnote w:type="continuationSeparator" w:id="0">
    <w:p w14:paraId="40B47E43" w14:textId="77777777" w:rsidR="009A2677" w:rsidRDefault="009A2677">
      <w:r>
        <w:continuationSeparator/>
      </w:r>
    </w:p>
    <w:p w14:paraId="675CA1C9" w14:textId="77777777" w:rsidR="009A2677" w:rsidRDefault="009A2677"/>
  </w:endnote>
  <w:endnote w:type="continuationNotice" w:id="1">
    <w:p w14:paraId="06BDCD3E" w14:textId="77777777" w:rsidR="009A2677" w:rsidRDefault="009A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4C75" w14:textId="77777777" w:rsidR="0098771D" w:rsidRDefault="009877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2902C" w14:textId="77777777" w:rsidR="0098771D" w:rsidRDefault="0098771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8D1B5" w14:textId="77777777" w:rsidR="009A2677" w:rsidRDefault="009A2677">
      <w:r>
        <w:separator/>
      </w:r>
    </w:p>
    <w:p w14:paraId="5FC2011E" w14:textId="77777777" w:rsidR="009A2677" w:rsidRDefault="009A2677"/>
  </w:footnote>
  <w:footnote w:type="continuationSeparator" w:id="0">
    <w:p w14:paraId="2D173F84" w14:textId="77777777" w:rsidR="009A2677" w:rsidRDefault="009A2677">
      <w:r>
        <w:continuationSeparator/>
      </w:r>
    </w:p>
    <w:p w14:paraId="6FEC6458" w14:textId="77777777" w:rsidR="009A2677" w:rsidRDefault="009A2677"/>
  </w:footnote>
  <w:footnote w:type="continuationNotice" w:id="1">
    <w:p w14:paraId="59EE94AD" w14:textId="77777777" w:rsidR="009A2677" w:rsidRDefault="009A2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1788" w14:textId="77777777" w:rsidR="0098771D" w:rsidRDefault="009877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Encabezado"/>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00DA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Encabezado"/>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cabezado"/>
      <w:rPr>
        <w:lang w:val="fr-FR"/>
      </w:rPr>
    </w:pPr>
  </w:p>
  <w:p w14:paraId="0F1BB730" w14:textId="77777777" w:rsidR="00811EDA" w:rsidRPr="002F4496" w:rsidRDefault="00811EDA" w:rsidP="000C06C9">
    <w:pPr>
      <w:pStyle w:val="Encabezado"/>
      <w:tabs>
        <w:tab w:val="clear" w:pos="4536"/>
        <w:tab w:val="clear" w:pos="9072"/>
        <w:tab w:val="left" w:pos="8227"/>
      </w:tabs>
      <w:rPr>
        <w:lang w:val="fr-FR"/>
      </w:rPr>
    </w:pPr>
  </w:p>
  <w:p w14:paraId="354F7019" w14:textId="77777777" w:rsidR="00811EDA" w:rsidRPr="002F4496" w:rsidRDefault="00811EDA" w:rsidP="000C06C9">
    <w:pPr>
      <w:pStyle w:val="Encabezado"/>
      <w:tabs>
        <w:tab w:val="clear" w:pos="4536"/>
        <w:tab w:val="clear" w:pos="9072"/>
        <w:tab w:val="left" w:pos="8227"/>
      </w:tabs>
      <w:rPr>
        <w:lang w:val="fr-FR"/>
      </w:rPr>
    </w:pPr>
  </w:p>
  <w:p w14:paraId="438C49BF" w14:textId="77777777" w:rsidR="00811EDA" w:rsidRPr="002F4496" w:rsidRDefault="00811EDA">
    <w:pPr>
      <w:pStyle w:val="Encabezado"/>
      <w:rPr>
        <w:lang w:val="fr-FR"/>
      </w:rPr>
    </w:pPr>
  </w:p>
  <w:p w14:paraId="77F5F5FB" w14:textId="77777777" w:rsidR="00811EDA" w:rsidRPr="002F4496" w:rsidRDefault="00811EDA">
    <w:pPr>
      <w:pStyle w:val="Encabezado"/>
      <w:rPr>
        <w:lang w:val="fr-FR"/>
      </w:rPr>
    </w:pPr>
  </w:p>
  <w:p w14:paraId="31EA96F8" w14:textId="77777777" w:rsidR="00811EDA" w:rsidRPr="002F4496" w:rsidRDefault="00811EDA">
    <w:pPr>
      <w:pStyle w:val="Encabezado"/>
      <w:rPr>
        <w:lang w:val="fr-FR"/>
      </w:rPr>
    </w:pPr>
  </w:p>
  <w:p w14:paraId="0FAE7A71" w14:textId="77777777" w:rsidR="00811EDA" w:rsidRPr="002F4496" w:rsidRDefault="00811EDA">
    <w:pPr>
      <w:pStyle w:val="Encabezado"/>
      <w:rPr>
        <w:lang w:val="fr-FR"/>
      </w:rPr>
    </w:pPr>
  </w:p>
  <w:p w14:paraId="339C0C6E" w14:textId="77777777" w:rsidR="00811EDA" w:rsidRPr="002F4496" w:rsidRDefault="00811EDA">
    <w:pPr>
      <w:pStyle w:val="Encabezado"/>
      <w:rPr>
        <w:highlight w:val="yellow"/>
        <w:lang w:val="fr-FR"/>
      </w:rPr>
    </w:pPr>
  </w:p>
  <w:p w14:paraId="0495A777" w14:textId="77777777" w:rsidR="00811EDA" w:rsidRDefault="00DE66EB">
    <w:pPr>
      <w:pStyle w:val="Encabezado"/>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6AE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4B"/>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29F"/>
    <w:rsid w:val="00020D0F"/>
    <w:rsid w:val="000215EB"/>
    <w:rsid w:val="00021E83"/>
    <w:rsid w:val="000229B7"/>
    <w:rsid w:val="00023713"/>
    <w:rsid w:val="00023C4D"/>
    <w:rsid w:val="00025E71"/>
    <w:rsid w:val="00026035"/>
    <w:rsid w:val="00026269"/>
    <w:rsid w:val="00027154"/>
    <w:rsid w:val="00027ECF"/>
    <w:rsid w:val="000303BE"/>
    <w:rsid w:val="000321C9"/>
    <w:rsid w:val="000340ED"/>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1AD8"/>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4A8F"/>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4B91"/>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4C8E"/>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617E"/>
    <w:rsid w:val="0013702E"/>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432"/>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055"/>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11EA"/>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3051"/>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2A1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001"/>
    <w:rsid w:val="002C7DFC"/>
    <w:rsid w:val="002C7F8C"/>
    <w:rsid w:val="002D14F3"/>
    <w:rsid w:val="002D1646"/>
    <w:rsid w:val="002D16E4"/>
    <w:rsid w:val="002D2F02"/>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2F53C9"/>
    <w:rsid w:val="00300624"/>
    <w:rsid w:val="00300F56"/>
    <w:rsid w:val="00301006"/>
    <w:rsid w:val="00303565"/>
    <w:rsid w:val="00304A71"/>
    <w:rsid w:val="003066C8"/>
    <w:rsid w:val="0030739D"/>
    <w:rsid w:val="00307AFB"/>
    <w:rsid w:val="00311184"/>
    <w:rsid w:val="00312675"/>
    <w:rsid w:val="0031354F"/>
    <w:rsid w:val="00314013"/>
    <w:rsid w:val="00314945"/>
    <w:rsid w:val="00315389"/>
    <w:rsid w:val="00315746"/>
    <w:rsid w:val="00315895"/>
    <w:rsid w:val="00315E96"/>
    <w:rsid w:val="00317FC8"/>
    <w:rsid w:val="00320B9B"/>
    <w:rsid w:val="003223D7"/>
    <w:rsid w:val="00323D9F"/>
    <w:rsid w:val="00324011"/>
    <w:rsid w:val="0032449C"/>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8B0"/>
    <w:rsid w:val="00347DC6"/>
    <w:rsid w:val="00350590"/>
    <w:rsid w:val="003507E2"/>
    <w:rsid w:val="003522B2"/>
    <w:rsid w:val="0035455E"/>
    <w:rsid w:val="00354A6F"/>
    <w:rsid w:val="00354A73"/>
    <w:rsid w:val="00354B48"/>
    <w:rsid w:val="00355789"/>
    <w:rsid w:val="003557F4"/>
    <w:rsid w:val="003565E2"/>
    <w:rsid w:val="003567BD"/>
    <w:rsid w:val="00357C60"/>
    <w:rsid w:val="003609B6"/>
    <w:rsid w:val="00361119"/>
    <w:rsid w:val="0036538D"/>
    <w:rsid w:val="00365D12"/>
    <w:rsid w:val="00366314"/>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77A19"/>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5AB9"/>
    <w:rsid w:val="003E68C7"/>
    <w:rsid w:val="003E79B0"/>
    <w:rsid w:val="003F0073"/>
    <w:rsid w:val="003F0403"/>
    <w:rsid w:val="003F1094"/>
    <w:rsid w:val="003F1D41"/>
    <w:rsid w:val="003F1F67"/>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911"/>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5EE3"/>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99B"/>
    <w:rsid w:val="00494D5C"/>
    <w:rsid w:val="00495A6A"/>
    <w:rsid w:val="004964F6"/>
    <w:rsid w:val="00496821"/>
    <w:rsid w:val="00497750"/>
    <w:rsid w:val="00497B44"/>
    <w:rsid w:val="004A00E5"/>
    <w:rsid w:val="004A01A7"/>
    <w:rsid w:val="004A03FB"/>
    <w:rsid w:val="004A0D09"/>
    <w:rsid w:val="004A116E"/>
    <w:rsid w:val="004A1411"/>
    <w:rsid w:val="004A357F"/>
    <w:rsid w:val="004A3DAD"/>
    <w:rsid w:val="004A4AC0"/>
    <w:rsid w:val="004B0335"/>
    <w:rsid w:val="004B0F1C"/>
    <w:rsid w:val="004B1E61"/>
    <w:rsid w:val="004B21AB"/>
    <w:rsid w:val="004B2784"/>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C7DBF"/>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62A"/>
    <w:rsid w:val="004E2E89"/>
    <w:rsid w:val="004E33C2"/>
    <w:rsid w:val="004E35F6"/>
    <w:rsid w:val="004E3B9A"/>
    <w:rsid w:val="004E477A"/>
    <w:rsid w:val="004E49B0"/>
    <w:rsid w:val="004E62DE"/>
    <w:rsid w:val="004E6AE4"/>
    <w:rsid w:val="004E6B05"/>
    <w:rsid w:val="004E76A1"/>
    <w:rsid w:val="004F05DE"/>
    <w:rsid w:val="004F382B"/>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34C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83C"/>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7B"/>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22"/>
    <w:rsid w:val="006000DD"/>
    <w:rsid w:val="00600F63"/>
    <w:rsid w:val="006012E1"/>
    <w:rsid w:val="00602253"/>
    <w:rsid w:val="006023E1"/>
    <w:rsid w:val="006036BB"/>
    <w:rsid w:val="00605531"/>
    <w:rsid w:val="00605B1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123"/>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3FD2"/>
    <w:rsid w:val="007151A2"/>
    <w:rsid w:val="00716774"/>
    <w:rsid w:val="00717B0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0930"/>
    <w:rsid w:val="007431C5"/>
    <w:rsid w:val="00743DE7"/>
    <w:rsid w:val="0074509E"/>
    <w:rsid w:val="00745B9F"/>
    <w:rsid w:val="0074726F"/>
    <w:rsid w:val="0075015C"/>
    <w:rsid w:val="007519A1"/>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83EFF"/>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32D3"/>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186E"/>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2170"/>
    <w:rsid w:val="007F365C"/>
    <w:rsid w:val="007F4A2A"/>
    <w:rsid w:val="007F5066"/>
    <w:rsid w:val="007F59D9"/>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3FB4"/>
    <w:rsid w:val="00824EAF"/>
    <w:rsid w:val="008253A6"/>
    <w:rsid w:val="00825A6B"/>
    <w:rsid w:val="00825C50"/>
    <w:rsid w:val="00826577"/>
    <w:rsid w:val="00826F65"/>
    <w:rsid w:val="00827439"/>
    <w:rsid w:val="00827C79"/>
    <w:rsid w:val="0083003F"/>
    <w:rsid w:val="00831077"/>
    <w:rsid w:val="00831A4A"/>
    <w:rsid w:val="00832134"/>
    <w:rsid w:val="0083219E"/>
    <w:rsid w:val="00834421"/>
    <w:rsid w:val="0083497C"/>
    <w:rsid w:val="008352A6"/>
    <w:rsid w:val="00835B01"/>
    <w:rsid w:val="00835B5B"/>
    <w:rsid w:val="008367AE"/>
    <w:rsid w:val="00836E50"/>
    <w:rsid w:val="00840477"/>
    <w:rsid w:val="0084121D"/>
    <w:rsid w:val="008419C1"/>
    <w:rsid w:val="00842063"/>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ADC"/>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35A9"/>
    <w:rsid w:val="008B4C79"/>
    <w:rsid w:val="008B5D2D"/>
    <w:rsid w:val="008B6022"/>
    <w:rsid w:val="008B6361"/>
    <w:rsid w:val="008C0320"/>
    <w:rsid w:val="008C1A51"/>
    <w:rsid w:val="008C2A7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E6EE4"/>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4733"/>
    <w:rsid w:val="009452D7"/>
    <w:rsid w:val="00945FD1"/>
    <w:rsid w:val="00946CCC"/>
    <w:rsid w:val="00947411"/>
    <w:rsid w:val="00947A5F"/>
    <w:rsid w:val="009503E5"/>
    <w:rsid w:val="00950F71"/>
    <w:rsid w:val="00952F2C"/>
    <w:rsid w:val="009532E3"/>
    <w:rsid w:val="00953615"/>
    <w:rsid w:val="00953A42"/>
    <w:rsid w:val="00954BAF"/>
    <w:rsid w:val="00955F48"/>
    <w:rsid w:val="00955FE3"/>
    <w:rsid w:val="009560B3"/>
    <w:rsid w:val="0095745E"/>
    <w:rsid w:val="00957CE0"/>
    <w:rsid w:val="0096002E"/>
    <w:rsid w:val="0096039E"/>
    <w:rsid w:val="00960917"/>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71D"/>
    <w:rsid w:val="00987829"/>
    <w:rsid w:val="00991276"/>
    <w:rsid w:val="009923E7"/>
    <w:rsid w:val="00992697"/>
    <w:rsid w:val="00992D4E"/>
    <w:rsid w:val="00993D1B"/>
    <w:rsid w:val="00994621"/>
    <w:rsid w:val="009947FF"/>
    <w:rsid w:val="0099544B"/>
    <w:rsid w:val="00995C45"/>
    <w:rsid w:val="00996770"/>
    <w:rsid w:val="009A053D"/>
    <w:rsid w:val="009A07A6"/>
    <w:rsid w:val="009A0D56"/>
    <w:rsid w:val="009A2677"/>
    <w:rsid w:val="009A3017"/>
    <w:rsid w:val="009A31B9"/>
    <w:rsid w:val="009A4D4F"/>
    <w:rsid w:val="009A53D8"/>
    <w:rsid w:val="009A597F"/>
    <w:rsid w:val="009A7B72"/>
    <w:rsid w:val="009A7F49"/>
    <w:rsid w:val="009B03C4"/>
    <w:rsid w:val="009B0AA2"/>
    <w:rsid w:val="009B1D02"/>
    <w:rsid w:val="009B7133"/>
    <w:rsid w:val="009B7658"/>
    <w:rsid w:val="009B7781"/>
    <w:rsid w:val="009B7CD1"/>
    <w:rsid w:val="009B7E22"/>
    <w:rsid w:val="009B7E78"/>
    <w:rsid w:val="009C10FE"/>
    <w:rsid w:val="009C13BC"/>
    <w:rsid w:val="009C1CA4"/>
    <w:rsid w:val="009C2532"/>
    <w:rsid w:val="009C2BA4"/>
    <w:rsid w:val="009C56E8"/>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2FC"/>
    <w:rsid w:val="00A37435"/>
    <w:rsid w:val="00A40DA9"/>
    <w:rsid w:val="00A4173D"/>
    <w:rsid w:val="00A41A95"/>
    <w:rsid w:val="00A4248B"/>
    <w:rsid w:val="00A436B3"/>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47F"/>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3B10"/>
    <w:rsid w:val="00AA46CE"/>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2BD7"/>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07"/>
    <w:rsid w:val="00AF3C29"/>
    <w:rsid w:val="00AF4401"/>
    <w:rsid w:val="00AF4463"/>
    <w:rsid w:val="00AF53CB"/>
    <w:rsid w:val="00AF5D6D"/>
    <w:rsid w:val="00AF65C5"/>
    <w:rsid w:val="00B03CE2"/>
    <w:rsid w:val="00B04F53"/>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A07"/>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87D9B"/>
    <w:rsid w:val="00B91B86"/>
    <w:rsid w:val="00B927CA"/>
    <w:rsid w:val="00B928AE"/>
    <w:rsid w:val="00B92A3A"/>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282"/>
    <w:rsid w:val="00BA647A"/>
    <w:rsid w:val="00BA64B3"/>
    <w:rsid w:val="00BA7228"/>
    <w:rsid w:val="00BA754A"/>
    <w:rsid w:val="00BA7820"/>
    <w:rsid w:val="00BA794C"/>
    <w:rsid w:val="00BB09FB"/>
    <w:rsid w:val="00BB1617"/>
    <w:rsid w:val="00BB238D"/>
    <w:rsid w:val="00BB2A9F"/>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778B6"/>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3EBF"/>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43C9"/>
    <w:rsid w:val="00D366B1"/>
    <w:rsid w:val="00D370F0"/>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4375"/>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1148"/>
    <w:rsid w:val="00DB2BDD"/>
    <w:rsid w:val="00DB4121"/>
    <w:rsid w:val="00DB46C3"/>
    <w:rsid w:val="00DB5742"/>
    <w:rsid w:val="00DB5EDF"/>
    <w:rsid w:val="00DB6C46"/>
    <w:rsid w:val="00DB72B8"/>
    <w:rsid w:val="00DC16AF"/>
    <w:rsid w:val="00DC2A9A"/>
    <w:rsid w:val="00DC2E2E"/>
    <w:rsid w:val="00DC4D68"/>
    <w:rsid w:val="00DC6463"/>
    <w:rsid w:val="00DC7822"/>
    <w:rsid w:val="00DC7841"/>
    <w:rsid w:val="00DC7AF1"/>
    <w:rsid w:val="00DD2D92"/>
    <w:rsid w:val="00DD3026"/>
    <w:rsid w:val="00DD33DC"/>
    <w:rsid w:val="00DD3BB0"/>
    <w:rsid w:val="00DD4A46"/>
    <w:rsid w:val="00DD61F5"/>
    <w:rsid w:val="00DD6DAE"/>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4D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172"/>
    <w:rsid w:val="00E43536"/>
    <w:rsid w:val="00E43DA3"/>
    <w:rsid w:val="00E44B80"/>
    <w:rsid w:val="00E47430"/>
    <w:rsid w:val="00E50FB7"/>
    <w:rsid w:val="00E5199F"/>
    <w:rsid w:val="00E526DF"/>
    <w:rsid w:val="00E53C15"/>
    <w:rsid w:val="00E54EE6"/>
    <w:rsid w:val="00E56715"/>
    <w:rsid w:val="00E56C2C"/>
    <w:rsid w:val="00E57F8E"/>
    <w:rsid w:val="00E6118E"/>
    <w:rsid w:val="00E611C8"/>
    <w:rsid w:val="00E63256"/>
    <w:rsid w:val="00E6344A"/>
    <w:rsid w:val="00E64541"/>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298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4011"/>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0926"/>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4AE8"/>
    <w:rsid w:val="00F77D43"/>
    <w:rsid w:val="00F80953"/>
    <w:rsid w:val="00F81312"/>
    <w:rsid w:val="00F81B90"/>
    <w:rsid w:val="00F81E6F"/>
    <w:rsid w:val="00F82F25"/>
    <w:rsid w:val="00F82FF3"/>
    <w:rsid w:val="00F84526"/>
    <w:rsid w:val="00F8453C"/>
    <w:rsid w:val="00F84D4C"/>
    <w:rsid w:val="00F84E22"/>
    <w:rsid w:val="00F8657D"/>
    <w:rsid w:val="00F8730F"/>
    <w:rsid w:val="00F87631"/>
    <w:rsid w:val="00F87DA3"/>
    <w:rsid w:val="00F90004"/>
    <w:rsid w:val="00F90EF4"/>
    <w:rsid w:val="00F91635"/>
    <w:rsid w:val="00F917BF"/>
    <w:rsid w:val="00F920B4"/>
    <w:rsid w:val="00F9260D"/>
    <w:rsid w:val="00F92727"/>
    <w:rsid w:val="00F93CCF"/>
    <w:rsid w:val="00F94307"/>
    <w:rsid w:val="00F957BE"/>
    <w:rsid w:val="00F9580B"/>
    <w:rsid w:val="00F95F15"/>
    <w:rsid w:val="00F968C6"/>
    <w:rsid w:val="00F975CA"/>
    <w:rsid w:val="00FA0B60"/>
    <w:rsid w:val="00FA2525"/>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BB3"/>
    <w:rsid w:val="00FD5EC4"/>
    <w:rsid w:val="00FD7858"/>
    <w:rsid w:val="00FD7A8D"/>
    <w:rsid w:val="00FE1330"/>
    <w:rsid w:val="00FE16FB"/>
    <w:rsid w:val="00FE1CE5"/>
    <w:rsid w:val="00FE2832"/>
    <w:rsid w:val="00FE2D38"/>
    <w:rsid w:val="00FE3929"/>
    <w:rsid w:val="00FE40D3"/>
    <w:rsid w:val="00FE5931"/>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492B3A"/>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7575150">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1427882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01072543">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720744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2953208">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6223280">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5.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2046</Words>
  <Characters>11488</Characters>
  <Application>Microsoft Office Word</Application>
  <DocSecurity>12</DocSecurity>
  <Lines>95</Lines>
  <Paragraphs>27</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13507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Pilar Martinez Martinez</cp:lastModifiedBy>
  <cp:revision>2</cp:revision>
  <cp:lastPrinted>2015-02-18T11:01:00Z</cp:lastPrinted>
  <dcterms:created xsi:type="dcterms:W3CDTF">2021-12-23T14:19:00Z</dcterms:created>
  <dcterms:modified xsi:type="dcterms:W3CDTF">2021-12-23T14:19:00Z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y fmtid="{D5CDD505-2E9C-101B-9397-08002B2CF9AE}" pid="20" name="MSIP_Label_a119c9c6-c312-493f-bc91-1871f81047af_Enabled">
    <vt:lpwstr>True</vt:lpwstr>
  </property>
  <property fmtid="{D5CDD505-2E9C-101B-9397-08002B2CF9AE}" pid="21" name="MSIP_Label_a119c9c6-c312-493f-bc91-1871f81047af_SiteId">
    <vt:lpwstr>faac5f16-6c6a-4379-bf59-205b22f007ec</vt:lpwstr>
  </property>
  <property fmtid="{D5CDD505-2E9C-101B-9397-08002B2CF9AE}" pid="22" name="MSIP_Label_a119c9c6-c312-493f-bc91-1871f81047af_Owner">
    <vt:lpwstr>tgisbert@grupobme.es</vt:lpwstr>
  </property>
  <property fmtid="{D5CDD505-2E9C-101B-9397-08002B2CF9AE}" pid="23" name="MSIP_Label_a119c9c6-c312-493f-bc91-1871f81047af_SetDate">
    <vt:lpwstr>2021-11-24T09:47:38.1400588Z</vt:lpwstr>
  </property>
  <property fmtid="{D5CDD505-2E9C-101B-9397-08002B2CF9AE}" pid="24" name="MSIP_Label_a119c9c6-c312-493f-bc91-1871f81047af_Name">
    <vt:lpwstr>Internal</vt:lpwstr>
  </property>
  <property fmtid="{D5CDD505-2E9C-101B-9397-08002B2CF9AE}" pid="25" name="MSIP_Label_a119c9c6-c312-493f-bc91-1871f81047af_Application">
    <vt:lpwstr>Microsoft Azure Information Protection</vt:lpwstr>
  </property>
  <property fmtid="{D5CDD505-2E9C-101B-9397-08002B2CF9AE}" pid="26" name="MSIP_Label_a119c9c6-c312-493f-bc91-1871f81047af_ActionId">
    <vt:lpwstr>e9a44e17-5ee9-41ee-bcc0-797f01e23cac</vt:lpwstr>
  </property>
  <property fmtid="{D5CDD505-2E9C-101B-9397-08002B2CF9AE}" pid="27" name="MSIP_Label_a119c9c6-c312-493f-bc91-1871f81047af_Extended_MSFT_Method">
    <vt:lpwstr>Automatic</vt:lpwstr>
  </property>
  <property fmtid="{D5CDD505-2E9C-101B-9397-08002B2CF9AE}" pid="28" name="Sensitivity">
    <vt:lpwstr>Internal</vt:lpwstr>
  </property>
</Properties>
</file>