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415EF3" w14:paraId="17398EBE" w14:textId="77777777" w:rsidTr="00D12C97">
        <w:trPr>
          <w:trHeight w:hRule="exact" w:val="3014"/>
        </w:trPr>
        <w:tc>
          <w:tcPr>
            <w:tcW w:w="5102" w:type="dxa"/>
          </w:tcPr>
          <w:p w14:paraId="1565B91B" w14:textId="77777777" w:rsidR="00B51CB0" w:rsidRPr="00805DBB" w:rsidRDefault="00650AE5" w:rsidP="00CE5D6F">
            <w:r>
              <w:rPr>
                <w:lang w:val="fi-FI"/>
              </w:rPr>
              <w:br/>
            </w:r>
          </w:p>
          <w:p w14:paraId="5E16825C" w14:textId="77777777" w:rsidR="00CB2954" w:rsidRPr="00B22761" w:rsidRDefault="00CB2954" w:rsidP="00415EF3">
            <w:pPr>
              <w:rPr>
                <w:sz w:val="52"/>
                <w:szCs w:val="52"/>
                <w:lang w:val="fi-FI"/>
              </w:rPr>
            </w:pPr>
          </w:p>
        </w:tc>
        <w:tc>
          <w:tcPr>
            <w:tcW w:w="4649" w:type="dxa"/>
          </w:tcPr>
          <w:p w14:paraId="2093DF5C" w14:textId="77777777" w:rsidR="00642235" w:rsidRPr="00D364F4" w:rsidRDefault="00642235" w:rsidP="00CE5D6F">
            <w:pPr>
              <w:spacing w:line="220" w:lineRule="atLeast"/>
              <w:jc w:val="right"/>
              <w:rPr>
                <w:b/>
                <w:bCs/>
                <w:color w:val="000000"/>
                <w:sz w:val="6"/>
                <w:szCs w:val="6"/>
                <w:lang w:val="fi-FI"/>
              </w:rPr>
            </w:pPr>
          </w:p>
          <w:p w14:paraId="63ECA164" w14:textId="77777777" w:rsidR="00642235" w:rsidRPr="00D364F4" w:rsidRDefault="00642235" w:rsidP="00CE5D6F">
            <w:pPr>
              <w:spacing w:line="220" w:lineRule="atLeast"/>
              <w:jc w:val="right"/>
              <w:rPr>
                <w:b/>
                <w:bCs/>
                <w:color w:val="000000"/>
                <w:sz w:val="6"/>
                <w:szCs w:val="6"/>
                <w:lang w:val="fi-FI"/>
              </w:rPr>
            </w:pPr>
          </w:p>
          <w:p w14:paraId="07F8526C" w14:textId="77777777" w:rsidR="00642235" w:rsidRPr="00D364F4" w:rsidRDefault="00642235" w:rsidP="00CE5D6F">
            <w:pPr>
              <w:spacing w:line="220" w:lineRule="atLeast"/>
              <w:jc w:val="right"/>
              <w:rPr>
                <w:b/>
                <w:bCs/>
                <w:color w:val="000000"/>
                <w:sz w:val="6"/>
                <w:szCs w:val="6"/>
                <w:lang w:val="fi-FI"/>
              </w:rPr>
            </w:pPr>
          </w:p>
          <w:p w14:paraId="5C7EAB96" w14:textId="77777777"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14:paraId="028975BC" w14:textId="77777777"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14:paraId="6E765169"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14:paraId="4C1E181E" w14:textId="77777777"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14:paraId="399001C1" w14:textId="77777777"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14:paraId="64A00E32" w14:textId="77777777"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14:paraId="6B4D8022" w14:textId="77777777"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14:paraId="1625C234" w14:textId="77777777"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14:paraId="4197FAB0" w14:textId="5BC1C4A6" w:rsidR="00E754C8" w:rsidRDefault="00642235" w:rsidP="00AE5CCD">
      <w:pPr>
        <w:tabs>
          <w:tab w:val="left" w:pos="2892"/>
          <w:tab w:val="left" w:pos="5783"/>
          <w:tab w:val="left" w:pos="7655"/>
        </w:tabs>
        <w:rPr>
          <w:color w:val="000000"/>
          <w:sz w:val="24"/>
          <w:szCs w:val="24"/>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550009">
        <w:rPr>
          <w:noProof/>
          <w:color w:val="000000"/>
          <w:lang w:val="en-GB"/>
        </w:rPr>
        <w:t>64</w:t>
      </w:r>
      <w:r w:rsidR="00641DC4" w:rsidRPr="00DC0A36">
        <w:rPr>
          <w:noProof/>
          <w:color w:val="000000"/>
          <w:lang w:val="en-GB"/>
        </w:rPr>
        <w:t>/</w:t>
      </w:r>
      <w:r w:rsidR="0019020E">
        <w:rPr>
          <w:noProof/>
          <w:color w:val="000000"/>
          <w:lang w:val="en-GB"/>
        </w:rPr>
        <w:t>Ho</w:t>
      </w:r>
      <w:r w:rsidR="00AE5CCD">
        <w:rPr>
          <w:noProof/>
          <w:color w:val="000000"/>
          <w:lang w:val="en-GB"/>
        </w:rPr>
        <w:t>rvath</w:t>
      </w:r>
      <w:r w:rsidR="00641DC4" w:rsidRPr="00DC0A36">
        <w:rPr>
          <w:noProof/>
          <w:color w:val="000000"/>
          <w:lang w:val="en-GB"/>
        </w:rPr>
        <w:tab/>
        <w:t>31</w:t>
      </w:r>
      <w:r w:rsidR="00CE5D6F">
        <w:rPr>
          <w:noProof/>
          <w:color w:val="000000"/>
          <w:lang w:val="en-GB"/>
        </w:rPr>
        <w:t>41</w:t>
      </w:r>
      <w:r w:rsidRPr="00DC0A36">
        <w:rPr>
          <w:color w:val="000000"/>
          <w:lang w:val="en-GB"/>
        </w:rPr>
        <w:tab/>
      </w:r>
      <w:r w:rsidR="00415EF3">
        <w:rPr>
          <w:color w:val="000000"/>
          <w:lang w:val="en-GB"/>
        </w:rPr>
        <w:t>13</w:t>
      </w:r>
      <w:r w:rsidR="00E46914" w:rsidRPr="00E46914">
        <w:rPr>
          <w:color w:val="000000"/>
          <w:vertAlign w:val="superscript"/>
          <w:lang w:val="en-GB"/>
        </w:rPr>
        <w:t>h</w:t>
      </w:r>
      <w:r w:rsidR="00E46914">
        <w:rPr>
          <w:color w:val="000000"/>
          <w:lang w:val="en-GB"/>
        </w:rPr>
        <w:t xml:space="preserve"> </w:t>
      </w:r>
      <w:r w:rsidR="00550009">
        <w:rPr>
          <w:color w:val="000000"/>
          <w:lang w:val="en-GB"/>
        </w:rPr>
        <w:t>Oct</w:t>
      </w:r>
      <w:r w:rsidR="00AE5CCD">
        <w:rPr>
          <w:color w:val="000000"/>
          <w:lang w:val="en-GB"/>
        </w:rPr>
        <w:t xml:space="preserve"> </w:t>
      </w:r>
      <w:r w:rsidR="00D82226" w:rsidRPr="00DC0A36">
        <w:rPr>
          <w:color w:val="000000"/>
          <w:lang w:val="en-GB"/>
        </w:rPr>
        <w:t>20</w:t>
      </w:r>
      <w:r w:rsidR="00AE5CCD">
        <w:rPr>
          <w:color w:val="000000"/>
          <w:lang w:val="en-GB"/>
        </w:rPr>
        <w:t>2</w:t>
      </w:r>
      <w:r w:rsidR="00550009">
        <w:rPr>
          <w:color w:val="000000"/>
          <w:lang w:val="en-GB"/>
        </w:rPr>
        <w:t>1</w:t>
      </w:r>
    </w:p>
    <w:p w14:paraId="7E791BCF" w14:textId="77777777" w:rsidR="00A82C13" w:rsidRPr="00DC0A36" w:rsidRDefault="00A82C13" w:rsidP="00CE5D6F">
      <w:pPr>
        <w:rPr>
          <w:color w:val="000000"/>
          <w:sz w:val="24"/>
          <w:szCs w:val="24"/>
          <w:lang w:val="en-GB"/>
        </w:rPr>
      </w:pPr>
    </w:p>
    <w:p w14:paraId="2DC765CA" w14:textId="03F6BE75" w:rsidR="00D76ABE" w:rsidRPr="00D76ABE" w:rsidRDefault="00D76ABE" w:rsidP="00A7509A">
      <w:pPr>
        <w:pStyle w:val="xmsonormal"/>
        <w:spacing w:line="276" w:lineRule="auto"/>
        <w:jc w:val="center"/>
        <w:rPr>
          <w:b/>
          <w:sz w:val="24"/>
          <w:szCs w:val="24"/>
          <w:lang w:val="en-US"/>
        </w:rPr>
      </w:pPr>
      <w:r>
        <w:rPr>
          <w:b/>
          <w:sz w:val="24"/>
          <w:szCs w:val="24"/>
          <w:lang w:val="en-US"/>
        </w:rPr>
        <w:t xml:space="preserve">Comments on the </w:t>
      </w:r>
      <w:r w:rsidRPr="00D76ABE">
        <w:rPr>
          <w:b/>
          <w:sz w:val="24"/>
          <w:szCs w:val="24"/>
          <w:lang w:val="en-US"/>
        </w:rPr>
        <w:t xml:space="preserve">Consultation Paper </w:t>
      </w:r>
    </w:p>
    <w:p w14:paraId="0C933332" w14:textId="3752C82E" w:rsidR="00A7509A" w:rsidRPr="00D76ABE" w:rsidRDefault="00D76ABE" w:rsidP="00A7509A">
      <w:pPr>
        <w:pStyle w:val="xmsonormal"/>
        <w:spacing w:line="276" w:lineRule="auto"/>
        <w:jc w:val="center"/>
        <w:rPr>
          <w:rFonts w:cs="Arial"/>
          <w:b/>
          <w:color w:val="000000"/>
          <w:sz w:val="28"/>
          <w:szCs w:val="28"/>
          <w:lang w:val="en-GB" w:eastAsia="en-US"/>
        </w:rPr>
      </w:pPr>
      <w:r w:rsidRPr="00D76ABE">
        <w:rPr>
          <w:b/>
          <w:sz w:val="24"/>
          <w:szCs w:val="24"/>
          <w:lang w:val="en-US"/>
        </w:rPr>
        <w:t>Guidelines on certain aspects of the MiFID II remuneration requirements</w:t>
      </w:r>
    </w:p>
    <w:p w14:paraId="2A8DF9E1" w14:textId="77777777" w:rsidR="00AE5CCD" w:rsidRPr="00AE5CCD" w:rsidRDefault="00AE5CCD" w:rsidP="00AE5CCD">
      <w:pPr>
        <w:autoSpaceDE w:val="0"/>
        <w:autoSpaceDN w:val="0"/>
        <w:adjustRightInd w:val="0"/>
        <w:spacing w:line="240" w:lineRule="auto"/>
        <w:rPr>
          <w:rFonts w:ascii="Calibri" w:hAnsi="Calibri" w:cs="Calibri"/>
          <w:snapToGrid/>
          <w:color w:val="000000"/>
          <w:sz w:val="24"/>
          <w:szCs w:val="24"/>
          <w:lang w:val="hr-HR"/>
        </w:rPr>
      </w:pPr>
    </w:p>
    <w:p w14:paraId="23B80621" w14:textId="19EC6042" w:rsidR="0019020E" w:rsidRPr="00A7509A" w:rsidRDefault="00E46914" w:rsidP="00A7509A">
      <w:pPr>
        <w:spacing w:line="264" w:lineRule="auto"/>
        <w:rPr>
          <w:rFonts w:cs="Arial"/>
          <w:lang w:val="en-GB"/>
        </w:rPr>
      </w:pPr>
      <w:r w:rsidRPr="00A7509A">
        <w:rPr>
          <w:lang w:val="en-GB"/>
        </w:rPr>
        <w:t>The Division Bank and Insurance of the Austrian Federal Economic Chamber, as legal representative of the entire Austrian banking</w:t>
      </w:r>
      <w:r w:rsidR="00AE5CCD" w:rsidRPr="00A7509A">
        <w:rPr>
          <w:lang w:val="en-GB"/>
        </w:rPr>
        <w:t xml:space="preserve"> and insurance</w:t>
      </w:r>
      <w:r w:rsidRPr="00A7509A">
        <w:rPr>
          <w:lang w:val="en-GB"/>
        </w:rPr>
        <w:t xml:space="preserve"> industry, appreciates the possibility to</w:t>
      </w:r>
      <w:r w:rsidRPr="00A7509A">
        <w:rPr>
          <w:rFonts w:cs="Arial"/>
          <w:lang w:val="en-GB" w:eastAsia="en-US"/>
        </w:rPr>
        <w:t xml:space="preserve"> comment on </w:t>
      </w:r>
      <w:r w:rsidR="00B84738" w:rsidRPr="00A7509A">
        <w:rPr>
          <w:rFonts w:cs="Arial"/>
          <w:lang w:val="en-GB"/>
        </w:rPr>
        <w:t>the above cited</w:t>
      </w:r>
      <w:r w:rsidR="0019020E" w:rsidRPr="00A7509A">
        <w:rPr>
          <w:rFonts w:cs="Arial"/>
          <w:lang w:val="en-GB"/>
        </w:rPr>
        <w:t xml:space="preserve"> </w:t>
      </w:r>
      <w:r w:rsidR="00A7509A" w:rsidRPr="00A7509A">
        <w:rPr>
          <w:rFonts w:cs="Arial"/>
          <w:lang w:val="en-GB"/>
        </w:rPr>
        <w:t>Draft</w:t>
      </w:r>
      <w:r w:rsidR="0019020E" w:rsidRPr="00A7509A">
        <w:rPr>
          <w:rFonts w:cs="Arial"/>
          <w:lang w:val="en-GB"/>
        </w:rPr>
        <w:t xml:space="preserve"> Document.</w:t>
      </w:r>
      <w:r w:rsidR="00B84738" w:rsidRPr="00A7509A">
        <w:rPr>
          <w:rFonts w:cs="Arial"/>
          <w:lang w:val="en-GB"/>
        </w:rPr>
        <w:t xml:space="preserve"> W</w:t>
      </w:r>
      <w:r w:rsidR="0019020E" w:rsidRPr="00A7509A">
        <w:rPr>
          <w:rFonts w:cs="Arial"/>
          <w:lang w:val="en-GB"/>
        </w:rPr>
        <w:t>e would like to note the following comments and remarks</w:t>
      </w:r>
      <w:r w:rsidR="00B84738" w:rsidRPr="00A7509A">
        <w:rPr>
          <w:rFonts w:cs="Arial"/>
          <w:lang w:val="en-GB"/>
        </w:rPr>
        <w:t>.</w:t>
      </w:r>
    </w:p>
    <w:p w14:paraId="68442BD1" w14:textId="6552BD60" w:rsidR="00A7509A" w:rsidRPr="00550009" w:rsidRDefault="00A7509A" w:rsidP="00A7509A">
      <w:pPr>
        <w:pStyle w:val="xmsonormal"/>
        <w:spacing w:line="276" w:lineRule="auto"/>
        <w:rPr>
          <w:rFonts w:cstheme="minorHAnsi"/>
          <w:b/>
          <w:bCs/>
          <w:u w:val="single"/>
          <w:lang w:val="en-GB"/>
        </w:rPr>
      </w:pPr>
    </w:p>
    <w:p w14:paraId="735D4BF7" w14:textId="77777777" w:rsidR="00550009" w:rsidRPr="00550009" w:rsidRDefault="00550009" w:rsidP="00550009">
      <w:pPr>
        <w:rPr>
          <w:rFonts w:cs="Calibri"/>
          <w:snapToGrid/>
          <w:u w:val="single"/>
          <w:lang w:val="en-US"/>
        </w:rPr>
      </w:pPr>
      <w:r w:rsidRPr="00550009">
        <w:rPr>
          <w:u w:val="single"/>
          <w:lang w:val="en-US"/>
        </w:rPr>
        <w:t>General comments:</w:t>
      </w:r>
    </w:p>
    <w:p w14:paraId="5D382569" w14:textId="226615DF" w:rsidR="00550009" w:rsidRDefault="00550009" w:rsidP="00550009">
      <w:pPr>
        <w:rPr>
          <w:lang w:val="en-US"/>
        </w:rPr>
      </w:pPr>
      <w:r w:rsidRPr="00550009">
        <w:rPr>
          <w:lang w:val="en-US"/>
        </w:rPr>
        <w:t>We agree that the incorporation of the MiFID II rules is necessary, but anything beyond that is excessive and does not make sense at this state. The ESMA regulations in 2013 were already more detailed than MiFID regulated at that time and they have been introduced in most of the firms in recent years. From our point of view, there is no need to tighten the regulations beyond this, the introduced regulations can now also be tested for suitability and have so far proven to avoid conflicts of interest in the area of remuneration. Constant changes in the regulations would mean that introduced systems cannot prove themselves, especially since there are no indications for changes due to a higher number of complaints, damage claims or findings from supervisory audits regarding this topic.</w:t>
      </w:r>
    </w:p>
    <w:p w14:paraId="4161DBBC" w14:textId="62379F53" w:rsidR="00C159FE" w:rsidRDefault="00C159FE" w:rsidP="00550009">
      <w:pPr>
        <w:rPr>
          <w:lang w:val="en-US"/>
        </w:rPr>
      </w:pPr>
    </w:p>
    <w:p w14:paraId="0AE81FCD" w14:textId="1907F8F3" w:rsidR="00C159FE" w:rsidRPr="00550009" w:rsidRDefault="00C159FE" w:rsidP="00550009">
      <w:pPr>
        <w:rPr>
          <w:lang w:val="en-US"/>
        </w:rPr>
      </w:pPr>
      <w:r>
        <w:rPr>
          <w:lang w:val="en-US"/>
        </w:rPr>
        <w:t>It</w:t>
      </w:r>
      <w:r w:rsidRPr="00C159FE">
        <w:rPr>
          <w:lang w:val="en-US"/>
        </w:rPr>
        <w:t xml:space="preserve"> is noticeable that the regulation of fixed remuneration components (in addition to variable remuneration) is being proposed.</w:t>
      </w:r>
      <w:r>
        <w:rPr>
          <w:lang w:val="en-US"/>
        </w:rPr>
        <w:t xml:space="preserve"> However, t</w:t>
      </w:r>
      <w:r w:rsidRPr="00C159FE">
        <w:rPr>
          <w:lang w:val="en-US"/>
        </w:rPr>
        <w:t>he fixed salary of an employee is not based on changing criteria and there is no conflict of interests with customer interests, which is why the inclusion of the fixed remuneration (in the sense of the current salary) in the matter to be regulated seems excessive.</w:t>
      </w:r>
    </w:p>
    <w:p w14:paraId="4E000F86" w14:textId="77777777" w:rsidR="00550009" w:rsidRPr="00550009" w:rsidRDefault="00550009" w:rsidP="00550009">
      <w:pPr>
        <w:rPr>
          <w:lang w:val="en-US"/>
        </w:rPr>
      </w:pPr>
    </w:p>
    <w:p w14:paraId="73607479" w14:textId="77777777" w:rsidR="00550009" w:rsidRPr="00550009" w:rsidRDefault="00550009" w:rsidP="00550009">
      <w:pPr>
        <w:rPr>
          <w:lang w:val="en-US"/>
        </w:rPr>
      </w:pPr>
      <w:r w:rsidRPr="00550009">
        <w:rPr>
          <w:lang w:val="en-US"/>
        </w:rPr>
        <w:t xml:space="preserve">We want to highlight a few topics mentioned in the </w:t>
      </w:r>
      <w:r w:rsidRPr="00550009">
        <w:rPr>
          <w:b/>
          <w:bCs/>
          <w:u w:val="single"/>
          <w:lang w:val="en-US"/>
        </w:rPr>
        <w:t>Questions</w:t>
      </w:r>
      <w:r w:rsidRPr="00550009">
        <w:rPr>
          <w:lang w:val="en-US"/>
        </w:rPr>
        <w:t xml:space="preserve"> and in the </w:t>
      </w:r>
      <w:r w:rsidRPr="00550009">
        <w:rPr>
          <w:b/>
          <w:bCs/>
          <w:u w:val="single"/>
          <w:lang w:val="en-US"/>
        </w:rPr>
        <w:t>draft</w:t>
      </w:r>
      <w:r w:rsidRPr="00550009">
        <w:rPr>
          <w:lang w:val="en-US"/>
        </w:rPr>
        <w:t xml:space="preserve"> of the guidelines:</w:t>
      </w:r>
    </w:p>
    <w:p w14:paraId="56613C45" w14:textId="77777777" w:rsidR="00550009" w:rsidRPr="00550009" w:rsidRDefault="00550009" w:rsidP="00550009">
      <w:pPr>
        <w:rPr>
          <w:u w:val="single"/>
          <w:lang w:val="en-US"/>
        </w:rPr>
      </w:pPr>
    </w:p>
    <w:p w14:paraId="6B51F5B6" w14:textId="77777777" w:rsidR="00550009" w:rsidRPr="00550009" w:rsidRDefault="00550009" w:rsidP="00550009">
      <w:pPr>
        <w:rPr>
          <w:i/>
          <w:lang w:val="en-US"/>
        </w:rPr>
      </w:pPr>
      <w:r w:rsidRPr="00550009">
        <w:rPr>
          <w:i/>
          <w:u w:val="single"/>
          <w:lang w:val="en-US"/>
        </w:rPr>
        <w:t>Q1-Q2: fixed remuneration and career progression:</w:t>
      </w:r>
      <w:r w:rsidRPr="00550009">
        <w:rPr>
          <w:i/>
          <w:lang w:val="en-US"/>
        </w:rPr>
        <w:t xml:space="preserve"> </w:t>
      </w:r>
    </w:p>
    <w:p w14:paraId="424C2E5E" w14:textId="77777777" w:rsidR="00550009" w:rsidRPr="00550009" w:rsidRDefault="00550009" w:rsidP="00550009">
      <w:pPr>
        <w:rPr>
          <w:i/>
          <w:lang w:val="en-US"/>
        </w:rPr>
      </w:pPr>
      <w:r w:rsidRPr="00550009">
        <w:rPr>
          <w:i/>
          <w:lang w:val="en-US"/>
        </w:rPr>
        <w:t>Q1: Do you agree that career progression is likely to have an impact on fixed remuneration and that, consequently, firms should define appropriate criteria to align the interests of the relevant persons or the firms and that of the clients in respect of all types of remuneration (not just in respect of variable remuneration)? Please also state the reasons for your answer.</w:t>
      </w:r>
    </w:p>
    <w:p w14:paraId="7F9BB1AC" w14:textId="77777777" w:rsidR="00550009" w:rsidRPr="00550009" w:rsidRDefault="00550009" w:rsidP="00550009">
      <w:pPr>
        <w:rPr>
          <w:i/>
          <w:lang w:val="en-US"/>
        </w:rPr>
      </w:pPr>
      <w:r w:rsidRPr="00550009">
        <w:rPr>
          <w:i/>
          <w:lang w:val="en-US"/>
        </w:rPr>
        <w:t>Q2: Do you agree with the suggested approach on career progression? Please also state the reasons for your answer.</w:t>
      </w:r>
    </w:p>
    <w:p w14:paraId="12FC1869" w14:textId="77777777" w:rsidR="00550009" w:rsidRPr="00550009" w:rsidRDefault="00550009" w:rsidP="00550009">
      <w:pPr>
        <w:rPr>
          <w:lang w:val="en-US"/>
        </w:rPr>
      </w:pPr>
    </w:p>
    <w:p w14:paraId="0DD269AD" w14:textId="69E8A8B1" w:rsidR="00696866" w:rsidRPr="00696866" w:rsidRDefault="00550009" w:rsidP="00696866">
      <w:pPr>
        <w:rPr>
          <w:lang w:val="en-GB"/>
        </w:rPr>
      </w:pPr>
      <w:r w:rsidRPr="00550009">
        <w:rPr>
          <w:lang w:val="en-US"/>
        </w:rPr>
        <w:t xml:space="preserve">A: </w:t>
      </w:r>
      <w:r w:rsidR="00696866" w:rsidRPr="00696866">
        <w:rPr>
          <w:lang w:val="en-GB"/>
        </w:rPr>
        <w:t xml:space="preserve">In particular, we oppose the inclusion of all types of remuneration (also fixed remuneration) in the scope of the GL. The fixed remuneration as the ongoing salary is not used for rewarding sales results and so there’s no danger to act detrimentally to the clients’ interests. </w:t>
      </w:r>
      <w:r w:rsidR="00696866">
        <w:rPr>
          <w:lang w:val="en-US"/>
        </w:rPr>
        <w:t>W</w:t>
      </w:r>
      <w:r w:rsidRPr="00550009">
        <w:rPr>
          <w:lang w:val="en-US"/>
        </w:rPr>
        <w:t xml:space="preserve">e </w:t>
      </w:r>
      <w:r w:rsidR="00696866">
        <w:rPr>
          <w:lang w:val="en-US"/>
        </w:rPr>
        <w:t xml:space="preserve">also </w:t>
      </w:r>
      <w:r w:rsidRPr="00550009">
        <w:rPr>
          <w:lang w:val="en-US"/>
        </w:rPr>
        <w:t xml:space="preserve">think that rules about collective bargaining agreements stand in the way of an extension </w:t>
      </w:r>
      <w:r w:rsidRPr="00550009">
        <w:rPr>
          <w:lang w:val="en-US"/>
        </w:rPr>
        <w:t xml:space="preserve">of the regulations to fixed </w:t>
      </w:r>
      <w:r w:rsidRPr="00550009">
        <w:rPr>
          <w:lang w:val="en-US"/>
        </w:rPr>
        <w:t xml:space="preserve">remuneration. </w:t>
      </w:r>
    </w:p>
    <w:p w14:paraId="6C41309C" w14:textId="5C2CC7A5" w:rsidR="00550009" w:rsidRPr="00415EF3" w:rsidRDefault="00550009" w:rsidP="00550009">
      <w:pPr>
        <w:rPr>
          <w:b/>
          <w:bCs/>
          <w:lang w:val="en-US"/>
        </w:rPr>
      </w:pPr>
      <w:r w:rsidRPr="00550009">
        <w:rPr>
          <w:lang w:val="en-US"/>
        </w:rPr>
        <w:t xml:space="preserve">There are already parameters defining fixed remuneration, such as years of service, type of profession, etc., which already have to be transparent for the employees. This also applies to career progression. Furthermore, career progression and fixed remuneration are rather linked to training as a condition than sales objectives and this enhances the quality of the service. Career progression already falls under the application of the remuneration rules as non-financial remuneration. </w:t>
      </w:r>
      <w:r w:rsidRPr="00415EF3">
        <w:rPr>
          <w:b/>
          <w:bCs/>
          <w:lang w:val="en-US"/>
        </w:rPr>
        <w:t>Therefore, no further regulations are needed here from our point of view.</w:t>
      </w:r>
    </w:p>
    <w:p w14:paraId="1BF2C0EB" w14:textId="77777777" w:rsidR="00550009" w:rsidRPr="00550009" w:rsidRDefault="00550009" w:rsidP="00550009">
      <w:pPr>
        <w:rPr>
          <w:lang w:val="en-US"/>
        </w:rPr>
      </w:pPr>
    </w:p>
    <w:p w14:paraId="4ADFAEBE" w14:textId="77777777" w:rsidR="00550009" w:rsidRPr="00550009" w:rsidRDefault="00550009" w:rsidP="00550009">
      <w:pPr>
        <w:rPr>
          <w:i/>
          <w:lang w:val="en-US"/>
        </w:rPr>
      </w:pPr>
      <w:r w:rsidRPr="00550009">
        <w:rPr>
          <w:i/>
          <w:u w:val="single"/>
          <w:lang w:val="en-US"/>
        </w:rPr>
        <w:t>Q3-Q4: ex-post adjustment criteria (</w:t>
      </w:r>
      <w:proofErr w:type="spellStart"/>
      <w:r w:rsidRPr="00550009">
        <w:rPr>
          <w:i/>
          <w:u w:val="single"/>
          <w:lang w:val="en-US"/>
        </w:rPr>
        <w:t>clawbacks</w:t>
      </w:r>
      <w:proofErr w:type="spellEnd"/>
      <w:r w:rsidRPr="00550009">
        <w:rPr>
          <w:i/>
          <w:u w:val="single"/>
          <w:lang w:val="en-US"/>
        </w:rPr>
        <w:t xml:space="preserve"> and malus):</w:t>
      </w:r>
      <w:r w:rsidRPr="00550009">
        <w:rPr>
          <w:i/>
          <w:lang w:val="en-US"/>
        </w:rPr>
        <w:t xml:space="preserve"> </w:t>
      </w:r>
    </w:p>
    <w:p w14:paraId="023F91C8" w14:textId="77777777" w:rsidR="00550009" w:rsidRPr="00550009" w:rsidRDefault="00550009" w:rsidP="00550009">
      <w:pPr>
        <w:rPr>
          <w:i/>
          <w:lang w:val="en-US"/>
        </w:rPr>
      </w:pPr>
      <w:r w:rsidRPr="00550009">
        <w:rPr>
          <w:i/>
          <w:lang w:val="en-US"/>
        </w:rPr>
        <w:t xml:space="preserve">Q3: Do you agree that, to align the interests of relevant persons or the firms with the interests of clients on a long term basis, firms should consider the possibility to adjust remuneration previously awarded through the use of ex-post adjustment criteria in their remuneration policies and practices (such as </w:t>
      </w:r>
      <w:proofErr w:type="spellStart"/>
      <w:r w:rsidRPr="00550009">
        <w:rPr>
          <w:i/>
          <w:lang w:val="en-US"/>
        </w:rPr>
        <w:t>clawbacks</w:t>
      </w:r>
      <w:proofErr w:type="spellEnd"/>
      <w:r w:rsidRPr="00550009">
        <w:rPr>
          <w:i/>
          <w:lang w:val="en-US"/>
        </w:rPr>
        <w:t xml:space="preserve"> and malus)? Please also state the reasons for your answer.</w:t>
      </w:r>
    </w:p>
    <w:p w14:paraId="5BC86891" w14:textId="77777777" w:rsidR="00550009" w:rsidRPr="00550009" w:rsidRDefault="00550009" w:rsidP="00550009">
      <w:pPr>
        <w:rPr>
          <w:i/>
          <w:lang w:val="en-US"/>
        </w:rPr>
      </w:pPr>
      <w:r w:rsidRPr="00550009">
        <w:rPr>
          <w:i/>
          <w:lang w:val="en-US"/>
        </w:rPr>
        <w:t>Q4: Do you agree with the suggested approach on ex-post adjustment criteria? Please also state the reasons for your answer.</w:t>
      </w:r>
    </w:p>
    <w:p w14:paraId="32606463" w14:textId="77777777" w:rsidR="00550009" w:rsidRPr="00550009" w:rsidRDefault="00550009" w:rsidP="00550009">
      <w:pPr>
        <w:rPr>
          <w:lang w:val="en-US"/>
        </w:rPr>
      </w:pPr>
    </w:p>
    <w:p w14:paraId="36F7EF0D" w14:textId="77777777" w:rsidR="00550009" w:rsidRPr="00550009" w:rsidRDefault="00550009" w:rsidP="00550009">
      <w:pPr>
        <w:rPr>
          <w:lang w:val="en-US"/>
        </w:rPr>
      </w:pPr>
      <w:r w:rsidRPr="00550009">
        <w:rPr>
          <w:lang w:val="en-US"/>
        </w:rPr>
        <w:t xml:space="preserve">A: The bonus systems have already taken qualitative criteria into account in the annual/periodical calculation of variable remuneration. If these are not met, usually no bonus at all is paid or a reduction is made. If misconduct occurs after payment or if it is discovered after payment, mostly there will be consequences under </w:t>
      </w:r>
      <w:proofErr w:type="spellStart"/>
      <w:r w:rsidRPr="00550009">
        <w:rPr>
          <w:lang w:val="en-US"/>
        </w:rPr>
        <w:t>labour</w:t>
      </w:r>
      <w:proofErr w:type="spellEnd"/>
      <w:r w:rsidRPr="00550009">
        <w:rPr>
          <w:lang w:val="en-US"/>
        </w:rPr>
        <w:t xml:space="preserve"> </w:t>
      </w:r>
      <w:proofErr w:type="gramStart"/>
      <w:r w:rsidRPr="00550009">
        <w:rPr>
          <w:lang w:val="en-US"/>
        </w:rPr>
        <w:t>law</w:t>
      </w:r>
      <w:proofErr w:type="gramEnd"/>
      <w:r w:rsidRPr="00550009">
        <w:rPr>
          <w:lang w:val="en-US"/>
        </w:rPr>
        <w:t xml:space="preserve"> or the misconduct will be taken into account in the calculation of the variable remuneration in the following period. Hence, we do not see the necessity for ex-post adjustment criteria. But it is also important to stress that in case that rules about ex-post </w:t>
      </w:r>
      <w:proofErr w:type="spellStart"/>
      <w:r w:rsidRPr="00550009">
        <w:rPr>
          <w:lang w:val="en-US"/>
        </w:rPr>
        <w:t>criterias</w:t>
      </w:r>
      <w:proofErr w:type="spellEnd"/>
      <w:r w:rsidRPr="00550009">
        <w:rPr>
          <w:lang w:val="en-US"/>
        </w:rPr>
        <w:t xml:space="preserve"> should be implemented, this necessarily have to be linked to any misconduct of the employee as the customer's profit always depends on the development of a product influenced by external factors, no matter how good the advice is in advance. </w:t>
      </w:r>
    </w:p>
    <w:p w14:paraId="609A8B54" w14:textId="77777777" w:rsidR="00550009" w:rsidRPr="00550009" w:rsidRDefault="00550009" w:rsidP="00550009">
      <w:pPr>
        <w:rPr>
          <w:lang w:val="en-US"/>
        </w:rPr>
      </w:pPr>
    </w:p>
    <w:p w14:paraId="23E00BE8" w14:textId="77777777" w:rsidR="00550009" w:rsidRPr="00550009" w:rsidRDefault="00550009" w:rsidP="00550009">
      <w:pPr>
        <w:rPr>
          <w:lang w:val="en-US"/>
        </w:rPr>
      </w:pPr>
      <w:r w:rsidRPr="00550009">
        <w:rPr>
          <w:lang w:val="en-US"/>
        </w:rPr>
        <w:t xml:space="preserve">With special reference to </w:t>
      </w:r>
      <w:r w:rsidRPr="00550009">
        <w:rPr>
          <w:b/>
          <w:bCs/>
          <w:lang w:val="en-US"/>
        </w:rPr>
        <w:t>paragraph 27 of the draft GL</w:t>
      </w:r>
      <w:r w:rsidRPr="00550009">
        <w:rPr>
          <w:lang w:val="en-US"/>
        </w:rPr>
        <w:t xml:space="preserve"> we would like to state that </w:t>
      </w:r>
      <w:r w:rsidRPr="00550009">
        <w:rPr>
          <w:u w:val="single"/>
          <w:lang w:val="en-US"/>
        </w:rPr>
        <w:t>i</w:t>
      </w:r>
      <w:r w:rsidRPr="00550009">
        <w:rPr>
          <w:lang w:val="en-US"/>
        </w:rPr>
        <w:t>f ex-post adjustment mechanisms should be introduced (which we are rejecting according to our previous statement), these should be limited to those who were directly engaged in misconduct, a collective application without culpable conduct would be inappropriate.</w:t>
      </w:r>
    </w:p>
    <w:p w14:paraId="65357675" w14:textId="77777777" w:rsidR="00550009" w:rsidRPr="00550009" w:rsidRDefault="00550009" w:rsidP="00550009">
      <w:pPr>
        <w:rPr>
          <w:lang w:val="en-US"/>
        </w:rPr>
      </w:pPr>
    </w:p>
    <w:p w14:paraId="4F0E42AA" w14:textId="77777777" w:rsidR="00550009" w:rsidRPr="00550009" w:rsidRDefault="00550009" w:rsidP="00550009">
      <w:pPr>
        <w:rPr>
          <w:lang w:val="en-US"/>
        </w:rPr>
      </w:pPr>
      <w:r w:rsidRPr="00550009">
        <w:rPr>
          <w:lang w:val="en-US"/>
        </w:rPr>
        <w:t xml:space="preserve">Referring to </w:t>
      </w:r>
      <w:r w:rsidRPr="00550009">
        <w:rPr>
          <w:b/>
          <w:bCs/>
          <w:lang w:val="en-US"/>
        </w:rPr>
        <w:t>paragraph 29  of the draft GL</w:t>
      </w:r>
      <w:r w:rsidRPr="00550009">
        <w:rPr>
          <w:lang w:val="en-US"/>
        </w:rPr>
        <w:t xml:space="preserve"> we would like to state that </w:t>
      </w:r>
      <w:r w:rsidRPr="00550009">
        <w:rPr>
          <w:u w:val="single"/>
          <w:lang w:val="en-US"/>
        </w:rPr>
        <w:t>l</w:t>
      </w:r>
      <w:r w:rsidRPr="00550009">
        <w:rPr>
          <w:lang w:val="en-US"/>
        </w:rPr>
        <w:t>inking ex-post adjustment mechanisms and the deferral of remuneration to the interest of clients should not mean that the employee has to take responsibility for a negative product development, even though he cannot be accused of any misconduct. Many products have a medium or longer maturity and the question arises as to how many years a deferral can be maintained and managed in a firm.</w:t>
      </w:r>
    </w:p>
    <w:p w14:paraId="01B4DC95" w14:textId="77777777" w:rsidR="00550009" w:rsidRPr="00550009" w:rsidRDefault="00550009" w:rsidP="00550009">
      <w:pPr>
        <w:rPr>
          <w:lang w:val="en-US"/>
        </w:rPr>
      </w:pPr>
    </w:p>
    <w:p w14:paraId="127EF39C" w14:textId="77777777" w:rsidR="00550009" w:rsidRPr="00550009" w:rsidRDefault="00550009" w:rsidP="00550009">
      <w:pPr>
        <w:rPr>
          <w:i/>
          <w:u w:val="single"/>
          <w:lang w:val="en-US"/>
        </w:rPr>
      </w:pPr>
      <w:r w:rsidRPr="00550009">
        <w:rPr>
          <w:i/>
          <w:u w:val="single"/>
          <w:lang w:val="en-US"/>
        </w:rPr>
        <w:t xml:space="preserve">Q5: control functions, management body or senior management: </w:t>
      </w:r>
    </w:p>
    <w:p w14:paraId="2B5452FC" w14:textId="77777777" w:rsidR="00550009" w:rsidRPr="00550009" w:rsidRDefault="00550009" w:rsidP="00550009">
      <w:pPr>
        <w:rPr>
          <w:i/>
          <w:lang w:val="en-US"/>
        </w:rPr>
      </w:pPr>
      <w:r w:rsidRPr="00550009">
        <w:rPr>
          <w:i/>
          <w:lang w:val="en-US"/>
        </w:rPr>
        <w:t>Q5: Do you agree with the added focus and suggested approach on the remuneration policies and practices for control functions and members of the management body or senior management? Please also state the reasons for your answer.</w:t>
      </w:r>
    </w:p>
    <w:p w14:paraId="5D005793" w14:textId="77777777" w:rsidR="00550009" w:rsidRPr="00550009" w:rsidRDefault="00550009" w:rsidP="00550009">
      <w:pPr>
        <w:rPr>
          <w:lang w:val="en-US"/>
        </w:rPr>
      </w:pPr>
    </w:p>
    <w:p w14:paraId="712C8DEC" w14:textId="77777777" w:rsidR="00550009" w:rsidRPr="00550009" w:rsidRDefault="00550009" w:rsidP="00550009">
      <w:pPr>
        <w:rPr>
          <w:lang w:val="en-US"/>
        </w:rPr>
      </w:pPr>
      <w:r w:rsidRPr="00550009">
        <w:rPr>
          <w:lang w:val="en-US"/>
        </w:rPr>
        <w:lastRenderedPageBreak/>
        <w:t xml:space="preserve">A: No further need of regulation as there are enough regulations covering the avoidance of the described risks. </w:t>
      </w:r>
    </w:p>
    <w:p w14:paraId="554D89AC" w14:textId="77777777" w:rsidR="00550009" w:rsidRPr="00550009" w:rsidRDefault="00550009" w:rsidP="00550009">
      <w:pPr>
        <w:rPr>
          <w:lang w:val="en-US"/>
        </w:rPr>
      </w:pPr>
    </w:p>
    <w:p w14:paraId="1AA77DE7" w14:textId="77777777" w:rsidR="00550009" w:rsidRPr="00550009" w:rsidRDefault="00550009" w:rsidP="00550009">
      <w:pPr>
        <w:rPr>
          <w:lang w:val="en-US"/>
        </w:rPr>
      </w:pPr>
      <w:r w:rsidRPr="00550009">
        <w:rPr>
          <w:lang w:val="en-US"/>
        </w:rPr>
        <w:t xml:space="preserve">Referring to </w:t>
      </w:r>
      <w:r w:rsidRPr="00550009">
        <w:rPr>
          <w:b/>
          <w:bCs/>
          <w:lang w:val="en-US"/>
        </w:rPr>
        <w:t>paragraph 35 of the draft GL</w:t>
      </w:r>
      <w:r w:rsidRPr="00550009">
        <w:rPr>
          <w:lang w:val="en-US"/>
        </w:rPr>
        <w:t xml:space="preserve"> we would like to comment the following:</w:t>
      </w:r>
    </w:p>
    <w:p w14:paraId="2695C868" w14:textId="63996F0F" w:rsidR="00550009" w:rsidRPr="00550009" w:rsidRDefault="00550009" w:rsidP="00550009">
      <w:pPr>
        <w:rPr>
          <w:lang w:val="en-US"/>
        </w:rPr>
      </w:pPr>
      <w:r w:rsidRPr="00550009">
        <w:rPr>
          <w:lang w:val="en-US"/>
        </w:rPr>
        <w:t xml:space="preserve">According to regulations by the local supervisory authority (based on the ESMA Guidelines on certain aspects of the MiFID II compliance function requirements - ESMA35-36-1952) the payment of the Compliance function is already regulated in a similar way (no dependency from the quantitative commercial performance of the monitored units, decision on the bonus by the management board, consideration of qualitative criteria). </w:t>
      </w:r>
      <w:r w:rsidR="00BD5708">
        <w:rPr>
          <w:lang w:val="en-US"/>
        </w:rPr>
        <w:t>T</w:t>
      </w:r>
      <w:r w:rsidRPr="00550009">
        <w:rPr>
          <w:lang w:val="en-US"/>
        </w:rPr>
        <w:t>here should be consistency and no contradictions between the two regulations.</w:t>
      </w:r>
    </w:p>
    <w:p w14:paraId="5B360E2E" w14:textId="77777777" w:rsidR="00550009" w:rsidRPr="00550009" w:rsidRDefault="00550009" w:rsidP="00550009">
      <w:pPr>
        <w:rPr>
          <w:lang w:val="en-US"/>
        </w:rPr>
      </w:pPr>
    </w:p>
    <w:p w14:paraId="43CAD0BB" w14:textId="77777777" w:rsidR="00550009" w:rsidRPr="00550009" w:rsidRDefault="00550009" w:rsidP="00550009">
      <w:pPr>
        <w:rPr>
          <w:i/>
          <w:u w:val="single"/>
          <w:lang w:val="en-US"/>
        </w:rPr>
      </w:pPr>
      <w:r w:rsidRPr="00550009">
        <w:rPr>
          <w:i/>
          <w:u w:val="single"/>
          <w:lang w:val="en-US"/>
        </w:rPr>
        <w:t>Q7: ad-hoc review:</w:t>
      </w:r>
    </w:p>
    <w:p w14:paraId="56B65D7D" w14:textId="77777777" w:rsidR="00550009" w:rsidRPr="00550009" w:rsidRDefault="00550009" w:rsidP="00550009">
      <w:pPr>
        <w:rPr>
          <w:i/>
          <w:lang w:val="en-US"/>
        </w:rPr>
      </w:pPr>
      <w:r w:rsidRPr="00550009">
        <w:rPr>
          <w:i/>
          <w:lang w:val="en-US"/>
        </w:rPr>
        <w:t>Q7: Do you agree that the remuneration policy should not only be reviewed on a periodic basis but also upon the occurrence of certain ad hoc events as described in new general guideline 2? Please also state the reasons for your answer.</w:t>
      </w:r>
    </w:p>
    <w:p w14:paraId="2D2D7029" w14:textId="77777777" w:rsidR="00550009" w:rsidRPr="00550009" w:rsidRDefault="00550009" w:rsidP="00550009">
      <w:pPr>
        <w:rPr>
          <w:lang w:val="en-US"/>
        </w:rPr>
      </w:pPr>
    </w:p>
    <w:p w14:paraId="43349003" w14:textId="77777777" w:rsidR="00550009" w:rsidRPr="00550009" w:rsidRDefault="00550009" w:rsidP="00550009">
      <w:pPr>
        <w:rPr>
          <w:lang w:val="en-US"/>
        </w:rPr>
      </w:pPr>
      <w:r w:rsidRPr="00550009">
        <w:rPr>
          <w:lang w:val="en-US"/>
        </w:rPr>
        <w:t>A: As part of the conflict of interest management, the remuneration practices should already be taken into consideration, whenever ad hoc events occur. From our point there is no need for further regulation.</w:t>
      </w:r>
    </w:p>
    <w:p w14:paraId="5285A8FE" w14:textId="77777777" w:rsidR="00550009" w:rsidRPr="00550009" w:rsidRDefault="00550009" w:rsidP="00550009">
      <w:pPr>
        <w:rPr>
          <w:lang w:val="en-US"/>
        </w:rPr>
      </w:pPr>
    </w:p>
    <w:p w14:paraId="6CB0F34F" w14:textId="77777777" w:rsidR="00550009" w:rsidRPr="00550009" w:rsidRDefault="00550009" w:rsidP="00550009">
      <w:pPr>
        <w:rPr>
          <w:i/>
          <w:u w:val="single"/>
          <w:lang w:val="en-US"/>
        </w:rPr>
      </w:pPr>
      <w:r w:rsidRPr="00550009">
        <w:rPr>
          <w:i/>
          <w:u w:val="single"/>
          <w:lang w:val="en-US"/>
        </w:rPr>
        <w:t>Q8: additional access:</w:t>
      </w:r>
    </w:p>
    <w:p w14:paraId="5B731223" w14:textId="77777777" w:rsidR="00550009" w:rsidRPr="00550009" w:rsidRDefault="00550009" w:rsidP="00550009">
      <w:pPr>
        <w:rPr>
          <w:i/>
          <w:lang w:val="en-US"/>
        </w:rPr>
      </w:pPr>
      <w:r w:rsidRPr="00550009">
        <w:rPr>
          <w:i/>
          <w:lang w:val="en-US"/>
        </w:rPr>
        <w:t>Q8: Do you agree that the persons involved in the design, monitoring and review of the remuneration policies and practices should have access to all relevant documents and information to understand the background to and decisions that led to such remuneration policies and procedures? Please also state the reasons for your answer.</w:t>
      </w:r>
    </w:p>
    <w:p w14:paraId="688BAD0B" w14:textId="77777777" w:rsidR="00550009" w:rsidRPr="00550009" w:rsidRDefault="00550009" w:rsidP="00550009">
      <w:pPr>
        <w:rPr>
          <w:lang w:val="en-US"/>
        </w:rPr>
      </w:pPr>
    </w:p>
    <w:p w14:paraId="517A6127" w14:textId="77777777" w:rsidR="00550009" w:rsidRPr="00550009" w:rsidRDefault="00550009" w:rsidP="00550009">
      <w:pPr>
        <w:rPr>
          <w:lang w:val="en-US"/>
        </w:rPr>
      </w:pPr>
      <w:r w:rsidRPr="00550009">
        <w:rPr>
          <w:lang w:val="en-US"/>
        </w:rPr>
        <w:t>A: There is no need for further regulation, from our experience the mentioned persons have sufficient access to relevant documents and information.</w:t>
      </w:r>
    </w:p>
    <w:p w14:paraId="32380722" w14:textId="77777777" w:rsidR="00550009" w:rsidRPr="00550009" w:rsidRDefault="00550009" w:rsidP="00A7509A">
      <w:pPr>
        <w:pStyle w:val="xmsonormal"/>
        <w:spacing w:line="276" w:lineRule="auto"/>
        <w:rPr>
          <w:rFonts w:cstheme="minorHAnsi"/>
          <w:b/>
          <w:bCs/>
          <w:u w:val="single"/>
          <w:lang w:val="en-US"/>
        </w:rPr>
      </w:pPr>
    </w:p>
    <w:p w14:paraId="08DFE0E9" w14:textId="77777777" w:rsidR="00A7509A" w:rsidRPr="00550009" w:rsidRDefault="00A7509A" w:rsidP="00A7509A">
      <w:pPr>
        <w:pStyle w:val="xmsonormal"/>
        <w:spacing w:line="276" w:lineRule="auto"/>
        <w:rPr>
          <w:rFonts w:eastAsia="Times New Roman" w:cstheme="minorHAnsi"/>
          <w:lang w:val="en-US"/>
        </w:rPr>
      </w:pPr>
    </w:p>
    <w:p w14:paraId="74F27FBB" w14:textId="77777777" w:rsidR="00686189" w:rsidRPr="00550009" w:rsidRDefault="00686189" w:rsidP="00ED0AED">
      <w:pPr>
        <w:spacing w:line="240" w:lineRule="auto"/>
        <w:rPr>
          <w:rFonts w:cs="Calibri"/>
          <w:color w:val="1F497D"/>
          <w:lang w:val="en-US"/>
        </w:rPr>
      </w:pPr>
    </w:p>
    <w:p w14:paraId="161B1B47" w14:textId="77777777" w:rsidR="00C84D8A" w:rsidRPr="00ED0AED" w:rsidRDefault="00686189" w:rsidP="00ED0AED">
      <w:pPr>
        <w:spacing w:line="240" w:lineRule="auto"/>
        <w:rPr>
          <w:rFonts w:cs="Arial"/>
          <w:color w:val="000000"/>
          <w:lang w:val="en-GB" w:eastAsia="en-US"/>
        </w:rPr>
      </w:pPr>
      <w:r w:rsidRPr="00ED0AED">
        <w:rPr>
          <w:rFonts w:cs="Arial"/>
          <w:color w:val="000000"/>
          <w:lang w:val="en-GB" w:eastAsia="en-US"/>
        </w:rPr>
        <w:t>Y</w:t>
      </w:r>
      <w:r w:rsidR="00C84D8A" w:rsidRPr="00ED0AED">
        <w:rPr>
          <w:rFonts w:cs="Arial"/>
          <w:color w:val="000000"/>
          <w:lang w:val="en-GB" w:eastAsia="en-US"/>
        </w:rPr>
        <w:t xml:space="preserve">ours </w:t>
      </w:r>
      <w:r w:rsidR="004A01A9" w:rsidRPr="00ED0AED">
        <w:rPr>
          <w:rFonts w:cs="Arial"/>
          <w:color w:val="000000"/>
          <w:lang w:val="en-GB" w:eastAsia="en-US"/>
        </w:rPr>
        <w:t>sincerely</w:t>
      </w:r>
      <w:r w:rsidR="00C84D8A" w:rsidRPr="00ED0AED">
        <w:rPr>
          <w:rFonts w:cs="Arial"/>
          <w:color w:val="000000"/>
          <w:lang w:val="en-GB" w:eastAsia="en-US"/>
        </w:rPr>
        <w:t>,</w:t>
      </w:r>
    </w:p>
    <w:p w14:paraId="28F22D77" w14:textId="77777777" w:rsidR="00F31CB0" w:rsidRPr="00767DA3" w:rsidRDefault="00F31CB0" w:rsidP="00CE5D6F">
      <w:pPr>
        <w:spacing w:line="240" w:lineRule="auto"/>
        <w:rPr>
          <w:rFonts w:cs="Arial"/>
          <w:color w:val="000000"/>
          <w:lang w:val="en-GB" w:eastAsia="en-US"/>
        </w:rPr>
      </w:pPr>
    </w:p>
    <w:p w14:paraId="6DC6EA52" w14:textId="77777777"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14:paraId="03183F8F" w14:textId="77777777"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14:paraId="544AF67D" w14:textId="77777777"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14:paraId="5ADEF353" w14:textId="77777777" w:rsidR="00346DF4" w:rsidRPr="007C2846" w:rsidRDefault="00346DF4" w:rsidP="00CE5D6F">
      <w:pPr>
        <w:spacing w:line="240" w:lineRule="auto"/>
        <w:rPr>
          <w:noProof/>
          <w:lang w:val="en-GB"/>
        </w:rPr>
      </w:pPr>
    </w:p>
    <w:sectPr w:rsidR="00346DF4" w:rsidRPr="007C2846" w:rsidSect="00BA147F">
      <w:headerReference w:type="default" r:id="rId8"/>
      <w:headerReference w:type="first" r:id="rId9"/>
      <w:pgSz w:w="11906" w:h="16838"/>
      <w:pgMar w:top="1701" w:right="851" w:bottom="1276"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AA9D" w14:textId="77777777" w:rsidR="00BB289E" w:rsidRDefault="00BB289E">
      <w:r>
        <w:separator/>
      </w:r>
    </w:p>
  </w:endnote>
  <w:endnote w:type="continuationSeparator" w:id="0">
    <w:p w14:paraId="59A19BE2" w14:textId="77777777" w:rsidR="00BB289E" w:rsidRDefault="00BB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4445" w14:textId="77777777" w:rsidR="00BB289E" w:rsidRDefault="00BB289E">
      <w:r>
        <w:separator/>
      </w:r>
    </w:p>
  </w:footnote>
  <w:footnote w:type="continuationSeparator" w:id="0">
    <w:p w14:paraId="72FDF924" w14:textId="77777777" w:rsidR="00BB289E" w:rsidRDefault="00BB2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B55" w14:textId="77777777"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AE5CCD">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09E1" w14:textId="77777777" w:rsidR="0014018E" w:rsidRDefault="0014018E">
    <w:pPr>
      <w:pStyle w:val="Kopfzeile"/>
      <w:jc w:val="right"/>
    </w:pPr>
    <w:r>
      <w:rPr>
        <w:noProof/>
        <w:snapToGrid/>
        <w:lang w:val="hr-HR" w:eastAsia="hr-HR"/>
      </w:rPr>
      <w:drawing>
        <wp:anchor distT="0" distB="0" distL="114300" distR="114300" simplePos="0" relativeHeight="251657728" behindDoc="0" locked="1" layoutInCell="0" allowOverlap="1" wp14:anchorId="6746ECD6" wp14:editId="26F8CE19">
          <wp:simplePos x="0" y="0"/>
          <wp:positionH relativeFrom="page">
            <wp:posOffset>4859655</wp:posOffset>
          </wp:positionH>
          <wp:positionV relativeFrom="page">
            <wp:posOffset>197485</wp:posOffset>
          </wp:positionV>
          <wp:extent cx="2210435" cy="861695"/>
          <wp:effectExtent l="1905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899192B"/>
    <w:multiLevelType w:val="hybridMultilevel"/>
    <w:tmpl w:val="56AC62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E8D70F6"/>
    <w:multiLevelType w:val="hybridMultilevel"/>
    <w:tmpl w:val="94E20B0E"/>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E66AA1"/>
    <w:multiLevelType w:val="hybridMultilevel"/>
    <w:tmpl w:val="2B90810A"/>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EA979A8"/>
    <w:multiLevelType w:val="hybridMultilevel"/>
    <w:tmpl w:val="07A235E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0510C88"/>
    <w:multiLevelType w:val="hybridMultilevel"/>
    <w:tmpl w:val="BAFAAA72"/>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21E51567"/>
    <w:multiLevelType w:val="hybridMultilevel"/>
    <w:tmpl w:val="753286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3" w15:restartNumberingAfterBreak="0">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4" w15:restartNumberingAfterBreak="0">
    <w:nsid w:val="2E7B5DE9"/>
    <w:multiLevelType w:val="hybridMultilevel"/>
    <w:tmpl w:val="12188C80"/>
    <w:lvl w:ilvl="0" w:tplc="2A10F854">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5" w15:restartNumberingAfterBreak="0">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8D75D37"/>
    <w:multiLevelType w:val="hybridMultilevel"/>
    <w:tmpl w:val="A6160BC2"/>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Times New Roman"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Times New Roman"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Times New Roman" w:hint="default"/>
      </w:rPr>
    </w:lvl>
    <w:lvl w:ilvl="8" w:tplc="0C070005">
      <w:start w:val="1"/>
      <w:numFmt w:val="bullet"/>
      <w:lvlText w:val=""/>
      <w:lvlJc w:val="left"/>
      <w:pPr>
        <w:ind w:left="6120" w:hanging="360"/>
      </w:pPr>
      <w:rPr>
        <w:rFonts w:ascii="Wingdings" w:hAnsi="Wingdings" w:hint="default"/>
      </w:rPr>
    </w:lvl>
  </w:abstractNum>
  <w:abstractNum w:abstractNumId="17" w15:restartNumberingAfterBreak="0">
    <w:nsid w:val="46A97C8C"/>
    <w:multiLevelType w:val="hybridMultilevel"/>
    <w:tmpl w:val="A09AD710"/>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0135A3"/>
    <w:multiLevelType w:val="hybridMultilevel"/>
    <w:tmpl w:val="FACE7CFC"/>
    <w:lvl w:ilvl="0" w:tplc="E57EB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F5177"/>
    <w:multiLevelType w:val="hybridMultilevel"/>
    <w:tmpl w:val="42B2217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1BA0C21"/>
    <w:multiLevelType w:val="hybridMultilevel"/>
    <w:tmpl w:val="EA7EAC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725040"/>
    <w:multiLevelType w:val="multilevel"/>
    <w:tmpl w:val="AED8101E"/>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8" w15:restartNumberingAfterBreak="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9" w15:restartNumberingAfterBreak="0">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33" w15:restartNumberingAfterBreak="0">
    <w:nsid w:val="7C5803E2"/>
    <w:multiLevelType w:val="multilevel"/>
    <w:tmpl w:val="01929808"/>
    <w:lvl w:ilvl="0">
      <w:start w:val="3"/>
      <w:numFmt w:val="decimal"/>
      <w:lvlText w:val="%1."/>
      <w:lvlJc w:val="left"/>
      <w:pPr>
        <w:ind w:left="72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4" w15:restartNumberingAfterBreak="0">
    <w:nsid w:val="7C6E49FC"/>
    <w:multiLevelType w:val="hybridMultilevel"/>
    <w:tmpl w:val="09B6D3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7DD07149"/>
    <w:multiLevelType w:val="hybridMultilevel"/>
    <w:tmpl w:val="A8DC8B8A"/>
    <w:lvl w:ilvl="0" w:tplc="1A023BC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3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6"/>
  </w:num>
  <w:num w:numId="10">
    <w:abstractNumId w:val="29"/>
  </w:num>
  <w:num w:numId="11">
    <w:abstractNumId w:val="25"/>
  </w:num>
  <w:num w:numId="12">
    <w:abstractNumId w:val="31"/>
  </w:num>
  <w:num w:numId="13">
    <w:abstractNumId w:val="5"/>
  </w:num>
  <w:num w:numId="14">
    <w:abstractNumId w:val="0"/>
  </w:num>
  <w:num w:numId="15">
    <w:abstractNumId w:val="26"/>
  </w:num>
  <w:num w:numId="16">
    <w:abstractNumId w:val="30"/>
  </w:num>
  <w:num w:numId="17">
    <w:abstractNumId w:val="3"/>
  </w:num>
  <w:num w:numId="18">
    <w:abstractNumId w:val="1"/>
  </w:num>
  <w:num w:numId="19">
    <w:abstractNumId w:val="13"/>
  </w:num>
  <w:num w:numId="20">
    <w:abstractNumId w:val="18"/>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0"/>
  </w:num>
  <w:num w:numId="25">
    <w:abstractNumId w:val="19"/>
  </w:num>
  <w:num w:numId="26">
    <w:abstractNumId w:val="21"/>
  </w:num>
  <w:num w:numId="27">
    <w:abstractNumId w:val="4"/>
  </w:num>
  <w:num w:numId="28">
    <w:abstractNumId w:val="9"/>
  </w:num>
  <w:num w:numId="29">
    <w:abstractNumId w:val="35"/>
  </w:num>
  <w:num w:numId="30">
    <w:abstractNumId w:val="33"/>
  </w:num>
  <w:num w:numId="31">
    <w:abstractNumId w:val="34"/>
  </w:num>
  <w:num w:numId="32">
    <w:abstractNumId w:val="2"/>
  </w:num>
  <w:num w:numId="33">
    <w:abstractNumId w:val="23"/>
  </w:num>
  <w:num w:numId="34">
    <w:abstractNumId w:val="20"/>
  </w:num>
  <w:num w:numId="35">
    <w:abstractNumId w:val="11"/>
  </w:num>
  <w:num w:numId="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A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C"/>
    <w:rsid w:val="00001730"/>
    <w:rsid w:val="00013086"/>
    <w:rsid w:val="000135FB"/>
    <w:rsid w:val="000163E0"/>
    <w:rsid w:val="00021DBA"/>
    <w:rsid w:val="00024D8C"/>
    <w:rsid w:val="00026657"/>
    <w:rsid w:val="00035D58"/>
    <w:rsid w:val="0004015A"/>
    <w:rsid w:val="00041C1E"/>
    <w:rsid w:val="00044A71"/>
    <w:rsid w:val="00053316"/>
    <w:rsid w:val="00057439"/>
    <w:rsid w:val="00061814"/>
    <w:rsid w:val="000619FB"/>
    <w:rsid w:val="0006215B"/>
    <w:rsid w:val="00071436"/>
    <w:rsid w:val="00071BF7"/>
    <w:rsid w:val="00076F33"/>
    <w:rsid w:val="00080C92"/>
    <w:rsid w:val="00080E83"/>
    <w:rsid w:val="0008171B"/>
    <w:rsid w:val="0008527D"/>
    <w:rsid w:val="0008698A"/>
    <w:rsid w:val="00086BFB"/>
    <w:rsid w:val="00090592"/>
    <w:rsid w:val="000919C4"/>
    <w:rsid w:val="00094EB8"/>
    <w:rsid w:val="0009753B"/>
    <w:rsid w:val="000A0183"/>
    <w:rsid w:val="000A205C"/>
    <w:rsid w:val="000A4FC6"/>
    <w:rsid w:val="000A55AE"/>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020E"/>
    <w:rsid w:val="00196D5C"/>
    <w:rsid w:val="00196EB4"/>
    <w:rsid w:val="001974F7"/>
    <w:rsid w:val="001B0788"/>
    <w:rsid w:val="001B4AB0"/>
    <w:rsid w:val="001C4931"/>
    <w:rsid w:val="001C49F8"/>
    <w:rsid w:val="001D2667"/>
    <w:rsid w:val="001D40CC"/>
    <w:rsid w:val="001E0374"/>
    <w:rsid w:val="001F3545"/>
    <w:rsid w:val="002045CC"/>
    <w:rsid w:val="00205DE9"/>
    <w:rsid w:val="002061DD"/>
    <w:rsid w:val="00207AC9"/>
    <w:rsid w:val="00210FDF"/>
    <w:rsid w:val="00224981"/>
    <w:rsid w:val="00236C5A"/>
    <w:rsid w:val="00240D9B"/>
    <w:rsid w:val="00250CBA"/>
    <w:rsid w:val="0026358F"/>
    <w:rsid w:val="00264C67"/>
    <w:rsid w:val="00265C18"/>
    <w:rsid w:val="002711FC"/>
    <w:rsid w:val="00272C43"/>
    <w:rsid w:val="00280548"/>
    <w:rsid w:val="00282636"/>
    <w:rsid w:val="002830FB"/>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17CA7"/>
    <w:rsid w:val="00320A42"/>
    <w:rsid w:val="00325FCF"/>
    <w:rsid w:val="00327DD3"/>
    <w:rsid w:val="003303C4"/>
    <w:rsid w:val="00335781"/>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23"/>
    <w:rsid w:val="003C7778"/>
    <w:rsid w:val="003C7F29"/>
    <w:rsid w:val="003D07A4"/>
    <w:rsid w:val="003E09A5"/>
    <w:rsid w:val="003E6845"/>
    <w:rsid w:val="003F44A2"/>
    <w:rsid w:val="003F5EEF"/>
    <w:rsid w:val="003F6706"/>
    <w:rsid w:val="00404863"/>
    <w:rsid w:val="00415EF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009"/>
    <w:rsid w:val="00550380"/>
    <w:rsid w:val="005548F9"/>
    <w:rsid w:val="00556359"/>
    <w:rsid w:val="00560A66"/>
    <w:rsid w:val="00562C44"/>
    <w:rsid w:val="00576F32"/>
    <w:rsid w:val="00590AAE"/>
    <w:rsid w:val="00596B5B"/>
    <w:rsid w:val="005A2D33"/>
    <w:rsid w:val="005B1218"/>
    <w:rsid w:val="005B2525"/>
    <w:rsid w:val="005B2844"/>
    <w:rsid w:val="005B3FB7"/>
    <w:rsid w:val="005C04FF"/>
    <w:rsid w:val="005C218C"/>
    <w:rsid w:val="005C7948"/>
    <w:rsid w:val="005D0470"/>
    <w:rsid w:val="005D08DC"/>
    <w:rsid w:val="005D0B33"/>
    <w:rsid w:val="005D1620"/>
    <w:rsid w:val="005D442D"/>
    <w:rsid w:val="005D4F47"/>
    <w:rsid w:val="005E1BA5"/>
    <w:rsid w:val="005E7180"/>
    <w:rsid w:val="005F5B48"/>
    <w:rsid w:val="005F632A"/>
    <w:rsid w:val="006065F4"/>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96866"/>
    <w:rsid w:val="006A55B4"/>
    <w:rsid w:val="006B05A1"/>
    <w:rsid w:val="006C33D2"/>
    <w:rsid w:val="006D109C"/>
    <w:rsid w:val="006D6427"/>
    <w:rsid w:val="006E0163"/>
    <w:rsid w:val="006E5185"/>
    <w:rsid w:val="0070253E"/>
    <w:rsid w:val="007053E7"/>
    <w:rsid w:val="007114EC"/>
    <w:rsid w:val="00711C4D"/>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1AC2"/>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709"/>
    <w:rsid w:val="008B1D1A"/>
    <w:rsid w:val="008C0AE8"/>
    <w:rsid w:val="008C0C66"/>
    <w:rsid w:val="008C679C"/>
    <w:rsid w:val="008D1E25"/>
    <w:rsid w:val="008D469D"/>
    <w:rsid w:val="008D5D3B"/>
    <w:rsid w:val="008D70E6"/>
    <w:rsid w:val="008D77D7"/>
    <w:rsid w:val="008E02AC"/>
    <w:rsid w:val="008F1DD3"/>
    <w:rsid w:val="008F3076"/>
    <w:rsid w:val="008F3EA3"/>
    <w:rsid w:val="008F5B27"/>
    <w:rsid w:val="0091585E"/>
    <w:rsid w:val="00917182"/>
    <w:rsid w:val="009303DC"/>
    <w:rsid w:val="00935B03"/>
    <w:rsid w:val="00935BB6"/>
    <w:rsid w:val="0093708A"/>
    <w:rsid w:val="00942F6C"/>
    <w:rsid w:val="0094333B"/>
    <w:rsid w:val="0094518B"/>
    <w:rsid w:val="009458C0"/>
    <w:rsid w:val="009572BB"/>
    <w:rsid w:val="009632CC"/>
    <w:rsid w:val="00965380"/>
    <w:rsid w:val="0097225F"/>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4A94"/>
    <w:rsid w:val="00A06DE5"/>
    <w:rsid w:val="00A07FE0"/>
    <w:rsid w:val="00A147F7"/>
    <w:rsid w:val="00A21AEC"/>
    <w:rsid w:val="00A23371"/>
    <w:rsid w:val="00A23661"/>
    <w:rsid w:val="00A23779"/>
    <w:rsid w:val="00A36834"/>
    <w:rsid w:val="00A42F7B"/>
    <w:rsid w:val="00A437DE"/>
    <w:rsid w:val="00A44D5F"/>
    <w:rsid w:val="00A500F1"/>
    <w:rsid w:val="00A5381E"/>
    <w:rsid w:val="00A54C2F"/>
    <w:rsid w:val="00A55757"/>
    <w:rsid w:val="00A64C34"/>
    <w:rsid w:val="00A705F5"/>
    <w:rsid w:val="00A707A7"/>
    <w:rsid w:val="00A70C7D"/>
    <w:rsid w:val="00A7509A"/>
    <w:rsid w:val="00A81341"/>
    <w:rsid w:val="00A82C13"/>
    <w:rsid w:val="00A8532A"/>
    <w:rsid w:val="00A912E3"/>
    <w:rsid w:val="00A955F6"/>
    <w:rsid w:val="00A97AE7"/>
    <w:rsid w:val="00AA0432"/>
    <w:rsid w:val="00AB5857"/>
    <w:rsid w:val="00AB59B3"/>
    <w:rsid w:val="00AD053F"/>
    <w:rsid w:val="00AE02B3"/>
    <w:rsid w:val="00AE1B6A"/>
    <w:rsid w:val="00AE457B"/>
    <w:rsid w:val="00AE5CCD"/>
    <w:rsid w:val="00AE6511"/>
    <w:rsid w:val="00B020A3"/>
    <w:rsid w:val="00B10218"/>
    <w:rsid w:val="00B17B80"/>
    <w:rsid w:val="00B22761"/>
    <w:rsid w:val="00B32456"/>
    <w:rsid w:val="00B33A2C"/>
    <w:rsid w:val="00B36C46"/>
    <w:rsid w:val="00B447AA"/>
    <w:rsid w:val="00B467F0"/>
    <w:rsid w:val="00B46C57"/>
    <w:rsid w:val="00B51CB0"/>
    <w:rsid w:val="00B532F2"/>
    <w:rsid w:val="00B55633"/>
    <w:rsid w:val="00B57C55"/>
    <w:rsid w:val="00B6209E"/>
    <w:rsid w:val="00B6213F"/>
    <w:rsid w:val="00B6399F"/>
    <w:rsid w:val="00B63C71"/>
    <w:rsid w:val="00B64838"/>
    <w:rsid w:val="00B6488D"/>
    <w:rsid w:val="00B6710C"/>
    <w:rsid w:val="00B67CEF"/>
    <w:rsid w:val="00B84738"/>
    <w:rsid w:val="00B85379"/>
    <w:rsid w:val="00B8623F"/>
    <w:rsid w:val="00B93882"/>
    <w:rsid w:val="00B960F5"/>
    <w:rsid w:val="00BA147F"/>
    <w:rsid w:val="00BA5BEC"/>
    <w:rsid w:val="00BA5E95"/>
    <w:rsid w:val="00BA6878"/>
    <w:rsid w:val="00BA7A5E"/>
    <w:rsid w:val="00BB289E"/>
    <w:rsid w:val="00BB344D"/>
    <w:rsid w:val="00BC6569"/>
    <w:rsid w:val="00BD2D5E"/>
    <w:rsid w:val="00BD3A1D"/>
    <w:rsid w:val="00BD5708"/>
    <w:rsid w:val="00BD7362"/>
    <w:rsid w:val="00BE0E6A"/>
    <w:rsid w:val="00BE7A33"/>
    <w:rsid w:val="00BF1820"/>
    <w:rsid w:val="00BF2A57"/>
    <w:rsid w:val="00BF3BB7"/>
    <w:rsid w:val="00C011CF"/>
    <w:rsid w:val="00C02F42"/>
    <w:rsid w:val="00C044AE"/>
    <w:rsid w:val="00C11030"/>
    <w:rsid w:val="00C159FE"/>
    <w:rsid w:val="00C21BF0"/>
    <w:rsid w:val="00C23AED"/>
    <w:rsid w:val="00C3459A"/>
    <w:rsid w:val="00C34E41"/>
    <w:rsid w:val="00C358D5"/>
    <w:rsid w:val="00C376E8"/>
    <w:rsid w:val="00C406D2"/>
    <w:rsid w:val="00C47755"/>
    <w:rsid w:val="00C47B46"/>
    <w:rsid w:val="00C519C2"/>
    <w:rsid w:val="00C543F8"/>
    <w:rsid w:val="00C619D3"/>
    <w:rsid w:val="00C64B6E"/>
    <w:rsid w:val="00C66013"/>
    <w:rsid w:val="00C728A8"/>
    <w:rsid w:val="00C737BA"/>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2C97"/>
    <w:rsid w:val="00D164AD"/>
    <w:rsid w:val="00D333BA"/>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ABE"/>
    <w:rsid w:val="00D76BDD"/>
    <w:rsid w:val="00D77C55"/>
    <w:rsid w:val="00D82226"/>
    <w:rsid w:val="00D84A26"/>
    <w:rsid w:val="00D90D34"/>
    <w:rsid w:val="00D90EF8"/>
    <w:rsid w:val="00D9226A"/>
    <w:rsid w:val="00DA13B9"/>
    <w:rsid w:val="00DA5251"/>
    <w:rsid w:val="00DB117B"/>
    <w:rsid w:val="00DB4FF8"/>
    <w:rsid w:val="00DC0A36"/>
    <w:rsid w:val="00DC2F9C"/>
    <w:rsid w:val="00DD4E27"/>
    <w:rsid w:val="00DE0704"/>
    <w:rsid w:val="00E0664D"/>
    <w:rsid w:val="00E2017F"/>
    <w:rsid w:val="00E2444D"/>
    <w:rsid w:val="00E25162"/>
    <w:rsid w:val="00E260A8"/>
    <w:rsid w:val="00E376EA"/>
    <w:rsid w:val="00E40277"/>
    <w:rsid w:val="00E41DFD"/>
    <w:rsid w:val="00E4233B"/>
    <w:rsid w:val="00E45332"/>
    <w:rsid w:val="00E46914"/>
    <w:rsid w:val="00E505CF"/>
    <w:rsid w:val="00E51B60"/>
    <w:rsid w:val="00E72490"/>
    <w:rsid w:val="00E754C8"/>
    <w:rsid w:val="00E8006A"/>
    <w:rsid w:val="00E81371"/>
    <w:rsid w:val="00E82191"/>
    <w:rsid w:val="00E87DCD"/>
    <w:rsid w:val="00E91046"/>
    <w:rsid w:val="00E95C5D"/>
    <w:rsid w:val="00EA1FF4"/>
    <w:rsid w:val="00EB13E2"/>
    <w:rsid w:val="00EB2182"/>
    <w:rsid w:val="00EB3B01"/>
    <w:rsid w:val="00EC6597"/>
    <w:rsid w:val="00ED0561"/>
    <w:rsid w:val="00ED0AED"/>
    <w:rsid w:val="00ED171E"/>
    <w:rsid w:val="00ED2466"/>
    <w:rsid w:val="00EE33EF"/>
    <w:rsid w:val="00EF39D4"/>
    <w:rsid w:val="00F039F2"/>
    <w:rsid w:val="00F06018"/>
    <w:rsid w:val="00F17F3D"/>
    <w:rsid w:val="00F21921"/>
    <w:rsid w:val="00F253EA"/>
    <w:rsid w:val="00F26986"/>
    <w:rsid w:val="00F26AF5"/>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9684B"/>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D54BDA9"/>
  <w15:docId w15:val="{0D2A17A6-5C88-4FA6-9DDD-948BB5E3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List Paragraph Main,List first level"/>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List Paragraph Main Zchn,List first level Zchn"/>
    <w:link w:val="Listenabsatz"/>
    <w:uiPriority w:val="34"/>
    <w:rsid w:val="005C7948"/>
    <w:rPr>
      <w:rFonts w:ascii="Trebuchet MS" w:hAnsi="Trebuchet MS" w:cs="Trebuchet MS"/>
      <w:snapToGrid w:val="0"/>
      <w:sz w:val="22"/>
      <w:szCs w:val="22"/>
      <w:lang w:val="de-DE"/>
    </w:rPr>
  </w:style>
  <w:style w:type="character" w:customStyle="1" w:styleId="paragraph2">
    <w:name w:val="paragraph2"/>
    <w:basedOn w:val="Absatz-Standardschriftart"/>
    <w:rsid w:val="00C737BA"/>
    <w:rPr>
      <w:b w:val="0"/>
      <w:bCs w:val="0"/>
      <w:vanish w:val="0"/>
      <w:webHidden w:val="0"/>
      <w:sz w:val="18"/>
      <w:szCs w:val="18"/>
      <w:specVanish w:val="0"/>
    </w:rPr>
  </w:style>
  <w:style w:type="table" w:styleId="Tabellenraster">
    <w:name w:val="Table Grid"/>
    <w:basedOn w:val="NormaleTabelle"/>
    <w:uiPriority w:val="39"/>
    <w:rsid w:val="00E469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A7509A"/>
    <w:pPr>
      <w:spacing w:line="240" w:lineRule="auto"/>
    </w:pPr>
    <w:rPr>
      <w:rFonts w:eastAsiaTheme="minorHAnsi" w:cs="Calibri"/>
      <w:snapToGrid/>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263927336">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21115357">
      <w:bodyDiv w:val="1"/>
      <w:marLeft w:val="0"/>
      <w:marRight w:val="0"/>
      <w:marTop w:val="0"/>
      <w:marBottom w:val="0"/>
      <w:divBdr>
        <w:top w:val="none" w:sz="0" w:space="0" w:color="auto"/>
        <w:left w:val="none" w:sz="0" w:space="0" w:color="auto"/>
        <w:bottom w:val="none" w:sz="0" w:space="0" w:color="auto"/>
        <w:right w:val="none" w:sz="0" w:space="0" w:color="auto"/>
      </w:divBdr>
    </w:div>
    <w:div w:id="629433338">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771054331">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1325675">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07235512">
      <w:bodyDiv w:val="1"/>
      <w:marLeft w:val="0"/>
      <w:marRight w:val="0"/>
      <w:marTop w:val="0"/>
      <w:marBottom w:val="0"/>
      <w:divBdr>
        <w:top w:val="none" w:sz="0" w:space="0" w:color="auto"/>
        <w:left w:val="none" w:sz="0" w:space="0" w:color="auto"/>
        <w:bottom w:val="none" w:sz="0" w:space="0" w:color="auto"/>
        <w:right w:val="none" w:sz="0" w:space="0" w:color="auto"/>
      </w:divBdr>
      <w:divsChild>
        <w:div w:id="653029179">
          <w:marLeft w:val="0"/>
          <w:marRight w:val="0"/>
          <w:marTop w:val="0"/>
          <w:marBottom w:val="0"/>
          <w:divBdr>
            <w:top w:val="none" w:sz="0" w:space="0" w:color="auto"/>
            <w:left w:val="none" w:sz="0" w:space="0" w:color="auto"/>
            <w:bottom w:val="none" w:sz="0" w:space="0" w:color="auto"/>
            <w:right w:val="none" w:sz="0" w:space="0" w:color="auto"/>
          </w:divBdr>
          <w:divsChild>
            <w:div w:id="768431358">
              <w:marLeft w:val="0"/>
              <w:marRight w:val="0"/>
              <w:marTop w:val="0"/>
              <w:marBottom w:val="0"/>
              <w:divBdr>
                <w:top w:val="none" w:sz="0" w:space="0" w:color="auto"/>
                <w:left w:val="none" w:sz="0" w:space="0" w:color="auto"/>
                <w:bottom w:val="none" w:sz="0" w:space="0" w:color="auto"/>
                <w:right w:val="none" w:sz="0" w:space="0" w:color="auto"/>
              </w:divBdr>
              <w:divsChild>
                <w:div w:id="600725538">
                  <w:marLeft w:val="0"/>
                  <w:marRight w:val="0"/>
                  <w:marTop w:val="0"/>
                  <w:marBottom w:val="0"/>
                  <w:divBdr>
                    <w:top w:val="none" w:sz="0" w:space="0" w:color="auto"/>
                    <w:left w:val="none" w:sz="0" w:space="0" w:color="auto"/>
                    <w:bottom w:val="none" w:sz="0" w:space="0" w:color="auto"/>
                    <w:right w:val="none" w:sz="0" w:space="0" w:color="auto"/>
                  </w:divBdr>
                  <w:divsChild>
                    <w:div w:id="2102749636">
                      <w:marLeft w:val="0"/>
                      <w:marRight w:val="0"/>
                      <w:marTop w:val="0"/>
                      <w:marBottom w:val="0"/>
                      <w:divBdr>
                        <w:top w:val="none" w:sz="0" w:space="0" w:color="auto"/>
                        <w:left w:val="none" w:sz="0" w:space="0" w:color="auto"/>
                        <w:bottom w:val="none" w:sz="0" w:space="0" w:color="auto"/>
                        <w:right w:val="none" w:sz="0" w:space="0" w:color="auto"/>
                      </w:divBdr>
                      <w:divsChild>
                        <w:div w:id="665714901">
                          <w:marLeft w:val="0"/>
                          <w:marRight w:val="0"/>
                          <w:marTop w:val="0"/>
                          <w:marBottom w:val="0"/>
                          <w:divBdr>
                            <w:top w:val="none" w:sz="0" w:space="0" w:color="auto"/>
                            <w:left w:val="none" w:sz="0" w:space="0" w:color="auto"/>
                            <w:bottom w:val="none" w:sz="0" w:space="0" w:color="auto"/>
                            <w:right w:val="none" w:sz="0" w:space="0" w:color="auto"/>
                          </w:divBdr>
                          <w:divsChild>
                            <w:div w:id="2098938035">
                              <w:marLeft w:val="0"/>
                              <w:marRight w:val="0"/>
                              <w:marTop w:val="0"/>
                              <w:marBottom w:val="0"/>
                              <w:divBdr>
                                <w:top w:val="none" w:sz="0" w:space="0" w:color="auto"/>
                                <w:left w:val="none" w:sz="0" w:space="0" w:color="auto"/>
                                <w:bottom w:val="none" w:sz="0" w:space="0" w:color="auto"/>
                                <w:right w:val="none" w:sz="0" w:space="0" w:color="auto"/>
                              </w:divBdr>
                              <w:divsChild>
                                <w:div w:id="216280424">
                                  <w:marLeft w:val="0"/>
                                  <w:marRight w:val="0"/>
                                  <w:marTop w:val="30"/>
                                  <w:marBottom w:val="2250"/>
                                  <w:divBdr>
                                    <w:top w:val="none" w:sz="0" w:space="0" w:color="auto"/>
                                    <w:left w:val="none" w:sz="0" w:space="0" w:color="auto"/>
                                    <w:bottom w:val="none" w:sz="0" w:space="0" w:color="auto"/>
                                    <w:right w:val="none" w:sz="0" w:space="0" w:color="auto"/>
                                  </w:divBdr>
                                  <w:divsChild>
                                    <w:div w:id="87777170">
                                      <w:marLeft w:val="0"/>
                                      <w:marRight w:val="0"/>
                                      <w:marTop w:val="0"/>
                                      <w:marBottom w:val="0"/>
                                      <w:divBdr>
                                        <w:top w:val="none" w:sz="0" w:space="0" w:color="auto"/>
                                        <w:left w:val="none" w:sz="0" w:space="0" w:color="auto"/>
                                        <w:bottom w:val="none" w:sz="0" w:space="0" w:color="auto"/>
                                        <w:right w:val="none" w:sz="0" w:space="0" w:color="auto"/>
                                      </w:divBdr>
                                      <w:divsChild>
                                        <w:div w:id="139658020">
                                          <w:marLeft w:val="0"/>
                                          <w:marRight w:val="0"/>
                                          <w:marTop w:val="0"/>
                                          <w:marBottom w:val="0"/>
                                          <w:divBdr>
                                            <w:top w:val="none" w:sz="0" w:space="0" w:color="auto"/>
                                            <w:left w:val="none" w:sz="0" w:space="0" w:color="auto"/>
                                            <w:bottom w:val="none" w:sz="0" w:space="0" w:color="auto"/>
                                            <w:right w:val="none" w:sz="0" w:space="0" w:color="auto"/>
                                          </w:divBdr>
                                          <w:divsChild>
                                            <w:div w:id="1138648184">
                                              <w:marLeft w:val="0"/>
                                              <w:marRight w:val="0"/>
                                              <w:marTop w:val="0"/>
                                              <w:marBottom w:val="0"/>
                                              <w:divBdr>
                                                <w:top w:val="none" w:sz="0" w:space="0" w:color="auto"/>
                                                <w:left w:val="none" w:sz="0" w:space="0" w:color="auto"/>
                                                <w:bottom w:val="none" w:sz="0" w:space="0" w:color="auto"/>
                                                <w:right w:val="none" w:sz="0" w:space="0" w:color="auto"/>
                                              </w:divBdr>
                                              <w:divsChild>
                                                <w:div w:id="1187602043">
                                                  <w:marLeft w:val="0"/>
                                                  <w:marRight w:val="0"/>
                                                  <w:marTop w:val="0"/>
                                                  <w:marBottom w:val="0"/>
                                                  <w:divBdr>
                                                    <w:top w:val="none" w:sz="0" w:space="0" w:color="auto"/>
                                                    <w:left w:val="none" w:sz="0" w:space="0" w:color="auto"/>
                                                    <w:bottom w:val="none" w:sz="0" w:space="0" w:color="auto"/>
                                                    <w:right w:val="none" w:sz="0" w:space="0" w:color="auto"/>
                                                  </w:divBdr>
                                                  <w:divsChild>
                                                    <w:div w:id="355471183">
                                                      <w:marLeft w:val="0"/>
                                                      <w:marRight w:val="0"/>
                                                      <w:marTop w:val="150"/>
                                                      <w:marBottom w:val="375"/>
                                                      <w:divBdr>
                                                        <w:top w:val="none" w:sz="0" w:space="0" w:color="auto"/>
                                                        <w:left w:val="none" w:sz="0" w:space="0" w:color="auto"/>
                                                        <w:bottom w:val="none" w:sz="0" w:space="0" w:color="auto"/>
                                                        <w:right w:val="none" w:sz="0" w:space="0" w:color="auto"/>
                                                      </w:divBdr>
                                                      <w:divsChild>
                                                        <w:div w:id="747119842">
                                                          <w:marLeft w:val="0"/>
                                                          <w:marRight w:val="0"/>
                                                          <w:marTop w:val="0"/>
                                                          <w:marBottom w:val="0"/>
                                                          <w:divBdr>
                                                            <w:top w:val="none" w:sz="0" w:space="0" w:color="auto"/>
                                                            <w:left w:val="none" w:sz="0" w:space="0" w:color="auto"/>
                                                            <w:bottom w:val="none" w:sz="0" w:space="0" w:color="auto"/>
                                                            <w:right w:val="none" w:sz="0" w:space="0" w:color="auto"/>
                                                          </w:divBdr>
                                                          <w:divsChild>
                                                            <w:div w:id="503669558">
                                                              <w:marLeft w:val="0"/>
                                                              <w:marRight w:val="0"/>
                                                              <w:marTop w:val="0"/>
                                                              <w:marBottom w:val="120"/>
                                                              <w:divBdr>
                                                                <w:top w:val="none" w:sz="0" w:space="0" w:color="auto"/>
                                                                <w:left w:val="none" w:sz="0" w:space="0" w:color="auto"/>
                                                                <w:bottom w:val="none" w:sz="0" w:space="0" w:color="auto"/>
                                                                <w:right w:val="none" w:sz="0" w:space="0" w:color="auto"/>
                                                              </w:divBdr>
                                                              <w:divsChild>
                                                                <w:div w:id="1968126791">
                                                                  <w:marLeft w:val="0"/>
                                                                  <w:marRight w:val="0"/>
                                                                  <w:marTop w:val="0"/>
                                                                  <w:marBottom w:val="0"/>
                                                                  <w:divBdr>
                                                                    <w:top w:val="none" w:sz="0" w:space="0" w:color="auto"/>
                                                                    <w:left w:val="none" w:sz="0" w:space="0" w:color="auto"/>
                                                                    <w:bottom w:val="none" w:sz="0" w:space="0" w:color="auto"/>
                                                                    <w:right w:val="none" w:sz="0" w:space="0" w:color="auto"/>
                                                                  </w:divBdr>
                                                                  <w:divsChild>
                                                                    <w:div w:id="1031609305">
                                                                      <w:marLeft w:val="0"/>
                                                                      <w:marRight w:val="0"/>
                                                                      <w:marTop w:val="0"/>
                                                                      <w:marBottom w:val="0"/>
                                                                      <w:divBdr>
                                                                        <w:top w:val="none" w:sz="0" w:space="0" w:color="auto"/>
                                                                        <w:left w:val="none" w:sz="0" w:space="0" w:color="auto"/>
                                                                        <w:bottom w:val="none" w:sz="0" w:space="0" w:color="auto"/>
                                                                        <w:right w:val="none" w:sz="0" w:space="0" w:color="auto"/>
                                                                      </w:divBdr>
                                                                      <w:divsChild>
                                                                        <w:div w:id="6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38153191">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8DF7-6BA5-4CE7-B32B-C62489C4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6576</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BSC, LL.M., LL.B., WKÖ BSBV</cp:lastModifiedBy>
  <cp:revision>2</cp:revision>
  <cp:lastPrinted>2015-09-30T08:11:00Z</cp:lastPrinted>
  <dcterms:created xsi:type="dcterms:W3CDTF">2021-10-13T11:21:00Z</dcterms:created>
  <dcterms:modified xsi:type="dcterms:W3CDTF">2021-10-13T11:21:00Z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y fmtid="{D5CDD505-2E9C-101B-9397-08002B2CF9AE}" pid="3" name="MSIP_Label_2a6524ed-fb1a-49fd-bafe-15c5e5ffd047_Enabled">
    <vt:lpwstr>true</vt:lpwstr>
  </property>
  <property fmtid="{D5CDD505-2E9C-101B-9397-08002B2CF9AE}" pid="4" name="MSIP_Label_2a6524ed-fb1a-49fd-bafe-15c5e5ffd047_SetDate">
    <vt:lpwstr>2021-10-08T11:17:12Z</vt:lpwstr>
  </property>
  <property fmtid="{D5CDD505-2E9C-101B-9397-08002B2CF9AE}" pid="5" name="MSIP_Label_2a6524ed-fb1a-49fd-bafe-15c5e5ffd047_Method">
    <vt:lpwstr>Privileged</vt:lpwstr>
  </property>
  <property fmtid="{D5CDD505-2E9C-101B-9397-08002B2CF9AE}" pid="6" name="MSIP_Label_2a6524ed-fb1a-49fd-bafe-15c5e5ffd047_Name">
    <vt:lpwstr>Internal</vt:lpwstr>
  </property>
  <property fmtid="{D5CDD505-2E9C-101B-9397-08002B2CF9AE}" pid="7" name="MSIP_Label_2a6524ed-fb1a-49fd-bafe-15c5e5ffd047_SiteId">
    <vt:lpwstr>9b511fda-f0b1-43a5-b06e-1e720f64520a</vt:lpwstr>
  </property>
  <property fmtid="{D5CDD505-2E9C-101B-9397-08002B2CF9AE}" pid="8" name="MSIP_Label_2a6524ed-fb1a-49fd-bafe-15c5e5ffd047_ActionId">
    <vt:lpwstr>2023373e-a460-4270-944e-0fa5969971ef</vt:lpwstr>
  </property>
  <property fmtid="{D5CDD505-2E9C-101B-9397-08002B2CF9AE}" pid="9" name="MSIP_Label_2a6524ed-fb1a-49fd-bafe-15c5e5ffd047_ContentBits">
    <vt:lpwstr>0</vt:lpwstr>
  </property>
</Properties>
</file>