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olo"/>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Titolo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Titolo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1381F4D" w:rsidR="00C85C8B" w:rsidRPr="00B16706" w:rsidRDefault="001A354E"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Associazione</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Intermediari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Mercati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Finanziari</w:t>
                </w:r>
                <w:proofErr w:type="spellEnd"/>
                <w:r>
                  <w:rPr>
                    <w:rFonts w:ascii="Arial" w:hAnsi="Arial" w:cs="Arial"/>
                    <w:color w:val="808080"/>
                    <w:sz w:val="16"/>
                    <w:szCs w:val="20"/>
                    <w:lang w:eastAsia="de-DE"/>
                  </w:rPr>
                  <w:t xml:space="preserve"> - ASSOSIM</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8F1A828" w:rsidR="00C85C8B" w:rsidRPr="00B16706" w:rsidRDefault="002357D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354E">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E766665" w:rsidR="00C85C8B" w:rsidRPr="00B16706" w:rsidRDefault="001A354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188FD70" w:rsidR="00C85C8B" w:rsidRPr="00B16706" w:rsidRDefault="001A354E"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0E253E3C" w14:textId="466E345D" w:rsidR="00D02884" w:rsidRDefault="00D02884" w:rsidP="00D02884">
      <w:permStart w:id="1632727143" w:edGrp="everyone"/>
      <w:r>
        <w:t>TYPE YOUR TEXT HERE</w:t>
      </w:r>
    </w:p>
    <w:permEnd w:id="1632727143"/>
    <w:p w14:paraId="45D13BD8" w14:textId="77777777" w:rsidR="00D02884" w:rsidRDefault="00D02884" w:rsidP="00D02884">
      <w:r>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21986876" w:rsidR="00D02884" w:rsidRDefault="007D0D25" w:rsidP="00D02884">
      <w:permStart w:id="1927289032" w:edGrp="everyone"/>
      <w:r>
        <w:t>We agree with ESMA’s conclusions.</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3C5FDDC3" w14:textId="3B731BBB" w:rsidR="00D02884" w:rsidRDefault="006745E0" w:rsidP="00D02884">
      <w:permStart w:id="707614466" w:edGrp="everyone"/>
      <w:r>
        <w:t xml:space="preserve">We agree </w:t>
      </w:r>
      <w:r w:rsidR="00816BAD">
        <w:t xml:space="preserve">with ESMA’s proposal </w:t>
      </w:r>
      <w:r w:rsidR="00A91A87">
        <w:t xml:space="preserve">pursuant to which the </w:t>
      </w:r>
      <w:r w:rsidR="00BC398A">
        <w:t>R</w:t>
      </w:r>
      <w:r w:rsidR="00A91A87">
        <w:t>CA that is competent for</w:t>
      </w:r>
      <w:r w:rsidR="00BC398A">
        <w:t xml:space="preserve"> the “target” financial instrument </w:t>
      </w:r>
      <w:r w:rsidR="00D100A7">
        <w:t xml:space="preserve">will </w:t>
      </w:r>
      <w:r w:rsidR="00760307">
        <w:t>also</w:t>
      </w:r>
      <w:r w:rsidR="00760307">
        <w:t xml:space="preserve"> </w:t>
      </w:r>
      <w:r w:rsidR="00D100A7">
        <w:t>be</w:t>
      </w:r>
      <w:r w:rsidR="00BC398A">
        <w:t xml:space="preserve"> competent for </w:t>
      </w:r>
      <w:r w:rsidR="00660CCB">
        <w:t>all those instruments w</w:t>
      </w:r>
      <w:r w:rsidR="00B73721">
        <w:t xml:space="preserve">hich </w:t>
      </w:r>
      <w:r w:rsidR="00660CCB">
        <w:t>confer a financial advantage in the event of a decrease in the pr</w:t>
      </w:r>
      <w:r w:rsidR="00B73721">
        <w:t>i</w:t>
      </w:r>
      <w:r w:rsidR="00660CCB">
        <w:t xml:space="preserve">ce or value </w:t>
      </w:r>
      <w:r w:rsidR="00612F53">
        <w:t>of such “target” instrument.</w:t>
      </w:r>
    </w:p>
    <w:permEnd w:id="707614466"/>
    <w:p w14:paraId="44CB5E14" w14:textId="77777777"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0D181590" w14:textId="79CB3BE5" w:rsidR="00D02884" w:rsidRDefault="00CA2F0A" w:rsidP="00D02884">
      <w:permStart w:id="1750483000" w:edGrp="everyone"/>
      <w:r>
        <w:t xml:space="preserve">Yes, we agree. In this </w:t>
      </w:r>
      <w:proofErr w:type="gramStart"/>
      <w:r>
        <w:t>respect</w:t>
      </w:r>
      <w:proofErr w:type="gramEnd"/>
      <w:r>
        <w:t xml:space="preserve"> please consider that </w:t>
      </w:r>
      <w:r w:rsidR="00986BCD">
        <w:t xml:space="preserve">in Italy </w:t>
      </w:r>
      <w:r w:rsidR="00982DDB">
        <w:t xml:space="preserve">the measures under article 20(2)(a) and (b) of the SSR </w:t>
      </w:r>
      <w:r w:rsidR="00115415">
        <w:t xml:space="preserve">have been read as </w:t>
      </w:r>
      <w:r w:rsidR="000534A5">
        <w:t xml:space="preserve">jointly </w:t>
      </w:r>
      <w:r w:rsidR="00610717">
        <w:t>implementable</w:t>
      </w:r>
      <w:r w:rsidR="0018710D">
        <w:t>.</w:t>
      </w:r>
    </w:p>
    <w:permEnd w:id="1750483000"/>
    <w:p w14:paraId="6FFFFA18" w14:textId="77777777"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5E9361BD" w14:textId="1E43EFCC" w:rsidR="00D02884" w:rsidRDefault="00846240" w:rsidP="00D02884">
      <w:permStart w:id="1744045598" w:edGrp="everyone"/>
      <w:r>
        <w:t xml:space="preserve">We agree with ESMA’s view about excluding </w:t>
      </w:r>
      <w:r w:rsidR="002B79C9">
        <w:t xml:space="preserve">indices, baskets and ETFs from the scope of </w:t>
      </w:r>
      <w:proofErr w:type="gramStart"/>
      <w:r w:rsidR="002B79C9">
        <w:t>long term</w:t>
      </w:r>
      <w:proofErr w:type="gramEnd"/>
      <w:r w:rsidR="002B79C9">
        <w:t xml:space="preserve"> bans.</w:t>
      </w:r>
      <w:r w:rsidR="00646FB5">
        <w:t xml:space="preserve"> We believe that such </w:t>
      </w:r>
      <w:r w:rsidR="009F24B7">
        <w:t>approach is less burdensome to manage from an operational point of view than th</w:t>
      </w:r>
      <w:r w:rsidR="00835EDC">
        <w:t>e alternative suggest</w:t>
      </w:r>
      <w:r w:rsidR="00430166">
        <w:t>ed</w:t>
      </w:r>
      <w:r w:rsidR="00835EDC">
        <w:t xml:space="preserve"> by ESMA </w:t>
      </w:r>
      <w:r w:rsidR="005E43FA">
        <w:t>(</w:t>
      </w:r>
      <w:proofErr w:type="gramStart"/>
      <w:r w:rsidR="005E43FA">
        <w:t>e.g.</w:t>
      </w:r>
      <w:proofErr w:type="gramEnd"/>
      <w:r w:rsidR="005E43FA">
        <w:t xml:space="preserve"> </w:t>
      </w:r>
      <w:r w:rsidR="00430166">
        <w:t xml:space="preserve">percentage-based weighting </w:t>
      </w:r>
      <w:r w:rsidR="005E43FA">
        <w:t>approach).</w:t>
      </w:r>
    </w:p>
    <w:permEnd w:id="1744045598"/>
    <w:p w14:paraId="57197F9A" w14:textId="77777777"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77777777" w:rsidR="00D02884" w:rsidRDefault="00D02884" w:rsidP="00D02884">
      <w:permStart w:id="505167219" w:edGrp="everyone"/>
      <w:r>
        <w:t>TYPE YOUR TEXT HERE</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77777777" w:rsidR="00D02884" w:rsidRDefault="00D02884" w:rsidP="00D02884">
      <w:permStart w:id="2039760976" w:edGrp="everyone"/>
      <w:r>
        <w:t>TYPE YOUR TEXT HERE</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7F88F0BB" w:rsidR="00D02884" w:rsidRDefault="00A429E0" w:rsidP="00D02884">
      <w:permStart w:id="1121714453" w:edGrp="everyone"/>
      <w:r>
        <w:t xml:space="preserve">We do not agree with </w:t>
      </w:r>
      <w:r w:rsidR="000109B3">
        <w:t xml:space="preserve">ESMA’s proposal to change the scope of </w:t>
      </w:r>
      <w:r w:rsidR="00B91B25">
        <w:t xml:space="preserve">the </w:t>
      </w:r>
      <w:proofErr w:type="gramStart"/>
      <w:r w:rsidR="00B91B25">
        <w:t>short term</w:t>
      </w:r>
      <w:proofErr w:type="gramEnd"/>
      <w:r w:rsidR="00B91B25">
        <w:t xml:space="preserve"> </w:t>
      </w:r>
      <w:r w:rsidR="002C2737">
        <w:t>measure</w:t>
      </w:r>
      <w:r w:rsidR="00645FF4">
        <w:t xml:space="preserve"> </w:t>
      </w:r>
      <w:r w:rsidR="00B91B25">
        <w:t xml:space="preserve">from a ban on short selling on a trading venue into a ban </w:t>
      </w:r>
      <w:r w:rsidR="009F01EB">
        <w:t>on entering into or increasing NSPs</w:t>
      </w:r>
      <w:r w:rsidR="00464CF2">
        <w:t xml:space="preserve"> </w:t>
      </w:r>
      <w:r w:rsidR="00FA75AD">
        <w:t xml:space="preserve">because </w:t>
      </w:r>
      <w:r w:rsidR="009F01EB">
        <w:t xml:space="preserve">such a change would entail </w:t>
      </w:r>
      <w:r w:rsidR="00464CF2">
        <w:t xml:space="preserve">significant </w:t>
      </w:r>
      <w:r w:rsidR="009F01EB">
        <w:t>operational</w:t>
      </w:r>
      <w:r w:rsidR="00005ED2">
        <w:t>/monitoring</w:t>
      </w:r>
      <w:r w:rsidR="009F01EB">
        <w:t xml:space="preserve"> issues for intermediaries</w:t>
      </w:r>
      <w:r w:rsidR="00005ED2">
        <w:t>.</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79840AA2" w14:textId="78324CC9" w:rsidR="00D02884" w:rsidRDefault="00D16038" w:rsidP="00D02884">
      <w:permStart w:id="814236590" w:edGrp="everyone"/>
      <w:r>
        <w:t>We are in favour of including subscription rights in the calculation of NSPs in shares.</w:t>
      </w:r>
    </w:p>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773520B0" w14:textId="0489A4D6" w:rsidR="00D02884" w:rsidRDefault="007D045A" w:rsidP="00D02884">
      <w:permStart w:id="837683724" w:edGrp="everyone"/>
      <w:r>
        <w:t xml:space="preserve">Although we </w:t>
      </w:r>
      <w:r w:rsidR="00E561F7">
        <w:t xml:space="preserve">have little </w:t>
      </w:r>
      <w:r>
        <w:t>expe</w:t>
      </w:r>
      <w:r w:rsidR="00650D14">
        <w:t xml:space="preserve">rience regarding </w:t>
      </w:r>
      <w:r w:rsidR="00757F20">
        <w:t>the application of the “locate rule”</w:t>
      </w:r>
      <w:r w:rsidR="00650D14">
        <w:t xml:space="preserve"> </w:t>
      </w:r>
      <w:r w:rsidR="00FA75AD">
        <w:t>since</w:t>
      </w:r>
      <w:r w:rsidR="00650D14">
        <w:t xml:space="preserve"> our members do not frequently </w:t>
      </w:r>
      <w:r w:rsidR="004C4898">
        <w:t xml:space="preserve">make </w:t>
      </w:r>
      <w:r w:rsidR="00757F20">
        <w:t xml:space="preserve">use </w:t>
      </w:r>
      <w:r w:rsidR="004C4898">
        <w:t xml:space="preserve">of </w:t>
      </w:r>
      <w:r w:rsidR="00757F20">
        <w:t>such option</w:t>
      </w:r>
      <w:r w:rsidR="00EE5962">
        <w:t xml:space="preserve">, we believe that -as a matter of principle- </w:t>
      </w:r>
      <w:r w:rsidR="008D0933">
        <w:t>the proposal</w:t>
      </w:r>
      <w:r w:rsidR="00810F79">
        <w:t>s</w:t>
      </w:r>
      <w:r w:rsidR="008D0933">
        <w:t xml:space="preserve"> to </w:t>
      </w:r>
      <w:r w:rsidR="00810F79">
        <w:t xml:space="preserve">discipline only one type of locate arrangement and to </w:t>
      </w:r>
      <w:r w:rsidR="008D0933">
        <w:t>reinforce the third-party’s commitment co</w:t>
      </w:r>
      <w:r w:rsidR="001811A0">
        <w:t xml:space="preserve">uld be </w:t>
      </w:r>
      <w:r w:rsidR="00B93173">
        <w:t xml:space="preserve">seen positively also </w:t>
      </w:r>
      <w:proofErr w:type="gramStart"/>
      <w:r w:rsidR="00B93173">
        <w:t>in light of</w:t>
      </w:r>
      <w:proofErr w:type="gramEnd"/>
      <w:r w:rsidR="00600310">
        <w:t xml:space="preserve"> increasing the</w:t>
      </w:r>
      <w:r w:rsidR="00B93173">
        <w:t xml:space="preserve"> use of such arrangements in practice.</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7777777" w:rsidR="00D02884" w:rsidRDefault="00D02884" w:rsidP="00D02884">
      <w:permStart w:id="1011105196" w:edGrp="everyone"/>
      <w:r>
        <w:lastRenderedPageBreak/>
        <w:t>TYPE YOUR TEXT HERE</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77777777" w:rsidR="00D02884" w:rsidRDefault="00D02884" w:rsidP="00D02884">
      <w:permStart w:id="605506472" w:edGrp="everyone"/>
      <w:r>
        <w:t>TYPE YOUR TEXT HERE</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7C9EBA96" w:rsidR="00D02884" w:rsidRDefault="00600A0C" w:rsidP="00D02884">
      <w:permStart w:id="1582846376" w:edGrp="everyone"/>
      <w:r>
        <w:t xml:space="preserve">We </w:t>
      </w:r>
      <w:r w:rsidR="008B5E97">
        <w:t xml:space="preserve">don’t see significant issues in lowering to </w:t>
      </w:r>
      <w:r w:rsidR="00204B5C">
        <w:t>40% of the turnover the</w:t>
      </w:r>
      <w:r w:rsidR="00241AB7">
        <w:t xml:space="preserve"> </w:t>
      </w:r>
      <w:r w:rsidR="00204B5C">
        <w:t>threshold</w:t>
      </w:r>
      <w:r w:rsidR="00241AB7">
        <w:t xml:space="preserve"> currently se</w:t>
      </w:r>
      <w:r w:rsidR="001226C2">
        <w:t>t</w:t>
      </w:r>
      <w:r w:rsidR="00C55FD3">
        <w:t>.</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77777777" w:rsidR="00D02884" w:rsidRDefault="00D02884" w:rsidP="00D02884">
      <w:permStart w:id="1861689712" w:edGrp="everyone"/>
      <w:r>
        <w:t>TYPE YOUR TEXT HERE</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2F919AFD" w14:textId="602D88DD" w:rsidR="00D02884" w:rsidRDefault="00335DBB" w:rsidP="00D02884">
      <w:permStart w:id="1477983117" w:edGrp="everyone"/>
      <w:r>
        <w:t>We believe that the current thre</w:t>
      </w:r>
      <w:r w:rsidR="003A6D74">
        <w:t xml:space="preserve">shold is still </w:t>
      </w:r>
      <w:r w:rsidR="00F71F2E">
        <w:t>appropriate.</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098E257F" w14:textId="77777777" w:rsidR="00D02884" w:rsidRDefault="00D02884" w:rsidP="00D02884">
      <w:permStart w:id="316369119" w:edGrp="everyone"/>
      <w:r>
        <w:t>TYPE YOUR TEXT HERE</w:t>
      </w:r>
    </w:p>
    <w:permEnd w:id="316369119"/>
    <w:p w14:paraId="2D413980" w14:textId="77777777"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9AD9957" w14:textId="77777777" w:rsidR="00D02884" w:rsidRDefault="00D02884" w:rsidP="00D02884">
      <w:permStart w:id="1955013049" w:edGrp="everyone"/>
      <w:r>
        <w:t>TYPE YOUR TEXT HERE</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49C86268" w14:textId="5DE3AD1E" w:rsidR="00D02884" w:rsidRDefault="00C30D46" w:rsidP="00D02884">
      <w:permStart w:id="1440757531" w:edGrp="everyone"/>
      <w:r>
        <w:t xml:space="preserve">In principle we agree with the proposal </w:t>
      </w:r>
      <w:r w:rsidR="00CF0ED0">
        <w:t>considering that it is always preferable to have a single data point.</w:t>
      </w:r>
      <w:r w:rsidR="004E01AA">
        <w:t xml:space="preserve"> However, the functioning mechanisms of the proposed centralised notification and publication system should be carefully assessed in order not to </w:t>
      </w:r>
      <w:r w:rsidR="00007C98">
        <w:t>be too burdensome and expensive for financial intermediaries.</w:t>
      </w:r>
    </w:p>
    <w:permEnd w:id="1440757531"/>
    <w:p w14:paraId="27740E58" w14:textId="77777777" w:rsidR="00D02884" w:rsidRDefault="00D02884" w:rsidP="00D02884">
      <w:r>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585C" w14:textId="77777777" w:rsidR="002357D1" w:rsidRDefault="002357D1" w:rsidP="007E7997">
      <w:r>
        <w:separator/>
      </w:r>
    </w:p>
  </w:endnote>
  <w:endnote w:type="continuationSeparator" w:id="0">
    <w:p w14:paraId="61BA1CA7" w14:textId="77777777" w:rsidR="002357D1" w:rsidRDefault="002357D1" w:rsidP="007E7997">
      <w:r>
        <w:continuationSeparator/>
      </w:r>
    </w:p>
  </w:endnote>
  <w:endnote w:type="continuationNotice" w:id="1">
    <w:p w14:paraId="21FF0E93" w14:textId="77777777" w:rsidR="002357D1" w:rsidRDefault="00235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CB001EE"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ADB0" w14:textId="77777777" w:rsidR="002357D1" w:rsidRDefault="002357D1" w:rsidP="007E7997">
      <w:r>
        <w:separator/>
      </w:r>
    </w:p>
  </w:footnote>
  <w:footnote w:type="continuationSeparator" w:id="0">
    <w:p w14:paraId="36DBAF85" w14:textId="77777777" w:rsidR="002357D1" w:rsidRDefault="002357D1" w:rsidP="007E7997">
      <w:r>
        <w:continuationSeparator/>
      </w:r>
    </w:p>
  </w:footnote>
  <w:footnote w:type="continuationNotice" w:id="1">
    <w:p w14:paraId="23334F0E" w14:textId="77777777" w:rsidR="002357D1" w:rsidRDefault="00235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Intestazione"/>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0C69"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5ED2"/>
    <w:rsid w:val="00006275"/>
    <w:rsid w:val="00006971"/>
    <w:rsid w:val="00007C98"/>
    <w:rsid w:val="000109B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34A5"/>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5415"/>
    <w:rsid w:val="00120F0D"/>
    <w:rsid w:val="001214DA"/>
    <w:rsid w:val="001226C2"/>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AD6"/>
    <w:rsid w:val="001735B8"/>
    <w:rsid w:val="00177AA7"/>
    <w:rsid w:val="00180917"/>
    <w:rsid w:val="00180E53"/>
    <w:rsid w:val="001811A0"/>
    <w:rsid w:val="00181CB7"/>
    <w:rsid w:val="001862A5"/>
    <w:rsid w:val="00186A70"/>
    <w:rsid w:val="0018710D"/>
    <w:rsid w:val="00191035"/>
    <w:rsid w:val="001918E5"/>
    <w:rsid w:val="00192A7A"/>
    <w:rsid w:val="001A1EF4"/>
    <w:rsid w:val="001A354E"/>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4B5C"/>
    <w:rsid w:val="00205922"/>
    <w:rsid w:val="00206FB8"/>
    <w:rsid w:val="0020766F"/>
    <w:rsid w:val="00207A07"/>
    <w:rsid w:val="00210498"/>
    <w:rsid w:val="0021147A"/>
    <w:rsid w:val="00213BFB"/>
    <w:rsid w:val="002156A3"/>
    <w:rsid w:val="00217478"/>
    <w:rsid w:val="00220702"/>
    <w:rsid w:val="00220938"/>
    <w:rsid w:val="00224806"/>
    <w:rsid w:val="002269CB"/>
    <w:rsid w:val="00232F8E"/>
    <w:rsid w:val="00233071"/>
    <w:rsid w:val="002357D1"/>
    <w:rsid w:val="00235E99"/>
    <w:rsid w:val="00241AB7"/>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79C9"/>
    <w:rsid w:val="002C03FD"/>
    <w:rsid w:val="002C044D"/>
    <w:rsid w:val="002C1AA5"/>
    <w:rsid w:val="002C2737"/>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5DBB"/>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6D74"/>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1986"/>
    <w:rsid w:val="004242B3"/>
    <w:rsid w:val="00426D62"/>
    <w:rsid w:val="00427A89"/>
    <w:rsid w:val="00430166"/>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4CF2"/>
    <w:rsid w:val="00465EAA"/>
    <w:rsid w:val="004708CA"/>
    <w:rsid w:val="004709E7"/>
    <w:rsid w:val="00470ADE"/>
    <w:rsid w:val="004712C7"/>
    <w:rsid w:val="004759EB"/>
    <w:rsid w:val="00477919"/>
    <w:rsid w:val="00482611"/>
    <w:rsid w:val="00482A27"/>
    <w:rsid w:val="00487DCE"/>
    <w:rsid w:val="00492701"/>
    <w:rsid w:val="004950B7"/>
    <w:rsid w:val="00495626"/>
    <w:rsid w:val="00497FEA"/>
    <w:rsid w:val="004A75F5"/>
    <w:rsid w:val="004B07B2"/>
    <w:rsid w:val="004B0955"/>
    <w:rsid w:val="004B143D"/>
    <w:rsid w:val="004B1842"/>
    <w:rsid w:val="004B25D0"/>
    <w:rsid w:val="004B3553"/>
    <w:rsid w:val="004B5E92"/>
    <w:rsid w:val="004C0A30"/>
    <w:rsid w:val="004C357C"/>
    <w:rsid w:val="004C3D18"/>
    <w:rsid w:val="004C4898"/>
    <w:rsid w:val="004D42B1"/>
    <w:rsid w:val="004D526F"/>
    <w:rsid w:val="004E01AA"/>
    <w:rsid w:val="004E19C0"/>
    <w:rsid w:val="004E1C54"/>
    <w:rsid w:val="004E2C37"/>
    <w:rsid w:val="004E5285"/>
    <w:rsid w:val="004F0CF3"/>
    <w:rsid w:val="004F5474"/>
    <w:rsid w:val="004F5740"/>
    <w:rsid w:val="004F58C9"/>
    <w:rsid w:val="005028B9"/>
    <w:rsid w:val="00505E17"/>
    <w:rsid w:val="00511A59"/>
    <w:rsid w:val="00511C3B"/>
    <w:rsid w:val="00514440"/>
    <w:rsid w:val="00514D09"/>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38A1"/>
    <w:rsid w:val="00564607"/>
    <w:rsid w:val="00565193"/>
    <w:rsid w:val="005725BD"/>
    <w:rsid w:val="005730B0"/>
    <w:rsid w:val="00575DCC"/>
    <w:rsid w:val="005821B0"/>
    <w:rsid w:val="0059175F"/>
    <w:rsid w:val="005919ED"/>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43FA"/>
    <w:rsid w:val="005E53D0"/>
    <w:rsid w:val="005E5785"/>
    <w:rsid w:val="005E6098"/>
    <w:rsid w:val="005E7969"/>
    <w:rsid w:val="005F0C93"/>
    <w:rsid w:val="005F3F22"/>
    <w:rsid w:val="005F4FC0"/>
    <w:rsid w:val="005F540F"/>
    <w:rsid w:val="005F5491"/>
    <w:rsid w:val="005F6144"/>
    <w:rsid w:val="005F6573"/>
    <w:rsid w:val="00600310"/>
    <w:rsid w:val="00600A0C"/>
    <w:rsid w:val="00601541"/>
    <w:rsid w:val="0060361E"/>
    <w:rsid w:val="00604A25"/>
    <w:rsid w:val="00606683"/>
    <w:rsid w:val="00610717"/>
    <w:rsid w:val="00612F53"/>
    <w:rsid w:val="00613BF6"/>
    <w:rsid w:val="00616D27"/>
    <w:rsid w:val="006234FE"/>
    <w:rsid w:val="00623840"/>
    <w:rsid w:val="006255EC"/>
    <w:rsid w:val="00625A25"/>
    <w:rsid w:val="0062736A"/>
    <w:rsid w:val="0063565E"/>
    <w:rsid w:val="00636E02"/>
    <w:rsid w:val="00641DB1"/>
    <w:rsid w:val="00642297"/>
    <w:rsid w:val="00644A34"/>
    <w:rsid w:val="00645FF4"/>
    <w:rsid w:val="00646FB5"/>
    <w:rsid w:val="00650D14"/>
    <w:rsid w:val="00654824"/>
    <w:rsid w:val="006606BA"/>
    <w:rsid w:val="00660CCB"/>
    <w:rsid w:val="00661766"/>
    <w:rsid w:val="00662882"/>
    <w:rsid w:val="0066298C"/>
    <w:rsid w:val="00663008"/>
    <w:rsid w:val="00663093"/>
    <w:rsid w:val="00665A7C"/>
    <w:rsid w:val="00665B0B"/>
    <w:rsid w:val="006705CD"/>
    <w:rsid w:val="00671363"/>
    <w:rsid w:val="00672780"/>
    <w:rsid w:val="00672842"/>
    <w:rsid w:val="006745E0"/>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A2B"/>
    <w:rsid w:val="00735C00"/>
    <w:rsid w:val="007364C6"/>
    <w:rsid w:val="00740BF3"/>
    <w:rsid w:val="00741D5C"/>
    <w:rsid w:val="0074352F"/>
    <w:rsid w:val="00747C5E"/>
    <w:rsid w:val="007501B1"/>
    <w:rsid w:val="00750210"/>
    <w:rsid w:val="00754B57"/>
    <w:rsid w:val="0075671D"/>
    <w:rsid w:val="00757F20"/>
    <w:rsid w:val="0076002F"/>
    <w:rsid w:val="00760307"/>
    <w:rsid w:val="0076038B"/>
    <w:rsid w:val="00761744"/>
    <w:rsid w:val="00764582"/>
    <w:rsid w:val="00765FA3"/>
    <w:rsid w:val="00766961"/>
    <w:rsid w:val="00766B5A"/>
    <w:rsid w:val="00770C33"/>
    <w:rsid w:val="007741C3"/>
    <w:rsid w:val="007779DF"/>
    <w:rsid w:val="00777BE0"/>
    <w:rsid w:val="00780923"/>
    <w:rsid w:val="00780ACE"/>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045A"/>
    <w:rsid w:val="007D0D25"/>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0F79"/>
    <w:rsid w:val="008116D9"/>
    <w:rsid w:val="00811936"/>
    <w:rsid w:val="00812BE2"/>
    <w:rsid w:val="00813059"/>
    <w:rsid w:val="008157C8"/>
    <w:rsid w:val="00816BAD"/>
    <w:rsid w:val="008173E2"/>
    <w:rsid w:val="008201C3"/>
    <w:rsid w:val="00820422"/>
    <w:rsid w:val="00820655"/>
    <w:rsid w:val="008227D7"/>
    <w:rsid w:val="008249A1"/>
    <w:rsid w:val="00825D43"/>
    <w:rsid w:val="0082632D"/>
    <w:rsid w:val="00832500"/>
    <w:rsid w:val="00832787"/>
    <w:rsid w:val="00833000"/>
    <w:rsid w:val="00835805"/>
    <w:rsid w:val="0083595F"/>
    <w:rsid w:val="00835EDC"/>
    <w:rsid w:val="008372B6"/>
    <w:rsid w:val="00843A1A"/>
    <w:rsid w:val="00846240"/>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5E97"/>
    <w:rsid w:val="008B710D"/>
    <w:rsid w:val="008B7CA1"/>
    <w:rsid w:val="008C0177"/>
    <w:rsid w:val="008C0389"/>
    <w:rsid w:val="008C27D3"/>
    <w:rsid w:val="008C4B2B"/>
    <w:rsid w:val="008C5E91"/>
    <w:rsid w:val="008C686D"/>
    <w:rsid w:val="008C6B18"/>
    <w:rsid w:val="008C75E6"/>
    <w:rsid w:val="008C767A"/>
    <w:rsid w:val="008C7A73"/>
    <w:rsid w:val="008D0569"/>
    <w:rsid w:val="008D0933"/>
    <w:rsid w:val="008D5C28"/>
    <w:rsid w:val="008E2D26"/>
    <w:rsid w:val="008E4076"/>
    <w:rsid w:val="008E7216"/>
    <w:rsid w:val="008E7DBA"/>
    <w:rsid w:val="008F1993"/>
    <w:rsid w:val="008F3386"/>
    <w:rsid w:val="008F3AD9"/>
    <w:rsid w:val="008F4642"/>
    <w:rsid w:val="008F4E00"/>
    <w:rsid w:val="008F761D"/>
    <w:rsid w:val="00900D44"/>
    <w:rsid w:val="00902520"/>
    <w:rsid w:val="00906DC4"/>
    <w:rsid w:val="0091457F"/>
    <w:rsid w:val="009145CE"/>
    <w:rsid w:val="00915318"/>
    <w:rsid w:val="0091729E"/>
    <w:rsid w:val="0093261E"/>
    <w:rsid w:val="0094008E"/>
    <w:rsid w:val="00941C0C"/>
    <w:rsid w:val="009437F2"/>
    <w:rsid w:val="0094528B"/>
    <w:rsid w:val="00960A8B"/>
    <w:rsid w:val="00965128"/>
    <w:rsid w:val="00973F43"/>
    <w:rsid w:val="0097785D"/>
    <w:rsid w:val="0098011D"/>
    <w:rsid w:val="00981912"/>
    <w:rsid w:val="009819C0"/>
    <w:rsid w:val="00982DDB"/>
    <w:rsid w:val="009835AD"/>
    <w:rsid w:val="00986BC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2CE"/>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6F18"/>
    <w:rsid w:val="009F01EB"/>
    <w:rsid w:val="009F0ABA"/>
    <w:rsid w:val="009F0AF5"/>
    <w:rsid w:val="009F24B7"/>
    <w:rsid w:val="00A02199"/>
    <w:rsid w:val="00A026A4"/>
    <w:rsid w:val="00A04044"/>
    <w:rsid w:val="00A11D0C"/>
    <w:rsid w:val="00A16579"/>
    <w:rsid w:val="00A24843"/>
    <w:rsid w:val="00A26D48"/>
    <w:rsid w:val="00A31C7C"/>
    <w:rsid w:val="00A367AA"/>
    <w:rsid w:val="00A378DF"/>
    <w:rsid w:val="00A37AC6"/>
    <w:rsid w:val="00A409C2"/>
    <w:rsid w:val="00A410CC"/>
    <w:rsid w:val="00A429E0"/>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A87"/>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1E62"/>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692F"/>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721"/>
    <w:rsid w:val="00B73FF2"/>
    <w:rsid w:val="00B74CBA"/>
    <w:rsid w:val="00B74ED3"/>
    <w:rsid w:val="00B768CF"/>
    <w:rsid w:val="00B81A44"/>
    <w:rsid w:val="00B855EA"/>
    <w:rsid w:val="00B86A73"/>
    <w:rsid w:val="00B86BB5"/>
    <w:rsid w:val="00B91072"/>
    <w:rsid w:val="00B91B25"/>
    <w:rsid w:val="00B91B6E"/>
    <w:rsid w:val="00B93173"/>
    <w:rsid w:val="00B94B2C"/>
    <w:rsid w:val="00B96F7D"/>
    <w:rsid w:val="00B970D0"/>
    <w:rsid w:val="00BA1054"/>
    <w:rsid w:val="00BA49F4"/>
    <w:rsid w:val="00BA5C41"/>
    <w:rsid w:val="00BA6ACA"/>
    <w:rsid w:val="00BA7232"/>
    <w:rsid w:val="00BA7809"/>
    <w:rsid w:val="00BB449C"/>
    <w:rsid w:val="00BB44D7"/>
    <w:rsid w:val="00BC2561"/>
    <w:rsid w:val="00BC398A"/>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2D68"/>
    <w:rsid w:val="00BF5553"/>
    <w:rsid w:val="00BF75CD"/>
    <w:rsid w:val="00C00F1C"/>
    <w:rsid w:val="00C0346D"/>
    <w:rsid w:val="00C0358F"/>
    <w:rsid w:val="00C03BB0"/>
    <w:rsid w:val="00C041CF"/>
    <w:rsid w:val="00C0696A"/>
    <w:rsid w:val="00C12034"/>
    <w:rsid w:val="00C122B1"/>
    <w:rsid w:val="00C1396B"/>
    <w:rsid w:val="00C1698A"/>
    <w:rsid w:val="00C17E6C"/>
    <w:rsid w:val="00C249CC"/>
    <w:rsid w:val="00C24E5F"/>
    <w:rsid w:val="00C255B6"/>
    <w:rsid w:val="00C26F3A"/>
    <w:rsid w:val="00C2770B"/>
    <w:rsid w:val="00C30296"/>
    <w:rsid w:val="00C30D46"/>
    <w:rsid w:val="00C3170E"/>
    <w:rsid w:val="00C31947"/>
    <w:rsid w:val="00C31AC5"/>
    <w:rsid w:val="00C34F19"/>
    <w:rsid w:val="00C40053"/>
    <w:rsid w:val="00C4294D"/>
    <w:rsid w:val="00C444C8"/>
    <w:rsid w:val="00C452DD"/>
    <w:rsid w:val="00C45856"/>
    <w:rsid w:val="00C46603"/>
    <w:rsid w:val="00C54316"/>
    <w:rsid w:val="00C55208"/>
    <w:rsid w:val="00C5527D"/>
    <w:rsid w:val="00C55FD3"/>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2F0A"/>
    <w:rsid w:val="00CA3D8A"/>
    <w:rsid w:val="00CB4B3E"/>
    <w:rsid w:val="00CB50EF"/>
    <w:rsid w:val="00CB58B0"/>
    <w:rsid w:val="00CB623F"/>
    <w:rsid w:val="00CB791A"/>
    <w:rsid w:val="00CB7D1B"/>
    <w:rsid w:val="00CC11DF"/>
    <w:rsid w:val="00CC1A6E"/>
    <w:rsid w:val="00CC3F62"/>
    <w:rsid w:val="00CC536E"/>
    <w:rsid w:val="00CC59DD"/>
    <w:rsid w:val="00CC7FC6"/>
    <w:rsid w:val="00CD47B2"/>
    <w:rsid w:val="00CD5AFD"/>
    <w:rsid w:val="00CD74EB"/>
    <w:rsid w:val="00CE1637"/>
    <w:rsid w:val="00CE49F8"/>
    <w:rsid w:val="00CE4E1E"/>
    <w:rsid w:val="00CE66B5"/>
    <w:rsid w:val="00CF0ED0"/>
    <w:rsid w:val="00CF52DF"/>
    <w:rsid w:val="00CF5832"/>
    <w:rsid w:val="00CF5911"/>
    <w:rsid w:val="00CF7221"/>
    <w:rsid w:val="00CF724E"/>
    <w:rsid w:val="00D02884"/>
    <w:rsid w:val="00D039B6"/>
    <w:rsid w:val="00D059F5"/>
    <w:rsid w:val="00D100A7"/>
    <w:rsid w:val="00D117F5"/>
    <w:rsid w:val="00D13661"/>
    <w:rsid w:val="00D142BD"/>
    <w:rsid w:val="00D146DE"/>
    <w:rsid w:val="00D16038"/>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3762"/>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61F7"/>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5962"/>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F2E"/>
    <w:rsid w:val="00F77851"/>
    <w:rsid w:val="00F80FAB"/>
    <w:rsid w:val="00F81E3B"/>
    <w:rsid w:val="00F827E1"/>
    <w:rsid w:val="00F8692C"/>
    <w:rsid w:val="00F927B5"/>
    <w:rsid w:val="00F94BD0"/>
    <w:rsid w:val="00F95403"/>
    <w:rsid w:val="00F96705"/>
    <w:rsid w:val="00F96750"/>
    <w:rsid w:val="00F9704D"/>
    <w:rsid w:val="00FA0166"/>
    <w:rsid w:val="00FA2400"/>
    <w:rsid w:val="00FA33E9"/>
    <w:rsid w:val="00FA55C8"/>
    <w:rsid w:val="00FA74C6"/>
    <w:rsid w:val="00FA75AD"/>
    <w:rsid w:val="00FB24ED"/>
    <w:rsid w:val="00FB29AF"/>
    <w:rsid w:val="00FB313D"/>
    <w:rsid w:val="00FB4003"/>
    <w:rsid w:val="00FB4EBA"/>
    <w:rsid w:val="00FB7086"/>
    <w:rsid w:val="00FC6733"/>
    <w:rsid w:val="00FD2677"/>
    <w:rsid w:val="00FD28B8"/>
    <w:rsid w:val="00FD76C9"/>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5B4BE0"/>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364</TotalTime>
  <Pages>7</Pages>
  <Words>1389</Words>
  <Characters>7918</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Miriam Felici</cp:lastModifiedBy>
  <cp:revision>80</cp:revision>
  <cp:lastPrinted>2017-07-24T14:47:00Z</cp:lastPrinted>
  <dcterms:created xsi:type="dcterms:W3CDTF">2021-11-12T16:09:00Z</dcterms:created>
  <dcterms:modified xsi:type="dcterms:W3CDTF">2021-11-16T13:40:00Z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