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16706" w14:paraId="55D8B106" w14:textId="77777777" w:rsidTr="00D13661">
            <w:trPr>
              <w:trHeight w:hRule="exact" w:val="1492"/>
            </w:trPr>
            <w:tc>
              <w:tcPr>
                <w:tcW w:w="10490" w:type="dxa"/>
                <w:vAlign w:val="bottom"/>
              </w:tcPr>
              <w:p w14:paraId="2A8545EF" w14:textId="6FC7D77A" w:rsidR="00AF2EF7" w:rsidRPr="005B4BE0" w:rsidRDefault="00C1698A" w:rsidP="00D13661">
                <w:pPr>
                  <w:pStyle w:val="Titre"/>
                  <w:spacing w:line="276" w:lineRule="auto"/>
                  <w:ind w:right="854"/>
                  <w:rPr>
                    <w:rFonts w:asciiTheme="minorHAnsi" w:hAnsiTheme="minorHAnsi" w:cstheme="minorHAnsi"/>
                    <w:sz w:val="32"/>
                    <w:szCs w:val="32"/>
                  </w:rPr>
                </w:pPr>
                <w:r w:rsidRPr="006F1733">
                  <w:rPr>
                    <w:rFonts w:asciiTheme="minorHAnsi" w:hAnsiTheme="minorHAnsi" w:cstheme="minorHAnsi"/>
                    <w:sz w:val="36"/>
                    <w:szCs w:val="36"/>
                  </w:rPr>
                  <w:t xml:space="preserve">Response Form to the </w:t>
                </w:r>
                <w:r w:rsidR="008B2AF1" w:rsidRPr="006F1733">
                  <w:rPr>
                    <w:rFonts w:asciiTheme="minorHAnsi" w:hAnsiTheme="minorHAnsi" w:cstheme="minorHAnsi"/>
                    <w:sz w:val="36"/>
                    <w:szCs w:val="36"/>
                  </w:rPr>
                  <w:t xml:space="preserve">Consultation Paper </w:t>
                </w:r>
                <w:r w:rsidR="00B16706" w:rsidRPr="006F1733">
                  <w:rPr>
                    <w:rFonts w:asciiTheme="minorHAnsi" w:hAnsiTheme="minorHAnsi" w:cstheme="minorHAnsi"/>
                    <w:sz w:val="36"/>
                    <w:szCs w:val="36"/>
                  </w:rPr>
                  <w:t>on</w:t>
                </w:r>
                <w:r w:rsidR="00D02884">
                  <w:rPr>
                    <w:rFonts w:asciiTheme="minorHAnsi" w:hAnsiTheme="minorHAnsi" w:cstheme="minorHAnsi"/>
                    <w:sz w:val="36"/>
                    <w:szCs w:val="36"/>
                  </w:rPr>
                  <w:t xml:space="preserve"> the r</w:t>
                </w:r>
                <w:r w:rsidR="00D02884" w:rsidRPr="00D02884">
                  <w:rPr>
                    <w:rFonts w:asciiTheme="minorHAnsi" w:hAnsiTheme="minorHAnsi" w:cstheme="minorHAnsi"/>
                    <w:sz w:val="36"/>
                    <w:szCs w:val="36"/>
                  </w:rPr>
                  <w:t>eview of certain aspects of the Short Selling Regulation</w:t>
                </w:r>
              </w:p>
            </w:tc>
          </w:tr>
          <w:tr w:rsidR="00AB6157" w:rsidRPr="00B16706" w14:paraId="76D253F5" w14:textId="77777777" w:rsidTr="00D13661">
            <w:trPr>
              <w:trHeight w:hRule="exact" w:val="747"/>
            </w:trPr>
            <w:tc>
              <w:tcPr>
                <w:tcW w:w="10490" w:type="dxa"/>
                <w:tcMar>
                  <w:top w:w="142" w:type="dxa"/>
                </w:tcMar>
              </w:tcPr>
              <w:p w14:paraId="26CF3934" w14:textId="20E9863B" w:rsidR="00AB6157" w:rsidRPr="00B16706" w:rsidRDefault="00AB6157" w:rsidP="001F23C9">
                <w:pPr>
                  <w:pStyle w:val="Titre2"/>
                  <w:numPr>
                    <w:ilvl w:val="0"/>
                    <w:numId w:val="0"/>
                  </w:numPr>
                  <w:spacing w:before="0"/>
                  <w:rPr>
                    <w:sz w:val="22"/>
                    <w:szCs w:val="22"/>
                  </w:rPr>
                </w:pPr>
              </w:p>
            </w:tc>
          </w:tr>
        </w:tbl>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AF2EF7">
          <w:pPr>
            <w:spacing w:line="276" w:lineRule="auto"/>
            <w:rPr>
              <w:rFonts w:asciiTheme="minorHAnsi" w:hAnsiTheme="minorHAnsi" w:cstheme="minorHAnsi"/>
              <w:sz w:val="20"/>
              <w:szCs w:val="20"/>
            </w:r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3D5D2432"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w:t>
          </w:r>
          <w:r w:rsidR="005B4BE0">
            <w:rPr>
              <w:rFonts w:asciiTheme="minorHAnsi" w:eastAsiaTheme="minorEastAsia" w:hAnsiTheme="minorHAnsi" w:cstheme="minorBidi"/>
              <w:sz w:val="18"/>
              <w:szCs w:val="16"/>
              <w:lang w:eastAsia="en-US"/>
            </w:rPr>
            <w:t xml:space="preserve">. </w:t>
          </w:r>
          <w:r w:rsidRPr="00B16706">
            <w:rPr>
              <w:rFonts w:asciiTheme="minorHAnsi" w:eastAsiaTheme="minorEastAsia" w:hAnsiTheme="minorHAnsi" w:cstheme="minorBidi"/>
              <w:sz w:val="18"/>
              <w:szCs w:val="16"/>
              <w:lang w:eastAsia="en-US"/>
            </w:rPr>
            <w:t>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26B8BA3D" w:rsidR="00AB6157" w:rsidRPr="00CB58B0" w:rsidRDefault="00AB6157" w:rsidP="00DA3762">
          <w:pPr>
            <w:rPr>
              <w:rFonts w:asciiTheme="minorHAnsi" w:eastAsiaTheme="minorEastAsia" w:hAnsiTheme="minorHAnsi" w:cstheme="minorBidi"/>
              <w:b/>
              <w:bCs/>
              <w:sz w:val="18"/>
              <w:szCs w:val="16"/>
              <w:lang w:eastAsia="en-US"/>
            </w:rPr>
          </w:pPr>
          <w:r w:rsidRPr="00DA3762">
            <w:rPr>
              <w:rFonts w:asciiTheme="minorHAnsi" w:eastAsiaTheme="minorEastAsia" w:hAnsiTheme="minorHAnsi" w:cstheme="minorBidi"/>
              <w:sz w:val="18"/>
              <w:szCs w:val="16"/>
              <w:lang w:eastAsia="en-US"/>
            </w:rPr>
            <w:t xml:space="preserve">ESMA will consider all comments received by </w:t>
          </w:r>
          <w:r w:rsidR="00CA01E7" w:rsidRPr="00CA01E7">
            <w:rPr>
              <w:rFonts w:asciiTheme="minorHAnsi" w:eastAsiaTheme="minorEastAsia" w:hAnsiTheme="minorHAnsi" w:cstheme="minorBidi"/>
              <w:b/>
              <w:bCs/>
              <w:sz w:val="18"/>
              <w:szCs w:val="16"/>
              <w:lang w:eastAsia="en-US"/>
            </w:rPr>
            <w:t>1</w:t>
          </w:r>
          <w:r w:rsidR="00CB58B0">
            <w:rPr>
              <w:rFonts w:asciiTheme="minorHAnsi" w:eastAsiaTheme="minorEastAsia" w:hAnsiTheme="minorHAnsi" w:cstheme="minorBidi"/>
              <w:b/>
              <w:bCs/>
              <w:sz w:val="18"/>
              <w:szCs w:val="16"/>
              <w:lang w:eastAsia="en-US"/>
            </w:rPr>
            <w:t xml:space="preserve">9 November </w:t>
          </w:r>
          <w:r w:rsidR="00CA01E7" w:rsidRPr="00CA01E7">
            <w:rPr>
              <w:rFonts w:asciiTheme="minorHAnsi" w:eastAsiaTheme="minorEastAsia" w:hAnsiTheme="minorHAnsi" w:cstheme="minorBidi"/>
              <w:b/>
              <w:bCs/>
              <w:sz w:val="18"/>
              <w:szCs w:val="16"/>
              <w:lang w:eastAsia="en-US"/>
            </w:rPr>
            <w:t>2021.</w:t>
          </w:r>
          <w:r w:rsidR="00CA01E7">
            <w:rPr>
              <w:rFonts w:asciiTheme="minorHAnsi" w:eastAsiaTheme="minorEastAsia" w:hAnsiTheme="minorHAnsi" w:cstheme="minorBidi"/>
              <w:sz w:val="18"/>
              <w:szCs w:val="16"/>
              <w:lang w:eastAsia="en-US"/>
            </w:rPr>
            <w:t xml:space="preserve"> </w:t>
          </w:r>
        </w:p>
        <w:p w14:paraId="0F4EEA25" w14:textId="77777777" w:rsidR="00DA3762" w:rsidRPr="00DA3762" w:rsidRDefault="00DA3762" w:rsidP="00DA3762">
          <w:pPr>
            <w:rPr>
              <w:rFonts w:eastAsiaTheme="minorEastAsia"/>
              <w:lang w:eastAsia="en-US"/>
            </w:rPr>
          </w:pPr>
        </w:p>
        <w:p w14:paraId="6ABAAC1F" w14:textId="50B9A93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should be submitted online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‘Your input - Consultations’.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3ECBC854" w:rsidR="00A409C2" w:rsidRPr="00A409C2" w:rsidRDefault="00A409C2"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use this form and send your responses in Word format (</w:t>
          </w:r>
          <w:r w:rsidRPr="00A409C2">
            <w:rPr>
              <w:rFonts w:eastAsiaTheme="minorEastAsia" w:cstheme="minorBidi"/>
              <w:b/>
              <w:bCs/>
              <w:sz w:val="18"/>
              <w:szCs w:val="16"/>
              <w:lang w:eastAsia="en-US"/>
            </w:rPr>
            <w:t>pdf documents will not be considered except for annexes</w:t>
          </w:r>
          <w:r w:rsidRPr="00A409C2">
            <w:rPr>
              <w:rFonts w:eastAsiaTheme="minorEastAsia" w:cstheme="minorBidi"/>
              <w:sz w:val="18"/>
              <w:szCs w:val="16"/>
              <w:lang w:eastAsia="en-US"/>
            </w:rPr>
            <w:t>);</w:t>
          </w:r>
        </w:p>
        <w:p w14:paraId="6692798E" w14:textId="3B8B101A"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D02884">
            <w:rPr>
              <w:rFonts w:eastAsiaTheme="minorEastAsia" w:cstheme="minorBidi"/>
              <w:sz w:val="18"/>
              <w:szCs w:val="16"/>
              <w:lang w:eastAsia="en-US"/>
            </w:rPr>
            <w:t>SSRR</w:t>
          </w:r>
          <w:r w:rsidRPr="00A409C2">
            <w:rPr>
              <w:rFonts w:eastAsiaTheme="minorEastAsia" w:cstheme="minorBidi"/>
              <w:sz w:val="18"/>
              <w:szCs w:val="16"/>
              <w:lang w:eastAsia="en-US"/>
            </w:rPr>
            <w:t xml:space="preserve">_1&gt;. </w:t>
          </w:r>
          <w:r w:rsidRPr="000D106E">
            <w:rPr>
              <w:rFonts w:eastAsiaTheme="minorEastAsia" w:cstheme="minorBidi"/>
              <w:b/>
              <w:bCs/>
              <w:sz w:val="18"/>
              <w:szCs w:val="16"/>
              <w:lang w:eastAsia="en-US"/>
            </w:rPr>
            <w:t>Your response to each question has to be framed by the two tags corresponding to the question.</w:t>
          </w:r>
        </w:p>
        <w:p w14:paraId="1C4E226A" w14:textId="1D43AA8A"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14478248"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D02884">
            <w:rPr>
              <w:rFonts w:eastAsiaTheme="minorEastAsia" w:cstheme="minorBidi"/>
              <w:sz w:val="18"/>
              <w:szCs w:val="16"/>
              <w:lang w:eastAsia="en-US"/>
            </w:rPr>
            <w:t>SSRR</w:t>
          </w:r>
          <w:r w:rsidRPr="00A409C2">
            <w:rPr>
              <w:rFonts w:eastAsiaTheme="minorEastAsia" w:cstheme="minorBidi"/>
              <w:sz w:val="18"/>
              <w:szCs w:val="16"/>
              <w:lang w:eastAsia="en-US"/>
            </w:rPr>
            <w:t>_nameofrespondent_RESPONSEFORM. For example, for a respondent named ABCD, the response form would be entitled ESMA_</w:t>
          </w:r>
          <w:r w:rsidR="00D02884">
            <w:rPr>
              <w:rFonts w:eastAsiaTheme="minorEastAsia" w:cstheme="minorBidi"/>
              <w:sz w:val="18"/>
              <w:szCs w:val="16"/>
              <w:lang w:eastAsia="en-US"/>
            </w:rPr>
            <w:t>SSRR</w:t>
          </w:r>
          <w:r w:rsidRPr="00A409C2">
            <w:rPr>
              <w:rFonts w:eastAsiaTheme="minorEastAsia" w:cstheme="minorBidi"/>
              <w:sz w:val="18"/>
              <w:szCs w:val="16"/>
              <w:lang w:eastAsia="en-US"/>
            </w:rPr>
            <w:t>_ABCD_RESPONSEFORM.</w:t>
          </w:r>
        </w:p>
        <w:p w14:paraId="28EEA743" w14:textId="29FCF7E5" w:rsidR="00A02199" w:rsidRPr="00A409C2" w:rsidRDefault="00B16706" w:rsidP="00AF2EF7">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5B4BE0" w:rsidRPr="005B4BE0">
            <w:rPr>
              <w:rFonts w:eastAsiaTheme="minorEastAsia" w:cstheme="minorBidi"/>
              <w:sz w:val="18"/>
              <w:szCs w:val="16"/>
              <w:lang w:eastAsia="en-US"/>
            </w:rPr>
            <w:t>Consultation Paper on Review of MAR Guidelines on delay in the disclosure of inside information and interactions with prudential supervision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7"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8"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3645E7FF"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3F02AC35" w14:textId="7E03C8D1" w:rsidR="006F1733" w:rsidRDefault="00D02884" w:rsidP="006F1733">
      <w:pPr>
        <w:pStyle w:val="Titre1"/>
        <w:numPr>
          <w:ilvl w:val="0"/>
          <w:numId w:val="0"/>
        </w:numPr>
        <w:spacing w:line="276" w:lineRule="auto"/>
        <w:rPr>
          <w:rFonts w:asciiTheme="minorHAnsi" w:hAnsiTheme="minorHAnsi" w:cstheme="minorHAnsi"/>
          <w:sz w:val="20"/>
          <w:szCs w:val="20"/>
        </w:rPr>
      </w:pPr>
      <w:r w:rsidRPr="00D02884">
        <w:rPr>
          <w:rFonts w:ascii="Arial" w:eastAsia="Times New Roman" w:hAnsi="Arial" w:cs="Arial"/>
          <w:b w:val="0"/>
          <w:sz w:val="18"/>
          <w:szCs w:val="18"/>
          <w:lang w:eastAsia="it-IT"/>
        </w:rPr>
        <w:t>All interested stakeholders are invited to respond to this consultation paper. This consultation paper is primarily of interest to issuers of financial instruments admitted to trading or traded on a trading venue, investment firms, market makers, primary dealers, persons who engage in short sales or transactions resulting in net short positions. Responses are also sought from any other market participant including trade associations and industry bodies, institutional and retail investors, consultants and academics.</w:t>
      </w:r>
      <w:r w:rsidR="00AF2EF7" w:rsidRPr="00B16706">
        <w:rPr>
          <w:rFonts w:asciiTheme="minorHAnsi" w:hAnsiTheme="minorHAnsi" w:cstheme="minorHAnsi"/>
          <w:sz w:val="20"/>
          <w:szCs w:val="20"/>
        </w:rPr>
        <w:br w:type="page"/>
      </w:r>
      <w:bookmarkStart w:id="0" w:name="_Toc515564428"/>
    </w:p>
    <w:p w14:paraId="7036BA8E" w14:textId="77777777" w:rsidR="006F1733" w:rsidRPr="006F1733" w:rsidRDefault="006F1733" w:rsidP="006F173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7E8F6FEA" w:rsidR="00C85C8B" w:rsidRPr="00B16706" w:rsidRDefault="00753395" w:rsidP="00C85C8B">
                <w:pPr>
                  <w:rPr>
                    <w:rFonts w:ascii="Arial" w:hAnsi="Arial" w:cs="Arial"/>
                    <w:color w:val="808080"/>
                    <w:sz w:val="16"/>
                    <w:szCs w:val="20"/>
                    <w:lang w:eastAsia="de-DE"/>
                  </w:rPr>
                </w:pPr>
                <w:r>
                  <w:rPr>
                    <w:rFonts w:ascii="Arial" w:hAnsi="Arial" w:cs="Arial"/>
                    <w:color w:val="808080"/>
                    <w:sz w:val="16"/>
                    <w:szCs w:val="20"/>
                    <w:lang w:eastAsia="de-DE"/>
                  </w:rPr>
                  <w:t>AMAFI</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66257358" w:rsidR="00C85C8B" w:rsidRPr="00B16706" w:rsidRDefault="007E5302"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53395">
                  <w:rPr>
                    <w:rFonts w:ascii="Arial" w:hAnsi="Arial" w:cs="Arial"/>
                    <w:sz w:val="16"/>
                    <w:szCs w:val="20"/>
                    <w:lang w:eastAsia="de-DE"/>
                  </w:rPr>
                  <w:t>Investment Services</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2C913B11" w:rsidR="00C85C8B" w:rsidRPr="00B16706" w:rsidRDefault="00753395"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2EEFB446" w:rsidR="00C85C8B" w:rsidRPr="00B16706" w:rsidRDefault="00753395" w:rsidP="00C85C8B">
                <w:pPr>
                  <w:rPr>
                    <w:rFonts w:ascii="Arial" w:hAnsi="Arial" w:cs="Arial"/>
                    <w:sz w:val="16"/>
                    <w:szCs w:val="20"/>
                    <w:lang w:eastAsia="de-DE"/>
                  </w:rPr>
                </w:pPr>
                <w:r>
                  <w:rPr>
                    <w:rFonts w:ascii="Arial" w:hAnsi="Arial" w:cs="Arial"/>
                    <w:sz w:val="16"/>
                    <w:szCs w:val="20"/>
                    <w:lang w:eastAsia="de-DE"/>
                  </w:rPr>
                  <w:t>France</w:t>
                </w:r>
              </w:p>
            </w:tc>
          </w:sdtContent>
        </w:sdt>
      </w:tr>
      <w:permEnd w:id="1269442871"/>
    </w:tbl>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214D9BB4" w14:textId="77777777" w:rsidR="00AA0794" w:rsidRDefault="00AA0794">
      <w:pPr>
        <w:spacing w:after="120" w:line="264" w:lineRule="auto"/>
        <w:rPr>
          <w:rFonts w:asciiTheme="minorHAnsi" w:hAnsiTheme="minorHAnsi" w:cstheme="minorHAnsi"/>
          <w:b/>
          <w:sz w:val="22"/>
          <w:szCs w:val="22"/>
        </w:rPr>
      </w:pPr>
    </w:p>
    <w:p w14:paraId="263D4CC3" w14:textId="246DDAE6" w:rsidR="002F7820" w:rsidRDefault="002F7820" w:rsidP="002F7820">
      <w:pPr>
        <w:pStyle w:val="Questionstyle"/>
        <w:ind w:left="360"/>
      </w:pPr>
      <w:r w:rsidRPr="007B360E">
        <w:t>Please make your introductory comments below, if any</w:t>
      </w:r>
      <w:r>
        <w:t xml:space="preserve">. </w:t>
      </w:r>
      <w:r w:rsidRPr="00391CB0">
        <w:t xml:space="preserve"> </w:t>
      </w:r>
    </w:p>
    <w:p w14:paraId="36C06667" w14:textId="77777777" w:rsidR="00D02884" w:rsidRDefault="00D02884" w:rsidP="00D02884">
      <w:r>
        <w:t>&lt;ESMA_QUESTION_SSRR_0&gt;</w:t>
      </w:r>
    </w:p>
    <w:p w14:paraId="6936F422" w14:textId="77777777" w:rsidR="00753395" w:rsidRPr="00A7640E" w:rsidRDefault="00753395" w:rsidP="00753395">
      <w:pPr>
        <w:rPr>
          <w:color w:val="000000" w:themeColor="text1"/>
        </w:rPr>
      </w:pPr>
      <w:permStart w:id="1632727143" w:edGrp="everyone"/>
      <w:r w:rsidRPr="009362D3">
        <w:rPr>
          <w:b/>
          <w:color w:val="000000" w:themeColor="text1"/>
        </w:rPr>
        <w:t xml:space="preserve">Association </w:t>
      </w:r>
      <w:proofErr w:type="spellStart"/>
      <w:r w:rsidRPr="009362D3">
        <w:rPr>
          <w:b/>
          <w:color w:val="000000" w:themeColor="text1"/>
        </w:rPr>
        <w:t>française</w:t>
      </w:r>
      <w:proofErr w:type="spellEnd"/>
      <w:r w:rsidRPr="009362D3">
        <w:rPr>
          <w:b/>
          <w:color w:val="000000" w:themeColor="text1"/>
        </w:rPr>
        <w:t xml:space="preserve"> des </w:t>
      </w:r>
      <w:proofErr w:type="spellStart"/>
      <w:r w:rsidRPr="009362D3">
        <w:rPr>
          <w:b/>
          <w:color w:val="000000" w:themeColor="text1"/>
        </w:rPr>
        <w:t>marchés</w:t>
      </w:r>
      <w:proofErr w:type="spellEnd"/>
      <w:r w:rsidRPr="009362D3">
        <w:rPr>
          <w:b/>
          <w:color w:val="000000" w:themeColor="text1"/>
        </w:rPr>
        <w:t xml:space="preserve"> financiers</w:t>
      </w:r>
      <w:r w:rsidRPr="009362D3">
        <w:rPr>
          <w:color w:val="000000" w:themeColor="text1"/>
        </w:rPr>
        <w:t xml:space="preserve"> </w:t>
      </w:r>
      <w:r w:rsidRPr="009362D3">
        <w:rPr>
          <w:b/>
          <w:color w:val="000000" w:themeColor="text1"/>
        </w:rPr>
        <w:t>(AMAFI)</w:t>
      </w:r>
      <w:r w:rsidRPr="009362D3">
        <w:rPr>
          <w:color w:val="000000" w:themeColor="text1"/>
        </w:rPr>
        <w:t xml:space="preserve"> is the trade organisation working at national, </w:t>
      </w:r>
      <w:proofErr w:type="gramStart"/>
      <w:r w:rsidRPr="009362D3">
        <w:rPr>
          <w:color w:val="000000" w:themeColor="text1"/>
        </w:rPr>
        <w:t>European</w:t>
      </w:r>
      <w:proofErr w:type="gramEnd"/>
      <w:r w:rsidRPr="009362D3">
        <w:rPr>
          <w:color w:val="000000" w:themeColor="text1"/>
        </w:rPr>
        <w:t xml:space="preserve"> and international levels to represent financial market participants in France. </w:t>
      </w:r>
      <w:r w:rsidRPr="00A7640E">
        <w:rPr>
          <w:color w:val="000000" w:themeColor="text1"/>
        </w:rPr>
        <w:t xml:space="preserve">It acts on behalf of credit institutions, investment firms and trading and post-trade infrastructures, regardless of where they operate or where their clients or counterparties are located. AMAFI’s members operate for their own account or for clients in different segments, particularly organised and over-the-counter markets for equities, fixed-income </w:t>
      </w:r>
      <w:proofErr w:type="gramStart"/>
      <w:r w:rsidRPr="00A7640E">
        <w:rPr>
          <w:color w:val="000000" w:themeColor="text1"/>
        </w:rPr>
        <w:t>products</w:t>
      </w:r>
      <w:proofErr w:type="gramEnd"/>
      <w:r w:rsidRPr="00A7640E">
        <w:rPr>
          <w:color w:val="000000" w:themeColor="text1"/>
        </w:rPr>
        <w:t xml:space="preserve"> and derivatives, including commodities.</w:t>
      </w:r>
    </w:p>
    <w:p w14:paraId="7C409B48" w14:textId="77777777" w:rsidR="00753395" w:rsidRPr="00A7640E" w:rsidRDefault="00753395" w:rsidP="00753395">
      <w:pPr>
        <w:rPr>
          <w:color w:val="000000" w:themeColor="text1"/>
        </w:rPr>
      </w:pPr>
    </w:p>
    <w:p w14:paraId="55921EAD" w14:textId="77777777" w:rsidR="00753395" w:rsidRDefault="00753395" w:rsidP="00753395">
      <w:pPr>
        <w:rPr>
          <w:color w:val="000000" w:themeColor="text1"/>
        </w:rPr>
      </w:pPr>
      <w:r w:rsidRPr="00A7640E">
        <w:rPr>
          <w:color w:val="000000" w:themeColor="text1"/>
        </w:rPr>
        <w:t>AMAFI welcomes the opportunity to respond to this consultation paper (hereafter the CP)</w:t>
      </w:r>
      <w:r>
        <w:rPr>
          <w:color w:val="000000" w:themeColor="text1"/>
        </w:rPr>
        <w:t xml:space="preserve"> on the review of certain aspects of the Short Selling Regulation (SSR).</w:t>
      </w:r>
    </w:p>
    <w:p w14:paraId="61AFC70F" w14:textId="77777777" w:rsidR="00753395" w:rsidRDefault="00753395" w:rsidP="00753395">
      <w:pPr>
        <w:rPr>
          <w:color w:val="000000" w:themeColor="text1"/>
        </w:rPr>
      </w:pPr>
    </w:p>
    <w:p w14:paraId="2F748017" w14:textId="77777777" w:rsidR="00753395" w:rsidRDefault="00753395" w:rsidP="00753395">
      <w:pPr>
        <w:rPr>
          <w:color w:val="000000" w:themeColor="text1"/>
        </w:rPr>
      </w:pPr>
      <w:r>
        <w:rPr>
          <w:color w:val="000000" w:themeColor="text1"/>
        </w:rPr>
        <w:t>Before answering the specific questions raised in the CP, AMAFI would like to highlight the following comment</w:t>
      </w:r>
    </w:p>
    <w:p w14:paraId="2362AC94" w14:textId="77777777" w:rsidR="00753395" w:rsidRDefault="00753395" w:rsidP="00753395">
      <w:pPr>
        <w:rPr>
          <w:color w:val="000000" w:themeColor="text1"/>
        </w:rPr>
      </w:pPr>
    </w:p>
    <w:p w14:paraId="1B83626A" w14:textId="77777777" w:rsidR="00753395" w:rsidRDefault="00753395" w:rsidP="00753395">
      <w:pPr>
        <w:rPr>
          <w:color w:val="000000" w:themeColor="text1"/>
        </w:rPr>
      </w:pPr>
    </w:p>
    <w:p w14:paraId="1A633C46" w14:textId="1B1F2ED3" w:rsidR="00753395" w:rsidRPr="00345C35" w:rsidRDefault="00753395" w:rsidP="00753395">
      <w:pPr>
        <w:pStyle w:val="Titre1"/>
        <w:numPr>
          <w:ilvl w:val="0"/>
          <w:numId w:val="0"/>
        </w:numPr>
        <w:ind w:left="432"/>
        <w:rPr>
          <w:lang w:val="en-US"/>
        </w:rPr>
      </w:pPr>
      <w:r>
        <w:rPr>
          <w:lang w:val="en-US"/>
        </w:rPr>
        <w:t>C</w:t>
      </w:r>
      <w:r>
        <w:rPr>
          <w:lang w:val="en-US"/>
        </w:rPr>
        <w:t>omment</w:t>
      </w:r>
    </w:p>
    <w:p w14:paraId="6C0C1302" w14:textId="77777777" w:rsidR="00753395" w:rsidRDefault="00753395" w:rsidP="00753395">
      <w:pPr>
        <w:pStyle w:val="Default"/>
        <w:spacing w:line="240" w:lineRule="atLeast"/>
        <w:jc w:val="both"/>
        <w:rPr>
          <w:rFonts w:eastAsiaTheme="minorHAnsi"/>
          <w:sz w:val="20"/>
          <w:szCs w:val="20"/>
          <w:lang w:val="en-GB" w:eastAsia="en-US"/>
        </w:rPr>
      </w:pPr>
    </w:p>
    <w:p w14:paraId="26421BCE" w14:textId="77777777" w:rsidR="00753395" w:rsidRDefault="00753395" w:rsidP="00753395">
      <w:pPr>
        <w:pStyle w:val="Default"/>
        <w:spacing w:line="240" w:lineRule="atLeast"/>
        <w:jc w:val="both"/>
        <w:rPr>
          <w:rFonts w:eastAsiaTheme="minorHAnsi"/>
          <w:sz w:val="20"/>
          <w:szCs w:val="20"/>
          <w:lang w:val="en-GB" w:eastAsia="en-US"/>
        </w:rPr>
      </w:pPr>
      <w:r>
        <w:rPr>
          <w:rFonts w:eastAsiaTheme="minorHAnsi"/>
          <w:sz w:val="20"/>
          <w:szCs w:val="20"/>
          <w:lang w:val="en-GB" w:eastAsia="en-US"/>
        </w:rPr>
        <w:t>As it is stated in the CP (Introduction para 7), in December 2017 ESMA delivered a technical advice which notably focussed on the market making exemption but “a</w:t>
      </w:r>
      <w:r w:rsidRPr="003F7B6D">
        <w:rPr>
          <w:rFonts w:eastAsiaTheme="minorHAnsi"/>
          <w:sz w:val="20"/>
          <w:szCs w:val="20"/>
          <w:lang w:val="en-GB" w:eastAsia="en-US"/>
        </w:rPr>
        <w:t>t this point in time no measures have been taken yet in response to the ESMA Technical Advice</w:t>
      </w:r>
      <w:r>
        <w:rPr>
          <w:rFonts w:eastAsiaTheme="minorHAnsi"/>
          <w:sz w:val="20"/>
          <w:szCs w:val="20"/>
          <w:lang w:val="en-GB" w:eastAsia="en-US"/>
        </w:rPr>
        <w:t>”.</w:t>
      </w:r>
    </w:p>
    <w:p w14:paraId="51316CDA" w14:textId="77777777" w:rsidR="00753395" w:rsidRDefault="00753395" w:rsidP="00753395">
      <w:pPr>
        <w:pStyle w:val="Default"/>
        <w:spacing w:line="240" w:lineRule="atLeast"/>
        <w:jc w:val="both"/>
        <w:rPr>
          <w:rFonts w:eastAsiaTheme="minorHAnsi"/>
          <w:sz w:val="20"/>
          <w:szCs w:val="20"/>
          <w:lang w:val="en-GB" w:eastAsia="en-US"/>
        </w:rPr>
      </w:pPr>
    </w:p>
    <w:p w14:paraId="7029B7D1" w14:textId="77777777" w:rsidR="00753395" w:rsidRDefault="00753395" w:rsidP="00753395">
      <w:pPr>
        <w:pStyle w:val="Default"/>
        <w:spacing w:line="240" w:lineRule="atLeast"/>
        <w:jc w:val="both"/>
        <w:rPr>
          <w:rFonts w:eastAsiaTheme="minorHAnsi"/>
          <w:sz w:val="20"/>
          <w:szCs w:val="20"/>
          <w:lang w:val="en-GB" w:eastAsia="en-US"/>
        </w:rPr>
      </w:pPr>
      <w:r>
        <w:rPr>
          <w:rFonts w:eastAsiaTheme="minorHAnsi"/>
          <w:sz w:val="20"/>
          <w:szCs w:val="20"/>
          <w:lang w:val="en-GB" w:eastAsia="en-US"/>
        </w:rPr>
        <w:t xml:space="preserve">AMAFI fully supports the content of the technical advice and encourages </w:t>
      </w:r>
      <w:r w:rsidRPr="00B14B6F">
        <w:rPr>
          <w:rFonts w:eastAsiaTheme="minorHAnsi"/>
          <w:sz w:val="20"/>
          <w:szCs w:val="20"/>
          <w:lang w:val="en-GB" w:eastAsia="en-US"/>
        </w:rPr>
        <w:t>ESMA to contact the European Commission to see what follow-up could be given to this technical advice</w:t>
      </w:r>
      <w:r>
        <w:rPr>
          <w:rFonts w:eastAsiaTheme="minorHAnsi"/>
          <w:sz w:val="20"/>
          <w:szCs w:val="20"/>
          <w:lang w:val="en-GB" w:eastAsia="en-US"/>
        </w:rPr>
        <w:t>.</w:t>
      </w:r>
    </w:p>
    <w:permEnd w:id="1632727143"/>
    <w:p w14:paraId="45D13BD8" w14:textId="77777777" w:rsidR="00D02884" w:rsidRDefault="00D02884" w:rsidP="00D02884">
      <w:r>
        <w:t>&lt;ESMA_QUESTION_SSRR_0&gt;</w:t>
      </w:r>
    </w:p>
    <w:p w14:paraId="06F1A237" w14:textId="77777777" w:rsidR="00D02884" w:rsidRDefault="00D02884" w:rsidP="00D02884">
      <w:pPr>
        <w:ind w:left="720" w:hanging="360"/>
      </w:pPr>
    </w:p>
    <w:p w14:paraId="7EE8DC29" w14:textId="77777777" w:rsidR="00D02884" w:rsidRDefault="00D02884" w:rsidP="00D02884">
      <w:pPr>
        <w:pStyle w:val="Questionstyle"/>
        <w:numPr>
          <w:ilvl w:val="0"/>
          <w:numId w:val="9"/>
        </w:numPr>
        <w:spacing w:after="250" w:line="276" w:lineRule="auto"/>
      </w:pPr>
      <w:r w:rsidRPr="005D7CCB">
        <w:t>Does ESMA’s analysis confirm the observation that you made in your perimeter of competency? Please provide data to support your views</w:t>
      </w:r>
      <w:r>
        <w:t>?</w:t>
      </w:r>
    </w:p>
    <w:p w14:paraId="46531C56" w14:textId="77777777" w:rsidR="00D02884" w:rsidRDefault="00D02884" w:rsidP="00D02884">
      <w:r>
        <w:t>&lt;ESMA_QUESTION_SSRR_1&gt;</w:t>
      </w:r>
    </w:p>
    <w:p w14:paraId="33832C3C" w14:textId="71A43B86" w:rsidR="00753395" w:rsidRDefault="00753395" w:rsidP="00753395">
      <w:permStart w:id="1927289032" w:edGrp="everyone"/>
      <w:r>
        <w:t xml:space="preserve">AMAFI is not </w:t>
      </w:r>
      <w:proofErr w:type="gramStart"/>
      <w:r>
        <w:t>in a position</w:t>
      </w:r>
      <w:proofErr w:type="gramEnd"/>
      <w:r>
        <w:t xml:space="preserve"> to answer this question.</w:t>
      </w:r>
    </w:p>
    <w:permEnd w:id="1927289032"/>
    <w:p w14:paraId="3C9859F9" w14:textId="4A44CF37" w:rsidR="00D02884" w:rsidRDefault="00D02884" w:rsidP="00D02884">
      <w:r>
        <w:t>&lt;ESMA_QUESTION_SSRR_1&gt;</w:t>
      </w:r>
    </w:p>
    <w:p w14:paraId="3BC08165" w14:textId="77777777" w:rsidR="00D02884" w:rsidRDefault="00D02884" w:rsidP="00D02884"/>
    <w:p w14:paraId="6330D4A9" w14:textId="77777777" w:rsidR="00D02884" w:rsidRDefault="00D02884" w:rsidP="00D02884">
      <w:pPr>
        <w:pStyle w:val="Questionstyle"/>
        <w:numPr>
          <w:ilvl w:val="0"/>
          <w:numId w:val="9"/>
        </w:numPr>
        <w:spacing w:after="250" w:line="276" w:lineRule="auto"/>
      </w:pPr>
      <w:r>
        <w:t>What are your views on the proposed clarifications?</w:t>
      </w:r>
    </w:p>
    <w:p w14:paraId="635B307C" w14:textId="77777777" w:rsidR="00D02884" w:rsidRDefault="00D02884" w:rsidP="00D02884">
      <w:r>
        <w:t>&lt;ESMA_QUESTION_SSRR_2&gt;</w:t>
      </w:r>
    </w:p>
    <w:p w14:paraId="45F94A72" w14:textId="77777777" w:rsidR="0016360A" w:rsidRDefault="00753395" w:rsidP="0016360A">
      <w:pPr>
        <w:rPr>
          <w:lang w:val="en-US"/>
        </w:rPr>
      </w:pPr>
      <w:permStart w:id="707614466" w:edGrp="everyone"/>
      <w:r w:rsidRPr="000401C9">
        <w:rPr>
          <w:lang w:val="en-US"/>
        </w:rPr>
        <w:lastRenderedPageBreak/>
        <w:t>AMAFI agree</w:t>
      </w:r>
      <w:r>
        <w:rPr>
          <w:lang w:val="en-US"/>
        </w:rPr>
        <w:t>s with ESMA analysis and ESMA proposals which will bring more legal certainties and will facilitate the taking of emergency measures.</w:t>
      </w:r>
    </w:p>
    <w:p w14:paraId="17FBA5BB" w14:textId="77777777" w:rsidR="0016360A" w:rsidRDefault="0016360A" w:rsidP="0016360A">
      <w:pPr>
        <w:rPr>
          <w:lang w:val="en-US"/>
        </w:rPr>
      </w:pPr>
    </w:p>
    <w:p w14:paraId="69623E0D" w14:textId="07A9CBC9" w:rsidR="0016360A" w:rsidRDefault="0016360A" w:rsidP="0016360A">
      <w:pPr>
        <w:rPr>
          <w:lang w:val="en-US"/>
        </w:rPr>
      </w:pPr>
      <w:r>
        <w:rPr>
          <w:lang w:val="en-US"/>
        </w:rPr>
        <w:t>N</w:t>
      </w:r>
      <w:r>
        <w:rPr>
          <w:lang w:val="en-US"/>
        </w:rPr>
        <w:t xml:space="preserve">evertheless, this change should not be linked to the question of the </w:t>
      </w:r>
      <w:r w:rsidRPr="00EC1926">
        <w:rPr>
          <w:lang w:val="en-US"/>
        </w:rPr>
        <w:t>potential exclusions or limitations in relation to indices, baskets of instruments and ETFs.</w:t>
      </w:r>
      <w:r>
        <w:rPr>
          <w:lang w:val="en-US"/>
        </w:rPr>
        <w:t xml:space="preserve"> See our answer to question 4</w:t>
      </w:r>
    </w:p>
    <w:p w14:paraId="78F37600" w14:textId="77777777" w:rsidR="0016360A" w:rsidRDefault="0016360A" w:rsidP="0016360A">
      <w:pPr>
        <w:rPr>
          <w:lang w:val="en-US"/>
        </w:rPr>
      </w:pPr>
    </w:p>
    <w:p w14:paraId="2F02D2D1" w14:textId="77777777" w:rsidR="0016360A" w:rsidRDefault="0016360A" w:rsidP="0016360A">
      <w:pPr>
        <w:rPr>
          <w:lang w:val="en-US"/>
        </w:rPr>
      </w:pPr>
      <w:r>
        <w:rPr>
          <w:lang w:val="en-US"/>
        </w:rPr>
        <w:t>In addition, the market making exemption for both the “target instrument” and “those</w:t>
      </w:r>
      <w:r w:rsidRPr="00EC1926">
        <w:rPr>
          <w:lang w:val="en-US"/>
        </w:rPr>
        <w:t xml:space="preserve"> instruments which confer a financial advantage in the event of a decrease in the price or value of the ‘target’ instrument</w:t>
      </w:r>
      <w:r>
        <w:rPr>
          <w:lang w:val="en-US"/>
        </w:rPr>
        <w:t>” should not be affected.</w:t>
      </w:r>
    </w:p>
    <w:p w14:paraId="3D43CF55" w14:textId="1A5E564C" w:rsidR="00753395" w:rsidRDefault="00753395" w:rsidP="00753395">
      <w:pPr>
        <w:rPr>
          <w:lang w:val="en-US"/>
        </w:rPr>
      </w:pPr>
    </w:p>
    <w:permEnd w:id="707614466"/>
    <w:p w14:paraId="44CB5E14" w14:textId="77777777" w:rsidR="00D02884" w:rsidRDefault="00D02884" w:rsidP="00D02884">
      <w:r>
        <w:t>&lt;ESMA_QUESTION_SSRR_2&gt;</w:t>
      </w:r>
    </w:p>
    <w:p w14:paraId="48E4EFBE" w14:textId="77777777" w:rsidR="00D02884" w:rsidRDefault="00D02884" w:rsidP="00D02884"/>
    <w:p w14:paraId="11CE3AFF" w14:textId="77777777" w:rsidR="00D02884" w:rsidRDefault="00D02884" w:rsidP="00D02884">
      <w:pPr>
        <w:pStyle w:val="Questionstyle"/>
        <w:numPr>
          <w:ilvl w:val="0"/>
          <w:numId w:val="9"/>
        </w:numPr>
        <w:spacing w:after="250" w:line="276" w:lineRule="auto"/>
      </w:pPr>
      <w:r w:rsidRPr="00026030">
        <w:t xml:space="preserve">Do you agree with the proposed clarification? </w:t>
      </w:r>
    </w:p>
    <w:p w14:paraId="2FB9FC7D" w14:textId="77777777" w:rsidR="00D02884" w:rsidRDefault="00D02884" w:rsidP="00D02884">
      <w:r>
        <w:t>&lt;ESMA_QUESTION_SSRR_3&gt;</w:t>
      </w:r>
    </w:p>
    <w:p w14:paraId="3BC93B11" w14:textId="77777777" w:rsidR="0016360A" w:rsidRPr="00EC1926" w:rsidRDefault="0016360A" w:rsidP="0016360A">
      <w:pPr>
        <w:rPr>
          <w:lang w:val="en-US"/>
        </w:rPr>
      </w:pPr>
      <w:permStart w:id="1750483000" w:edGrp="everyone"/>
      <w:r>
        <w:rPr>
          <w:lang w:val="en-US"/>
        </w:rPr>
        <w:t>AMAFI agrees with ESMA proposal.</w:t>
      </w:r>
    </w:p>
    <w:permEnd w:id="1750483000"/>
    <w:p w14:paraId="6FFFFA18" w14:textId="77777777" w:rsidR="00D02884" w:rsidRDefault="00D02884" w:rsidP="00D02884">
      <w:r>
        <w:t>&lt;ESMA_QUESTION_SSRR_3&gt;</w:t>
      </w:r>
    </w:p>
    <w:p w14:paraId="4A2A612E" w14:textId="77777777" w:rsidR="00D02884" w:rsidRDefault="00D02884" w:rsidP="00D02884"/>
    <w:p w14:paraId="56DF024B" w14:textId="77777777" w:rsidR="00D02884" w:rsidRDefault="00D02884" w:rsidP="00D02884">
      <w:pPr>
        <w:pStyle w:val="Questionstyle"/>
        <w:numPr>
          <w:ilvl w:val="0"/>
          <w:numId w:val="9"/>
        </w:numPr>
        <w:spacing w:after="250" w:line="276" w:lineRule="auto"/>
      </w:pPr>
      <w:r w:rsidRPr="00125B8D">
        <w:t>What are your views regarding the exclusion or, alternatively, a percentage–based weighting approach, for indices, baskets and ETFs in the context of long – term bans?</w:t>
      </w:r>
    </w:p>
    <w:p w14:paraId="4467D641" w14:textId="77777777" w:rsidR="00D02884" w:rsidRDefault="00D02884" w:rsidP="00D02884">
      <w:r>
        <w:t>&lt;ESMA_QUESTION_SSRR_4&gt;</w:t>
      </w:r>
    </w:p>
    <w:p w14:paraId="56BD4CED" w14:textId="77777777" w:rsidR="0016360A" w:rsidRDefault="0016360A" w:rsidP="0016360A">
      <w:pPr>
        <w:rPr>
          <w:lang w:val="en-US"/>
        </w:rPr>
      </w:pPr>
      <w:permStart w:id="1744045598" w:edGrp="everyone"/>
      <w:r>
        <w:rPr>
          <w:lang w:val="en-US"/>
        </w:rPr>
        <w:t xml:space="preserve">AMAFI fully supports the exclusion </w:t>
      </w:r>
      <w:r w:rsidRPr="008B1C2B">
        <w:rPr>
          <w:lang w:val="en-US"/>
        </w:rPr>
        <w:t xml:space="preserve">the exclusion of indices, </w:t>
      </w:r>
      <w:proofErr w:type="gramStart"/>
      <w:r w:rsidRPr="008B1C2B">
        <w:rPr>
          <w:lang w:val="en-US"/>
        </w:rPr>
        <w:t>baskets</w:t>
      </w:r>
      <w:proofErr w:type="gramEnd"/>
      <w:r w:rsidRPr="008B1C2B">
        <w:rPr>
          <w:lang w:val="en-US"/>
        </w:rPr>
        <w:t xml:space="preserve"> and ETFs from the scope of long-term bans.</w:t>
      </w:r>
      <w:r>
        <w:rPr>
          <w:lang w:val="en-US"/>
        </w:rPr>
        <w:t xml:space="preserve"> As it is stated in the CP, “</w:t>
      </w:r>
      <w:r w:rsidRPr="00127949">
        <w:rPr>
          <w:lang w:val="en-US"/>
        </w:rPr>
        <w:t>there is an argument that those instruments would less likely be used by market participants to take an NSP in a single share</w:t>
      </w:r>
      <w:r>
        <w:rPr>
          <w:lang w:val="en-US"/>
        </w:rPr>
        <w:t>” and “</w:t>
      </w:r>
      <w:r w:rsidRPr="000F05F9">
        <w:rPr>
          <w:lang w:val="en-US"/>
        </w:rPr>
        <w:t>historically RCAs have often limited or excluded those instruments from the scope of the bans that were adopted since the application of the SSR.</w:t>
      </w:r>
      <w:r>
        <w:rPr>
          <w:lang w:val="en-US"/>
        </w:rPr>
        <w:t>”</w:t>
      </w:r>
    </w:p>
    <w:p w14:paraId="373D0088" w14:textId="77777777" w:rsidR="0016360A" w:rsidRDefault="0016360A" w:rsidP="0016360A">
      <w:pPr>
        <w:rPr>
          <w:lang w:val="en-US"/>
        </w:rPr>
      </w:pPr>
    </w:p>
    <w:p w14:paraId="3A4A327B" w14:textId="77777777" w:rsidR="0016360A" w:rsidRDefault="0016360A" w:rsidP="0016360A">
      <w:pPr>
        <w:rPr>
          <w:lang w:val="en-US"/>
        </w:rPr>
      </w:pPr>
      <w:r>
        <w:rPr>
          <w:lang w:val="en-US"/>
        </w:rPr>
        <w:t xml:space="preserve">AMAFI also considers that the introduction of a </w:t>
      </w:r>
      <w:r w:rsidRPr="000F05F9">
        <w:rPr>
          <w:lang w:val="en-US"/>
        </w:rPr>
        <w:t>percentage–based weighting approach,</w:t>
      </w:r>
      <w:r>
        <w:rPr>
          <w:lang w:val="en-US"/>
        </w:rPr>
        <w:t xml:space="preserve"> would be very complicated to implement and would raise various issues (non-compatible with ESMA proposal in section 3.2, identification of which instruments are below or above the thresholds, hedging strategies would </w:t>
      </w:r>
      <w:proofErr w:type="gramStart"/>
      <w:r>
        <w:rPr>
          <w:lang w:val="en-US"/>
        </w:rPr>
        <w:t>affected</w:t>
      </w:r>
      <w:proofErr w:type="gramEnd"/>
      <w:r>
        <w:rPr>
          <w:lang w:val="en-US"/>
        </w:rPr>
        <w:t>…)</w:t>
      </w:r>
    </w:p>
    <w:p w14:paraId="4B7F60B0" w14:textId="77777777" w:rsidR="0016360A" w:rsidRDefault="0016360A" w:rsidP="0016360A">
      <w:pPr>
        <w:rPr>
          <w:lang w:val="en-US"/>
        </w:rPr>
      </w:pPr>
    </w:p>
    <w:p w14:paraId="70AD2F21" w14:textId="77777777" w:rsidR="0016360A" w:rsidRDefault="0016360A" w:rsidP="0016360A">
      <w:pPr>
        <w:rPr>
          <w:lang w:val="en-US"/>
        </w:rPr>
      </w:pPr>
      <w:r>
        <w:rPr>
          <w:lang w:val="en-US"/>
        </w:rPr>
        <w:t xml:space="preserve">Such approach could not be envisaged without other several measures: </w:t>
      </w:r>
      <w:r w:rsidRPr="00A5092A">
        <w:rPr>
          <w:lang w:val="en-US"/>
        </w:rPr>
        <w:t>ESMA's maintenance of a list of relevant financial instruments</w:t>
      </w:r>
      <w:r>
        <w:rPr>
          <w:lang w:val="en-US"/>
        </w:rPr>
        <w:t xml:space="preserve">; a market making exemption by default, exemption from the scope of the ban of certain market activities such as the rolling of derivatives </w:t>
      </w:r>
      <w:proofErr w:type="gramStart"/>
      <w:r>
        <w:rPr>
          <w:lang w:val="en-US"/>
        </w:rPr>
        <w:t>positions..</w:t>
      </w:r>
      <w:proofErr w:type="gramEnd"/>
      <w:r>
        <w:rPr>
          <w:lang w:val="en-US"/>
        </w:rPr>
        <w:t xml:space="preserve"> .</w:t>
      </w:r>
    </w:p>
    <w:p w14:paraId="3EF5F41B" w14:textId="77777777" w:rsidR="0016360A" w:rsidRDefault="0016360A" w:rsidP="0016360A">
      <w:pPr>
        <w:rPr>
          <w:lang w:val="en-US"/>
        </w:rPr>
      </w:pPr>
    </w:p>
    <w:p w14:paraId="7CA29808" w14:textId="77777777" w:rsidR="0016360A" w:rsidRPr="00837627" w:rsidRDefault="0016360A" w:rsidP="0016360A">
      <w:pPr>
        <w:rPr>
          <w:lang w:val="en-US"/>
        </w:rPr>
      </w:pPr>
      <w:r>
        <w:rPr>
          <w:lang w:val="en-US"/>
        </w:rPr>
        <w:t>AMAFI fully agrees with ESMA consideration that “</w:t>
      </w:r>
      <w:r w:rsidRPr="00837627">
        <w:rPr>
          <w:lang w:val="en-US"/>
        </w:rPr>
        <w:t>any trading in indices, baskets and ETFs, in a manner that clearly demonstrates that it is intending to circumvent the ban, should be prohibited at all times</w:t>
      </w:r>
      <w:r>
        <w:rPr>
          <w:lang w:val="en-US"/>
        </w:rPr>
        <w:t>”</w:t>
      </w:r>
      <w:r w:rsidRPr="00837627">
        <w:rPr>
          <w:lang w:val="en-US"/>
        </w:rPr>
        <w:t>.</w:t>
      </w:r>
    </w:p>
    <w:permEnd w:id="1744045598"/>
    <w:p w14:paraId="57197F9A" w14:textId="77777777" w:rsidR="00D02884" w:rsidRDefault="00D02884" w:rsidP="00D02884">
      <w:r>
        <w:t>&lt;ESMA_QUESTION_SSRR_4&gt;</w:t>
      </w:r>
    </w:p>
    <w:p w14:paraId="08411F06" w14:textId="77777777" w:rsidR="00D02884" w:rsidRDefault="00D02884" w:rsidP="00D02884"/>
    <w:p w14:paraId="454FE81F" w14:textId="77777777" w:rsidR="00D02884" w:rsidRDefault="00D02884" w:rsidP="00D02884">
      <w:pPr>
        <w:pStyle w:val="Questionstyle"/>
        <w:numPr>
          <w:ilvl w:val="0"/>
          <w:numId w:val="9"/>
        </w:numPr>
        <w:spacing w:after="250" w:line="276" w:lineRule="auto"/>
      </w:pPr>
      <w:r w:rsidRPr="00026030">
        <w:t>Do you agree with the proposed alignment of the conditions to adopt measures under Article 20 and Article 28 of SSR?</w:t>
      </w:r>
    </w:p>
    <w:p w14:paraId="2588B6EB" w14:textId="77777777" w:rsidR="00D02884" w:rsidRDefault="00D02884" w:rsidP="00D02884">
      <w:r>
        <w:t>&lt;ESMA_QUESTION_SSRR_5&gt;</w:t>
      </w:r>
    </w:p>
    <w:p w14:paraId="3356D3DA" w14:textId="77777777" w:rsidR="0016360A" w:rsidRPr="002C2F5F" w:rsidRDefault="0016360A" w:rsidP="0016360A">
      <w:pPr>
        <w:rPr>
          <w:lang w:val="en-US"/>
        </w:rPr>
      </w:pPr>
      <w:permStart w:id="505167219" w:edGrp="everyone"/>
      <w:r w:rsidRPr="002C2F5F">
        <w:rPr>
          <w:lang w:val="en-US"/>
        </w:rPr>
        <w:lastRenderedPageBreak/>
        <w:t xml:space="preserve">AMAFI </w:t>
      </w:r>
      <w:r>
        <w:rPr>
          <w:lang w:val="en-US"/>
        </w:rPr>
        <w:t>agrees with this proposal.</w:t>
      </w:r>
    </w:p>
    <w:permEnd w:id="505167219"/>
    <w:p w14:paraId="4C33B9E7" w14:textId="77777777" w:rsidR="00D02884" w:rsidRDefault="00D02884" w:rsidP="00D02884">
      <w:r>
        <w:t>&lt;ESMA_QUESTION_SSRR_5&gt;</w:t>
      </w:r>
    </w:p>
    <w:p w14:paraId="776FC34F" w14:textId="77777777" w:rsidR="00D02884" w:rsidRDefault="00D02884" w:rsidP="00D02884"/>
    <w:p w14:paraId="15A49939" w14:textId="77777777" w:rsidR="00D02884" w:rsidRDefault="00D02884" w:rsidP="00D02884">
      <w:pPr>
        <w:pStyle w:val="Questionstyle"/>
        <w:numPr>
          <w:ilvl w:val="0"/>
          <w:numId w:val="9"/>
        </w:numPr>
        <w:spacing w:after="250" w:line="276" w:lineRule="auto"/>
      </w:pPr>
      <w:r>
        <w:t>D</w:t>
      </w:r>
      <w:r w:rsidRPr="00026030">
        <w:t>o you agree with the proposed amendments to Article 24 of Delegated Regulation 918/2012?</w:t>
      </w:r>
    </w:p>
    <w:p w14:paraId="6696EC5B" w14:textId="77777777" w:rsidR="00D02884" w:rsidRDefault="00D02884" w:rsidP="00D02884">
      <w:r>
        <w:t>&lt;ESMA_QUESTION_SSRR_6&gt;</w:t>
      </w:r>
    </w:p>
    <w:p w14:paraId="3AE26DDA" w14:textId="77777777" w:rsidR="0016360A" w:rsidRDefault="0016360A" w:rsidP="0016360A">
      <w:pPr>
        <w:rPr>
          <w:lang w:val="en-US"/>
        </w:rPr>
      </w:pPr>
      <w:permStart w:id="2039760976" w:edGrp="everyone"/>
      <w:r w:rsidRPr="00E15CD6">
        <w:rPr>
          <w:lang w:val="en-US"/>
        </w:rPr>
        <w:t xml:space="preserve">AMAFI </w:t>
      </w:r>
      <w:r>
        <w:rPr>
          <w:lang w:val="en-US"/>
        </w:rPr>
        <w:t>tends to agree with ESMA but considers that mentioning only pandemic or widespread epidemic is two limited since we do not know yet the nature of the next important crisis. The definition of adverse events should not be limited to a pre-definition of events.</w:t>
      </w:r>
    </w:p>
    <w:p w14:paraId="1B9D18F1" w14:textId="77777777" w:rsidR="0016360A" w:rsidRDefault="0016360A" w:rsidP="0016360A">
      <w:pPr>
        <w:rPr>
          <w:lang w:val="en-US"/>
        </w:rPr>
      </w:pPr>
    </w:p>
    <w:p w14:paraId="74D299BC" w14:textId="77777777" w:rsidR="0016360A" w:rsidRDefault="0016360A" w:rsidP="0016360A">
      <w:pPr>
        <w:rPr>
          <w:lang w:val="en-US"/>
        </w:rPr>
      </w:pPr>
      <w:r>
        <w:rPr>
          <w:lang w:val="en-US"/>
        </w:rPr>
        <w:t>Therefore, AMAFI suggests the following wording:</w:t>
      </w:r>
    </w:p>
    <w:p w14:paraId="4E60A660" w14:textId="77777777" w:rsidR="0016360A" w:rsidRDefault="0016360A" w:rsidP="0016360A">
      <w:pPr>
        <w:rPr>
          <w:lang w:val="en-US"/>
        </w:rPr>
      </w:pPr>
    </w:p>
    <w:p w14:paraId="6CDB8C0F" w14:textId="77777777" w:rsidR="0016360A" w:rsidRPr="00C20265" w:rsidRDefault="0016360A" w:rsidP="0016360A">
      <w:pPr>
        <w:rPr>
          <w:lang w:val="en-US"/>
        </w:rPr>
      </w:pPr>
      <w:r>
        <w:rPr>
          <w:lang w:val="en-US"/>
        </w:rPr>
        <w:t xml:space="preserve">b. </w:t>
      </w:r>
      <w:r w:rsidRPr="00C20265">
        <w:rPr>
          <w:strike/>
          <w:lang w:val="en-US"/>
        </w:rPr>
        <w:t>new typologies of</w:t>
      </w:r>
      <w:r w:rsidRPr="00C20265">
        <w:rPr>
          <w:lang w:val="en-US"/>
        </w:rPr>
        <w:t xml:space="preserve"> adverse events such as pandemic or widespread epidemic</w:t>
      </w:r>
      <w:r>
        <w:rPr>
          <w:lang w:val="en-US"/>
        </w:rPr>
        <w:t xml:space="preserve"> or </w:t>
      </w:r>
      <w:r w:rsidRPr="00C20265">
        <w:rPr>
          <w:b/>
          <w:bCs/>
          <w:lang w:val="en-US"/>
        </w:rPr>
        <w:t>any event that has similar effects</w:t>
      </w:r>
      <w:r>
        <w:rPr>
          <w:lang w:val="en-US"/>
        </w:rPr>
        <w:t xml:space="preserve">, </w:t>
      </w:r>
      <w:r w:rsidRPr="00C20265">
        <w:rPr>
          <w:lang w:val="en-US"/>
        </w:rPr>
        <w:t xml:space="preserve">that either for their direct implications or </w:t>
      </w:r>
      <w:proofErr w:type="gramStart"/>
      <w:r w:rsidRPr="00C20265">
        <w:rPr>
          <w:lang w:val="en-US"/>
        </w:rPr>
        <w:t>as a result of</w:t>
      </w:r>
      <w:proofErr w:type="gramEnd"/>
      <w:r w:rsidRPr="00C20265">
        <w:rPr>
          <w:lang w:val="en-US"/>
        </w:rPr>
        <w:t xml:space="preserve"> the measures adopted by the governments to contain them may involve unusual volatility and downward spirals in financial instruments</w:t>
      </w:r>
    </w:p>
    <w:permEnd w:id="2039760976"/>
    <w:p w14:paraId="73A60B09" w14:textId="77777777" w:rsidR="00D02884" w:rsidRDefault="00D02884" w:rsidP="00D02884">
      <w:r>
        <w:t>&lt;ESMA_QUESTION_SSRR_6&gt;</w:t>
      </w:r>
    </w:p>
    <w:p w14:paraId="440257A6" w14:textId="77777777" w:rsidR="00D02884" w:rsidRDefault="00D02884" w:rsidP="00D02884"/>
    <w:p w14:paraId="28E94D0E" w14:textId="77777777" w:rsidR="00D02884" w:rsidRDefault="00D02884" w:rsidP="00D02884">
      <w:pPr>
        <w:pStyle w:val="Questionstyle"/>
        <w:numPr>
          <w:ilvl w:val="0"/>
          <w:numId w:val="9"/>
        </w:numPr>
        <w:spacing w:after="250" w:line="276" w:lineRule="auto"/>
      </w:pPr>
      <w:r w:rsidRPr="00026030">
        <w:t>Do you agree with the proposed amendments to the SSR and, more specifically, the mediation procedure under Article 23 of SSR?</w:t>
      </w:r>
    </w:p>
    <w:p w14:paraId="193DCC15" w14:textId="77777777" w:rsidR="00D02884" w:rsidRDefault="00D02884" w:rsidP="00D02884">
      <w:r>
        <w:t>&lt;ESMA_QUESTION_SSRR_7&gt;</w:t>
      </w:r>
    </w:p>
    <w:p w14:paraId="6C0EE23E" w14:textId="77777777" w:rsidR="009C355C" w:rsidRPr="002C2F5F" w:rsidRDefault="009C355C" w:rsidP="009C355C">
      <w:pPr>
        <w:rPr>
          <w:lang w:val="en-US"/>
        </w:rPr>
      </w:pPr>
      <w:permStart w:id="1121714453" w:edGrp="everyone"/>
      <w:r w:rsidRPr="002C2F5F">
        <w:rPr>
          <w:lang w:val="en-US"/>
        </w:rPr>
        <w:t xml:space="preserve">AMAFI </w:t>
      </w:r>
      <w:r>
        <w:rPr>
          <w:lang w:val="en-US"/>
        </w:rPr>
        <w:t>agrees with this proposal.</w:t>
      </w:r>
    </w:p>
    <w:permEnd w:id="1121714453"/>
    <w:p w14:paraId="728DF76C" w14:textId="77777777" w:rsidR="00D02884" w:rsidRDefault="00D02884" w:rsidP="00D02884">
      <w:r>
        <w:t>&lt;ESMA_QUESTION_SSRR_7&gt;</w:t>
      </w:r>
    </w:p>
    <w:p w14:paraId="4B59D90E" w14:textId="77777777" w:rsidR="00D02884" w:rsidRDefault="00D02884" w:rsidP="00D02884"/>
    <w:p w14:paraId="50E8BA70" w14:textId="77777777" w:rsidR="00D02884" w:rsidRDefault="00D02884" w:rsidP="00D02884">
      <w:pPr>
        <w:pStyle w:val="Questionstyle"/>
        <w:numPr>
          <w:ilvl w:val="0"/>
          <w:numId w:val="9"/>
        </w:numPr>
        <w:spacing w:after="250" w:line="276" w:lineRule="auto"/>
      </w:pPr>
      <w:r w:rsidRPr="00026030">
        <w:t xml:space="preserve">What are your views on ESMA’s proposal to include subscription rights in the calculation of NSPs in shares? </w:t>
      </w:r>
    </w:p>
    <w:p w14:paraId="0B45380D" w14:textId="77777777" w:rsidR="00D02884" w:rsidRDefault="00D02884" w:rsidP="00D02884">
      <w:r>
        <w:t>&lt;ESMA_QUESTION_SSRR_8&gt;</w:t>
      </w:r>
    </w:p>
    <w:p w14:paraId="7D19DC7C" w14:textId="77777777" w:rsidR="009C355C" w:rsidRPr="002C2F5F" w:rsidRDefault="009C355C" w:rsidP="009C355C">
      <w:pPr>
        <w:rPr>
          <w:lang w:val="en-US"/>
        </w:rPr>
      </w:pPr>
      <w:permStart w:id="814236590" w:edGrp="everyone"/>
      <w:r w:rsidRPr="002C2F5F">
        <w:rPr>
          <w:lang w:val="en-US"/>
        </w:rPr>
        <w:t xml:space="preserve">AMAFI </w:t>
      </w:r>
      <w:r>
        <w:rPr>
          <w:lang w:val="en-US"/>
        </w:rPr>
        <w:t>agrees with this proposal.</w:t>
      </w:r>
    </w:p>
    <w:permEnd w:id="814236590"/>
    <w:p w14:paraId="5998E6BB" w14:textId="77777777" w:rsidR="00D02884" w:rsidRDefault="00D02884" w:rsidP="00D02884">
      <w:r>
        <w:t>&lt;ESMA_QUESTION_SSRR_8&gt;</w:t>
      </w:r>
    </w:p>
    <w:p w14:paraId="59D873C4" w14:textId="77777777" w:rsidR="00D02884" w:rsidRDefault="00D02884" w:rsidP="00D02884"/>
    <w:p w14:paraId="5FDE0C41" w14:textId="77777777" w:rsidR="00D02884" w:rsidRDefault="00D02884" w:rsidP="00D02884">
      <w:pPr>
        <w:pStyle w:val="Questionstyle"/>
        <w:numPr>
          <w:ilvl w:val="0"/>
          <w:numId w:val="9"/>
        </w:numPr>
        <w:spacing w:after="250" w:line="276" w:lineRule="auto"/>
      </w:pPr>
      <w:r w:rsidRPr="00026030">
        <w:t xml:space="preserve">Do you agree with this proposal to reinforce the third-party’s commitment? If not, please elaborate. If yes, would you either (A) keep the three types of locate arrangements, but increase the level of commitment of the third party to a firm commitment for all types of arrangements, or (B) simplify the regime to keep only one type of firm locate arrangement?  </w:t>
      </w:r>
    </w:p>
    <w:p w14:paraId="64890296" w14:textId="77777777" w:rsidR="00D02884" w:rsidRDefault="00D02884" w:rsidP="00D02884">
      <w:r>
        <w:t>&lt;ESMA_QUESTION_SSRR_9&gt;</w:t>
      </w:r>
    </w:p>
    <w:p w14:paraId="14197E2C" w14:textId="77777777" w:rsidR="009C355C" w:rsidRDefault="009C355C" w:rsidP="009C355C">
      <w:pPr>
        <w:rPr>
          <w:lang w:val="en-US"/>
        </w:rPr>
      </w:pPr>
      <w:permStart w:id="837683724" w:edGrp="everyone"/>
      <w:r w:rsidRPr="00D66C82">
        <w:rPr>
          <w:lang w:val="en-US"/>
        </w:rPr>
        <w:t xml:space="preserve">AMAFI strongly disagrees </w:t>
      </w:r>
      <w:r>
        <w:rPr>
          <w:lang w:val="en-US"/>
        </w:rPr>
        <w:t>with the proposal to reinforce third party’s commitment.</w:t>
      </w:r>
    </w:p>
    <w:p w14:paraId="310A2159" w14:textId="77777777" w:rsidR="009C355C" w:rsidRDefault="009C355C" w:rsidP="009C355C">
      <w:pPr>
        <w:rPr>
          <w:lang w:val="en-US"/>
        </w:rPr>
      </w:pPr>
    </w:p>
    <w:p w14:paraId="6CAE121F" w14:textId="77777777" w:rsidR="009C355C" w:rsidRDefault="009C355C" w:rsidP="009C355C">
      <w:pPr>
        <w:rPr>
          <w:lang w:val="en-US"/>
        </w:rPr>
      </w:pPr>
      <w:r>
        <w:rPr>
          <w:lang w:val="en-US"/>
        </w:rPr>
        <w:t>Indeed, from the discussion in the CP, this approach does not seem to be based on any compelling evidence of major problems in terms of the operation of the existing locate standards. No “short squeeze nor increase int the settlement fails has been observed int the EU. Moreover, the fail rate in the EU is very low and the implementation of the penalty regime of CSDR in February 2022 will improve this rate.</w:t>
      </w:r>
    </w:p>
    <w:p w14:paraId="6CFA1157" w14:textId="77777777" w:rsidR="009C355C" w:rsidRDefault="009C355C" w:rsidP="009C355C">
      <w:pPr>
        <w:rPr>
          <w:lang w:val="en-US"/>
        </w:rPr>
      </w:pPr>
    </w:p>
    <w:p w14:paraId="50782DF7" w14:textId="77777777" w:rsidR="009C355C" w:rsidRDefault="009C355C" w:rsidP="009C355C">
      <w:pPr>
        <w:rPr>
          <w:lang w:val="en-US"/>
        </w:rPr>
      </w:pPr>
      <w:r>
        <w:rPr>
          <w:lang w:val="en-US"/>
        </w:rPr>
        <w:lastRenderedPageBreak/>
        <w:t>In contrast, it would restrain market short selling activities at the expense of market liquidity and the quality of the price formation process.</w:t>
      </w:r>
    </w:p>
    <w:permEnd w:id="837683724"/>
    <w:p w14:paraId="4C33E4DE" w14:textId="77777777" w:rsidR="00D02884" w:rsidRDefault="00D02884" w:rsidP="00D02884">
      <w:r>
        <w:t>&lt;ESMA_QUESTION_SSRR_9&gt;</w:t>
      </w:r>
    </w:p>
    <w:p w14:paraId="7DDFE5E5" w14:textId="77777777" w:rsidR="00D02884" w:rsidRDefault="00D02884" w:rsidP="00D02884"/>
    <w:p w14:paraId="11838CD0" w14:textId="77777777" w:rsidR="00D02884" w:rsidRDefault="00D02884" w:rsidP="00D02884">
      <w:pPr>
        <w:pStyle w:val="Questionstyle"/>
        <w:numPr>
          <w:ilvl w:val="0"/>
          <w:numId w:val="9"/>
        </w:numPr>
        <w:spacing w:after="250" w:line="276" w:lineRule="auto"/>
      </w:pPr>
      <w:r w:rsidRPr="006D5BE3">
        <w:t>Do you agree with this introducing a five-year-long record-keeping obligation for locate arrangements? If not, please justify your answer.</w:t>
      </w:r>
    </w:p>
    <w:p w14:paraId="7EBDBC89" w14:textId="77777777" w:rsidR="00D02884" w:rsidRDefault="00D02884" w:rsidP="00D02884">
      <w:r>
        <w:t>&lt;ESMA_QUESTION_SSRR_10&gt;</w:t>
      </w:r>
    </w:p>
    <w:p w14:paraId="4F0F615B" w14:textId="77777777" w:rsidR="009C355C" w:rsidRPr="002C2F5F" w:rsidRDefault="009C355C" w:rsidP="009C355C">
      <w:pPr>
        <w:rPr>
          <w:lang w:val="en-US"/>
        </w:rPr>
      </w:pPr>
      <w:permStart w:id="1011105196" w:edGrp="everyone"/>
      <w:r w:rsidRPr="002C2F5F">
        <w:rPr>
          <w:lang w:val="en-US"/>
        </w:rPr>
        <w:t xml:space="preserve">AMAFI </w:t>
      </w:r>
      <w:r>
        <w:rPr>
          <w:lang w:val="en-US"/>
        </w:rPr>
        <w:t>agrees with this proposal.</w:t>
      </w:r>
    </w:p>
    <w:permEnd w:id="1011105196"/>
    <w:p w14:paraId="47D90FB0" w14:textId="77777777" w:rsidR="00D02884" w:rsidRDefault="00D02884" w:rsidP="00D02884">
      <w:r>
        <w:t>&lt;ESMA_QUESTION_SSRR_10&gt;</w:t>
      </w:r>
    </w:p>
    <w:p w14:paraId="6D3BB697" w14:textId="77777777" w:rsidR="00D02884" w:rsidRDefault="00D02884" w:rsidP="00D02884"/>
    <w:p w14:paraId="26D8AF06" w14:textId="77777777" w:rsidR="00D02884" w:rsidRDefault="00D02884" w:rsidP="00D02884">
      <w:pPr>
        <w:pStyle w:val="Questionstyle"/>
        <w:numPr>
          <w:ilvl w:val="0"/>
          <w:numId w:val="9"/>
        </w:numPr>
        <w:spacing w:after="250" w:line="276" w:lineRule="auto"/>
      </w:pPr>
      <w:r w:rsidRPr="00026030">
        <w:t xml:space="preserve">Do you agree with reinforcing and harmonising sanctions for “naked short selling” along the proposed lines? If not, please justify your answer. </w:t>
      </w:r>
    </w:p>
    <w:p w14:paraId="61BF4FDF" w14:textId="77777777" w:rsidR="00D02884" w:rsidRDefault="00D02884" w:rsidP="00D02884">
      <w:r>
        <w:t>&lt;ESMA_QUESTION_SSRR_11&gt;</w:t>
      </w:r>
    </w:p>
    <w:p w14:paraId="2718A564" w14:textId="77777777" w:rsidR="009C355C" w:rsidRPr="002A0A97" w:rsidRDefault="009C355C" w:rsidP="009C355C">
      <w:pPr>
        <w:rPr>
          <w:lang w:val="en-US"/>
        </w:rPr>
      </w:pPr>
      <w:permStart w:id="605506472" w:edGrp="everyone"/>
      <w:r>
        <w:rPr>
          <w:lang w:val="en-US"/>
        </w:rPr>
        <w:t xml:space="preserve">AMAFI is not opposed to a harmonization of sanctions but that, in any cases, sanctions must be taken on a case-by-case basis. </w:t>
      </w:r>
    </w:p>
    <w:permEnd w:id="605506472"/>
    <w:p w14:paraId="47850D64" w14:textId="77777777" w:rsidR="00D02884" w:rsidRDefault="00D02884" w:rsidP="00D02884">
      <w:r>
        <w:t>&lt;ESMA_QUESTION_SSRR_11&gt;</w:t>
      </w:r>
    </w:p>
    <w:p w14:paraId="565F9A2E" w14:textId="77777777" w:rsidR="00D02884" w:rsidRDefault="00D02884" w:rsidP="00D02884"/>
    <w:p w14:paraId="2CAAC349" w14:textId="77777777" w:rsidR="00D02884" w:rsidRDefault="00D02884" w:rsidP="00D02884">
      <w:pPr>
        <w:pStyle w:val="Questionstyle"/>
        <w:numPr>
          <w:ilvl w:val="0"/>
          <w:numId w:val="9"/>
        </w:numPr>
        <w:spacing w:after="250" w:line="276" w:lineRule="auto"/>
      </w:pPr>
      <w:r w:rsidRPr="00026030">
        <w:t xml:space="preserve">Do you consider that shares with only 40% of their turnover traded in a EU trading venue should remain subject to the full set of SSR obligations? </w:t>
      </w:r>
    </w:p>
    <w:p w14:paraId="2E128290" w14:textId="77777777" w:rsidR="00D02884" w:rsidRDefault="00D02884" w:rsidP="00D02884">
      <w:r>
        <w:t>&lt;ESMA_QUESTION_SSRR_12&gt;</w:t>
      </w:r>
    </w:p>
    <w:p w14:paraId="16E5B133" w14:textId="77777777" w:rsidR="009C355C" w:rsidRDefault="009C355C" w:rsidP="009C355C">
      <w:pPr>
        <w:spacing w:before="1080"/>
        <w:contextualSpacing/>
      </w:pPr>
      <w:permStart w:id="1582846376" w:edGrp="everyone"/>
      <w:r w:rsidRPr="007A7768">
        <w:t xml:space="preserve">It is </w:t>
      </w:r>
      <w:r>
        <w:t>not possible to agree with this proposal since we do not have any information on the list of shares that would be captured by this threshold. It would bring a lot of uncertainties in the scope of SSR.</w:t>
      </w:r>
    </w:p>
    <w:permEnd w:id="1582846376"/>
    <w:p w14:paraId="682E290B" w14:textId="77777777" w:rsidR="00D02884" w:rsidRDefault="00D02884" w:rsidP="00D02884">
      <w:r>
        <w:t>&lt;ESMA_QUESTION_SSRR_12&gt;</w:t>
      </w:r>
    </w:p>
    <w:p w14:paraId="4DE97F0F" w14:textId="77777777" w:rsidR="00D02884" w:rsidRDefault="00D02884" w:rsidP="00D02884"/>
    <w:p w14:paraId="11BC4A27" w14:textId="77777777" w:rsidR="00D02884" w:rsidRDefault="00D02884" w:rsidP="00D02884">
      <w:pPr>
        <w:pStyle w:val="Questionstyle"/>
        <w:numPr>
          <w:ilvl w:val="0"/>
          <w:numId w:val="9"/>
        </w:numPr>
        <w:spacing w:after="250" w:line="276" w:lineRule="auto"/>
      </w:pPr>
      <w:r w:rsidRPr="00AD6039">
        <w:t xml:space="preserve">Do you consider that NCAs should take any other qualitative but specific parameter into account in the identification of the shares </w:t>
      </w:r>
      <w:r>
        <w:t>subject to the full set of</w:t>
      </w:r>
      <w:r w:rsidRPr="00AD6039">
        <w:t xml:space="preserve"> SSR obligations </w:t>
      </w:r>
      <w:r>
        <w:t>even if they are</w:t>
      </w:r>
      <w:r w:rsidRPr="00AD6039">
        <w:t xml:space="preserve"> more heavily traded in a third-country venue? If yes, please elaborate</w:t>
      </w:r>
    </w:p>
    <w:p w14:paraId="7F757CA0" w14:textId="77777777" w:rsidR="00D02884" w:rsidRDefault="00D02884" w:rsidP="00D02884">
      <w:r>
        <w:t>&lt;ESMA_QUESTION_SSRR_13&gt;</w:t>
      </w:r>
    </w:p>
    <w:p w14:paraId="58C608C9" w14:textId="77777777" w:rsidR="009C355C" w:rsidRDefault="009C355C" w:rsidP="009C355C">
      <w:pPr>
        <w:spacing w:before="1080"/>
        <w:contextualSpacing/>
        <w:rPr>
          <w:lang w:val="en-US"/>
        </w:rPr>
      </w:pPr>
      <w:bookmarkStart w:id="1" w:name="_Hlk88232366"/>
      <w:permStart w:id="1861689712" w:edGrp="everyone"/>
      <w:r>
        <w:rPr>
          <w:lang w:val="en-US"/>
        </w:rPr>
        <w:t>AMAFI does not agree with this proposal which would end up with more complexity and more uncertainties.</w:t>
      </w:r>
    </w:p>
    <w:bookmarkEnd w:id="1"/>
    <w:permEnd w:id="1861689712"/>
    <w:p w14:paraId="49182EB5" w14:textId="77777777" w:rsidR="00D02884" w:rsidRDefault="00D02884" w:rsidP="00D02884">
      <w:r>
        <w:t>&lt;ESMA_QUESTION_SSRR_13&gt;</w:t>
      </w:r>
    </w:p>
    <w:p w14:paraId="3FC4B01E" w14:textId="77777777" w:rsidR="00D02884" w:rsidRDefault="00D02884" w:rsidP="00D02884"/>
    <w:p w14:paraId="77A54AFB" w14:textId="77777777" w:rsidR="00D02884" w:rsidRDefault="00D02884" w:rsidP="00D02884">
      <w:pPr>
        <w:pStyle w:val="Questionstyle"/>
        <w:numPr>
          <w:ilvl w:val="0"/>
          <w:numId w:val="9"/>
        </w:numPr>
        <w:spacing w:after="250" w:line="276" w:lineRule="auto"/>
      </w:pPr>
      <w:r w:rsidRPr="00026030">
        <w:t>Would you modify the threshold for the public disclosure of significant NSPs in shares? If yes, at which level would you set it out? Please justify your answer, if possible, with quantitative data.</w:t>
      </w:r>
    </w:p>
    <w:p w14:paraId="1B3A8874" w14:textId="77777777" w:rsidR="00D02884" w:rsidRDefault="00D02884" w:rsidP="00D02884">
      <w:r>
        <w:t>&lt;ESMA_QUESTION_SSRR_14&gt;</w:t>
      </w:r>
    </w:p>
    <w:p w14:paraId="57BC8CDF" w14:textId="77777777" w:rsidR="009C355C" w:rsidRDefault="009C355C" w:rsidP="009C355C">
      <w:pPr>
        <w:spacing w:before="1080"/>
        <w:contextualSpacing/>
        <w:rPr>
          <w:lang w:val="en-US"/>
        </w:rPr>
      </w:pPr>
      <w:permStart w:id="1477983117" w:edGrp="everyone"/>
      <w:r>
        <w:rPr>
          <w:lang w:val="en-US"/>
        </w:rPr>
        <w:t>ESMA recognized that; “t</w:t>
      </w:r>
      <w:r w:rsidRPr="00B15724">
        <w:rPr>
          <w:lang w:val="en-US"/>
        </w:rPr>
        <w:t>he current publication threshold still provides a good compromise between transparency to the market and market efficiency</w:t>
      </w:r>
      <w:r>
        <w:rPr>
          <w:lang w:val="en-US"/>
        </w:rPr>
        <w:t xml:space="preserve">”. A diminution of the </w:t>
      </w:r>
      <w:r w:rsidRPr="00606614">
        <w:rPr>
          <w:lang w:val="en-US"/>
        </w:rPr>
        <w:t>threshold</w:t>
      </w:r>
      <w:r>
        <w:rPr>
          <w:lang w:val="en-US"/>
        </w:rPr>
        <w:t xml:space="preserve"> would restrain market short selling activities at the expense of market liquidity and the quality of the price formation process.</w:t>
      </w:r>
    </w:p>
    <w:permEnd w:id="1477983117"/>
    <w:p w14:paraId="7FF3B55F" w14:textId="77777777" w:rsidR="00D02884" w:rsidRDefault="00D02884" w:rsidP="00D02884">
      <w:r>
        <w:t>&lt;ESMA_QUESTION_SSRR_14&gt;</w:t>
      </w:r>
    </w:p>
    <w:p w14:paraId="4381F912" w14:textId="77777777" w:rsidR="00D02884" w:rsidRDefault="00D02884" w:rsidP="00D02884"/>
    <w:p w14:paraId="6C3CEF3E" w14:textId="77777777" w:rsidR="00D02884" w:rsidRDefault="00D02884" w:rsidP="00D02884">
      <w:pPr>
        <w:pStyle w:val="Questionstyle"/>
        <w:numPr>
          <w:ilvl w:val="0"/>
          <w:numId w:val="9"/>
        </w:numPr>
        <w:spacing w:after="250" w:line="276" w:lineRule="auto"/>
      </w:pPr>
      <w:r w:rsidRPr="00026030">
        <w:lastRenderedPageBreak/>
        <w:t>Would you agree with the publication of anonymised aggregated NSPs by issuer on a regular basis? If yes, which would be the adequate periodicity for that publication?</w:t>
      </w:r>
    </w:p>
    <w:p w14:paraId="78B31734" w14:textId="77777777" w:rsidR="00D02884" w:rsidRDefault="00D02884" w:rsidP="00D02884">
      <w:r>
        <w:t>&lt;ESMA_QUESTION_SSRR_15&gt;</w:t>
      </w:r>
    </w:p>
    <w:p w14:paraId="51C3E6BA" w14:textId="77777777" w:rsidR="009C355C" w:rsidRDefault="009C355C" w:rsidP="009C355C">
      <w:pPr>
        <w:spacing w:before="1080"/>
        <w:contextualSpacing/>
        <w:rPr>
          <w:lang w:val="en-US"/>
        </w:rPr>
      </w:pPr>
      <w:permStart w:id="316369119" w:edGrp="everyone"/>
      <w:r>
        <w:rPr>
          <w:lang w:val="en-US"/>
        </w:rPr>
        <w:t xml:space="preserve">AMAFI agrees and suggests that ESMA should </w:t>
      </w:r>
      <w:proofErr w:type="gramStart"/>
      <w:r>
        <w:rPr>
          <w:lang w:val="en-US"/>
        </w:rPr>
        <w:t>be in charge of</w:t>
      </w:r>
      <w:proofErr w:type="gramEnd"/>
      <w:r>
        <w:rPr>
          <w:lang w:val="en-US"/>
        </w:rPr>
        <w:t xml:space="preserve"> such a publication. At the beginning, a weekly or bi-weekly publication could be envisaged.</w:t>
      </w:r>
    </w:p>
    <w:permEnd w:id="316369119"/>
    <w:p w14:paraId="2D413980" w14:textId="77777777" w:rsidR="00D02884" w:rsidRDefault="00D02884" w:rsidP="00D02884">
      <w:r>
        <w:t>&lt;ESMA_QUESTION_SSRR_15&gt;</w:t>
      </w:r>
    </w:p>
    <w:p w14:paraId="3A47BE77" w14:textId="77777777" w:rsidR="00D02884" w:rsidRDefault="00D02884" w:rsidP="00D02884"/>
    <w:p w14:paraId="6D62A256" w14:textId="77777777" w:rsidR="00D02884" w:rsidRDefault="00D02884" w:rsidP="00D02884">
      <w:pPr>
        <w:pStyle w:val="Questionstyle"/>
        <w:numPr>
          <w:ilvl w:val="0"/>
          <w:numId w:val="9"/>
        </w:numPr>
        <w:spacing w:after="250" w:line="276" w:lineRule="auto"/>
      </w:pPr>
      <w:r w:rsidRPr="00026030">
        <w:t>Have you detected problems in the identification of the issued share capital to fulfil the SSR notification/publication obligations? If yes, please describe and indicate how would you solve those issues.</w:t>
      </w:r>
    </w:p>
    <w:p w14:paraId="7BFAA58A" w14:textId="77777777" w:rsidR="00D02884" w:rsidRDefault="00D02884" w:rsidP="00D02884">
      <w:r>
        <w:t>&lt;ESMA_QUESTION_SSRR_16&gt;</w:t>
      </w:r>
    </w:p>
    <w:p w14:paraId="1660B6D3" w14:textId="77777777" w:rsidR="009C355C" w:rsidRDefault="009C355C" w:rsidP="009C355C">
      <w:pPr>
        <w:spacing w:before="1080"/>
        <w:contextualSpacing/>
        <w:rPr>
          <w:lang w:val="en-US"/>
        </w:rPr>
      </w:pPr>
      <w:permStart w:id="1955013049" w:edGrp="everyone"/>
      <w:r>
        <w:rPr>
          <w:lang w:val="en-US"/>
        </w:rPr>
        <w:t>AMAFI has no information on this topic</w:t>
      </w:r>
    </w:p>
    <w:permEnd w:id="1955013049"/>
    <w:p w14:paraId="73E08255" w14:textId="77777777" w:rsidR="00D02884" w:rsidRDefault="00D02884" w:rsidP="00D02884">
      <w:r>
        <w:t>&lt;ESMA_QUESTION_SSRR_16&gt;</w:t>
      </w:r>
    </w:p>
    <w:p w14:paraId="06F4EE05" w14:textId="77777777" w:rsidR="00D02884" w:rsidRDefault="00D02884" w:rsidP="00D02884"/>
    <w:p w14:paraId="7D5BE218" w14:textId="77777777" w:rsidR="00D02884" w:rsidRPr="00B63C2B" w:rsidRDefault="00D02884" w:rsidP="00D02884">
      <w:pPr>
        <w:pStyle w:val="Questionstyle"/>
        <w:numPr>
          <w:ilvl w:val="0"/>
          <w:numId w:val="9"/>
        </w:numPr>
        <w:spacing w:after="250" w:line="276" w:lineRule="auto"/>
      </w:pPr>
      <w:r w:rsidRPr="00026030">
        <w:t>Do you agree with the establishment of a centralised notification and publication system for natural and legal persons to communicate their NSPs? In your view, which would be the benefits or shortcomings this system would bring? Please explain.</w:t>
      </w:r>
    </w:p>
    <w:p w14:paraId="48FDC055" w14:textId="77777777" w:rsidR="00D02884" w:rsidRDefault="00D02884" w:rsidP="00D02884">
      <w:r>
        <w:t>&lt;ESMA_QUESTION_SSRR_17&gt;</w:t>
      </w:r>
    </w:p>
    <w:p w14:paraId="5E662246" w14:textId="77777777" w:rsidR="009C355C" w:rsidRDefault="009C355C" w:rsidP="009C355C">
      <w:pPr>
        <w:spacing w:before="1080"/>
        <w:contextualSpacing/>
        <w:rPr>
          <w:lang w:val="en-US"/>
        </w:rPr>
      </w:pPr>
      <w:permStart w:id="1440757531" w:edGrp="everyone"/>
      <w:r w:rsidRPr="00945198">
        <w:rPr>
          <w:lang w:val="en-US"/>
        </w:rPr>
        <w:t>AMAFI is in favor o</w:t>
      </w:r>
      <w:r>
        <w:rPr>
          <w:lang w:val="en-US"/>
        </w:rPr>
        <w:t>f a centralized notification and publication system which would reduce the administrative costs for market participants and would help the publication of anonymized aggregated NSPs by issuer.</w:t>
      </w:r>
    </w:p>
    <w:permEnd w:id="1440757531"/>
    <w:p w14:paraId="27740E58" w14:textId="77777777" w:rsidR="00D02884" w:rsidRDefault="00D02884" w:rsidP="00D02884">
      <w:r>
        <w:t>&lt;ESMA_QUESTION_SSRR_17&gt;</w:t>
      </w:r>
    </w:p>
    <w:bookmarkEnd w:id="0"/>
    <w:p w14:paraId="3AABEE7A" w14:textId="0D5ADE86" w:rsidR="009835AD" w:rsidRDefault="009835AD">
      <w:pPr>
        <w:spacing w:after="120" w:line="264" w:lineRule="auto"/>
        <w:rPr>
          <w:rFonts w:asciiTheme="minorHAnsi" w:hAnsiTheme="minorHAnsi" w:cstheme="minorHAnsi"/>
          <w:b/>
          <w:sz w:val="22"/>
          <w:szCs w:val="22"/>
        </w:rPr>
      </w:pPr>
    </w:p>
    <w:sectPr w:rsidR="009835AD" w:rsidSect="00C85C8B">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18280" w14:textId="77777777" w:rsidR="007E5302" w:rsidRDefault="007E5302" w:rsidP="007E7997">
      <w:r>
        <w:separator/>
      </w:r>
    </w:p>
  </w:endnote>
  <w:endnote w:type="continuationSeparator" w:id="0">
    <w:p w14:paraId="6C5ACDEB" w14:textId="77777777" w:rsidR="007E5302" w:rsidRDefault="007E5302" w:rsidP="007E7997">
      <w:r>
        <w:continuationSeparator/>
      </w:r>
    </w:p>
  </w:endnote>
  <w:endnote w:type="continuationNotice" w:id="1">
    <w:p w14:paraId="33AE4690" w14:textId="77777777" w:rsidR="007E5302" w:rsidRDefault="007E5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Pieddepag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1CB001EE" w:rsidR="00E36813" w:rsidRDefault="00E36813" w:rsidP="007A160F">
    <w:pPr>
      <w:pStyle w:val="Pieddepage"/>
    </w:pPr>
    <w:r>
      <w:rPr>
        <w:rFonts w:asciiTheme="majorHAnsi" w:hAnsiTheme="majorHAnsi"/>
        <w:color w:val="FFFFFF" w:themeColor="background1"/>
      </w:rPr>
      <w:tab/>
    </w:r>
    <w:r>
      <w:rPr>
        <w:rFonts w:asciiTheme="majorHAnsi" w:hAnsiTheme="majorHAnsi"/>
        <w:color w:val="FFFFFF" w:themeColor="background1"/>
      </w:rPr>
      <w:tab/>
    </w:r>
    <w:r w:rsidR="00CA01E7">
      <w:rPr>
        <w:rFonts w:asciiTheme="majorHAnsi" w:hAnsiTheme="majorHAnsi"/>
        <w:color w:val="FFFFFF" w:themeColor="background1"/>
      </w:rPr>
      <w:t>2</w:t>
    </w:r>
    <w:r w:rsidR="00164A08">
      <w:rPr>
        <w:rFonts w:asciiTheme="majorHAnsi" w:hAnsiTheme="majorHAnsi"/>
        <w:color w:val="FFFFFF" w:themeColor="background1"/>
      </w:rPr>
      <w:t>1</w:t>
    </w:r>
    <w:r w:rsidR="00CA01E7">
      <w:rPr>
        <w:rFonts w:asciiTheme="majorHAnsi" w:hAnsiTheme="majorHAnsi"/>
        <w:color w:val="FFFFFF" w:themeColor="background1"/>
      </w:rPr>
      <w:t xml:space="preserve"> September </w:t>
    </w:r>
    <w:r w:rsidR="00AB6157" w:rsidRPr="005B4BE0">
      <w:rPr>
        <w:rFonts w:asciiTheme="majorHAnsi" w:hAnsiTheme="majorHAnsi"/>
        <w:color w:val="FFFFFF" w:themeColor="background1"/>
      </w:rPr>
      <w:t>20</w:t>
    </w:r>
    <w:r w:rsidR="006B391B" w:rsidRPr="005B4BE0">
      <w:rPr>
        <w:rFonts w:asciiTheme="majorHAnsi" w:hAnsiTheme="majorHAnsi"/>
        <w:color w:val="FFFFFF" w:themeColor="background1"/>
      </w:rPr>
      <w:t>21</w:t>
    </w:r>
    <w:r w:rsidR="00FF6930" w:rsidRPr="005B4BE0">
      <w:rPr>
        <w:rFonts w:asciiTheme="majorHAnsi" w:hAnsiTheme="majorHAnsi"/>
        <w:color w:val="FFFFFF" w:themeColor="background1"/>
      </w:rPr>
      <w:t xml:space="preserve"> </w:t>
    </w:r>
    <w:r w:rsidR="006B391B" w:rsidRPr="005B4BE0">
      <w:rPr>
        <w:rFonts w:asciiTheme="majorHAnsi" w:hAnsiTheme="majorHAnsi"/>
        <w:color w:val="FFFFFF" w:themeColor="background1"/>
      </w:rPr>
      <w:t xml:space="preserve">| </w:t>
    </w:r>
    <w:hyperlink r:id="rId1" w:tgtFrame="_blank" w:history="1">
      <w:r w:rsidR="006B391B" w:rsidRPr="005B4BE0">
        <w:rPr>
          <w:rFonts w:asciiTheme="majorHAnsi" w:hAnsiTheme="majorHAnsi"/>
          <w:color w:val="FFFFFF" w:themeColor="background1"/>
        </w:rPr>
        <w:t>ESMA</w:t>
      </w:r>
    </w:hyperlink>
    <w:r w:rsidR="000D106E">
      <w:rPr>
        <w:rFonts w:asciiTheme="majorHAnsi" w:hAnsiTheme="majorHAnsi"/>
        <w:color w:val="FFFFFF" w:themeColor="background1"/>
      </w:rPr>
      <w:t>70-156-</w:t>
    </w:r>
    <w:r w:rsidR="00365593">
      <w:rPr>
        <w:rFonts w:asciiTheme="majorHAnsi" w:hAnsiTheme="majorHAnsi"/>
        <w:color w:val="FFFFFF" w:themeColor="background1"/>
      </w:rPr>
      <w:t>4948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Pieddepag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8AA0" w14:textId="77777777" w:rsidR="007E5302" w:rsidRDefault="007E5302" w:rsidP="007E7997">
      <w:r>
        <w:separator/>
      </w:r>
    </w:p>
  </w:footnote>
  <w:footnote w:type="continuationSeparator" w:id="0">
    <w:p w14:paraId="2FDA88B2" w14:textId="77777777" w:rsidR="007E5302" w:rsidRDefault="007E5302" w:rsidP="007E7997">
      <w:r>
        <w:continuationSeparator/>
      </w:r>
    </w:p>
  </w:footnote>
  <w:footnote w:type="continuationNotice" w:id="1">
    <w:p w14:paraId="351236EB" w14:textId="77777777" w:rsidR="007E5302" w:rsidRDefault="007E53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En-tte"/>
    </w:pPr>
  </w:p>
  <w:p w14:paraId="59FA3C9D" w14:textId="77777777" w:rsidR="00E36813" w:rsidRDefault="00E368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7777777" w:rsidR="00E36813" w:rsidRDefault="00E36813">
    <w:pPr>
      <w:pStyle w:val="En-tte"/>
    </w:pPr>
    <w:r>
      <w:rPr>
        <w:noProof/>
      </w:rPr>
      <w:drawing>
        <wp:anchor distT="0" distB="0" distL="114300" distR="114300" simplePos="0" relativeHeight="25165824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En-tte"/>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80C69"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1E4219F2" w:rsidR="00E36813" w:rsidRPr="00D13661" w:rsidRDefault="00E36813" w:rsidP="00B50534">
    <w:pPr>
      <w:pStyle w:val="En-tt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En-tte"/>
      <w:jc w:val="right"/>
      <w:rPr>
        <w:color w:val="2F5496" w:themeColor="accent5" w:themeShade="BF"/>
        <w:sz w:val="20"/>
      </w:rPr>
    </w:pPr>
  </w:p>
  <w:p w14:paraId="5EAB6EC6" w14:textId="77777777" w:rsidR="00E36813" w:rsidRPr="00B50534" w:rsidRDefault="00E36813" w:rsidP="00B50534">
    <w:pPr>
      <w:pStyle w:val="En-tt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125DB"/>
    <w:multiLevelType w:val="hybridMultilevel"/>
    <w:tmpl w:val="BD5C1D02"/>
    <w:lvl w:ilvl="0" w:tplc="5E5C7EFA">
      <w:start w:val="1"/>
      <w:numFmt w:val="bullet"/>
      <w:pStyle w:val="Titre3"/>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Paragraphedeliste"/>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BA944B8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Titre1"/>
      <w:lvlText w:val="%1."/>
      <w:lvlJc w:val="righ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6A64B0"/>
    <w:multiLevelType w:val="hybridMultilevel"/>
    <w:tmpl w:val="D70ED7D4"/>
    <w:lvl w:ilvl="0" w:tplc="7AF446DC">
      <w:start w:val="1"/>
      <w:numFmt w:val="decimal"/>
      <w:pStyle w:val="AMAFI1"/>
      <w:lvlText w:val="%1."/>
      <w:lvlJc w:val="center"/>
      <w:pPr>
        <w:ind w:left="720" w:hanging="360"/>
      </w:pPr>
      <w:rPr>
        <w:b/>
        <w:bCs w:val="0"/>
        <w:i w:val="0"/>
        <w:iCs w:val="0"/>
        <w:caps w:val="0"/>
        <w:smallCaps w:val="0"/>
        <w:strike w:val="0"/>
        <w:dstrike w:val="0"/>
        <w:noProof w:val="0"/>
        <w:vanish w:val="0"/>
        <w:color w:val="2E74B5" w:themeColor="accent1" w:themeShade="B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3"/>
  </w:num>
  <w:num w:numId="3">
    <w:abstractNumId w:val="22"/>
  </w:num>
  <w:num w:numId="4">
    <w:abstractNumId w:val="4"/>
  </w:num>
  <w:num w:numId="5">
    <w:abstractNumId w:val="13"/>
  </w:num>
  <w:num w:numId="6">
    <w:abstractNumId w:val="24"/>
  </w:num>
  <w:num w:numId="7">
    <w:abstractNumId w:val="12"/>
  </w:num>
  <w:num w:numId="8">
    <w:abstractNumId w:val="6"/>
  </w:num>
  <w:num w:numId="9">
    <w:abstractNumId w:val="9"/>
  </w:num>
  <w:num w:numId="10">
    <w:abstractNumId w:val="8"/>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9"/>
  </w:num>
  <w:num w:numId="16">
    <w:abstractNumId w:val="2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4"/>
  </w:num>
  <w:num w:numId="20">
    <w:abstractNumId w:val="11"/>
  </w:num>
  <w:num w:numId="21">
    <w:abstractNumId w:val="21"/>
  </w:num>
  <w:num w:numId="22">
    <w:abstractNumId w:val="14"/>
  </w:num>
  <w:num w:numId="23">
    <w:abstractNumId w:val="18"/>
  </w:num>
  <w:num w:numId="24">
    <w:abstractNumId w:val="0"/>
  </w:num>
  <w:num w:numId="25">
    <w:abstractNumId w:val="17"/>
  </w:num>
  <w:num w:numId="26">
    <w:abstractNumId w:val="15"/>
  </w:num>
  <w:num w:numId="27">
    <w:abstractNumId w:val="10"/>
  </w:num>
  <w:num w:numId="28">
    <w:abstractNumId w:val="2"/>
  </w:num>
  <w:num w:numId="29">
    <w:abstractNumId w:val="16"/>
  </w:num>
  <w:num w:numId="30">
    <w:abstractNumId w:val="5"/>
  </w:num>
  <w:num w:numId="31">
    <w:abstractNumId w:val="26"/>
  </w:num>
  <w:num w:numId="3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1JC07matORXFsMeb+K84BO/hAq7kjlEcGLKU3qjcg4UUiNg80iAyP9+zD1zDswvsI7BDgl5/xFN1saULdWIBw==" w:salt="xhsGxpMnIXj3NjMHNJuJi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06E"/>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3436"/>
    <w:rsid w:val="001355E6"/>
    <w:rsid w:val="0013644A"/>
    <w:rsid w:val="00140BA6"/>
    <w:rsid w:val="00141946"/>
    <w:rsid w:val="00143CC7"/>
    <w:rsid w:val="00143DCA"/>
    <w:rsid w:val="00144AAD"/>
    <w:rsid w:val="001455E7"/>
    <w:rsid w:val="0014624E"/>
    <w:rsid w:val="001608B2"/>
    <w:rsid w:val="00160FE0"/>
    <w:rsid w:val="0016360A"/>
    <w:rsid w:val="00163AB3"/>
    <w:rsid w:val="00164A08"/>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702"/>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2F7820"/>
    <w:rsid w:val="003013B7"/>
    <w:rsid w:val="00301993"/>
    <w:rsid w:val="00301E55"/>
    <w:rsid w:val="00307397"/>
    <w:rsid w:val="003101EF"/>
    <w:rsid w:val="00312BDD"/>
    <w:rsid w:val="00314117"/>
    <w:rsid w:val="003153C8"/>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3C4B"/>
    <w:rsid w:val="003545A6"/>
    <w:rsid w:val="00356C60"/>
    <w:rsid w:val="003578D1"/>
    <w:rsid w:val="00363639"/>
    <w:rsid w:val="00365593"/>
    <w:rsid w:val="00366D42"/>
    <w:rsid w:val="0036748C"/>
    <w:rsid w:val="00372615"/>
    <w:rsid w:val="00372EA3"/>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1986"/>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152"/>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626"/>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9ED"/>
    <w:rsid w:val="00591AAC"/>
    <w:rsid w:val="00595F08"/>
    <w:rsid w:val="00595FBE"/>
    <w:rsid w:val="005A1C55"/>
    <w:rsid w:val="005B169D"/>
    <w:rsid w:val="005B467C"/>
    <w:rsid w:val="005B4ACA"/>
    <w:rsid w:val="005B4BE0"/>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370F"/>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391B"/>
    <w:rsid w:val="006B79E0"/>
    <w:rsid w:val="006C0B2D"/>
    <w:rsid w:val="006C1633"/>
    <w:rsid w:val="006C486C"/>
    <w:rsid w:val="006C5BF8"/>
    <w:rsid w:val="006C7CCB"/>
    <w:rsid w:val="006D6009"/>
    <w:rsid w:val="006D7D41"/>
    <w:rsid w:val="006E2F4D"/>
    <w:rsid w:val="006E3FDD"/>
    <w:rsid w:val="006E58FB"/>
    <w:rsid w:val="006E5D82"/>
    <w:rsid w:val="006E66B2"/>
    <w:rsid w:val="006E6C50"/>
    <w:rsid w:val="006E7A69"/>
    <w:rsid w:val="006E7DE4"/>
    <w:rsid w:val="006F1733"/>
    <w:rsid w:val="006F53E8"/>
    <w:rsid w:val="006F5FB8"/>
    <w:rsid w:val="0070017B"/>
    <w:rsid w:val="0070098E"/>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1B1"/>
    <w:rsid w:val="00750210"/>
    <w:rsid w:val="00753395"/>
    <w:rsid w:val="00754B57"/>
    <w:rsid w:val="0075671D"/>
    <w:rsid w:val="0076002F"/>
    <w:rsid w:val="0076038B"/>
    <w:rsid w:val="00761744"/>
    <w:rsid w:val="00764582"/>
    <w:rsid w:val="00765FA3"/>
    <w:rsid w:val="00766961"/>
    <w:rsid w:val="00766B5A"/>
    <w:rsid w:val="00770C33"/>
    <w:rsid w:val="007741C3"/>
    <w:rsid w:val="007779DF"/>
    <w:rsid w:val="00777BE0"/>
    <w:rsid w:val="00780923"/>
    <w:rsid w:val="00780ACE"/>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02"/>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1993"/>
    <w:rsid w:val="008F3386"/>
    <w:rsid w:val="008F3AD9"/>
    <w:rsid w:val="008F4642"/>
    <w:rsid w:val="008F4E00"/>
    <w:rsid w:val="008F761D"/>
    <w:rsid w:val="00900D44"/>
    <w:rsid w:val="00902520"/>
    <w:rsid w:val="00906DC4"/>
    <w:rsid w:val="0091457F"/>
    <w:rsid w:val="009145CE"/>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55C"/>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794"/>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01E7"/>
    <w:rsid w:val="00CA112D"/>
    <w:rsid w:val="00CA1F9F"/>
    <w:rsid w:val="00CA2179"/>
    <w:rsid w:val="00CA3D8A"/>
    <w:rsid w:val="00CB4B3E"/>
    <w:rsid w:val="00CB50EF"/>
    <w:rsid w:val="00CB58B0"/>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2884"/>
    <w:rsid w:val="00D039B6"/>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3762"/>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299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itre1">
    <w:name w:val="heading 1"/>
    <w:basedOn w:val="Normal"/>
    <w:next w:val="Normal"/>
    <w:link w:val="Titre1C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re3">
    <w:name w:val="heading 3"/>
    <w:basedOn w:val="Normal"/>
    <w:next w:val="Normal"/>
    <w:link w:val="Titre3Car"/>
    <w:uiPriority w:val="9"/>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re4">
    <w:name w:val="heading 4"/>
    <w:basedOn w:val="Normal"/>
    <w:next w:val="Normal"/>
    <w:link w:val="Titre4C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re6">
    <w:name w:val="heading 6"/>
    <w:basedOn w:val="Normal"/>
    <w:next w:val="Normal"/>
    <w:link w:val="Titre6C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rsid w:val="00020300"/>
    <w:rPr>
      <w:rFonts w:asciiTheme="majorHAnsi" w:eastAsiaTheme="majorEastAsia" w:hAnsiTheme="majorHAnsi" w:cstheme="majorBidi"/>
      <w:sz w:val="24"/>
      <w:szCs w:val="22"/>
      <w:lang w:val="en-GB" w:eastAsia="en-GB"/>
    </w:rPr>
  </w:style>
  <w:style w:type="character" w:customStyle="1" w:styleId="Titre3Car">
    <w:name w:val="Titre 3 Car"/>
    <w:basedOn w:val="Policepardfaut"/>
    <w:link w:val="Titre3"/>
    <w:rsid w:val="00020300"/>
    <w:rPr>
      <w:rFonts w:asciiTheme="majorHAnsi" w:eastAsiaTheme="majorEastAsia" w:hAnsiTheme="majorHAnsi" w:cstheme="majorBidi"/>
      <w:sz w:val="24"/>
      <w:szCs w:val="24"/>
      <w:lang w:val="en-GB" w:eastAsia="en-GB"/>
    </w:rPr>
  </w:style>
  <w:style w:type="character" w:customStyle="1" w:styleId="Titre1Car">
    <w:name w:val="Titre 1 Car"/>
    <w:basedOn w:val="Policepardfaut"/>
    <w:link w:val="Titre1"/>
    <w:rsid w:val="00FE0BD8"/>
    <w:rPr>
      <w:rFonts w:asciiTheme="majorHAnsi" w:eastAsiaTheme="majorEastAsia" w:hAnsiTheme="majorHAnsi" w:cstheme="majorBidi"/>
      <w:b/>
      <w:sz w:val="32"/>
      <w:szCs w:val="32"/>
      <w:lang w:val="en-GB" w:eastAsia="en-GB"/>
    </w:rPr>
  </w:style>
  <w:style w:type="character" w:customStyle="1" w:styleId="Titre2Car">
    <w:name w:val="Titre 2 Car"/>
    <w:basedOn w:val="Policepardfaut"/>
    <w:link w:val="Titre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autoRedefine/>
    <w:rsid w:val="002574D1"/>
    <w:pPr>
      <w:numPr>
        <w:numId w:val="2"/>
      </w:numPr>
    </w:pPr>
    <w:rPr>
      <w:b/>
      <w:sz w:val="28"/>
    </w:rPr>
  </w:style>
  <w:style w:type="character" w:customStyle="1" w:styleId="Title1Char">
    <w:name w:val="Title 1 Char"/>
    <w:basedOn w:val="Policepardfaut"/>
    <w:link w:val="Title1"/>
    <w:rsid w:val="003C4EB5"/>
    <w:rPr>
      <w:rFonts w:eastAsiaTheme="majorEastAsia" w:cstheme="minorHAnsi"/>
      <w:b/>
      <w:sz w:val="28"/>
      <w:szCs w:val="22"/>
      <w:lang w:val="en-GB" w:eastAsia="en-GB"/>
    </w:rPr>
  </w:style>
  <w:style w:type="paragraph" w:styleId="Paragraphedeliste">
    <w:name w:val="List Paragraph"/>
    <w:aliases w:val="Paragraphe EI,Paragraphe de liste1,EC,Normal Nivel 1,List Paragraph Main,List first level,List Paragraph_Sections"/>
    <w:basedOn w:val="Normal"/>
    <w:link w:val="ParagraphedelisteC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phedeliste"/>
    <w:link w:val="Title3Char"/>
    <w:autoRedefine/>
    <w:rsid w:val="002574D1"/>
    <w:pPr>
      <w:numPr>
        <w:ilvl w:val="3"/>
        <w:numId w:val="2"/>
      </w:numPr>
    </w:pPr>
  </w:style>
  <w:style w:type="character" w:customStyle="1" w:styleId="Title3Char">
    <w:name w:val="Title 3 Char"/>
    <w:basedOn w:val="Policepardfau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Policepardfau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sz w:val="24"/>
      <w:szCs w:val="22"/>
      <w:lang w:val="en-GB" w:eastAsia="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rsid w:val="00AA054E"/>
    <w:rPr>
      <w:rFonts w:asciiTheme="majorHAnsi" w:eastAsiaTheme="majorEastAsia" w:hAnsiTheme="majorHAnsi" w:cstheme="majorBidi"/>
      <w:i/>
      <w:iCs/>
      <w:color w:val="44546A" w:themeColor="text2"/>
      <w:sz w:val="21"/>
      <w:szCs w:val="21"/>
      <w:lang w:val="en-GB" w:eastAsia="en-GB"/>
    </w:rPr>
  </w:style>
  <w:style w:type="paragraph" w:styleId="Titre">
    <w:name w:val="Title"/>
    <w:basedOn w:val="Normal"/>
    <w:next w:val="Normal"/>
    <w:link w:val="TitreC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reCar">
    <w:name w:val="Titre Car"/>
    <w:basedOn w:val="Policepardfaut"/>
    <w:link w:val="Titr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us-titre">
    <w:name w:val="Subtitle"/>
    <w:basedOn w:val="Normal"/>
    <w:next w:val="Normal"/>
    <w:link w:val="Sous-titreCar"/>
    <w:uiPriority w:val="11"/>
    <w:qFormat/>
    <w:rsid w:val="00366D42"/>
    <w:pPr>
      <w:numPr>
        <w:ilvl w:val="1"/>
      </w:numPr>
    </w:pPr>
    <w:rPr>
      <w:rFonts w:asciiTheme="majorHAnsi" w:eastAsiaTheme="majorEastAsia" w:hAnsiTheme="majorHAnsi" w:cstheme="majorBidi"/>
      <w:b/>
      <w:sz w:val="28"/>
    </w:rPr>
  </w:style>
  <w:style w:type="character" w:customStyle="1" w:styleId="Sous-titreCar">
    <w:name w:val="Sous-titre Car"/>
    <w:basedOn w:val="Policepardfaut"/>
    <w:link w:val="Sous-titre"/>
    <w:uiPriority w:val="11"/>
    <w:rsid w:val="00366D42"/>
    <w:rPr>
      <w:rFonts w:asciiTheme="majorHAnsi" w:eastAsiaTheme="majorEastAsia" w:hAnsiTheme="majorHAnsi" w:cstheme="majorBidi"/>
      <w:b/>
      <w:sz w:val="28"/>
      <w:szCs w:val="24"/>
      <w:lang w:val="en-GB"/>
    </w:rPr>
  </w:style>
  <w:style w:type="character" w:customStyle="1" w:styleId="Titre7Car">
    <w:name w:val="Titre 7 Car"/>
    <w:basedOn w:val="Policepardfaut"/>
    <w:link w:val="Titre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re8Car">
    <w:name w:val="Titre 8 Car"/>
    <w:basedOn w:val="Policepardfaut"/>
    <w:link w:val="Titre8"/>
    <w:rsid w:val="00AA054E"/>
    <w:rPr>
      <w:rFonts w:asciiTheme="majorHAnsi" w:eastAsiaTheme="majorEastAsia" w:hAnsiTheme="majorHAnsi" w:cstheme="majorBidi"/>
      <w:b/>
      <w:bCs/>
      <w:color w:val="44546A" w:themeColor="text2"/>
      <w:sz w:val="24"/>
      <w:szCs w:val="24"/>
      <w:lang w:val="en-GB" w:eastAsia="en-GB"/>
    </w:rPr>
  </w:style>
  <w:style w:type="character" w:customStyle="1" w:styleId="Titre9Car">
    <w:name w:val="Titre 9 Car"/>
    <w:basedOn w:val="Policepardfaut"/>
    <w:link w:val="Titre9"/>
    <w:rsid w:val="00AA054E"/>
    <w:rPr>
      <w:rFonts w:asciiTheme="majorHAnsi" w:eastAsiaTheme="majorEastAsia" w:hAnsiTheme="majorHAnsi" w:cstheme="majorBidi"/>
      <w:b/>
      <w:bCs/>
      <w:i/>
      <w:iCs/>
      <w:color w:val="44546A" w:themeColor="text2"/>
      <w:sz w:val="24"/>
      <w:szCs w:val="24"/>
      <w:lang w:val="en-GB" w:eastAsia="en-GB"/>
    </w:rPr>
  </w:style>
  <w:style w:type="paragraph" w:styleId="Lgende">
    <w:name w:val="caption"/>
    <w:basedOn w:val="Normal"/>
    <w:next w:val="Normal"/>
    <w:uiPriority w:val="35"/>
    <w:semiHidden/>
    <w:unhideWhenUsed/>
    <w:qFormat/>
    <w:rsid w:val="00AA054E"/>
    <w:rPr>
      <w:b/>
      <w:bCs/>
      <w:smallCaps/>
      <w:color w:val="595959"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AA054E"/>
    <w:rPr>
      <w:i/>
      <w:iCs/>
      <w:color w:val="404040" w:themeColor="text1" w:themeTint="BF"/>
    </w:rPr>
  </w:style>
  <w:style w:type="paragraph" w:styleId="Citationintense">
    <w:name w:val="Intense Quote"/>
    <w:basedOn w:val="Normal"/>
    <w:next w:val="Normal"/>
    <w:link w:val="Citationintense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5B9BD5" w:themeColor="accent1"/>
      <w:sz w:val="28"/>
      <w:szCs w:val="28"/>
    </w:rPr>
  </w:style>
  <w:style w:type="character" w:styleId="Accentuationlgre">
    <w:name w:val="Subtle Emphasis"/>
    <w:aliases w:val="Text,Emphase pâle,Diskret betoning"/>
    <w:basedOn w:val="Policepardfaut"/>
    <w:uiPriority w:val="19"/>
    <w:qFormat/>
    <w:rsid w:val="00287C8F"/>
    <w:rPr>
      <w:rFonts w:asciiTheme="majorHAnsi" w:hAnsiTheme="majorHAnsi"/>
      <w:i/>
      <w:iCs/>
      <w:color w:val="auto"/>
      <w:sz w:val="22"/>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404040" w:themeColor="text1" w:themeTint="BF"/>
      <w:u w:val="single" w:color="7F7F7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AA054E"/>
    <w:p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rsid w:val="007E7997"/>
    <w:pPr>
      <w:tabs>
        <w:tab w:val="center" w:pos="4536"/>
        <w:tab w:val="right" w:pos="9072"/>
      </w:tabs>
    </w:pPr>
  </w:style>
  <w:style w:type="character" w:customStyle="1" w:styleId="En-tteCar">
    <w:name w:val="En-tête Car"/>
    <w:basedOn w:val="Policepardfaut"/>
    <w:link w:val="En-tte"/>
    <w:uiPriority w:val="99"/>
    <w:rsid w:val="007E7997"/>
    <w:rPr>
      <w:sz w:val="22"/>
    </w:rPr>
  </w:style>
  <w:style w:type="paragraph" w:styleId="Pieddepage">
    <w:name w:val="footer"/>
    <w:basedOn w:val="Normal"/>
    <w:link w:val="PieddepageCar"/>
    <w:uiPriority w:val="99"/>
    <w:unhideWhenUsed/>
    <w:rsid w:val="007E7997"/>
    <w:pPr>
      <w:tabs>
        <w:tab w:val="center" w:pos="4536"/>
        <w:tab w:val="right" w:pos="9072"/>
      </w:tabs>
    </w:pPr>
  </w:style>
  <w:style w:type="character" w:customStyle="1" w:styleId="PieddepageCar">
    <w:name w:val="Pied de page Car"/>
    <w:basedOn w:val="Policepardfaut"/>
    <w:link w:val="Pieddepage"/>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M1">
    <w:name w:val="toc 1"/>
    <w:basedOn w:val="Normal"/>
    <w:next w:val="Normal"/>
    <w:autoRedefine/>
    <w:uiPriority w:val="39"/>
    <w:unhideWhenUsed/>
    <w:rsid w:val="00B81A44"/>
    <w:pPr>
      <w:tabs>
        <w:tab w:val="left" w:pos="440"/>
        <w:tab w:val="right" w:leader="dot" w:pos="9062"/>
      </w:tabs>
      <w:spacing w:after="100"/>
    </w:pPr>
  </w:style>
  <w:style w:type="paragraph" w:styleId="TM2">
    <w:name w:val="toc 2"/>
    <w:basedOn w:val="Normal"/>
    <w:next w:val="Normal"/>
    <w:autoRedefine/>
    <w:uiPriority w:val="39"/>
    <w:unhideWhenUsed/>
    <w:rsid w:val="00BC422A"/>
    <w:pPr>
      <w:spacing w:after="100"/>
      <w:ind w:left="220"/>
    </w:pPr>
  </w:style>
  <w:style w:type="paragraph" w:styleId="TM3">
    <w:name w:val="toc 3"/>
    <w:basedOn w:val="Normal"/>
    <w:next w:val="Normal"/>
    <w:autoRedefine/>
    <w:uiPriority w:val="39"/>
    <w:unhideWhenUsed/>
    <w:rsid w:val="00BC422A"/>
    <w:pPr>
      <w:spacing w:after="100"/>
      <w:ind w:left="440"/>
    </w:pPr>
  </w:style>
  <w:style w:type="character" w:styleId="Lienhypertexte">
    <w:name w:val="Hyperlink"/>
    <w:basedOn w:val="Policepardfau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5B4BE0"/>
    <w:pPr>
      <w:contextualSpacing/>
      <w:jc w:val="both"/>
    </w:pPr>
    <w:rPr>
      <w:rFonts w:asciiTheme="minorHAnsi" w:hAnsiTheme="minorHAnsi" w:cstheme="minorHAnsi"/>
      <w:b/>
      <w:bCs/>
      <w:sz w:val="22"/>
      <w:szCs w:val="22"/>
    </w:rPr>
  </w:style>
  <w:style w:type="character" w:customStyle="1" w:styleId="QuestionstyleChar">
    <w:name w:val="Question style Char"/>
    <w:basedOn w:val="Policepardfaut"/>
    <w:link w:val="Questionstyle"/>
    <w:rsid w:val="005B4BE0"/>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semiHidden/>
    <w:unhideWhenUsed/>
    <w:qFormat/>
    <w:rsid w:val="006F53E8"/>
    <w:rPr>
      <w:sz w:val="16"/>
    </w:rPr>
  </w:style>
  <w:style w:type="character" w:customStyle="1" w:styleId="NotedebasdepageCar">
    <w:name w:val="Note de bas de page Car"/>
    <w:basedOn w:val="Policepardfaut"/>
    <w:link w:val="Notedebasdepage"/>
    <w:uiPriority w:val="99"/>
    <w:semiHidden/>
    <w:rsid w:val="006F53E8"/>
    <w:rPr>
      <w:sz w:val="16"/>
      <w:lang w:val="en-GB"/>
    </w:rPr>
  </w:style>
  <w:style w:type="character" w:styleId="Appelnotedebasdep">
    <w:name w:val="footnote reference"/>
    <w:aliases w:val="SUPERS,Footnote reference number,Footnote symbol,note TESI,-E Fußnotenzeichen,number,BVI fnr,Footnote Reference Superscript,(Footnote Reference),EN Footnote Reference,Voetnootverwijzing,Times 10 Point,Exposant 3 Poi,16 Point"/>
    <w:basedOn w:val="Policepardfaut"/>
    <w:uiPriority w:val="99"/>
    <w:unhideWhenUsed/>
    <w:qFormat/>
    <w:rsid w:val="00A91D91"/>
    <w:rPr>
      <w:rFonts w:asciiTheme="majorHAnsi" w:hAnsiTheme="majorHAnsi"/>
      <w:sz w:val="16"/>
      <w:vertAlign w:val="superscript"/>
    </w:rPr>
  </w:style>
  <w:style w:type="paragraph" w:customStyle="1" w:styleId="Footnote">
    <w:name w:val="Footnote"/>
    <w:basedOn w:val="Notedebasdepage"/>
    <w:link w:val="FootnoteChar"/>
    <w:rsid w:val="00B50534"/>
    <w:rPr>
      <w:lang w:val="nl-BE"/>
    </w:rPr>
  </w:style>
  <w:style w:type="character" w:customStyle="1" w:styleId="FootnoteChar">
    <w:name w:val="Footnote Char"/>
    <w:basedOn w:val="NotedebasdepageCar"/>
    <w:link w:val="Footnote"/>
    <w:rsid w:val="00B50534"/>
    <w:rPr>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Textedebulles">
    <w:name w:val="Balloon Text"/>
    <w:basedOn w:val="Normal"/>
    <w:link w:val="TextedebullesCar"/>
    <w:uiPriority w:val="99"/>
    <w:semiHidden/>
    <w:unhideWhenUsed/>
    <w:rsid w:val="003C167E"/>
    <w:rPr>
      <w:rFonts w:ascii="Tahoma" w:hAnsi="Tahoma" w:cs="Tahoma"/>
      <w:sz w:val="16"/>
      <w:szCs w:val="16"/>
    </w:rPr>
  </w:style>
  <w:style w:type="character" w:customStyle="1" w:styleId="TextedebullesCar">
    <w:name w:val="Texte de bulles Car"/>
    <w:basedOn w:val="Policepardfaut"/>
    <w:link w:val="Textedebulles"/>
    <w:uiPriority w:val="99"/>
    <w:semiHidden/>
    <w:rsid w:val="003C167E"/>
    <w:rPr>
      <w:rFonts w:ascii="Tahoma" w:hAnsi="Tahoma" w:cs="Tahoma"/>
      <w:sz w:val="16"/>
      <w:szCs w:val="16"/>
      <w:lang w:val="en-GB"/>
    </w:rPr>
  </w:style>
  <w:style w:type="character" w:styleId="Marquedecommentaire">
    <w:name w:val="annotation reference"/>
    <w:basedOn w:val="Policepardfaut"/>
    <w:uiPriority w:val="99"/>
    <w:semiHidden/>
    <w:unhideWhenUsed/>
    <w:rsid w:val="00FA2400"/>
    <w:rPr>
      <w:sz w:val="16"/>
      <w:szCs w:val="16"/>
    </w:rPr>
  </w:style>
  <w:style w:type="paragraph" w:styleId="Commentaire">
    <w:name w:val="annotation text"/>
    <w:basedOn w:val="Normal"/>
    <w:link w:val="CommentaireCar"/>
    <w:uiPriority w:val="99"/>
    <w:unhideWhenUsed/>
    <w:rsid w:val="00FA2400"/>
    <w:rPr>
      <w:sz w:val="20"/>
    </w:rPr>
  </w:style>
  <w:style w:type="character" w:customStyle="1" w:styleId="CommentaireCar">
    <w:name w:val="Commentaire Car"/>
    <w:basedOn w:val="Policepardfaut"/>
    <w:link w:val="Commentaire"/>
    <w:uiPriority w:val="99"/>
    <w:rsid w:val="00FA2400"/>
    <w:rPr>
      <w:lang w:val="en-GB"/>
    </w:rPr>
  </w:style>
  <w:style w:type="paragraph" w:styleId="Objetducommentaire">
    <w:name w:val="annotation subject"/>
    <w:basedOn w:val="Commentaire"/>
    <w:next w:val="Commentaire"/>
    <w:link w:val="ObjetducommentaireCar"/>
    <w:uiPriority w:val="99"/>
    <w:semiHidden/>
    <w:unhideWhenUsed/>
    <w:rsid w:val="00FA2400"/>
    <w:rPr>
      <w:b/>
      <w:bCs/>
    </w:rPr>
  </w:style>
  <w:style w:type="character" w:customStyle="1" w:styleId="ObjetducommentaireCar">
    <w:name w:val="Objet du commentaire Car"/>
    <w:basedOn w:val="CommentaireCar"/>
    <w:link w:val="Objetducommentaire"/>
    <w:uiPriority w:val="99"/>
    <w:semiHidden/>
    <w:rsid w:val="00FA2400"/>
    <w:rPr>
      <w:b/>
      <w:bCs/>
      <w:lang w:val="en-GB"/>
    </w:rPr>
  </w:style>
  <w:style w:type="paragraph" w:styleId="R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Lienhypertextesuivivisit">
    <w:name w:val="FollowedHyperlink"/>
    <w:basedOn w:val="Policepardfau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Policepardfau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EI Car,Paragraphe de liste1 Car,EC Car,Normal Nivel 1 Car,List Paragraph Main Car,List first level Car,List Paragraph_Sections Car"/>
    <w:basedOn w:val="Policepardfaut"/>
    <w:link w:val="Paragraphedeliste"/>
    <w:uiPriority w:val="34"/>
    <w:rsid w:val="00695AF2"/>
    <w:rPr>
      <w:rFonts w:eastAsiaTheme="majorEastAsia" w:cstheme="minorHAnsi"/>
      <w:sz w:val="22"/>
      <w:szCs w:val="22"/>
      <w:lang w:val="en-GB" w:eastAsia="en-GB"/>
    </w:rPr>
  </w:style>
  <w:style w:type="table" w:customStyle="1" w:styleId="TableGrid3">
    <w:name w:val="Table Grid3"/>
    <w:basedOn w:val="Tableau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3395"/>
    <w:pPr>
      <w:autoSpaceDE w:val="0"/>
      <w:autoSpaceDN w:val="0"/>
      <w:adjustRightInd w:val="0"/>
      <w:spacing w:after="0" w:line="240" w:lineRule="auto"/>
    </w:pPr>
    <w:rPr>
      <w:rFonts w:ascii="Arial" w:eastAsia="Times New Roman" w:hAnsi="Arial" w:cs="Arial"/>
      <w:color w:val="000000"/>
      <w:sz w:val="24"/>
      <w:szCs w:val="24"/>
      <w:lang w:val="fr-FR" w:eastAsia="fr-FR"/>
    </w:rPr>
  </w:style>
  <w:style w:type="paragraph" w:customStyle="1" w:styleId="AMAFI1">
    <w:name w:val="AMAFI 1"/>
    <w:basedOn w:val="Normal"/>
    <w:next w:val="Normal"/>
    <w:qFormat/>
    <w:rsid w:val="00753395"/>
    <w:pPr>
      <w:numPr>
        <w:numId w:val="31"/>
      </w:numPr>
      <w:tabs>
        <w:tab w:val="left" w:pos="851"/>
      </w:tabs>
      <w:spacing w:line="240" w:lineRule="atLeast"/>
      <w:ind w:left="0" w:firstLine="284"/>
      <w:jc w:val="both"/>
    </w:pPr>
    <w:rPr>
      <w:rFonts w:ascii="Arial" w:hAnsi="Arial" w:cs="Arial"/>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FID-MiFIR Policy Document" ma:contentTypeID="0x01010001BD15C3986B91498E0AE644B715B9EE010D00757D222C6B0DA241B5F74437644107D4" ma:contentTypeVersion="17" ma:contentTypeDescription="" ma:contentTypeScope="" ma:versionID="fc4bd4ba362cf918d1179f3a2e83c04b">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3003d48452956bc2640f7e7e22cf8f2"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ESMA70-156-4948</_dlc_DocId>
    <TaxCatchAll xmlns="20fbe147-bbda-4e53-b6b1-7e8bbff3fe19">
      <Value>12</Value>
      <Value>5</Value>
      <Value>14</Value>
      <Value>876</Value>
      <Value>875</Value>
    </TaxCatchAll>
    <_dlc_DocIdUrl xmlns="20fbe147-bbda-4e53-b6b1-7e8bbff3fe19">
      <Url>https://sherpa.esma.europa.eu/sites/MKT/SMK/_layouts/15/DocIdRedir.aspx?ID=ESMA70-156-4948</Url>
      <Description>ESMA70-156-4948</Description>
    </_dlc_DocIdUrl>
    <Year xmlns="20fbe147-bbda-4e53-b6b1-7e8bbff3fe19">2019</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Short Selling</TermName>
          <TermId xmlns="http://schemas.microsoft.com/office/infopath/2007/PartnerControls">2939c3be-1a50-4c12-a48b-74134600fbc7</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Short Selling - SSR Review 2020-2021</TermName>
          <TermId xmlns="http://schemas.microsoft.com/office/infopath/2007/PartnerControls">0917f7d7-a7fd-4ff8-ab54-aaf70dad809a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4F26CC-5B20-47F9-A2FD-E585165E0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5.xml><?xml version="1.0" encoding="utf-8"?>
<ds:datastoreItem xmlns:ds="http://schemas.openxmlformats.org/officeDocument/2006/customXml" ds:itemID="{CC9D69CF-149B-4D2F-89A2-279037685A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5</TotalTime>
  <Pages>8</Pages>
  <Words>1979</Words>
  <Characters>10887</Characters>
  <Application>Microsoft Office Word</Application>
  <DocSecurity>8</DocSecurity>
  <Lines>90</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AMAFI</cp:lastModifiedBy>
  <cp:revision>2</cp:revision>
  <cp:lastPrinted>2017-07-24T14:47:00Z</cp:lastPrinted>
  <dcterms:created xsi:type="dcterms:W3CDTF">2021-11-19T15:46:00Z</dcterms:created>
  <dcterms:modified xsi:type="dcterms:W3CDTF">2021-11-19T15:46:00Z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b7cf3344-e93a-4bd8-9145-6cfc89f4c76b</vt:lpwstr>
  </property>
  <property fmtid="{D5CDD505-2E9C-101B-9397-08002B2CF9AE}" pid="6" name="DocumentType">
    <vt:lpwstr>12;#Report|78753201-1e9e-4a21-a088-6ff602b5c999</vt:lpwstr>
  </property>
  <property fmtid="{D5CDD505-2E9C-101B-9397-08002B2CF9AE}" pid="7" name="Topic">
    <vt:lpwstr>875;#Short Selling|2939c3be-1a50-4c12-a48b-74134600fbc7</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876;#Short Selling - SSR Review 2020-2021|0917f7d7-a7fd-4ff8-ab54-aaf70dad809a</vt:lpwstr>
  </property>
  <property fmtid="{D5CDD505-2E9C-101B-9397-08002B2CF9AE}" pid="18" name="TeamTopic">
    <vt:lpwstr>87;#Other Work|f1a52b52-917d-42ef-9667-945839604bb2</vt:lpwstr>
  </property>
</Properties>
</file>