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2D12F9A3" w:rsidR="00C2682A" w:rsidRPr="00AB6D88" w:rsidRDefault="00FF68D3" w:rsidP="00FA5524">
                <w:pPr>
                  <w:rPr>
                    <w:rStyle w:val="PlaceholderText"/>
                    <w:rFonts w:cs="Arial"/>
                  </w:rPr>
                </w:pPr>
                <w:r>
                  <w:rPr>
                    <w:rStyle w:val="PlaceholderText"/>
                    <w:rFonts w:cs="Arial"/>
                  </w:rPr>
                  <w:t>London Stock Exchange Group (LSEG)</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A50E0DD" w:rsidR="00C2682A" w:rsidRPr="00AB6D88" w:rsidRDefault="00207244"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68D3">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57AC1A36" w:rsidR="00C2682A" w:rsidRPr="00AB6D88" w:rsidRDefault="00FF68D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A99D7C7" w:rsidR="00C2682A" w:rsidRPr="00AB6D88" w:rsidRDefault="00FF68D3" w:rsidP="00FA5524">
                <w:pPr>
                  <w:rPr>
                    <w:rFonts w:cs="Arial"/>
                  </w:rPr>
                </w:pPr>
                <w:r>
                  <w:rPr>
                    <w:rFonts w:cs="Arial"/>
                  </w:rPr>
                  <w:t>UK</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24FE122F" w14:textId="77777777" w:rsidR="00E40750" w:rsidRDefault="00E40750" w:rsidP="00E40750">
      <w:pPr>
        <w:jc w:val="both"/>
        <w:rPr>
          <w:sz w:val="22"/>
          <w:szCs w:val="22"/>
        </w:rPr>
      </w:pPr>
      <w:permStart w:id="1454525006" w:edGrp="everyone"/>
      <w:r w:rsidRPr="00C3713F">
        <w:rPr>
          <w:sz w:val="22"/>
          <w:szCs w:val="22"/>
        </w:rPr>
        <w:t xml:space="preserve">LSEG (London Stock Exchange Group) is a diversified global financial markets infrastructure and data business. With extensive experience, deep knowledge, and worldwide presence across financial markets, we enable businesses and economies around the world to fund innovation, manage risk and create jobs. </w:t>
      </w:r>
    </w:p>
    <w:p w14:paraId="420C518B" w14:textId="77777777" w:rsidR="00E40750" w:rsidRPr="00C3713F" w:rsidRDefault="00E40750" w:rsidP="00E40750">
      <w:pPr>
        <w:jc w:val="both"/>
        <w:rPr>
          <w:sz w:val="22"/>
          <w:szCs w:val="22"/>
        </w:rPr>
      </w:pPr>
    </w:p>
    <w:p w14:paraId="6DA10B5F" w14:textId="77777777" w:rsidR="00E40750" w:rsidRDefault="00E40750" w:rsidP="00E40750">
      <w:pPr>
        <w:jc w:val="both"/>
        <w:rPr>
          <w:sz w:val="22"/>
          <w:szCs w:val="22"/>
        </w:rPr>
      </w:pPr>
      <w:r w:rsidRPr="2465B373">
        <w:rPr>
          <w:sz w:val="22"/>
          <w:szCs w:val="22"/>
        </w:rPr>
        <w:t>We operate a broad range of international equity, E</w:t>
      </w:r>
      <w:r>
        <w:rPr>
          <w:sz w:val="22"/>
          <w:szCs w:val="22"/>
        </w:rPr>
        <w:t xml:space="preserve">xchange </w:t>
      </w:r>
      <w:r w:rsidRPr="2465B373">
        <w:rPr>
          <w:sz w:val="22"/>
          <w:szCs w:val="22"/>
        </w:rPr>
        <w:t>T</w:t>
      </w:r>
      <w:r>
        <w:rPr>
          <w:sz w:val="22"/>
          <w:szCs w:val="22"/>
        </w:rPr>
        <w:t xml:space="preserve">raded </w:t>
      </w:r>
      <w:r w:rsidRPr="2465B373">
        <w:rPr>
          <w:sz w:val="22"/>
          <w:szCs w:val="22"/>
        </w:rPr>
        <w:t>F</w:t>
      </w:r>
      <w:r>
        <w:rPr>
          <w:sz w:val="22"/>
          <w:szCs w:val="22"/>
        </w:rPr>
        <w:t>unds (ETFs)</w:t>
      </w:r>
      <w:r w:rsidRPr="2465B373">
        <w:rPr>
          <w:sz w:val="22"/>
          <w:szCs w:val="22"/>
        </w:rPr>
        <w:t xml:space="preserve">, bond and derivatives markets, including </w:t>
      </w:r>
      <w:r>
        <w:rPr>
          <w:sz w:val="22"/>
          <w:szCs w:val="22"/>
        </w:rPr>
        <w:t xml:space="preserve">the </w:t>
      </w:r>
      <w:r w:rsidRPr="2465B373">
        <w:rPr>
          <w:sz w:val="22"/>
          <w:szCs w:val="22"/>
        </w:rPr>
        <w:t>London Stock Exchange</w:t>
      </w:r>
      <w:r>
        <w:rPr>
          <w:sz w:val="22"/>
          <w:szCs w:val="22"/>
        </w:rPr>
        <w:t>’s Main Market</w:t>
      </w:r>
      <w:r w:rsidRPr="2465B373">
        <w:rPr>
          <w:sz w:val="22"/>
          <w:szCs w:val="22"/>
        </w:rPr>
        <w:t xml:space="preserve"> and AIM. </w:t>
      </w:r>
    </w:p>
    <w:p w14:paraId="563E3F76" w14:textId="77777777" w:rsidR="00E40750" w:rsidRDefault="00E40750" w:rsidP="00E40750">
      <w:pPr>
        <w:jc w:val="both"/>
        <w:rPr>
          <w:sz w:val="22"/>
          <w:szCs w:val="22"/>
        </w:rPr>
      </w:pPr>
    </w:p>
    <w:p w14:paraId="2D1566C3" w14:textId="77777777" w:rsidR="00E40750" w:rsidRDefault="00E40750" w:rsidP="00E40750">
      <w:pPr>
        <w:jc w:val="both"/>
        <w:rPr>
          <w:sz w:val="22"/>
          <w:szCs w:val="22"/>
        </w:rPr>
      </w:pPr>
      <w:r w:rsidRPr="00C3713F">
        <w:rPr>
          <w:sz w:val="22"/>
          <w:szCs w:val="22"/>
        </w:rPr>
        <w:t>LSEG</w:t>
      </w:r>
      <w:r>
        <w:rPr>
          <w:sz w:val="22"/>
          <w:szCs w:val="22"/>
        </w:rPr>
        <w:t xml:space="preserve"> </w:t>
      </w:r>
      <w:r w:rsidRPr="00C3713F">
        <w:rPr>
          <w:sz w:val="22"/>
          <w:szCs w:val="22"/>
        </w:rPr>
        <w:t xml:space="preserve">operates </w:t>
      </w:r>
      <w:r>
        <w:rPr>
          <w:sz w:val="22"/>
          <w:szCs w:val="22"/>
        </w:rPr>
        <w:t>three</w:t>
      </w:r>
      <w:r w:rsidRPr="00C3713F">
        <w:rPr>
          <w:sz w:val="22"/>
          <w:szCs w:val="22"/>
        </w:rPr>
        <w:t xml:space="preserve"> multilateral trading facilities (MTFs)</w:t>
      </w:r>
      <w:r>
        <w:rPr>
          <w:sz w:val="22"/>
          <w:szCs w:val="22"/>
        </w:rPr>
        <w:t>. This includes</w:t>
      </w:r>
      <w:r w:rsidRPr="00C3713F">
        <w:rPr>
          <w:sz w:val="22"/>
          <w:szCs w:val="22"/>
        </w:rPr>
        <w:t xml:space="preserve"> Turquoise UK</w:t>
      </w:r>
      <w:r>
        <w:rPr>
          <w:sz w:val="22"/>
          <w:szCs w:val="22"/>
        </w:rPr>
        <w:t>, regulated in the UK,</w:t>
      </w:r>
      <w:r w:rsidRPr="00C3713F">
        <w:rPr>
          <w:sz w:val="22"/>
          <w:szCs w:val="22"/>
        </w:rPr>
        <w:t xml:space="preserve"> and Turquoise Europe</w:t>
      </w:r>
      <w:r>
        <w:rPr>
          <w:sz w:val="22"/>
          <w:szCs w:val="22"/>
        </w:rPr>
        <w:t xml:space="preserve">, regulated in the Netherlands, trading </w:t>
      </w:r>
      <w:r w:rsidRPr="00231BD4">
        <w:rPr>
          <w:sz w:val="22"/>
          <w:szCs w:val="22"/>
        </w:rPr>
        <w:t>shares, depository receipts, ETFs, and European Rights Issues of 19 European countries</w:t>
      </w:r>
      <w:r>
        <w:rPr>
          <w:sz w:val="22"/>
          <w:szCs w:val="22"/>
        </w:rPr>
        <w:t xml:space="preserve">. LSEG also operates </w:t>
      </w:r>
      <w:r w:rsidRPr="00C3713F">
        <w:rPr>
          <w:sz w:val="22"/>
          <w:szCs w:val="22"/>
        </w:rPr>
        <w:t>Refinitiv’s MTF,</w:t>
      </w:r>
      <w:r>
        <w:rPr>
          <w:sz w:val="22"/>
          <w:szCs w:val="22"/>
        </w:rPr>
        <w:t xml:space="preserve"> regulated in Ireland offering</w:t>
      </w:r>
      <w:r w:rsidRPr="00816DE4">
        <w:rPr>
          <w:sz w:val="22"/>
          <w:szCs w:val="22"/>
        </w:rPr>
        <w:t xml:space="preserve"> FX forwards, NDFs, swaps and options</w:t>
      </w:r>
      <w:r>
        <w:rPr>
          <w:sz w:val="22"/>
          <w:szCs w:val="22"/>
        </w:rPr>
        <w:t>.</w:t>
      </w:r>
    </w:p>
    <w:permEnd w:id="1454525006"/>
    <w:p w14:paraId="6A22288E" w14:textId="0CF2BA6D" w:rsidR="00F87897" w:rsidRDefault="00F87897" w:rsidP="00F87897"/>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4BE1DDC5" w14:textId="77777777" w:rsidR="00FB1D6D" w:rsidRDefault="00FB1D6D" w:rsidP="00FB1D6D">
      <w:permStart w:id="1512797590" w:edGrp="everyone"/>
      <w:r>
        <w:t xml:space="preserve">Changing the LIS waiver thresholds for ETFs could result in trading migrating away from order books to SIs and RFQs, further fragmenting liquidity. Participants may be deterred from using hidden orders which are a good source of liquidity and price improvement on central limit order books. </w:t>
      </w:r>
    </w:p>
    <w:p w14:paraId="3305B8AA" w14:textId="77777777" w:rsidR="00FB1D6D" w:rsidRDefault="00FB1D6D" w:rsidP="00FB1D6D">
      <w:r>
        <w:t xml:space="preserve"> </w:t>
      </w:r>
    </w:p>
    <w:p w14:paraId="7D8A3363" w14:textId="77777777" w:rsidR="00FB1D6D" w:rsidRDefault="00FB1D6D" w:rsidP="00FB1D6D">
      <w:r>
        <w:t xml:space="preserve">We estimate that most of the LIS waiver usage on venue is from RFQ trading. We feel the proposed change will have a marginal benefit in terms of transparency but will be significantly offset by the detrimental negative impact of liquidity on central limit order books which currently benefit from passive trading participants resting LIS hidden orders in sizes of €1m-€3m. </w:t>
      </w:r>
    </w:p>
    <w:p w14:paraId="39E250CE" w14:textId="77777777" w:rsidR="00FB1D6D" w:rsidRDefault="00FB1D6D" w:rsidP="00FB1D6D">
      <w:r>
        <w:t xml:space="preserve"> </w:t>
      </w:r>
    </w:p>
    <w:p w14:paraId="27215ACF" w14:textId="3A42C1C8" w:rsidR="000A609F" w:rsidRDefault="00FB1D6D" w:rsidP="000A609F">
      <w:r>
        <w:t>We note ETFs are currently characterised by large transactions and mainly traded on RFQ, although we are observing the development of ETF specific trading algorithms to support the rise of passive trading, breaking down large parent orders which are usually traded only via RFQ on risk with a market maker. Amending the LIS waiver threshold for ETFs could stymie this positive but nascent market development</w:t>
      </w:r>
      <w:permEnd w:id="1512797590"/>
      <w:r w:rsidR="000A609F">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701DD685" w14:textId="1BD9AFCF" w:rsidR="000A609F" w:rsidRDefault="00113F16" w:rsidP="000A609F">
      <w:permStart w:id="336408232" w:edGrp="everyone"/>
      <w:r w:rsidRPr="00113F16">
        <w:t>The proposed description seems reasonable on the basis of our understanding of those FBA trading systems currently in operation.</w:t>
      </w:r>
      <w:permEnd w:id="336408232"/>
      <w:r w:rsidR="000A609F">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30204BBF" w14:textId="32200D10" w:rsidR="000A609F" w:rsidRDefault="00207244" w:rsidP="000A609F">
      <w:permStart w:id="908748387" w:edGrp="everyone"/>
      <w:r w:rsidRPr="00207244">
        <w:t>We support ESMA’s desire to increase transparency in the market to help achieve efficient markets. To this end, it is important to have deep pools of visible on-screen liquidity, which all participants are able to interact with in a multilateral facility.  It would seem fair and reasonable for all pre-trade transparent auction mechanisms to be subject to the same pre-trade transparency requirements.  We have heard our customers say that in their opinion either proposed option for increased transparency would reduce participation and volume executed in FBA trading systems</w:t>
      </w:r>
      <w:permEnd w:id="908748387"/>
      <w:r w:rsidR="000A609F">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lastRenderedPageBreak/>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00F8D5E" w14:textId="3EEF196C" w:rsidR="00D95F83" w:rsidRDefault="00D95F83" w:rsidP="00D95F83">
      <w:permStart w:id="693053983" w:edGrp="everyone"/>
      <w:r w:rsidRPr="003313FC">
        <w:t>Yes we support</w:t>
      </w:r>
      <w:r w:rsidR="0036205E">
        <w:t xml:space="preserve"> ESMA’s proposals towards</w:t>
      </w:r>
      <w:r w:rsidRPr="003313FC">
        <w:t xml:space="preserve"> more standardisation of pre-trade data</w:t>
      </w:r>
      <w:r>
        <w:t>.</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01064F33" w:rsidR="000A609F" w:rsidRDefault="00C1589A" w:rsidP="000A609F">
      <w:permStart w:id="683432005" w:edGrp="everyone"/>
      <w:r>
        <w:t>Yes.</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7A02B4E7" w14:textId="77777777" w:rsidR="00051EC8" w:rsidRDefault="00051EC8" w:rsidP="00051EC8">
      <w:permStart w:id="1353266664" w:edGrp="everyone"/>
      <w:r w:rsidRPr="00F37440">
        <w:t>Fields “Price”, “Price currency”, “Price notation” and “Quantity”</w:t>
      </w:r>
      <w:r>
        <w:t xml:space="preserve"> - Yes</w:t>
      </w:r>
    </w:p>
    <w:p w14:paraId="54E3008C" w14:textId="77777777" w:rsidR="00051EC8" w:rsidRDefault="00051EC8" w:rsidP="00051EC8"/>
    <w:p w14:paraId="2398D3CD" w14:textId="77777777" w:rsidR="00051EC8" w:rsidRDefault="00051EC8" w:rsidP="00051EC8">
      <w:r w:rsidRPr="003F5CBD">
        <w:t>Fields “Venue of execution” and “Third-country trading venue of execution”</w:t>
      </w:r>
      <w:r>
        <w:t xml:space="preserve"> - </w:t>
      </w:r>
      <w:r w:rsidRPr="001401E5">
        <w:t xml:space="preserve">Yes </w:t>
      </w:r>
      <w:r>
        <w:t>but</w:t>
      </w:r>
      <w:r w:rsidRPr="001401E5">
        <w:t xml:space="preserve"> this could </w:t>
      </w:r>
      <w:r>
        <w:t xml:space="preserve">also </w:t>
      </w:r>
      <w:r w:rsidRPr="001401E5">
        <w:t>be achieved via an additional flag so that it is clear it is executed outside the EU.  E.g. a flag of TCTV</w:t>
      </w:r>
    </w:p>
    <w:p w14:paraId="39022A40" w14:textId="77777777" w:rsidR="00051EC8" w:rsidRDefault="00051EC8" w:rsidP="00051EC8"/>
    <w:p w14:paraId="231BBDBB" w14:textId="77777777" w:rsidR="00051EC8" w:rsidRDefault="00051EC8" w:rsidP="00051EC8">
      <w:r w:rsidRPr="00384680">
        <w:t>Field “Venue of execution”</w:t>
      </w:r>
      <w:r>
        <w:t xml:space="preserve"> - Yes</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397E8817" w:rsidR="000A609F" w:rsidRDefault="00051EC8" w:rsidP="000A609F">
      <w:permStart w:id="1454447199" w:edGrp="everyone"/>
      <w:r>
        <w:t>Yes</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51AED152" w:rsidR="000A609F" w:rsidRDefault="00051EC8" w:rsidP="000A609F">
      <w:permStart w:id="800200996" w:edGrp="everyone"/>
      <w:r>
        <w:t>Yes.</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5CBBC955" w:rsidR="000A609F" w:rsidRDefault="001B30C0" w:rsidP="000A609F">
      <w:permStart w:id="1456035944" w:edGrp="everyone"/>
      <w:r>
        <w:t>Yes.</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3989D1C" w:rsidR="000A609F" w:rsidRDefault="005C3F4F" w:rsidP="000A609F">
      <w:permStart w:id="141764790" w:edGrp="everyone"/>
      <w:r>
        <w:t>Yes.</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5B2DA0A1" w:rsidR="000A609F" w:rsidRDefault="007943C2" w:rsidP="000A609F">
      <w:permStart w:id="2136082965" w:edGrp="everyone"/>
      <w:r>
        <w:t>Yes.</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lastRenderedPageBreak/>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0BECB53D" w14:textId="77777777" w:rsidR="005E480E" w:rsidRDefault="005E480E" w:rsidP="005E480E">
      <w:permStart w:id="1655654043" w:edGrp="everyone"/>
      <w:r w:rsidRPr="00A06656">
        <w:t>We agree not to add further flags, but we question the value of the DUPL flag which we see is not used and of little value to the market.  It is also not in RTS 2.</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1777826D" w14:textId="1CBE81B8" w:rsidR="000A609F" w:rsidRDefault="00E50876" w:rsidP="000A609F">
      <w:permStart w:id="460739192" w:edGrp="everyone"/>
      <w:r w:rsidRPr="009E7445">
        <w:t>Clarity on the valid combinations of flags is useful</w:t>
      </w:r>
      <w:r>
        <w:t xml:space="preserve"> </w:t>
      </w:r>
      <w:permEnd w:id="460739192"/>
      <w:r w:rsidR="000A609F">
        <w:t>&lt;ESMA_QUESTION_RVEW_</w:t>
      </w:r>
      <w:r w:rsidR="000E78C1">
        <w:t>23</w:t>
      </w:r>
      <w:r w:rsidR="000A609F">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E5F0B9" w14:textId="77777777" w:rsidR="003C6E99" w:rsidRDefault="003C6E99" w:rsidP="003C6E99">
      <w:pPr>
        <w:jc w:val="both"/>
      </w:pPr>
      <w:permStart w:id="1377646280" w:edGrp="everyone"/>
      <w:r w:rsidRPr="1A5AAB16">
        <w:t>As a general comment</w:t>
      </w:r>
      <w:r>
        <w:t>,</w:t>
      </w:r>
      <w:r w:rsidRPr="1A5AAB16">
        <w:t xml:space="preserve"> </w:t>
      </w:r>
      <w:r>
        <w:t>we believe</w:t>
      </w:r>
      <w:r w:rsidRPr="1A5AAB16">
        <w:t xml:space="preserve"> that pre-trade transparency requirements should not be applied to non-equity instruments. This is on the basis that prices are often unique to the customer and calculated on the basis of their credit standing. Notwithstanding this point, we make the following points:</w:t>
      </w:r>
    </w:p>
    <w:p w14:paraId="2C50C931" w14:textId="77777777" w:rsidR="003C6E99" w:rsidRDefault="003C6E99" w:rsidP="003C6E99">
      <w:pPr>
        <w:jc w:val="both"/>
      </w:pPr>
    </w:p>
    <w:p w14:paraId="32432A6D" w14:textId="77777777" w:rsidR="003C6E99" w:rsidRDefault="003C6E99" w:rsidP="003C6E99">
      <w:pPr>
        <w:pStyle w:val="ListParagraph"/>
        <w:numPr>
          <w:ilvl w:val="0"/>
          <w:numId w:val="39"/>
        </w:numPr>
        <w:jc w:val="both"/>
        <w:rPr>
          <w:rFonts w:eastAsia="Arial" w:cs="Arial"/>
        </w:rPr>
      </w:pPr>
      <w:r w:rsidRPr="1A5AAB16">
        <w:t>We do not believe that the fields should be specified. Instead, it should be up to the discretion of the venue or publishing entity as to what data is published.</w:t>
      </w:r>
    </w:p>
    <w:p w14:paraId="55BF7854" w14:textId="77777777" w:rsidR="003C6E99" w:rsidRDefault="003C6E99" w:rsidP="003C6E99">
      <w:pPr>
        <w:pStyle w:val="ListParagraph"/>
        <w:numPr>
          <w:ilvl w:val="0"/>
          <w:numId w:val="39"/>
        </w:numPr>
        <w:jc w:val="both"/>
      </w:pPr>
      <w:r>
        <w:t xml:space="preserve">Providing the ISIN on a pre-trade basis may result in significant latency being incurred during the trade flow because of the need for the venue to query the ANNA DSB database and if necessary, obtain an ISIN. We do not believe this data item should be mandated because of the increased market risk that may occur. </w:t>
      </w:r>
    </w:p>
    <w:p w14:paraId="2D781B76" w14:textId="77777777" w:rsidR="003C6E99" w:rsidRDefault="003C6E99" w:rsidP="003C6E99">
      <w:pPr>
        <w:pStyle w:val="ListParagraph"/>
        <w:numPr>
          <w:ilvl w:val="0"/>
          <w:numId w:val="39"/>
        </w:numPr>
        <w:jc w:val="both"/>
      </w:pPr>
      <w:r w:rsidRPr="1A5AAB16">
        <w:lastRenderedPageBreak/>
        <w:t>Including “Side” for certain trade protocols such as RFQ and voice would not be feasible and should be removed.</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77777777" w:rsidR="000A609F" w:rsidRDefault="000A609F" w:rsidP="000A609F">
      <w:permStart w:id="419637817" w:edGrp="everyone"/>
      <w:r>
        <w:t>TYPE YOUR TEXT HERE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4715640D" w14:textId="77777777" w:rsidR="00BF5B73" w:rsidRDefault="00BF5B73" w:rsidP="00BF5B73">
      <w:permStart w:id="2054638963" w:edGrp="everyone"/>
      <w:r w:rsidRPr="00286AD3">
        <w:t>Field names and sequential order</w:t>
      </w:r>
      <w:r>
        <w:t xml:space="preserve"> - </w:t>
      </w:r>
      <w:r w:rsidRPr="00433D27">
        <w:t>Yes.  However most post trade data feeds have RTS 1 and RTS 2 in the same feed.  This will mean that is no longer possible due to differences in fields between the 2 which increases the effort for the industry.  Additionally the flag sequencing levels differ.</w:t>
      </w:r>
    </w:p>
    <w:p w14:paraId="1AAC2E0D" w14:textId="77777777" w:rsidR="00BF5B73" w:rsidRDefault="00BF5B73" w:rsidP="00BF5B73"/>
    <w:p w14:paraId="5A6F6EB4" w14:textId="77777777" w:rsidR="00BF5B73" w:rsidRDefault="00BF5B73" w:rsidP="00BF5B73">
      <w:r w:rsidRPr="00FD29E0">
        <w:t>Field “Trading Date and Time”</w:t>
      </w:r>
      <w:r>
        <w:t xml:space="preserve"> - </w:t>
      </w:r>
      <w:r w:rsidRPr="009245D2">
        <w:t>Yes.  For TCTV as per RTS 1 feedback this could be achieved via an additional flag so that it is clear it is executed outside the EU.  E.g. a flag of TCTV</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lastRenderedPageBreak/>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0B4B94A9" w:rsidR="000A609F" w:rsidRDefault="00AD0FFE" w:rsidP="000A609F">
      <w:permStart w:id="404452169" w:edGrp="everyone"/>
      <w:r>
        <w:t>Yes.</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1DEF63A7" w:rsidR="000A609F" w:rsidRDefault="00AD0FFE" w:rsidP="000A609F">
      <w:permStart w:id="649619710" w:edGrp="everyone"/>
      <w:r>
        <w:lastRenderedPageBreak/>
        <w:t>Yes.</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4C951BAB" w:rsidR="000A609F" w:rsidRDefault="00AD0FFE" w:rsidP="000A609F">
      <w:permStart w:id="132125109" w:edGrp="everyone"/>
      <w:r>
        <w:t>Yes.</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7777777" w:rsidR="000A609F" w:rsidRDefault="000A609F" w:rsidP="000A609F">
      <w:permStart w:id="42420518" w:edGrp="everyone"/>
      <w:r>
        <w:t>TYPE YOUR TEXT HERE</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5210BD8C" w14:textId="77777777" w:rsidR="008B4415" w:rsidRDefault="008B4415" w:rsidP="00A65690">
      <w:pPr>
        <w:jc w:val="both"/>
      </w:pPr>
      <w:permStart w:id="1238650876" w:edGrp="everyone"/>
      <w:r>
        <w:t>S</w:t>
      </w:r>
      <w:r w:rsidRPr="007234DF">
        <w:t>ignificant upgrades to IT systems across the industry</w:t>
      </w:r>
      <w:r>
        <w:t xml:space="preserve"> will be required</w:t>
      </w:r>
      <w:r w:rsidRPr="007234DF">
        <w:t xml:space="preserve"> to meet both the new RTS 1 and 2 requirements with certainty provided on the changes </w:t>
      </w:r>
      <w:r>
        <w:t xml:space="preserve">only </w:t>
      </w:r>
      <w:r w:rsidRPr="007234DF">
        <w:t xml:space="preserve">once the RTS is finally published.  </w:t>
      </w:r>
    </w:p>
    <w:p w14:paraId="674497D9" w14:textId="77777777" w:rsidR="008B4415" w:rsidRDefault="008B4415" w:rsidP="00A65690">
      <w:pPr>
        <w:jc w:val="both"/>
      </w:pPr>
    </w:p>
    <w:p w14:paraId="4D824090" w14:textId="77777777" w:rsidR="008B4415" w:rsidRDefault="008B4415" w:rsidP="00A65690">
      <w:pPr>
        <w:jc w:val="both"/>
      </w:pPr>
      <w:r w:rsidRPr="007234DF">
        <w:t xml:space="preserve">Our recommendation would be to have a longer implementation period to ensure readiness of all participants and that data quality is sufficient from the implementation date.  </w:t>
      </w:r>
    </w:p>
    <w:p w14:paraId="18F3C143" w14:textId="77777777" w:rsidR="008B4415" w:rsidRDefault="008B4415" w:rsidP="00A65690">
      <w:pPr>
        <w:jc w:val="both"/>
      </w:pPr>
    </w:p>
    <w:p w14:paraId="2A8E8A03" w14:textId="24EDB4A2" w:rsidR="000A609F" w:rsidRDefault="008B4415" w:rsidP="000A609F">
      <w:r w:rsidRPr="007234DF">
        <w:t>To allow for more phasing and reduce technical changes over year end</w:t>
      </w:r>
      <w:r>
        <w:t>.</w:t>
      </w:r>
      <w:r w:rsidRPr="007234DF">
        <w:t xml:space="preserve"> we would support implementing parallel data feeds</w:t>
      </w:r>
      <w:r>
        <w:t>.</w:t>
      </w:r>
      <w:r w:rsidRPr="007234DF">
        <w:t xml:space="preserve"> where existing feeds are changing 3-6 months ahead of any implementation dat</w:t>
      </w:r>
      <w:r>
        <w:t>e. This would</w:t>
      </w:r>
      <w:r w:rsidRPr="007234DF">
        <w:t xml:space="preserve"> </w:t>
      </w:r>
      <w:r>
        <w:t>give</w:t>
      </w:r>
      <w:r w:rsidRPr="007234DF">
        <w:t xml:space="preserve"> consumers time to adapt to new feeds</w:t>
      </w:r>
      <w:r>
        <w:t>.</w:t>
      </w:r>
      <w:r w:rsidRPr="007234DF">
        <w:t xml:space="preserve"> </w:t>
      </w:r>
      <w:r>
        <w:t xml:space="preserve">At </w:t>
      </w:r>
      <w:r w:rsidRPr="007234DF">
        <w:t>implementation date</w:t>
      </w:r>
      <w:r>
        <w:t>,</w:t>
      </w:r>
      <w:r w:rsidRPr="007234DF">
        <w:t xml:space="preserve"> it is </w:t>
      </w:r>
      <w:r>
        <w:t>mostly</w:t>
      </w:r>
      <w:r w:rsidRPr="007234DF">
        <w:t xml:space="preserve"> changes to reference data </w:t>
      </w:r>
      <w:r>
        <w:t xml:space="preserve">that will be </w:t>
      </w:r>
      <w:r w:rsidRPr="007234DF">
        <w:t>driving the content on the new feeds</w:t>
      </w:r>
      <w:r>
        <w:t>.</w:t>
      </w:r>
      <w:permEnd w:id="1238650876"/>
      <w:r w:rsidR="000A609F">
        <w:t>&lt;ESMA_QUESTION_RVEW_</w:t>
      </w:r>
      <w:r w:rsidR="000E78C1">
        <w:t>42</w:t>
      </w:r>
      <w:r w:rsidR="000A609F">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9B2EE" w14:textId="77777777" w:rsidR="00267551" w:rsidRDefault="00267551">
      <w:r>
        <w:separator/>
      </w:r>
    </w:p>
    <w:p w14:paraId="6E224D18" w14:textId="77777777" w:rsidR="00267551" w:rsidRDefault="00267551"/>
  </w:endnote>
  <w:endnote w:type="continuationSeparator" w:id="0">
    <w:p w14:paraId="225E8136" w14:textId="77777777" w:rsidR="00267551" w:rsidRDefault="00267551">
      <w:r>
        <w:continuationSeparator/>
      </w:r>
    </w:p>
    <w:p w14:paraId="1E8FC218" w14:textId="77777777" w:rsidR="00267551" w:rsidRDefault="00267551"/>
  </w:endnote>
  <w:endnote w:type="continuationNotice" w:id="1">
    <w:p w14:paraId="3F12C7C7" w14:textId="77777777" w:rsidR="00267551" w:rsidRDefault="00267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F1764" w14:textId="77777777" w:rsidR="00267551" w:rsidRDefault="00267551">
      <w:r>
        <w:separator/>
      </w:r>
    </w:p>
    <w:p w14:paraId="69A13031" w14:textId="77777777" w:rsidR="00267551" w:rsidRDefault="00267551"/>
  </w:footnote>
  <w:footnote w:type="continuationSeparator" w:id="0">
    <w:p w14:paraId="3332860F" w14:textId="77777777" w:rsidR="00267551" w:rsidRDefault="00267551">
      <w:r>
        <w:continuationSeparator/>
      </w:r>
    </w:p>
    <w:p w14:paraId="344DB6CE" w14:textId="77777777" w:rsidR="00267551" w:rsidRDefault="00267551"/>
  </w:footnote>
  <w:footnote w:type="continuationNotice" w:id="1">
    <w:p w14:paraId="30BAA808" w14:textId="77777777" w:rsidR="00267551" w:rsidRDefault="00267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C7376D1"/>
    <w:multiLevelType w:val="hybridMultilevel"/>
    <w:tmpl w:val="1E86622E"/>
    <w:lvl w:ilvl="0" w:tplc="F8243036">
      <w:start w:val="1"/>
      <w:numFmt w:val="bullet"/>
      <w:lvlText w:val=""/>
      <w:lvlJc w:val="left"/>
      <w:pPr>
        <w:ind w:left="720" w:hanging="360"/>
      </w:pPr>
      <w:rPr>
        <w:rFonts w:ascii="Symbol" w:hAnsi="Symbol" w:hint="default"/>
      </w:rPr>
    </w:lvl>
    <w:lvl w:ilvl="1" w:tplc="FAE6D878">
      <w:start w:val="1"/>
      <w:numFmt w:val="bullet"/>
      <w:lvlText w:val="o"/>
      <w:lvlJc w:val="left"/>
      <w:pPr>
        <w:ind w:left="1440" w:hanging="360"/>
      </w:pPr>
      <w:rPr>
        <w:rFonts w:ascii="Courier New" w:hAnsi="Courier New" w:hint="default"/>
      </w:rPr>
    </w:lvl>
    <w:lvl w:ilvl="2" w:tplc="241A5F12">
      <w:start w:val="1"/>
      <w:numFmt w:val="bullet"/>
      <w:lvlText w:val=""/>
      <w:lvlJc w:val="left"/>
      <w:pPr>
        <w:ind w:left="2160" w:hanging="360"/>
      </w:pPr>
      <w:rPr>
        <w:rFonts w:ascii="Wingdings" w:hAnsi="Wingdings" w:hint="default"/>
      </w:rPr>
    </w:lvl>
    <w:lvl w:ilvl="3" w:tplc="9D762878">
      <w:start w:val="1"/>
      <w:numFmt w:val="bullet"/>
      <w:lvlText w:val=""/>
      <w:lvlJc w:val="left"/>
      <w:pPr>
        <w:ind w:left="2880" w:hanging="360"/>
      </w:pPr>
      <w:rPr>
        <w:rFonts w:ascii="Symbol" w:hAnsi="Symbol" w:hint="default"/>
      </w:rPr>
    </w:lvl>
    <w:lvl w:ilvl="4" w:tplc="F334ACF6">
      <w:start w:val="1"/>
      <w:numFmt w:val="bullet"/>
      <w:lvlText w:val="o"/>
      <w:lvlJc w:val="left"/>
      <w:pPr>
        <w:ind w:left="3600" w:hanging="360"/>
      </w:pPr>
      <w:rPr>
        <w:rFonts w:ascii="Courier New" w:hAnsi="Courier New" w:hint="default"/>
      </w:rPr>
    </w:lvl>
    <w:lvl w:ilvl="5" w:tplc="E8D4D03A">
      <w:start w:val="1"/>
      <w:numFmt w:val="bullet"/>
      <w:lvlText w:val=""/>
      <w:lvlJc w:val="left"/>
      <w:pPr>
        <w:ind w:left="4320" w:hanging="360"/>
      </w:pPr>
      <w:rPr>
        <w:rFonts w:ascii="Wingdings" w:hAnsi="Wingdings" w:hint="default"/>
      </w:rPr>
    </w:lvl>
    <w:lvl w:ilvl="6" w:tplc="C4323AFC">
      <w:start w:val="1"/>
      <w:numFmt w:val="bullet"/>
      <w:lvlText w:val=""/>
      <w:lvlJc w:val="left"/>
      <w:pPr>
        <w:ind w:left="5040" w:hanging="360"/>
      </w:pPr>
      <w:rPr>
        <w:rFonts w:ascii="Symbol" w:hAnsi="Symbol" w:hint="default"/>
      </w:rPr>
    </w:lvl>
    <w:lvl w:ilvl="7" w:tplc="64F48568">
      <w:start w:val="1"/>
      <w:numFmt w:val="bullet"/>
      <w:lvlText w:val="o"/>
      <w:lvlJc w:val="left"/>
      <w:pPr>
        <w:ind w:left="5760" w:hanging="360"/>
      </w:pPr>
      <w:rPr>
        <w:rFonts w:ascii="Courier New" w:hAnsi="Courier New" w:hint="default"/>
      </w:rPr>
    </w:lvl>
    <w:lvl w:ilvl="8" w:tplc="721AD69C">
      <w:start w:val="1"/>
      <w:numFmt w:val="bullet"/>
      <w:lvlText w:val=""/>
      <w:lvlJc w:val="left"/>
      <w:pPr>
        <w:ind w:left="6480" w:hanging="360"/>
      </w:pPr>
      <w:rPr>
        <w:rFonts w:ascii="Wingdings" w:hAnsi="Wingdings" w:hint="default"/>
      </w:r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5"/>
  </w:num>
  <w:num w:numId="22">
    <w:abstractNumId w:val="22"/>
  </w:num>
  <w:num w:numId="23">
    <w:abstractNumId w:val="8"/>
  </w:num>
  <w:num w:numId="24">
    <w:abstractNumId w:val="28"/>
  </w:num>
  <w:num w:numId="25">
    <w:abstractNumId w:val="27"/>
  </w:num>
  <w:num w:numId="26">
    <w:abstractNumId w:val="17"/>
  </w:num>
  <w:num w:numId="27">
    <w:abstractNumId w:val="31"/>
  </w:num>
  <w:num w:numId="28">
    <w:abstractNumId w:val="37"/>
  </w:num>
  <w:num w:numId="29">
    <w:abstractNumId w:val="6"/>
  </w:num>
  <w:num w:numId="30">
    <w:abstractNumId w:val="2"/>
  </w:num>
  <w:num w:numId="31">
    <w:abstractNumId w:val="19"/>
  </w:num>
  <w:num w:numId="32">
    <w:abstractNumId w:val="18"/>
  </w:num>
  <w:num w:numId="33">
    <w:abstractNumId w:val="33"/>
  </w:num>
  <w:num w:numId="34">
    <w:abstractNumId w:val="32"/>
  </w:num>
  <w:num w:numId="35">
    <w:abstractNumId w:val="4"/>
  </w:num>
  <w:num w:numId="36">
    <w:abstractNumId w:val="34"/>
  </w:num>
  <w:num w:numId="37">
    <w:abstractNumId w:val="18"/>
    <w:lvlOverride w:ilvl="0">
      <w:startOverride w:val="1"/>
    </w:lvlOverride>
  </w:num>
  <w:num w:numId="38">
    <w:abstractNumId w:val="18"/>
  </w:num>
  <w:num w:numId="3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1EC8"/>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3F16"/>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0C0"/>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244"/>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3E63"/>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205E"/>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C6E9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3F4F"/>
    <w:rsid w:val="005C43AA"/>
    <w:rsid w:val="005C48C8"/>
    <w:rsid w:val="005C663C"/>
    <w:rsid w:val="005D0750"/>
    <w:rsid w:val="005D1023"/>
    <w:rsid w:val="005D148F"/>
    <w:rsid w:val="005D2AD2"/>
    <w:rsid w:val="005D4A86"/>
    <w:rsid w:val="005D5EB1"/>
    <w:rsid w:val="005D6A29"/>
    <w:rsid w:val="005E0481"/>
    <w:rsid w:val="005E10BF"/>
    <w:rsid w:val="005E1834"/>
    <w:rsid w:val="005E480E"/>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3C2"/>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41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0FFE"/>
    <w:rsid w:val="00AD1FF2"/>
    <w:rsid w:val="00AD2A21"/>
    <w:rsid w:val="00AD3B43"/>
    <w:rsid w:val="00AD4FF2"/>
    <w:rsid w:val="00AD506C"/>
    <w:rsid w:val="00AD6BE5"/>
    <w:rsid w:val="00AD783E"/>
    <w:rsid w:val="00AE1393"/>
    <w:rsid w:val="00AE32E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5B73"/>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89A"/>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5F83"/>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750"/>
    <w:rsid w:val="00E40974"/>
    <w:rsid w:val="00E40AAB"/>
    <w:rsid w:val="00E41205"/>
    <w:rsid w:val="00E41F32"/>
    <w:rsid w:val="00E42608"/>
    <w:rsid w:val="00E43536"/>
    <w:rsid w:val="00E43DA3"/>
    <w:rsid w:val="00E44B80"/>
    <w:rsid w:val="00E45938"/>
    <w:rsid w:val="00E47430"/>
    <w:rsid w:val="00E50876"/>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1D6D"/>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 w:val="00FF68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ED83B1483074890BE7A6C1B8B1C34" ma:contentTypeVersion="10" ma:contentTypeDescription="Create a new document." ma:contentTypeScope="" ma:versionID="c3e137dba464e0f0cc7aa35ebaa354c6">
  <xsd:schema xmlns:xsd="http://www.w3.org/2001/XMLSchema" xmlns:xs="http://www.w3.org/2001/XMLSchema" xmlns:p="http://schemas.microsoft.com/office/2006/metadata/properties" xmlns:ns2="0e29d6ad-1263-4a86-9c0c-26851c009988" xmlns:ns3="98702d7b-e4b6-468a-94c5-d247d38eee83" targetNamespace="http://schemas.microsoft.com/office/2006/metadata/properties" ma:root="true" ma:fieldsID="c35fcb3bdfde5b631eeb5b33b2fd21df" ns2:_="" ns3:_="">
    <xsd:import namespace="0e29d6ad-1263-4a86-9c0c-26851c009988"/>
    <xsd:import namespace="98702d7b-e4b6-468a-94c5-d247d38ee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d6ad-1263-4a86-9c0c-26851c009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02d7b-e4b6-468a-94c5-d247d38eee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elements/1.1/"/>
    <ds:schemaRef ds:uri="20fbe147-bbda-4e53-b6b1-7e8bbff3fe19"/>
    <ds:schemaRef ds:uri="http://schemas.microsoft.com/office/2006/metadata/properties"/>
    <ds:schemaRef ds:uri="http://schemas.microsoft.com/office/infopath/2007/PartnerControl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4061DCE1-D7C7-4AF1-B7B4-C8F619EE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d6ad-1263-4a86-9c0c-26851c009988"/>
    <ds:schemaRef ds:uri="98702d7b-e4b6-468a-94c5-d247d38ee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2860</Words>
  <Characters>16003</Characters>
  <Application>Microsoft Office Word</Application>
  <DocSecurity>8</DocSecurity>
  <Lines>133</Lines>
  <Paragraphs>37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18826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Marquis, Arthur</cp:lastModifiedBy>
  <cp:revision>22</cp:revision>
  <cp:lastPrinted>2015-02-18T11:01:00Z</cp:lastPrinted>
  <dcterms:created xsi:type="dcterms:W3CDTF">2021-07-09T09:30:00Z</dcterms:created>
  <dcterms:modified xsi:type="dcterms:W3CDTF">2021-10-01T17:08:00Z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0x01010074DED83B1483074890BE7A6C1B8B1C34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