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le"/>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Heading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6DC87A23" w:rsidR="00C85C8B" w:rsidRPr="00B16706" w:rsidRDefault="00541C43" w:rsidP="00C85C8B">
                <w:pPr>
                  <w:rPr>
                    <w:rFonts w:ascii="Arial" w:hAnsi="Arial" w:cs="Arial"/>
                    <w:color w:val="808080"/>
                    <w:sz w:val="16"/>
                    <w:szCs w:val="20"/>
                    <w:lang w:eastAsia="de-DE"/>
                  </w:rPr>
                </w:pPr>
                <w:r>
                  <w:rPr>
                    <w:rFonts w:ascii="Arial" w:hAnsi="Arial" w:cs="Arial"/>
                    <w:color w:val="808080"/>
                    <w:sz w:val="16"/>
                    <w:szCs w:val="20"/>
                    <w:lang w:eastAsia="de-DE"/>
                  </w:rPr>
                  <w:t xml:space="preserve">Optiver </w:t>
                </w:r>
                <w:r w:rsidR="003D3105">
                  <w:rPr>
                    <w:rFonts w:ascii="Arial" w:hAnsi="Arial" w:cs="Arial"/>
                    <w:color w:val="808080"/>
                    <w:sz w:val="16"/>
                    <w:szCs w:val="20"/>
                    <w:lang w:eastAsia="de-DE"/>
                  </w:rPr>
                  <w:t>V.O.F</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85895D4" w:rsidR="00C85C8B" w:rsidRPr="00B16706" w:rsidRDefault="00C8104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D3105">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0489E069" w:rsidR="00C85C8B" w:rsidRPr="00B16706" w:rsidRDefault="00DC2EC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D042EC4" w:rsidR="00C85C8B" w:rsidRPr="00B16706" w:rsidRDefault="00DC2ECE"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bookmarkStart w:id="1" w:name="_GoBack"/>
      <w:bookmarkEnd w:id="1"/>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0E253E3C" w14:textId="1AC0C2CB" w:rsidR="00D02884" w:rsidRDefault="00541C43" w:rsidP="00B3667B">
      <w:pPr>
        <w:jc w:val="both"/>
      </w:pPr>
      <w:permStart w:id="1632727143" w:edGrp="everyone"/>
      <w:r>
        <w:t xml:space="preserve">Optiver welcomes the opportunity to provide feedback to ESMA on a possible review of the EU”s Short Selling Regulation. As non-directional, non-bank market makers we </w:t>
      </w:r>
      <w:r w:rsidRPr="00541C43">
        <w:t>support simple, transparent, and liquid capital markets</w:t>
      </w:r>
      <w:r>
        <w:t xml:space="preserve">. As such, we continue to question the value of short-selling bans for financial markets due to their significant, negative consequences on markets including interfering with efficient price formation, reducing market makers’ ability to provide liquidity and dampen volatility, and introducing technical and regulatory </w:t>
      </w:r>
      <w:proofErr w:type="spellStart"/>
      <w:r>
        <w:t>complexities.This</w:t>
      </w:r>
      <w:proofErr w:type="spellEnd"/>
      <w:r>
        <w:t xml:space="preserve"> view is overwhelmingly supported by academic and industry research. Short-selling bans are ineffective in achieving their stated aim of reducing asset price declines and instead come at a cost to the market and therefore investors as a whole.</w:t>
      </w:r>
    </w:p>
    <w:p w14:paraId="6FFDAAC1" w14:textId="41AC1173" w:rsidR="00541C43" w:rsidRDefault="00541C43" w:rsidP="00B3667B">
      <w:pPr>
        <w:jc w:val="both"/>
      </w:pPr>
    </w:p>
    <w:p w14:paraId="788C0B50" w14:textId="77777777" w:rsidR="00541C43" w:rsidRPr="00541C43" w:rsidRDefault="00541C43" w:rsidP="00B3667B">
      <w:pPr>
        <w:jc w:val="both"/>
        <w:rPr>
          <w:b/>
        </w:rPr>
      </w:pPr>
      <w:r w:rsidRPr="00541C43">
        <w:rPr>
          <w:b/>
        </w:rPr>
        <w:t>Interference with Asset Price Formation</w:t>
      </w:r>
    </w:p>
    <w:p w14:paraId="0BE79A1D" w14:textId="3E54468A" w:rsidR="00541C43" w:rsidRDefault="00541C43" w:rsidP="00B3667B">
      <w:pPr>
        <w:jc w:val="both"/>
      </w:pPr>
      <w:r>
        <w:t xml:space="preserve">Imposing short-selling bans results in fewer parties being able to sell than those that are willing to buy, which interferes with efficient price formation. By artificially removing the chance for some market participants to sell, asset price formation will become less accurate, preventing the financial market from reflecting the real economy. The additional uncertainty that this creates will result in increased volatility, which in turn results in wider spreads and reduced liquidity. Short-selling bans not only fail to achieve the goal to stabilise asset prices, they also cause a decline in order book quality which results in higher </w:t>
      </w:r>
      <w:proofErr w:type="spellStart"/>
      <w:r>
        <w:t>tradingcosts</w:t>
      </w:r>
      <w:proofErr w:type="spellEnd"/>
      <w:r>
        <w:t xml:space="preserve"> at the expense of the end investor, which is clearly detrimental to the market.</w:t>
      </w:r>
    </w:p>
    <w:p w14:paraId="4F0FFE03" w14:textId="77777777" w:rsidR="00541C43" w:rsidRDefault="00541C43" w:rsidP="00B3667B">
      <w:pPr>
        <w:jc w:val="both"/>
      </w:pPr>
    </w:p>
    <w:p w14:paraId="01263CC7" w14:textId="30E8D02D" w:rsidR="00541C43" w:rsidRDefault="00541C43" w:rsidP="00B3667B">
      <w:pPr>
        <w:jc w:val="both"/>
      </w:pPr>
      <w:r>
        <w:t>Hampering efficient price formation, which short-selling bans have been proven to cause, has an additional risk: it increases the likelihood for an asset price bubble to form.</w:t>
      </w:r>
      <w:r w:rsidR="0048730A">
        <w:t xml:space="preserve"> For example, the period before the collapse of </w:t>
      </w:r>
      <w:proofErr w:type="spellStart"/>
      <w:r w:rsidR="0048730A">
        <w:t>Wirecard</w:t>
      </w:r>
      <w:proofErr w:type="spellEnd"/>
      <w:r w:rsidR="0048730A">
        <w:t xml:space="preserve"> AG saw the imposition of short-selling bans, which prevent the market from accurately adjusting the price of </w:t>
      </w:r>
      <w:proofErr w:type="spellStart"/>
      <w:r w:rsidR="0048730A">
        <w:t>Wirecard</w:t>
      </w:r>
      <w:proofErr w:type="spellEnd"/>
      <w:r w:rsidR="0048730A">
        <w:t xml:space="preserve"> securities in line with the evolving discovery of fraudulent behaviour at </w:t>
      </w:r>
      <w:proofErr w:type="spellStart"/>
      <w:r w:rsidR="0048730A">
        <w:t>Wirecard</w:t>
      </w:r>
      <w:proofErr w:type="spellEnd"/>
      <w:r w:rsidR="0048730A">
        <w:t>.</w:t>
      </w:r>
      <w:r>
        <w:t xml:space="preserve"> A fundamental and necessary characteristic of healthy markets is its ability to correct overpriced assets. Theoretically, if short-selling bans were to achieve their goal of increasing the price of affected assets, the increased price would be due to a deficiency in the market and would not reflect truly higher values of the underlying asset. Short-selling bans increase the probability of investors overpaying for assets, which especially effects those using automatic contributions to invest, particularly retail investors and retirement funds.</w:t>
      </w:r>
    </w:p>
    <w:p w14:paraId="51770C4F" w14:textId="183DFA2B" w:rsidR="00541C43" w:rsidRDefault="00541C43" w:rsidP="00B3667B">
      <w:pPr>
        <w:jc w:val="both"/>
      </w:pPr>
    </w:p>
    <w:p w14:paraId="3C7AD9EF" w14:textId="77777777" w:rsidR="00541C43" w:rsidRPr="00541C43" w:rsidRDefault="00541C43" w:rsidP="00B3667B">
      <w:pPr>
        <w:jc w:val="both"/>
        <w:rPr>
          <w:b/>
        </w:rPr>
      </w:pPr>
      <w:r w:rsidRPr="00541C43">
        <w:rPr>
          <w:b/>
        </w:rPr>
        <w:t>Interference with Market Making and Hedging</w:t>
      </w:r>
    </w:p>
    <w:p w14:paraId="1CB312AC" w14:textId="682A02AA" w:rsidR="00541C43" w:rsidRDefault="00541C43" w:rsidP="00B3667B">
      <w:pPr>
        <w:jc w:val="both"/>
      </w:pPr>
      <w:r>
        <w:t xml:space="preserve">A key characteristic of healthy markets is high levels of liquidity. Liquidity is defined as the presence of many parties willing to buy and sell an instrument at any given time and is often </w:t>
      </w:r>
      <w:r>
        <w:lastRenderedPageBreak/>
        <w:t xml:space="preserve">associated with robust, “thick” order books with many quotes present in the book. </w:t>
      </w:r>
      <w:r w:rsidRPr="00541C43">
        <w:t>This liquidity has a dampening effect on the volatility of a stock, therefore, market makers play an important role during turbulent conditions, in that they provide the liquidity needed to temper volatility. If anything, market makers’ ability to be effective should be strengthened during a period of volatility and short-selling bans achieves the opposite by hampering market makers’ ability to provide liquidity.</w:t>
      </w:r>
    </w:p>
    <w:p w14:paraId="055D0ACE" w14:textId="77777777" w:rsidR="00541C43" w:rsidRDefault="00541C43" w:rsidP="00B3667B">
      <w:pPr>
        <w:jc w:val="both"/>
      </w:pPr>
    </w:p>
    <w:p w14:paraId="2EB51504" w14:textId="05F908E1" w:rsidR="00541C43" w:rsidRDefault="00541C43" w:rsidP="00B3667B">
      <w:pPr>
        <w:jc w:val="both"/>
      </w:pPr>
      <w:r w:rsidRPr="00541C43">
        <w:t xml:space="preserve">While </w:t>
      </w:r>
      <w:r>
        <w:t xml:space="preserve">EU </w:t>
      </w:r>
      <w:r w:rsidRPr="00541C43">
        <w:t xml:space="preserve">short-selling restrictions do exempt market makers, thereby lessening the above negative effects, meaningful liquidity is often also provided to the market by participants who are not registered as market makers. This can for example be in the form of a large order being worked passively by an algorithm or by (foreign) participants who are not (locally) able to register as investment firms. Additionally, it is often not obvious what constitutes sanctioned (and thereby exempted) market making activities. Therefore, the </w:t>
      </w:r>
      <w:proofErr w:type="spellStart"/>
      <w:r w:rsidRPr="00541C43">
        <w:t>shortsale</w:t>
      </w:r>
      <w:proofErr w:type="spellEnd"/>
      <w:r w:rsidRPr="00541C43">
        <w:t xml:space="preserve"> bans, even when containing a market maker exemption, reduce available liquidity and contribute to unequal access to the markets. At the same time, they contribute toward market participants no longer being able to meet their MiFID II mandated market making obligations.</w:t>
      </w:r>
    </w:p>
    <w:p w14:paraId="3DD64581" w14:textId="452F6B26" w:rsidR="00541C43" w:rsidRDefault="00541C43" w:rsidP="00B3667B">
      <w:pPr>
        <w:jc w:val="both"/>
      </w:pPr>
    </w:p>
    <w:p w14:paraId="37A6ECFD" w14:textId="39D5BF86" w:rsidR="00B3667B" w:rsidRDefault="00B3667B" w:rsidP="00B3667B">
      <w:pPr>
        <w:jc w:val="both"/>
      </w:pPr>
      <w:r>
        <w:t>Instead of imposing short-selling bans that will have a negative effect on the markets, Optiver believes that stock exchanges have the tools required to mitigate declines in stock market prices and to curb market volatility in extreme conditions.</w:t>
      </w:r>
    </w:p>
    <w:p w14:paraId="19DE8226" w14:textId="77777777" w:rsidR="00B3667B" w:rsidRDefault="00B3667B" w:rsidP="00B3667B">
      <w:pPr>
        <w:jc w:val="both"/>
      </w:pPr>
    </w:p>
    <w:p w14:paraId="0833B64A" w14:textId="77777777" w:rsidR="00B3667B" w:rsidRDefault="00B3667B" w:rsidP="00B3667B">
      <w:pPr>
        <w:jc w:val="both"/>
      </w:pPr>
      <w:r>
        <w:t>In highly stressed markets, liquidity provision (which results in healthy, liquid order books) is key to managing price volatility. To facilitate this, exchanges could introduce simple liquidity protection mechanisms that aid market makers in volatile conditions and stimulate further liquidity. Exchanges can also be pro-active in introducing market making programs that further incentivise liquidity provision. This is especially true for liquidity provision programmes that provide financial incentives, but can also benefit unofficial liquidity provision if such programmes exempt liquidity provision to from possible restrictions.</w:t>
      </w:r>
    </w:p>
    <w:p w14:paraId="42E4D720" w14:textId="77777777" w:rsidR="00B3667B" w:rsidRDefault="00B3667B" w:rsidP="00B3667B">
      <w:pPr>
        <w:jc w:val="both"/>
      </w:pPr>
    </w:p>
    <w:p w14:paraId="472E6EEA" w14:textId="7AEEE50B" w:rsidR="00541C43" w:rsidRDefault="00B3667B" w:rsidP="00B3667B">
      <w:pPr>
        <w:jc w:val="both"/>
      </w:pPr>
      <w:r>
        <w:t>Besides measures that add to the health of the order book, exchanges could also have coordinated circuit breakers or trading limits in place that trigger in bursts of extreme volatility. These mechanics allow all market participants time to digest the news that might have triggered the sudden move. If well-implemented, these mechanisms add to the stability of markets and keep them behaving in a fair and orderly manner, despite extreme conditions.</w:t>
      </w:r>
    </w:p>
    <w:permEnd w:id="1632727143"/>
    <w:p w14:paraId="45D13BD8" w14:textId="77777777" w:rsidR="00D02884" w:rsidRDefault="00D02884" w:rsidP="00D02884">
      <w:r>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77777777" w:rsidR="00D02884" w:rsidRDefault="00D02884" w:rsidP="00D02884">
      <w:permStart w:id="1927289032" w:edGrp="everyone"/>
      <w:r>
        <w:t>TYPE YOUR TEXT HERE</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3C5FDDC3" w14:textId="59647700" w:rsidR="00D02884" w:rsidRDefault="00D02884" w:rsidP="00D02884">
      <w:permStart w:id="707614466" w:edGrp="everyone"/>
      <w:r>
        <w:t>TYPE YOUR T</w:t>
      </w:r>
      <w:r w:rsidR="00D039B6">
        <w:t>E</w:t>
      </w:r>
      <w:r>
        <w:t>XT HERE</w:t>
      </w:r>
    </w:p>
    <w:permEnd w:id="707614466"/>
    <w:p w14:paraId="44CB5E14" w14:textId="77777777"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lastRenderedPageBreak/>
        <w:t xml:space="preserve">Do you agree with the proposed clarification? </w:t>
      </w:r>
    </w:p>
    <w:p w14:paraId="2FB9FC7D" w14:textId="77777777" w:rsidR="00D02884" w:rsidRDefault="00D02884" w:rsidP="00D02884">
      <w:r>
        <w:t>&lt;ESMA_QUESTION_SSRR_3&gt;</w:t>
      </w:r>
    </w:p>
    <w:p w14:paraId="0D181590" w14:textId="7D8AB999" w:rsidR="00D02884" w:rsidRDefault="00D02884" w:rsidP="00D02884">
      <w:permStart w:id="1750483000" w:edGrp="everyone"/>
      <w:r>
        <w:t>TYPE YOUR TEXT HERE</w:t>
      </w:r>
    </w:p>
    <w:permEnd w:id="1750483000"/>
    <w:p w14:paraId="6FFFFA18" w14:textId="77777777"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57197F9A" w14:textId="2BC2CF00" w:rsidR="00D02884" w:rsidRDefault="00B3667B" w:rsidP="00D02884">
      <w:permStart w:id="1744045598" w:edGrp="everyone"/>
      <w:r>
        <w:t>Optiver fully supports the proposed clarification that ETFs, indices, and baskets that contain a stock that is under short-selling ban should be excluded from the scope of long-term bans. In the absence of this clarification, there is a risk of recurring uncertainty by market participants whether baskets, ETFs, and indices as well as index-products are tradeable in periods of high volatility/market uncertainty. Likewise, removing them from the scope of long-term bans would preserve liquidity and price formation in these instruments</w:t>
      </w:r>
      <w:r w:rsidR="00EC5C4F">
        <w:t xml:space="preserve">. </w:t>
      </w:r>
      <w:proofErr w:type="spellStart"/>
      <w:r w:rsidR="00EC5C4F">
        <w:t>Maket</w:t>
      </w:r>
      <w:proofErr w:type="spellEnd"/>
      <w:r w:rsidR="00EC5C4F">
        <w:t xml:space="preserve"> participants do not gain short exposures to indices, baskets, and ETFs to sell one underlying component security short. In the absence of a clarification that short</w:t>
      </w:r>
      <w:r w:rsidR="00EC5C4F" w:rsidRPr="00EC5C4F">
        <w:rPr>
          <w:lang w:val="en-US"/>
        </w:rPr>
        <w:t>-</w:t>
      </w:r>
      <w:r w:rsidR="00EC5C4F">
        <w:rPr>
          <w:lang w:val="en-US"/>
        </w:rPr>
        <w:t xml:space="preserve">selling bans do not impact those products, situations like the one with regard to the </w:t>
      </w:r>
      <w:proofErr w:type="spellStart"/>
      <w:r w:rsidR="00EC5C4F">
        <w:rPr>
          <w:lang w:val="en-US"/>
        </w:rPr>
        <w:t>BaFin</w:t>
      </w:r>
      <w:proofErr w:type="spellEnd"/>
      <w:r w:rsidR="00EC5C4F">
        <w:rPr>
          <w:lang w:val="en-US"/>
        </w:rPr>
        <w:t xml:space="preserve"> short-sale ban of the stock of </w:t>
      </w:r>
      <w:proofErr w:type="spellStart"/>
      <w:r w:rsidR="00EC5C4F">
        <w:rPr>
          <w:lang w:val="en-US"/>
        </w:rPr>
        <w:t>Wirecard</w:t>
      </w:r>
      <w:proofErr w:type="spellEnd"/>
      <w:r w:rsidR="00EC5C4F">
        <w:rPr>
          <w:lang w:val="en-US"/>
        </w:rPr>
        <w:t xml:space="preserve"> AG are at risk of being repeated. In that context, there was significant ambiguity and lack of clarity for market participants as to whether products that contained the securities of </w:t>
      </w:r>
      <w:proofErr w:type="spellStart"/>
      <w:r w:rsidR="00EC5C4F">
        <w:rPr>
          <w:lang w:val="en-US"/>
        </w:rPr>
        <w:t>Wirecard</w:t>
      </w:r>
      <w:proofErr w:type="spellEnd"/>
      <w:r w:rsidR="00EC5C4F">
        <w:rPr>
          <w:lang w:val="en-US"/>
        </w:rPr>
        <w:t xml:space="preserve"> AG were also in scope of the ban. More broadly, we feel that short-selling bans can in specific circumstances – such as the case of </w:t>
      </w:r>
      <w:proofErr w:type="spellStart"/>
      <w:r w:rsidR="00EC5C4F">
        <w:rPr>
          <w:lang w:val="en-US"/>
        </w:rPr>
        <w:t>Wirecard</w:t>
      </w:r>
      <w:proofErr w:type="spellEnd"/>
      <w:r w:rsidR="00EC5C4F">
        <w:rPr>
          <w:lang w:val="en-US"/>
        </w:rPr>
        <w:t xml:space="preserve"> – result in an outcome where the ban artificially sustains an issuer who has lost the confidence of the market. </w:t>
      </w:r>
      <w:r>
        <w:t xml:space="preserve"> </w:t>
      </w:r>
      <w:permEnd w:id="1744045598"/>
      <w:r w:rsidR="00D02884">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77777777" w:rsidR="00D02884" w:rsidRDefault="00D02884" w:rsidP="00D02884">
      <w:permStart w:id="505167219" w:edGrp="everyone"/>
      <w:r>
        <w:t>TYPE YOUR TEXT HERE</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77777777" w:rsidR="00D02884" w:rsidRDefault="00D02884" w:rsidP="00D02884">
      <w:permStart w:id="2039760976" w:edGrp="everyone"/>
      <w:r>
        <w:t>TYPE YOUR TEXT HERE</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77777777" w:rsidR="00D02884" w:rsidRDefault="00D02884" w:rsidP="00D02884">
      <w:permStart w:id="1121714453" w:edGrp="everyone"/>
      <w:r>
        <w:t>TYPE YOUR TEXT HERE</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lastRenderedPageBreak/>
        <w:t xml:space="preserve">What are your views on ESMA’s proposal to include subscription rights in the calculation of NSPs in shares? </w:t>
      </w:r>
    </w:p>
    <w:p w14:paraId="0B45380D" w14:textId="77777777" w:rsidR="00D02884" w:rsidRDefault="00D02884" w:rsidP="00D02884">
      <w:r>
        <w:t>&lt;ESMA_QUESTION_SSRR_8&gt;</w:t>
      </w:r>
    </w:p>
    <w:p w14:paraId="79840AA2" w14:textId="77777777" w:rsidR="00D02884" w:rsidRDefault="00D02884" w:rsidP="00D02884">
      <w:permStart w:id="814236590" w:edGrp="everyone"/>
      <w:r>
        <w:t>TYPE YOUR TEXT HERE</w:t>
      </w:r>
    </w:p>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773520B0" w14:textId="77777777" w:rsidR="00D02884" w:rsidRDefault="00D02884" w:rsidP="00D02884">
      <w:permStart w:id="837683724" w:edGrp="everyone"/>
      <w:r>
        <w:t>TYPE YOUR TEXT HERE</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7777777" w:rsidR="00D02884" w:rsidRDefault="00D02884" w:rsidP="00D02884">
      <w:permStart w:id="1011105196" w:edGrp="everyone"/>
      <w:r>
        <w:t>TYPE YOUR TEXT HERE</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77777777" w:rsidR="00D02884" w:rsidRDefault="00D02884" w:rsidP="00D02884">
      <w:permStart w:id="605506472" w:edGrp="everyone"/>
      <w:r>
        <w:t>TYPE YOUR TEXT HERE</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77777777" w:rsidR="00D02884" w:rsidRDefault="00D02884" w:rsidP="00D02884">
      <w:permStart w:id="1582846376" w:edGrp="everyone"/>
      <w:r>
        <w:t>TYPE YOUR TEXT HERE</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77777777" w:rsidR="00D02884" w:rsidRDefault="00D02884" w:rsidP="00D02884">
      <w:permStart w:id="1861689712" w:edGrp="everyone"/>
      <w:r>
        <w:t>TYPE YOUR TEXT HERE</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lastRenderedPageBreak/>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2F919AFD" w14:textId="77777777" w:rsidR="00D02884" w:rsidRDefault="00D02884" w:rsidP="00D02884">
      <w:permStart w:id="1477983117" w:edGrp="everyone"/>
      <w:r>
        <w:t>TYPE YOUR TEXT HERE</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098E257F" w14:textId="77777777" w:rsidR="00D02884" w:rsidRDefault="00D02884" w:rsidP="00D02884">
      <w:permStart w:id="316369119" w:edGrp="everyone"/>
      <w:r>
        <w:t>TYPE YOUR TEXT HERE</w:t>
      </w:r>
    </w:p>
    <w:permEnd w:id="316369119"/>
    <w:p w14:paraId="2D413980" w14:textId="77777777"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9AD9957" w14:textId="77777777" w:rsidR="00D02884" w:rsidRDefault="00D02884" w:rsidP="00D02884">
      <w:permStart w:id="1955013049" w:edGrp="everyone"/>
      <w:r>
        <w:t>TYPE YOUR TEXT HERE</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49C86268" w14:textId="77777777" w:rsidR="00D02884" w:rsidRDefault="00D02884" w:rsidP="00D02884">
      <w:permStart w:id="1440757531" w:edGrp="everyone"/>
      <w:r>
        <w:t>TYPE YOUR TEXT HERE</w:t>
      </w:r>
    </w:p>
    <w:permEnd w:id="1440757531"/>
    <w:p w14:paraId="27740E58" w14:textId="77777777" w:rsidR="00D02884" w:rsidRDefault="00D02884" w:rsidP="00D02884">
      <w:r>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D5DE" w14:textId="77777777" w:rsidR="00C81041" w:rsidRDefault="00C81041" w:rsidP="007E7997">
      <w:r>
        <w:separator/>
      </w:r>
    </w:p>
  </w:endnote>
  <w:endnote w:type="continuationSeparator" w:id="0">
    <w:p w14:paraId="1B7C31D8" w14:textId="77777777" w:rsidR="00C81041" w:rsidRDefault="00C81041" w:rsidP="007E7997">
      <w:r>
        <w:continuationSeparator/>
      </w:r>
    </w:p>
  </w:endnote>
  <w:endnote w:type="continuationNotice" w:id="1">
    <w:p w14:paraId="7F63D478" w14:textId="77777777" w:rsidR="00C81041" w:rsidRDefault="00C81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CB001E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A53A" w14:textId="77777777" w:rsidR="00C81041" w:rsidRDefault="00C81041" w:rsidP="007E7997">
      <w:r>
        <w:separator/>
      </w:r>
    </w:p>
  </w:footnote>
  <w:footnote w:type="continuationSeparator" w:id="0">
    <w:p w14:paraId="333FF110" w14:textId="77777777" w:rsidR="00C81041" w:rsidRDefault="00C81041" w:rsidP="007E7997">
      <w:r>
        <w:continuationSeparator/>
      </w:r>
    </w:p>
  </w:footnote>
  <w:footnote w:type="continuationNotice" w:id="1">
    <w:p w14:paraId="7536484F" w14:textId="77777777" w:rsidR="00C81041" w:rsidRDefault="00C81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680C69"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105"/>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1986"/>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30A"/>
    <w:rsid w:val="00487DCE"/>
    <w:rsid w:val="00492701"/>
    <w:rsid w:val="004950B7"/>
    <w:rsid w:val="00495626"/>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1039"/>
    <w:rsid w:val="00541C43"/>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9ED"/>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E0"/>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1B1"/>
    <w:rsid w:val="00750210"/>
    <w:rsid w:val="00754B57"/>
    <w:rsid w:val="0075671D"/>
    <w:rsid w:val="0076002F"/>
    <w:rsid w:val="0076038B"/>
    <w:rsid w:val="00761744"/>
    <w:rsid w:val="00764582"/>
    <w:rsid w:val="00765FA3"/>
    <w:rsid w:val="00766961"/>
    <w:rsid w:val="00766B5A"/>
    <w:rsid w:val="00770C33"/>
    <w:rsid w:val="007741C3"/>
    <w:rsid w:val="007779DF"/>
    <w:rsid w:val="00777BE0"/>
    <w:rsid w:val="00780923"/>
    <w:rsid w:val="00780ACE"/>
    <w:rsid w:val="0078131F"/>
    <w:rsid w:val="00782D47"/>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45CE"/>
    <w:rsid w:val="0091729E"/>
    <w:rsid w:val="0093261E"/>
    <w:rsid w:val="0094008E"/>
    <w:rsid w:val="00941C0C"/>
    <w:rsid w:val="009437F2"/>
    <w:rsid w:val="0094528B"/>
    <w:rsid w:val="00956DC0"/>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1ACD"/>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667B"/>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582D"/>
    <w:rsid w:val="00C709F9"/>
    <w:rsid w:val="00C73A00"/>
    <w:rsid w:val="00C73A70"/>
    <w:rsid w:val="00C76054"/>
    <w:rsid w:val="00C779A2"/>
    <w:rsid w:val="00C80546"/>
    <w:rsid w:val="00C81041"/>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3D8A"/>
    <w:rsid w:val="00CB4B3E"/>
    <w:rsid w:val="00CB50EF"/>
    <w:rsid w:val="00CB58B0"/>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884"/>
    <w:rsid w:val="00D039B6"/>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3762"/>
    <w:rsid w:val="00DA426E"/>
    <w:rsid w:val="00DA4339"/>
    <w:rsid w:val="00DA4B1B"/>
    <w:rsid w:val="00DA4EFC"/>
    <w:rsid w:val="00DA648D"/>
    <w:rsid w:val="00DA726D"/>
    <w:rsid w:val="00DB3DEA"/>
    <w:rsid w:val="00DB40BD"/>
    <w:rsid w:val="00DB4B8E"/>
    <w:rsid w:val="00DB4F4B"/>
    <w:rsid w:val="00DC070F"/>
    <w:rsid w:val="00DC2ECE"/>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C4F"/>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5B4BE0"/>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5926894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76DC2783-8889-426B-A9F5-73680E18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8</Pages>
  <Words>2119</Words>
  <Characters>12079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Tarek Tranberg</cp:lastModifiedBy>
  <cp:revision>3</cp:revision>
  <cp:lastPrinted>2017-07-24T14:47:00Z</cp:lastPrinted>
  <dcterms:created xsi:type="dcterms:W3CDTF">2021-10-26T05:38:00Z</dcterms:created>
  <dcterms:modified xsi:type="dcterms:W3CDTF">2021-10-26T05:39:00Z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