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71BC2C38" w:rsidR="00C2682A" w:rsidRPr="00AB6D88" w:rsidRDefault="001A15D5" w:rsidP="00FA5524">
                <w:pPr>
                  <w:rPr>
                    <w:rStyle w:val="PlaceholderText"/>
                    <w:rFonts w:cs="Arial"/>
                  </w:rPr>
                </w:pPr>
                <w:r>
                  <w:rPr>
                    <w:rStyle w:val="PlaceholderText"/>
                    <w:rFonts w:cs="Arial"/>
                  </w:rPr>
                  <w:t>V</w:t>
                </w:r>
                <w:r>
                  <w:rPr>
                    <w:rStyle w:val="PlaceholderText"/>
                  </w:rPr>
                  <w:t>irtu Financial Europe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A4FBDD4" w:rsidR="00C2682A" w:rsidRPr="00AB6D88" w:rsidRDefault="00FA268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A15D5">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217E0E9" w:rsidR="00C2682A" w:rsidRPr="00AB6D88" w:rsidRDefault="001A15D5" w:rsidP="00FA5524">
                <w:pPr>
                  <w:rPr>
                    <w:rFonts w:cs="Arial"/>
                  </w:rPr>
                </w:pPr>
                <w:r>
                  <w:rPr>
                    <w:rFonts w:cs="Arial"/>
                  </w:rPr>
                  <w:t>Ireland</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20D8497A" w14:textId="77777777" w:rsidR="001A15D5" w:rsidRPr="001A15D5" w:rsidRDefault="001A15D5" w:rsidP="001A15D5">
      <w:pPr>
        <w:rPr>
          <w:lang w:val="en-US"/>
        </w:rPr>
      </w:pPr>
      <w:permStart w:id="1454525006" w:edGrp="everyone"/>
      <w:r w:rsidRPr="001A15D5">
        <w:rPr>
          <w:lang w:val="en-US"/>
        </w:rPr>
        <w:t xml:space="preserve">Virtu Financial Europe (collectively </w:t>
      </w:r>
      <w:r w:rsidRPr="001A15D5">
        <w:rPr>
          <w:b/>
          <w:bCs/>
          <w:lang w:val="en-US"/>
        </w:rPr>
        <w:t>'Virtu'</w:t>
      </w:r>
      <w:r w:rsidRPr="001A15D5">
        <w:rPr>
          <w:lang w:val="en-US"/>
        </w:rPr>
        <w:t>) is a group of investment firms authorised in both the EU and the UK which carry out a range of MiFID activities including market making, proprietary trading, brokerage services, acting as a systematic internaliser and the operation of a both an EU and UK Multilateral Trading Facility (“</w:t>
      </w:r>
      <w:r w:rsidRPr="001A15D5">
        <w:rPr>
          <w:b/>
          <w:bCs/>
          <w:lang w:val="en-US"/>
        </w:rPr>
        <w:t>MTF</w:t>
      </w:r>
      <w:r w:rsidRPr="001A15D5">
        <w:rPr>
          <w:lang w:val="en-US"/>
        </w:rPr>
        <w:t xml:space="preserve">”). </w:t>
      </w:r>
    </w:p>
    <w:p w14:paraId="2487861E" w14:textId="77777777" w:rsidR="001A15D5" w:rsidRPr="001A15D5" w:rsidRDefault="001A15D5" w:rsidP="001A15D5">
      <w:r w:rsidRPr="001A15D5">
        <w:rPr>
          <w:lang w:val="en-US"/>
        </w:rPr>
        <w:t>Virtu welcomes ESMA's efforts to reexamine the transparency technical standards.  We have focused our response on RTS 1 issues and refer to previous submissions made in response to ESMA’s review of MiFIR</w:t>
      </w:r>
      <w:r w:rsidRPr="001A15D5">
        <w:rPr>
          <w:vertAlign w:val="superscript"/>
          <w:lang w:val="en-US"/>
        </w:rPr>
        <w:footnoteReference w:id="2"/>
      </w:r>
      <w:r w:rsidRPr="001A15D5">
        <w:rPr>
          <w:lang w:val="en-US"/>
        </w:rPr>
        <w:t>. We are happy to engage with ESMA further on these matters, either as a standalone firm or through our trade association FIA EPTA.</w:t>
      </w:r>
    </w:p>
    <w:permEnd w:id="1454525006"/>
    <w:p w14:paraId="6A22288E" w14:textId="4339FCE3"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5D3FA4DF" w14:textId="77777777" w:rsidR="009706E5" w:rsidRPr="0017174D" w:rsidRDefault="009706E5" w:rsidP="009706E5">
      <w:pPr>
        <w:jc w:val="both"/>
        <w:rPr>
          <w:rFonts w:cs="Arial"/>
        </w:rPr>
      </w:pPr>
      <w:permStart w:id="1512797590" w:edGrp="everyone"/>
      <w:r w:rsidRPr="0017174D">
        <w:rPr>
          <w:rFonts w:cs="Arial"/>
        </w:rPr>
        <w:t>While we note that the proposal to change the LIS value has been reduced from the originally mooted €5million to €3 million we maintain that this blanket approach for all ETFs is not appropriate.</w:t>
      </w:r>
    </w:p>
    <w:p w14:paraId="6DA4F1F3" w14:textId="77777777" w:rsidR="009706E5" w:rsidRPr="0017174D" w:rsidRDefault="009706E5" w:rsidP="009706E5">
      <w:pPr>
        <w:jc w:val="both"/>
        <w:rPr>
          <w:rFonts w:cs="Arial"/>
        </w:rPr>
      </w:pPr>
      <w:r w:rsidRPr="0017174D">
        <w:rPr>
          <w:rFonts w:cs="Arial"/>
        </w:rPr>
        <w:t>If a change is to be made, then a distinction should be drawn between ETFs that are liquid or illiquid. An increase above €1million would be a significant trade size in illiquid ETFs. Illiquid ETF quote spreads would be negatively impacted by pre trade transparency which would be negative for end investors.</w:t>
      </w:r>
    </w:p>
    <w:p w14:paraId="6BE2E98A" w14:textId="77777777" w:rsidR="009706E5" w:rsidRPr="0017174D" w:rsidRDefault="009706E5" w:rsidP="009706E5">
      <w:pPr>
        <w:jc w:val="both"/>
        <w:rPr>
          <w:rFonts w:cs="Arial"/>
        </w:rPr>
      </w:pPr>
      <w:r w:rsidRPr="0017174D">
        <w:rPr>
          <w:rFonts w:cs="Arial"/>
        </w:rPr>
        <w:t>The liquidity of an ETF is not only defined by how frequently or how much it trades on a daily basis - an ETF is as liquid as the underlying basket or proxy assets to that basket. We would suggest a method which looks at the liquidity of the underlying basket or proxy assets to determine whether an ETF is liquid or not. For example, an S&amp;P 500 ETF that trades frequently on exchange is likely to have similar liquidity to that of an S&amp;P 500 ETF that trades infrequently, as the underlying basket via the creation/redemption process or proxy assets, such as futures, dictates the total liquidity.</w:t>
      </w:r>
    </w:p>
    <w:p w14:paraId="2F6A96A1" w14:textId="3AA81523" w:rsidR="000A609F" w:rsidRDefault="000A609F" w:rsidP="000A609F"/>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5E1DCD4A" w14:textId="77777777" w:rsidR="009706E5" w:rsidRPr="0017174D" w:rsidRDefault="009706E5" w:rsidP="009706E5">
      <w:pPr>
        <w:jc w:val="both"/>
        <w:rPr>
          <w:rFonts w:cs="Arial"/>
          <w:shd w:val="clear" w:color="auto" w:fill="FFFFFF"/>
        </w:rPr>
      </w:pPr>
      <w:permStart w:id="2084269393" w:edGrp="everyone"/>
      <w:r w:rsidRPr="0017174D">
        <w:rPr>
          <w:rFonts w:cs="Arial"/>
          <w:shd w:val="clear" w:color="auto" w:fill="FFFFFF"/>
        </w:rPr>
        <w:t>We note ESMA’s reduction in the threshold from the mooted €20million in the Call for Evidence but continue to oppose ESMA's recommendation of raising ETFs threshold above €10million.  The majority of ETF liquidity provision comes from market maker liquidity.  The immediate publication of trades as large as €15million would have a negative impact on quoted risk spreads, in particular for less liquid ETFs.  A reasonable delay should continue to be permitted for the hedging of risk associated with principal liquidity provision.  Without this delay, end investors would be impacted by wider spreads.</w:t>
      </w:r>
    </w:p>
    <w:p w14:paraId="6B05E00A" w14:textId="1C6EC79A" w:rsidR="000A609F" w:rsidRDefault="000A609F" w:rsidP="000A609F"/>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73520335" w14:textId="77777777" w:rsidR="009706E5" w:rsidRPr="0017174D" w:rsidRDefault="009706E5" w:rsidP="009706E5">
      <w:pPr>
        <w:jc w:val="both"/>
        <w:rPr>
          <w:rFonts w:cs="Arial"/>
        </w:rPr>
      </w:pPr>
      <w:permStart w:id="345523561" w:edGrp="everyone"/>
      <w:r w:rsidRPr="0017174D">
        <w:rPr>
          <w:rFonts w:cs="Arial"/>
        </w:rPr>
        <w:t>Yes, we support the changes as proposed and welcome the clarity they will bring to the regime.</w:t>
      </w:r>
    </w:p>
    <w:p w14:paraId="2EA0689A" w14:textId="05E6BB06" w:rsidR="000A609F" w:rsidRDefault="000A609F" w:rsidP="000A609F"/>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08164CB1" w14:textId="77777777" w:rsidR="009706E5" w:rsidRPr="0017174D" w:rsidRDefault="009706E5" w:rsidP="009706E5">
      <w:pPr>
        <w:jc w:val="both"/>
        <w:rPr>
          <w:rFonts w:cs="Arial"/>
        </w:rPr>
      </w:pPr>
      <w:permStart w:id="336408232" w:edGrp="everyone"/>
      <w:r w:rsidRPr="0017174D">
        <w:rPr>
          <w:rFonts w:cs="Arial"/>
        </w:rPr>
        <w:t>We do not agree with delimitating FBAs from traditional periodic auctions.</w:t>
      </w:r>
    </w:p>
    <w:p w14:paraId="5A88DE64" w14:textId="77777777" w:rsidR="009706E5" w:rsidRPr="0017174D" w:rsidRDefault="009706E5" w:rsidP="009706E5">
      <w:pPr>
        <w:jc w:val="both"/>
        <w:rPr>
          <w:rFonts w:cs="Arial"/>
        </w:rPr>
      </w:pPr>
      <w:r w:rsidRPr="0017174D">
        <w:rPr>
          <w:rFonts w:cs="Arial"/>
        </w:rPr>
        <w:t xml:space="preserve">During conventional periodic and frequent batch auctions (FBAs), the indicative Price and Volume are the most important values required for electronic interaction. This information becomes available only when there are both Buy and Sell orders present. </w:t>
      </w:r>
    </w:p>
    <w:p w14:paraId="4FC89617" w14:textId="77777777" w:rsidR="009706E5" w:rsidRPr="0017174D" w:rsidRDefault="009706E5" w:rsidP="009706E5">
      <w:pPr>
        <w:jc w:val="both"/>
        <w:rPr>
          <w:rFonts w:cs="Arial"/>
        </w:rPr>
      </w:pPr>
      <w:r w:rsidRPr="0017174D">
        <w:rPr>
          <w:rFonts w:cs="Arial"/>
        </w:rPr>
        <w:t>Virtu does not agree with the proposal to require the disclosure of orders submitted to FBAs, orders which are submitted and are only single sided will not trigger the publication of Indicative Volume and Price and could have adverse effect or larger trading impact.</w:t>
      </w:r>
    </w:p>
    <w:p w14:paraId="5D32E28B" w14:textId="77777777" w:rsidR="009706E5" w:rsidRPr="0017174D" w:rsidRDefault="009706E5" w:rsidP="009706E5">
      <w:pPr>
        <w:jc w:val="both"/>
        <w:rPr>
          <w:rFonts w:cs="Arial"/>
        </w:rPr>
      </w:pPr>
      <w:r w:rsidRPr="0017174D">
        <w:rPr>
          <w:rFonts w:cs="Arial"/>
        </w:rPr>
        <w:t>FBAs operate in a manner very similar to that of conventional periodic auctions on primary exchanges and we do not consider that they ought to be subject to distinct regimes. Based on Virtu’s internal research, execution in FBAs have a higher quality of executions in the form of adverse selection relative to lit execu</w:t>
      </w:r>
      <w:r w:rsidRPr="0017174D">
        <w:rPr>
          <w:rFonts w:cs="Arial"/>
        </w:rPr>
        <w:lastRenderedPageBreak/>
        <w:t>tions on Primary and MTFs. FBAs help investors by reducing market impact – that benefit would be undermined by requiring the disclosure of all orders submitted to FBAs. Virtu notes that it may be contradictory to enable hidden or partially hidden iceberg orders on certain markets, proposed by ESMA in the MiFIR review</w:t>
      </w:r>
      <w:r w:rsidRPr="0017174D">
        <w:rPr>
          <w:rStyle w:val="FootnoteReference"/>
          <w:rFonts w:cs="Arial"/>
        </w:rPr>
        <w:footnoteReference w:id="3"/>
      </w:r>
      <w:r w:rsidRPr="0017174D">
        <w:rPr>
          <w:rFonts w:cs="Arial"/>
        </w:rPr>
        <w:t>, but to require the disclosure of all orders submitted to FBAs.</w:t>
      </w:r>
    </w:p>
    <w:p w14:paraId="0429E7CF" w14:textId="77777777" w:rsidR="009706E5" w:rsidRPr="0017174D" w:rsidRDefault="009706E5" w:rsidP="009706E5">
      <w:pPr>
        <w:jc w:val="both"/>
        <w:rPr>
          <w:rFonts w:cs="Arial"/>
        </w:rPr>
      </w:pPr>
      <w:r w:rsidRPr="0017174D">
        <w:rPr>
          <w:rFonts w:cs="Arial"/>
        </w:rPr>
        <w:t xml:space="preserve">We further refute the suggestion that FBAs constitute “non-price forming systems”. A distinction should be drawn between a venue on which the only uncrossing price available is necessarily fixed by reference to a price derived from elsewhere (which would be inherently non-price forming), and venues which facilitate the execution of orders which the client has instructed be pegged to the mid-point. </w:t>
      </w:r>
    </w:p>
    <w:p w14:paraId="56AEA699" w14:textId="77777777" w:rsidR="009706E5" w:rsidRPr="0017174D" w:rsidRDefault="009706E5" w:rsidP="009706E5">
      <w:pPr>
        <w:jc w:val="both"/>
        <w:rPr>
          <w:rFonts w:cs="Arial"/>
        </w:rPr>
      </w:pPr>
      <w:r w:rsidRPr="0017174D">
        <w:rPr>
          <w:rFonts w:cs="Arial"/>
        </w:rPr>
        <w:t>We agree that those venues which do not facilitate price-formation by means of their execution logic should operate under a pre-trade transparency waiver - however one should not confuse such venues with those which are facilitative of price-formation but, due to the majority of investors electing to submit orders to that venue which are pegged to the mid, the price formation of the venue is less apparent.</w:t>
      </w:r>
    </w:p>
    <w:p w14:paraId="053A107B" w14:textId="77777777" w:rsidR="009706E5" w:rsidRPr="0017174D" w:rsidRDefault="009706E5" w:rsidP="009706E5">
      <w:pPr>
        <w:jc w:val="both"/>
        <w:rPr>
          <w:rFonts w:cs="Arial"/>
        </w:rPr>
      </w:pPr>
      <w:r w:rsidRPr="0017174D">
        <w:rPr>
          <w:rFonts w:cs="Arial"/>
        </w:rPr>
        <w:t xml:space="preserve">If a buyer and seller both decide to limit their orders to the mid-point, the price formation process on any venue would by definition produce a mid-point price as the only price at which they can and should match. That does not preclude the periodic auction from generating a different auction price in other scenarios based on the order prices entered e.g. a sell order with a fixed limit vs. a buy order with a price protection of peg ask could be anywhere within the limits of those 2 orders. </w:t>
      </w:r>
    </w:p>
    <w:p w14:paraId="1F96EA72" w14:textId="77777777" w:rsidR="009706E5" w:rsidRPr="0017174D" w:rsidRDefault="009706E5" w:rsidP="009706E5">
      <w:pPr>
        <w:jc w:val="both"/>
        <w:rPr>
          <w:rFonts w:cs="Arial"/>
        </w:rPr>
      </w:pPr>
      <w:r w:rsidRPr="0017174D">
        <w:rPr>
          <w:rFonts w:cs="Arial"/>
        </w:rPr>
        <w:t>Virtu would argue investors should be allowed to use pegged instructions as price protections on their orders without penalty.</w:t>
      </w:r>
    </w:p>
    <w:p w14:paraId="18BB9A5E" w14:textId="0D357E96" w:rsidR="000A609F" w:rsidRDefault="000A609F" w:rsidP="000A609F"/>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0674C7F0" w14:textId="77777777" w:rsidR="009706E5" w:rsidRPr="0017174D" w:rsidRDefault="009706E5" w:rsidP="009706E5">
      <w:pPr>
        <w:jc w:val="both"/>
        <w:rPr>
          <w:rFonts w:cs="Arial"/>
        </w:rPr>
      </w:pPr>
      <w:permStart w:id="908748387" w:edGrp="everyone"/>
      <w:r w:rsidRPr="0017174D">
        <w:rPr>
          <w:rFonts w:cs="Arial"/>
        </w:rPr>
        <w:t>Please see response to question 4.  We do not support either option for the reasons outlined therein.</w:t>
      </w:r>
    </w:p>
    <w:p w14:paraId="1CEC4BAF" w14:textId="35DE81D9" w:rsidR="000A609F" w:rsidRDefault="000A609F" w:rsidP="000A609F"/>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B2EF9C2" w14:textId="77777777" w:rsidR="009706E5" w:rsidRPr="0017174D" w:rsidRDefault="009706E5" w:rsidP="009706E5">
      <w:pPr>
        <w:jc w:val="both"/>
        <w:rPr>
          <w:rFonts w:cs="Arial"/>
        </w:rPr>
      </w:pPr>
      <w:permStart w:id="1323308231" w:edGrp="everyone"/>
      <w:r w:rsidRPr="0017174D">
        <w:rPr>
          <w:rFonts w:cs="Arial"/>
        </w:rPr>
        <w:t>Yes, we support the proposal.</w:t>
      </w:r>
    </w:p>
    <w:p w14:paraId="10355D66" w14:textId="3BE75D2E" w:rsidR="000A609F" w:rsidRDefault="000A609F" w:rsidP="000A609F"/>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16E8B92B" w14:textId="77777777" w:rsidR="009706E5" w:rsidRPr="0017174D" w:rsidRDefault="009706E5" w:rsidP="009706E5">
      <w:pPr>
        <w:jc w:val="both"/>
        <w:rPr>
          <w:rFonts w:cs="Arial"/>
        </w:rPr>
      </w:pPr>
      <w:permStart w:id="764624971" w:edGrp="everyone"/>
      <w:r w:rsidRPr="0017174D">
        <w:rPr>
          <w:rFonts w:cs="Arial"/>
        </w:rPr>
        <w:t>Yes, we support these amendments and the clarity they would bring.</w:t>
      </w:r>
    </w:p>
    <w:p w14:paraId="5B796C1F" w14:textId="5D51FAC5" w:rsidR="000A609F" w:rsidRDefault="000A609F" w:rsidP="000A609F"/>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6B3B6AC1" w14:textId="77777777" w:rsidR="009706E5" w:rsidRPr="0017174D" w:rsidRDefault="009706E5" w:rsidP="009706E5">
      <w:pPr>
        <w:jc w:val="both"/>
        <w:rPr>
          <w:rFonts w:cs="Arial"/>
        </w:rPr>
      </w:pPr>
      <w:permStart w:id="693053983" w:edGrp="everyone"/>
      <w:r w:rsidRPr="0017174D">
        <w:rPr>
          <w:rFonts w:cs="Arial"/>
        </w:rPr>
        <w:t>We support the amendments as outlined.</w:t>
      </w:r>
    </w:p>
    <w:p w14:paraId="4466E2E5" w14:textId="024ABB31" w:rsidR="000A609F" w:rsidRDefault="000A609F" w:rsidP="000A609F"/>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5D4D6990" w14:textId="77777777" w:rsidR="009706E5" w:rsidRPr="0017174D" w:rsidRDefault="009706E5" w:rsidP="009706E5">
      <w:pPr>
        <w:jc w:val="both"/>
        <w:rPr>
          <w:rFonts w:cs="Arial"/>
        </w:rPr>
      </w:pPr>
      <w:permStart w:id="802323909" w:edGrp="everyone"/>
      <w:r w:rsidRPr="0017174D">
        <w:rPr>
          <w:rFonts w:cs="Arial"/>
        </w:rPr>
        <w:t>Yes, we support the changes proposed. Alternatively, the wording could be amended to allow for reporting up to one hour after the commencement of the next trading day.</w:t>
      </w:r>
    </w:p>
    <w:p w14:paraId="7DD798C5" w14:textId="77777777" w:rsidR="009706E5" w:rsidRPr="0017174D" w:rsidRDefault="009706E5" w:rsidP="009706E5">
      <w:pPr>
        <w:jc w:val="both"/>
        <w:rPr>
          <w:rFonts w:cs="Arial"/>
        </w:rPr>
      </w:pPr>
      <w:r w:rsidRPr="0017174D">
        <w:rPr>
          <w:rFonts w:cs="Arial"/>
        </w:rPr>
        <w:t>The drafting could then read:</w:t>
      </w:r>
    </w:p>
    <w:p w14:paraId="530CA724" w14:textId="77777777" w:rsidR="009706E5" w:rsidRPr="0017174D" w:rsidRDefault="009706E5" w:rsidP="009706E5">
      <w:pPr>
        <w:jc w:val="both"/>
        <w:rPr>
          <w:rFonts w:cs="Arial"/>
        </w:rPr>
      </w:pPr>
      <w:r w:rsidRPr="0017174D">
        <w:rPr>
          <w:rFonts w:cs="Arial"/>
        </w:rPr>
        <w:t>15.3 For transactions for which deferred publication is permitted until the end of the trading day as specified in Tables 4, 5 and 6 of Annex II, investment firms trading outside a trading venue and market operators and investment firms operating a trading venue shall make public the details of those transactions either:</w:t>
      </w:r>
    </w:p>
    <w:p w14:paraId="2774E75F" w14:textId="77777777" w:rsidR="009706E5" w:rsidRPr="0017174D" w:rsidRDefault="009706E5" w:rsidP="009706E5">
      <w:pPr>
        <w:jc w:val="both"/>
        <w:rPr>
          <w:rFonts w:cs="Arial"/>
        </w:rPr>
      </w:pPr>
      <w:r w:rsidRPr="0017174D">
        <w:rPr>
          <w:rFonts w:cs="Arial"/>
        </w:rPr>
        <w:t xml:space="preserve">(a) as close to real-time as possible after the end of the trading day which includes the closing auction, where applicable, for transactions executed more than two hours before the end of the trading </w:t>
      </w:r>
      <w:proofErr w:type="gramStart"/>
      <w:r w:rsidRPr="0017174D">
        <w:rPr>
          <w:rFonts w:cs="Arial"/>
        </w:rPr>
        <w:t>day;</w:t>
      </w:r>
      <w:proofErr w:type="gramEnd"/>
    </w:p>
    <w:p w14:paraId="4ADCF271" w14:textId="77777777" w:rsidR="009706E5" w:rsidRPr="0017174D" w:rsidRDefault="009706E5" w:rsidP="009706E5">
      <w:pPr>
        <w:jc w:val="both"/>
        <w:rPr>
          <w:rFonts w:cs="Arial"/>
        </w:rPr>
      </w:pPr>
      <w:r w:rsidRPr="0017174D">
        <w:rPr>
          <w:rFonts w:cs="Arial"/>
        </w:rPr>
        <w:t>(b) no later than one hour after the opening of the trading day of the most relevant market in terms of liquidity on the next trading day for transactions not covered in point (a).</w:t>
      </w:r>
    </w:p>
    <w:p w14:paraId="6ECEADA1" w14:textId="1D3AD2A9" w:rsidR="000A609F" w:rsidRDefault="000A609F" w:rsidP="000A609F"/>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034CCA5B" w14:textId="77777777" w:rsidR="009706E5" w:rsidRPr="0017174D" w:rsidRDefault="009706E5" w:rsidP="009706E5">
      <w:pPr>
        <w:jc w:val="both"/>
        <w:rPr>
          <w:rFonts w:cs="Arial"/>
        </w:rPr>
      </w:pPr>
      <w:permStart w:id="683432005" w:edGrp="everyone"/>
      <w:r w:rsidRPr="0017174D">
        <w:rPr>
          <w:rFonts w:cs="Arial"/>
        </w:rPr>
        <w:t>Yes, we support the changes as outlined.</w:t>
      </w:r>
    </w:p>
    <w:p w14:paraId="63901D27" w14:textId="108FC867" w:rsidR="000A609F" w:rsidRDefault="000A609F" w:rsidP="000A609F"/>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1CDFBDB6" w14:textId="77777777" w:rsidR="009706E5" w:rsidRPr="0017174D" w:rsidRDefault="009706E5" w:rsidP="009706E5">
      <w:pPr>
        <w:jc w:val="both"/>
        <w:rPr>
          <w:rFonts w:cs="Arial"/>
        </w:rPr>
      </w:pPr>
      <w:permStart w:id="1927510640" w:edGrp="everyone"/>
      <w:r w:rsidRPr="0017174D">
        <w:rPr>
          <w:rFonts w:cs="Arial"/>
        </w:rPr>
        <w:t>Yes, we support the changes as outlined.</w:t>
      </w:r>
    </w:p>
    <w:p w14:paraId="523326F0" w14:textId="04C41253" w:rsidR="000A609F" w:rsidRDefault="000A609F" w:rsidP="000A609F"/>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6AE9D190" w14:textId="77777777" w:rsidR="009706E5" w:rsidRPr="0017174D" w:rsidRDefault="009706E5" w:rsidP="009706E5">
      <w:pPr>
        <w:jc w:val="both"/>
        <w:rPr>
          <w:rFonts w:cs="Arial"/>
        </w:rPr>
      </w:pPr>
      <w:permStart w:id="1353266664" w:edGrp="everyone"/>
      <w:r w:rsidRPr="0017174D">
        <w:rPr>
          <w:rFonts w:cs="Arial"/>
        </w:rPr>
        <w:t>Yes, we support these changes as outlined.</w:t>
      </w:r>
    </w:p>
    <w:p w14:paraId="5D317F7F" w14:textId="0593444F" w:rsidR="000A609F" w:rsidRDefault="000A609F" w:rsidP="000A609F"/>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534C5241" w14:textId="77777777" w:rsidR="009706E5" w:rsidRPr="0017174D" w:rsidRDefault="009706E5" w:rsidP="009706E5">
      <w:pPr>
        <w:jc w:val="both"/>
        <w:rPr>
          <w:rFonts w:cs="Arial"/>
        </w:rPr>
      </w:pPr>
      <w:permStart w:id="1454447199" w:edGrp="everyone"/>
      <w:r w:rsidRPr="0017174D">
        <w:rPr>
          <w:rFonts w:cs="Arial"/>
        </w:rPr>
        <w:lastRenderedPageBreak/>
        <w:t>Yes, we support ESMA’s proposal as outlined.</w:t>
      </w:r>
    </w:p>
    <w:p w14:paraId="234AA34B" w14:textId="26DC8AA5" w:rsidR="000A609F" w:rsidRDefault="000A609F" w:rsidP="000A609F"/>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1BFBF024" w14:textId="77777777" w:rsidR="009706E5" w:rsidRPr="0017174D" w:rsidRDefault="009706E5" w:rsidP="009706E5">
      <w:pPr>
        <w:jc w:val="both"/>
        <w:rPr>
          <w:rFonts w:cs="Arial"/>
        </w:rPr>
      </w:pPr>
      <w:permStart w:id="800200996" w:edGrp="everyone"/>
      <w:r w:rsidRPr="0017174D">
        <w:rPr>
          <w:rFonts w:cs="Arial"/>
        </w:rPr>
        <w:t>Yes, we support the proposal of the new tables as outlined.</w:t>
      </w:r>
    </w:p>
    <w:p w14:paraId="495205B3" w14:textId="351804EF" w:rsidR="000A609F" w:rsidRDefault="000A609F" w:rsidP="000A609F"/>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0BEECA68" w14:textId="77777777" w:rsidR="009706E5" w:rsidRPr="0017174D" w:rsidRDefault="009706E5" w:rsidP="009706E5">
      <w:pPr>
        <w:jc w:val="both"/>
        <w:rPr>
          <w:rFonts w:cs="Arial"/>
        </w:rPr>
      </w:pPr>
      <w:permStart w:id="1456035944" w:edGrp="everyone"/>
      <w:r w:rsidRPr="0017174D">
        <w:rPr>
          <w:rFonts w:cs="Arial"/>
        </w:rPr>
        <w:t xml:space="preserve">Yes, we agree that these flags should be deleted as they are rarely used effect data quality.  </w:t>
      </w:r>
    </w:p>
    <w:p w14:paraId="47EBD4F0" w14:textId="2C3BC484" w:rsidR="000A609F" w:rsidRDefault="000A609F" w:rsidP="000A609F"/>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510E6B32" w14:textId="77777777" w:rsidR="009F2AAD" w:rsidRDefault="009F2AAD" w:rsidP="009F2AAD">
      <w:pPr>
        <w:jc w:val="both"/>
      </w:pPr>
      <w:permStart w:id="141764790" w:edGrp="everyone"/>
      <w:r>
        <w:t>Yes, we agree with this deletion.</w:t>
      </w:r>
    </w:p>
    <w:p w14:paraId="4D4EC063" w14:textId="14E93121" w:rsidR="000A609F" w:rsidRDefault="000A609F" w:rsidP="000A609F"/>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1609EF49" w14:textId="77777777" w:rsidR="009F2AAD" w:rsidRDefault="009F2AAD" w:rsidP="009F2AAD">
      <w:pPr>
        <w:jc w:val="both"/>
      </w:pPr>
      <w:permStart w:id="683039510" w:edGrp="everyone"/>
      <w:r>
        <w:t>Yes, we agree with these additions.</w:t>
      </w:r>
    </w:p>
    <w:p w14:paraId="7664CA20" w14:textId="18F48913" w:rsidR="000A609F" w:rsidRDefault="000A609F" w:rsidP="000A609F"/>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465546C3" w14:textId="77777777" w:rsidR="009F2AAD" w:rsidRDefault="009F2AAD" w:rsidP="009F2AAD">
      <w:pPr>
        <w:jc w:val="both"/>
      </w:pPr>
      <w:permStart w:id="2136082965" w:edGrp="everyone"/>
      <w:r>
        <w:t>Yes, we agree with the proposal as the current widespread use of LRGS is not correct or appropriate.  To prevent information leakage the flag should only be used for completely filled LIS orders.</w:t>
      </w:r>
    </w:p>
    <w:p w14:paraId="1B91EB1E" w14:textId="6BE9BA26" w:rsidR="000A609F" w:rsidRDefault="000A609F" w:rsidP="000A609F"/>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lastRenderedPageBreak/>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629D1E6D" w14:textId="77777777" w:rsidR="009F2AAD" w:rsidRDefault="009F2AAD" w:rsidP="009F2AAD">
      <w:pPr>
        <w:jc w:val="both"/>
      </w:pPr>
      <w:permStart w:id="1655654043" w:edGrp="everyone"/>
      <w:r>
        <w:t>Yes, we agree that these additional flags are not necessary for the reasons outlined therein.</w:t>
      </w:r>
    </w:p>
    <w:p w14:paraId="42079918" w14:textId="28B5D445" w:rsidR="000E78C1" w:rsidRDefault="000E78C1" w:rsidP="000E78C1"/>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5632D58C" w14:textId="77777777" w:rsidR="009F2AAD" w:rsidRPr="00532A27" w:rsidRDefault="009F2AAD" w:rsidP="009F2AAD">
      <w:pPr>
        <w:jc w:val="both"/>
      </w:pPr>
      <w:permStart w:id="460739192" w:edGrp="everyone"/>
      <w:r>
        <w:t>Yes, we agree with the proposal. It will be especially helpful given the impetus for developing a CT.</w:t>
      </w:r>
    </w:p>
    <w:p w14:paraId="0D1FC93B" w14:textId="312AE8D4" w:rsidR="000A609F" w:rsidRDefault="000A609F" w:rsidP="000A609F"/>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77777777" w:rsidR="000A609F" w:rsidRDefault="000A609F" w:rsidP="000A609F">
      <w:permStart w:id="1377646280" w:edGrp="everyone"/>
      <w:r>
        <w:t>TYPE YOUR TEXT HERE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lastRenderedPageBreak/>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lastRenderedPageBreak/>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5D694" w14:textId="77777777" w:rsidR="00FA2687" w:rsidRDefault="00FA2687">
      <w:r>
        <w:separator/>
      </w:r>
    </w:p>
    <w:p w14:paraId="2D85DFFB" w14:textId="77777777" w:rsidR="00FA2687" w:rsidRDefault="00FA2687"/>
  </w:endnote>
  <w:endnote w:type="continuationSeparator" w:id="0">
    <w:p w14:paraId="6D36BC16" w14:textId="77777777" w:rsidR="00FA2687" w:rsidRDefault="00FA2687">
      <w:r>
        <w:continuationSeparator/>
      </w:r>
    </w:p>
    <w:p w14:paraId="67DA7700" w14:textId="77777777" w:rsidR="00FA2687" w:rsidRDefault="00FA2687"/>
  </w:endnote>
  <w:endnote w:type="continuationNotice" w:id="1">
    <w:p w14:paraId="7647B891" w14:textId="77777777" w:rsidR="00FA2687" w:rsidRDefault="00FA2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E35A9" w14:textId="77777777" w:rsidR="00FA2687" w:rsidRDefault="00FA2687">
      <w:r>
        <w:separator/>
      </w:r>
    </w:p>
    <w:p w14:paraId="685D7247" w14:textId="77777777" w:rsidR="00FA2687" w:rsidRDefault="00FA2687"/>
  </w:footnote>
  <w:footnote w:type="continuationSeparator" w:id="0">
    <w:p w14:paraId="6F30BC14" w14:textId="77777777" w:rsidR="00FA2687" w:rsidRDefault="00FA2687">
      <w:r>
        <w:continuationSeparator/>
      </w:r>
    </w:p>
    <w:p w14:paraId="3BAC2DB9" w14:textId="77777777" w:rsidR="00FA2687" w:rsidRDefault="00FA2687"/>
  </w:footnote>
  <w:footnote w:type="continuationNotice" w:id="1">
    <w:p w14:paraId="072EEF3F" w14:textId="77777777" w:rsidR="00FA2687" w:rsidRDefault="00FA2687"/>
  </w:footnote>
  <w:footnote w:id="2">
    <w:p w14:paraId="7E30FA98" w14:textId="77777777" w:rsidR="001A15D5" w:rsidRDefault="001A15D5" w:rsidP="001A15D5">
      <w:pPr>
        <w:pStyle w:val="FootnoteText"/>
      </w:pPr>
      <w:r>
        <w:rPr>
          <w:rStyle w:val="FootnoteReference"/>
        </w:rPr>
        <w:footnoteRef/>
      </w:r>
      <w:r>
        <w:t xml:space="preserve"> </w:t>
      </w:r>
      <w:r w:rsidRPr="006F6672">
        <w:t>ESMA70-156-2188</w:t>
      </w:r>
    </w:p>
  </w:footnote>
  <w:footnote w:id="3">
    <w:p w14:paraId="7BACCDE2" w14:textId="77777777" w:rsidR="009706E5" w:rsidRDefault="009706E5" w:rsidP="009706E5">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810"/>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3D45"/>
    <w:rsid w:val="0019508A"/>
    <w:rsid w:val="001960D8"/>
    <w:rsid w:val="001A15D5"/>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30C"/>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1DD"/>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06E5"/>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2AAD"/>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EAD"/>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2F2"/>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2687"/>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17513</Characters>
  <Application>Microsoft Office Word</Application>
  <DocSecurity>8</DocSecurity>
  <Lines>145</Lines>
  <Paragraphs>41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20544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Alvsaker</cp:lastModifiedBy>
  <cp:revision>2</cp:revision>
  <cp:lastPrinted>2015-02-18T11:01:00Z</cp:lastPrinted>
  <dcterms:created xsi:type="dcterms:W3CDTF">2021-10-11T09:50:00Z</dcterms:created>
  <dcterms:modified xsi:type="dcterms:W3CDTF">2021-10-11T09:50:00Z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