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490CAE7C" w:rsidR="00C2682A" w:rsidRPr="00AB6D88" w:rsidRDefault="0034449A" w:rsidP="00FA5524">
                <w:pPr>
                  <w:rPr>
                    <w:rStyle w:val="PlaceholderText"/>
                    <w:rFonts w:cs="Arial"/>
                  </w:rPr>
                </w:pPr>
                <w:r>
                  <w:rPr>
                    <w:rStyle w:val="PlaceholderText"/>
                    <w:rFonts w:cs="Arial"/>
                  </w:rPr>
                  <w:t>Invesco</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5AE699A5" w:rsidR="00C2682A" w:rsidRPr="00AB6D88" w:rsidRDefault="00D2696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4449A">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0D357274" w:rsidR="00C2682A" w:rsidRPr="00AB6D88" w:rsidRDefault="0027794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8F3CF9F" w:rsidR="00C2682A" w:rsidRPr="00AB6D88" w:rsidRDefault="0034449A" w:rsidP="00FA5524">
                <w:pPr>
                  <w:rPr>
                    <w:rFonts w:cs="Arial"/>
                  </w:rPr>
                </w:pPr>
                <w:r>
                  <w:rPr>
                    <w:rFonts w:cs="Arial"/>
                  </w:rPr>
                  <w:t>International</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6A22288E" w14:textId="5B189CDD" w:rsidR="00F87897" w:rsidRDefault="00F87897" w:rsidP="00F87897">
      <w:permStart w:id="1454525006" w:edGrp="everyone"/>
    </w:p>
    <w:p w14:paraId="5A46BD4C" w14:textId="6450B45A" w:rsidR="00F87897" w:rsidRDefault="00F87897" w:rsidP="00F87897"/>
    <w:p w14:paraId="36681027" w14:textId="6EFFA937" w:rsidR="0034449A" w:rsidRDefault="0034449A" w:rsidP="0034449A">
      <w:r>
        <w:t xml:space="preserve">As a global asset manager with operations across the EU, Invesco welcomes the opportunity to contribute to the European Securities and Markets Authority (ESMA) consultation on the </w:t>
      </w:r>
      <w:r w:rsidR="005133DE">
        <w:t>review</w:t>
      </w:r>
      <w:r>
        <w:t xml:space="preserve"> of the EU </w:t>
      </w:r>
      <w:proofErr w:type="spellStart"/>
      <w:r>
        <w:t>MiFI</w:t>
      </w:r>
      <w:r w:rsidR="005133DE">
        <w:t>R</w:t>
      </w:r>
      <w:proofErr w:type="spellEnd"/>
      <w:r w:rsidR="005133DE">
        <w:t xml:space="preserve"> regulatory technical standards (RTS) specifying pre- and post-trade transparency requirements for equity and non-equity instruments.</w:t>
      </w:r>
    </w:p>
    <w:p w14:paraId="441F30EF" w14:textId="77777777" w:rsidR="0034449A" w:rsidRDefault="0034449A" w:rsidP="0034449A"/>
    <w:p w14:paraId="5140853A" w14:textId="733303B9" w:rsidR="0034449A" w:rsidRDefault="0034449A" w:rsidP="0034449A">
      <w:r>
        <w:t xml:space="preserve">While the </w:t>
      </w:r>
      <w:r w:rsidR="005133DE">
        <w:t xml:space="preserve">EU </w:t>
      </w:r>
      <w:r>
        <w:t>MiFID II/</w:t>
      </w:r>
      <w:proofErr w:type="spellStart"/>
      <w:r>
        <w:t>MiFIR</w:t>
      </w:r>
      <w:proofErr w:type="spellEnd"/>
      <w:r>
        <w:t xml:space="preserve"> framework has only been in application since January 2018, it is appropriate to consider the application and effectiveness of the regulatory framework in the context of the effective functioning of European financial markets.</w:t>
      </w:r>
    </w:p>
    <w:p w14:paraId="0983ABD8" w14:textId="77777777" w:rsidR="0034449A" w:rsidRDefault="0034449A" w:rsidP="0034449A"/>
    <w:p w14:paraId="3343F2D7" w14:textId="498DCCB6" w:rsidR="0034449A" w:rsidRDefault="0034449A" w:rsidP="0034449A">
      <w:r>
        <w:t>On balance, we believe that the implementation of</w:t>
      </w:r>
      <w:r w:rsidR="005133DE">
        <w:t xml:space="preserve"> EU</w:t>
      </w:r>
      <w:r>
        <w:t xml:space="preserve"> MiFID II/</w:t>
      </w:r>
      <w:proofErr w:type="spellStart"/>
      <w:r>
        <w:t>MiFIR</w:t>
      </w:r>
      <w:proofErr w:type="spellEnd"/>
      <w:r>
        <w:t xml:space="preserve"> has generally improved the overall regulatory framework in financial services, and that significant and positive progress as regards market structure has been achieved. However, we also believe that the framework would benefit from some targeted amendments and optimisations.</w:t>
      </w:r>
    </w:p>
    <w:p w14:paraId="6FE9EC3C" w14:textId="77777777" w:rsidR="0034449A" w:rsidRDefault="0034449A" w:rsidP="0034449A"/>
    <w:p w14:paraId="50C7E3BE" w14:textId="77777777" w:rsidR="0034449A" w:rsidRDefault="0034449A" w:rsidP="0034449A">
      <w:r>
        <w:t>As such, in responding to this consultation, we have focused on the following area:</w:t>
      </w:r>
    </w:p>
    <w:p w14:paraId="6BE41ABF" w14:textId="77777777" w:rsidR="0034449A" w:rsidRDefault="0034449A" w:rsidP="0034449A"/>
    <w:p w14:paraId="052893E9" w14:textId="77777777" w:rsidR="00D204FB" w:rsidRDefault="00D204FB" w:rsidP="00D204FB">
      <w:pPr>
        <w:pStyle w:val="ListParagraph"/>
        <w:numPr>
          <w:ilvl w:val="0"/>
          <w:numId w:val="39"/>
        </w:numPr>
      </w:pPr>
      <w:r>
        <w:t xml:space="preserve">Pre-trade transparency for trading systems, in particular FBA trading systems </w:t>
      </w:r>
    </w:p>
    <w:p w14:paraId="1F78CE5C" w14:textId="38F963B8" w:rsidR="0034449A" w:rsidRDefault="005133DE" w:rsidP="0034449A">
      <w:pPr>
        <w:pStyle w:val="ListParagraph"/>
        <w:numPr>
          <w:ilvl w:val="0"/>
          <w:numId w:val="39"/>
        </w:numPr>
      </w:pPr>
      <w:r>
        <w:t>A</w:t>
      </w:r>
      <w:r w:rsidR="00C44DE6">
        <w:t>mendments to the LIS thresholds for waivers and deferrals for ETFs</w:t>
      </w:r>
    </w:p>
    <w:p w14:paraId="5DAD2FAB" w14:textId="069F8A8C" w:rsidR="005133DE" w:rsidRDefault="00D204FB" w:rsidP="005133DE">
      <w:pPr>
        <w:pStyle w:val="ListParagraph"/>
        <w:numPr>
          <w:ilvl w:val="0"/>
          <w:numId w:val="39"/>
        </w:numPr>
      </w:pPr>
      <w:r>
        <w:t>Amendments to LIS and SSTI thresholds in RTS 2</w:t>
      </w:r>
    </w:p>
    <w:p w14:paraId="63D19F07" w14:textId="4EFB8D40" w:rsidR="0034449A" w:rsidRDefault="00C44DE6" w:rsidP="0034449A">
      <w:pPr>
        <w:pStyle w:val="ListParagraph"/>
        <w:numPr>
          <w:ilvl w:val="0"/>
          <w:numId w:val="39"/>
        </w:numPr>
      </w:pPr>
      <w:r>
        <w:t>Implementation and timing issues</w:t>
      </w:r>
    </w:p>
    <w:p w14:paraId="0D699775" w14:textId="77777777" w:rsidR="00C44DE6" w:rsidRDefault="00C44DE6" w:rsidP="00C44DE6"/>
    <w:p w14:paraId="0723D8CF" w14:textId="47009F23" w:rsidR="00F87897" w:rsidRDefault="0034449A" w:rsidP="0034449A">
      <w:r>
        <w:t xml:space="preserve">Invesco can provide further detail </w:t>
      </w:r>
      <w:r w:rsidR="005133DE">
        <w:t xml:space="preserve">on these issues </w:t>
      </w:r>
      <w:r>
        <w:t>at ESMA’s request.</w:t>
      </w:r>
    </w:p>
    <w:p w14:paraId="37CBCE07" w14:textId="77777777" w:rsidR="0034449A" w:rsidRDefault="0034449A" w:rsidP="00F87897"/>
    <w:p w14:paraId="31EF4345" w14:textId="42F47A32" w:rsidR="00F87897" w:rsidRDefault="00F87897" w:rsidP="00F87897"/>
    <w:permEnd w:id="1454525006"/>
    <w:p w14:paraId="3800989F" w14:textId="77777777" w:rsidR="00F87897" w:rsidRDefault="00F87897" w:rsidP="00F87897"/>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39564279" w14:textId="77777777" w:rsidR="009F22A2" w:rsidRDefault="009F22A2" w:rsidP="000A609F">
      <w:permStart w:id="1512797590" w:edGrp="everyone"/>
    </w:p>
    <w:p w14:paraId="7EE07343" w14:textId="77777777" w:rsidR="009F22A2" w:rsidRDefault="009F22A2" w:rsidP="000A609F"/>
    <w:p w14:paraId="17E00EFD" w14:textId="77777777" w:rsidR="00A606C4" w:rsidRDefault="00854F8E" w:rsidP="000A609F">
      <w:r>
        <w:t xml:space="preserve">Invesco agrees with ESMA’s proposal to amend Article 7(2) of RTS 1 </w:t>
      </w:r>
      <w:r w:rsidRPr="00854F8E">
        <w:t>to increase the pre</w:t>
      </w:r>
      <w:r>
        <w:t>-</w:t>
      </w:r>
      <w:r w:rsidRPr="00854F8E">
        <w:t xml:space="preserve">trade </w:t>
      </w:r>
      <w:r>
        <w:t>large in scale (</w:t>
      </w:r>
      <w:r w:rsidRPr="00854F8E">
        <w:t>LIS</w:t>
      </w:r>
      <w:r>
        <w:t>)</w:t>
      </w:r>
      <w:r w:rsidRPr="00854F8E">
        <w:t xml:space="preserve"> threshold for </w:t>
      </w:r>
      <w:r>
        <w:t>exchange traded funds (</w:t>
      </w:r>
      <w:r w:rsidRPr="00854F8E">
        <w:t>ETFs</w:t>
      </w:r>
      <w:r>
        <w:t>)</w:t>
      </w:r>
      <w:r w:rsidRPr="00854F8E">
        <w:t xml:space="preserve"> from EUR 1,000,000 to EUR 3,000,000</w:t>
      </w:r>
      <w:r>
        <w:t>. We agree with ESMA’s assessment, as per paragraph 16 of the consultation, that revising the threshold in the proposed manner represents a proportionate approach to enhancing pre-trade transparency in the market while at the same time protecting large orders.</w:t>
      </w:r>
    </w:p>
    <w:p w14:paraId="1F68FC76" w14:textId="77777777" w:rsidR="00A606C4" w:rsidRDefault="00A606C4" w:rsidP="000A609F"/>
    <w:p w14:paraId="4A4E84EA" w14:textId="4F9A2DDC" w:rsidR="00854F8E" w:rsidRDefault="00A606C4" w:rsidP="000A609F">
      <w:r>
        <w:t xml:space="preserve">However, in increasing the pre-trade LIS threshold for ETFs, it is our view that the amended rules should more explicitly define how the threshold should be applied, for example, </w:t>
      </w:r>
      <w:r w:rsidR="00150B81">
        <w:t>by</w:t>
      </w:r>
      <w:r>
        <w:t xml:space="preserve"> ensuring that </w:t>
      </w:r>
      <w:r w:rsidR="00707E0A">
        <w:t>all venues publicise pre-trade thresholds in a machine-readable format and clarifying whether sub-LIS trade flow should be directed to lit venues only.</w:t>
      </w:r>
    </w:p>
    <w:p w14:paraId="5215EBBC" w14:textId="77777777" w:rsidR="00707E0A" w:rsidRDefault="00707E0A" w:rsidP="000A609F"/>
    <w:p w14:paraId="2DE37B20" w14:textId="77777777" w:rsidR="009F22A2" w:rsidRDefault="009F22A2" w:rsidP="000A609F"/>
    <w:permEnd w:id="1512797590"/>
    <w:p w14:paraId="27215ACF" w14:textId="5C150812"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6FD5F2D" w:rsidR="000A609F" w:rsidRDefault="000A609F" w:rsidP="000A609F">
      <w:permStart w:id="2084269393" w:edGrp="everyone"/>
    </w:p>
    <w:p w14:paraId="7139303D" w14:textId="39FC8DC5" w:rsidR="009F22A2" w:rsidRDefault="009F22A2" w:rsidP="000A609F"/>
    <w:p w14:paraId="0A971D32" w14:textId="251FF241" w:rsidR="00945398" w:rsidRDefault="00945398" w:rsidP="00945398">
      <w:r>
        <w:rPr>
          <w:rFonts w:cs="Arial"/>
          <w:szCs w:val="20"/>
          <w:lang w:val="en-US"/>
        </w:rPr>
        <w:t xml:space="preserve">Invesco agrees with ESMA’s proposal to amend Table 5 of Annex II of RTS 1 to </w:t>
      </w:r>
      <w:r w:rsidRPr="00945398">
        <w:rPr>
          <w:rFonts w:cs="Arial"/>
          <w:szCs w:val="20"/>
          <w:lang w:val="en-US"/>
        </w:rPr>
        <w:t xml:space="preserve">increase the minimum qualifying size </w:t>
      </w:r>
      <w:r>
        <w:rPr>
          <w:rFonts w:cs="Arial"/>
          <w:szCs w:val="20"/>
          <w:lang w:val="en-US"/>
        </w:rPr>
        <w:t>for ETF</w:t>
      </w:r>
      <w:r w:rsidRPr="00945398">
        <w:rPr>
          <w:rFonts w:cs="Arial"/>
          <w:szCs w:val="20"/>
          <w:lang w:val="en-US"/>
        </w:rPr>
        <w:t xml:space="preserve"> transaction</w:t>
      </w:r>
      <w:r>
        <w:rPr>
          <w:rFonts w:cs="Arial"/>
          <w:szCs w:val="20"/>
          <w:lang w:val="en-US"/>
        </w:rPr>
        <w:t xml:space="preserve">s that can benefit from a 60-minute delay in publication post-trade </w:t>
      </w:r>
      <w:r w:rsidRPr="00945398">
        <w:rPr>
          <w:rFonts w:cs="Arial"/>
          <w:szCs w:val="20"/>
          <w:lang w:val="en-US"/>
        </w:rPr>
        <w:t>from EUR 10,000,000 to EUR 15,000,000</w:t>
      </w:r>
      <w:r>
        <w:rPr>
          <w:rFonts w:cs="Arial"/>
          <w:szCs w:val="20"/>
          <w:lang w:val="en-US"/>
        </w:rPr>
        <w:t>. In line with our response to Q1, we</w:t>
      </w:r>
      <w:r>
        <w:t xml:space="preserve"> agree with ESMA’s assessment, as per paragraph 24 of the consultation, that revising the threshold in the proposed manner represents a proportionate approach to enhancing post-trade transparency in the market while at the same time protecting large orders.</w:t>
      </w:r>
    </w:p>
    <w:p w14:paraId="559D6DBF" w14:textId="138812D4" w:rsidR="00707E0A" w:rsidRDefault="00707E0A" w:rsidP="00945398"/>
    <w:p w14:paraId="2434BBB9" w14:textId="65B0CCDF" w:rsidR="00707E0A" w:rsidRDefault="00707E0A" w:rsidP="00707E0A">
      <w:r>
        <w:t>However, as ESMA seeks to revise post-trade transparency rules for ETFs, it is our view that policymakers should seek greater harmonisation in the implementation and application of the rules across all exchange traded products (ETPs), including exchange traded commodities (ETCs). At present, ETCs follow fixed income reporting rules as they are classed as debt instruments</w:t>
      </w:r>
      <w:r w:rsidR="008D658F">
        <w:t xml:space="preserve"> meaning</w:t>
      </w:r>
      <w:r>
        <w:t xml:space="preserve"> it is possible to have a 4-week deferral in the publication of qualifying trade </w:t>
      </w:r>
      <w:r w:rsidR="008D658F">
        <w:t>data, which, in our view, is not appropriate for markets in commodities such as precious metals etc.</w:t>
      </w:r>
    </w:p>
    <w:p w14:paraId="5B95E040" w14:textId="77777777" w:rsidR="00707E0A" w:rsidRDefault="00707E0A" w:rsidP="00707E0A"/>
    <w:p w14:paraId="66470BB5" w14:textId="0D741AF6" w:rsidR="00707E0A" w:rsidRDefault="00707E0A" w:rsidP="00707E0A">
      <w:pPr>
        <w:rPr>
          <w:rFonts w:cs="Arial"/>
          <w:szCs w:val="20"/>
          <w:lang w:val="en-US"/>
        </w:rPr>
      </w:pPr>
      <w:r>
        <w:t xml:space="preserve">Moreover, end-of-day </w:t>
      </w:r>
      <w:r w:rsidR="00AA34A4">
        <w:t xml:space="preserve">deferral </w:t>
      </w:r>
      <w:r>
        <w:t xml:space="preserve">reporting rules should be </w:t>
      </w:r>
      <w:r w:rsidR="008D658F">
        <w:t xml:space="preserve">applied more robustly </w:t>
      </w:r>
      <w:r w:rsidR="00AA34A4">
        <w:t xml:space="preserve">across EU Member States </w:t>
      </w:r>
      <w:r w:rsidR="008D658F">
        <w:t xml:space="preserve">to ensure that all </w:t>
      </w:r>
      <w:r w:rsidR="00AA34A4">
        <w:t>qualifying trade data is published before a</w:t>
      </w:r>
      <w:r w:rsidR="003D2D25">
        <w:t>n earlier</w:t>
      </w:r>
      <w:r w:rsidR="00AA34A4">
        <w:t xml:space="preserve"> cut-off point (e.g., 18.30 CET</w:t>
      </w:r>
      <w:r w:rsidR="003D2D25">
        <w:t xml:space="preserve"> on the same day of trading</w:t>
      </w:r>
      <w:r w:rsidR="00AA34A4">
        <w:t>).</w:t>
      </w:r>
    </w:p>
    <w:p w14:paraId="20D85294" w14:textId="4C2910FF" w:rsidR="009F22A2" w:rsidRDefault="009F22A2" w:rsidP="000A609F"/>
    <w:p w14:paraId="5E7DDCF4" w14:textId="77777777" w:rsidR="009F22A2" w:rsidRDefault="009F22A2" w:rsidP="000A609F"/>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3EE49984" w:rsidR="000A609F" w:rsidRDefault="000A609F" w:rsidP="000A609F">
      <w:permStart w:id="345523561" w:edGrp="everyone"/>
    </w:p>
    <w:p w14:paraId="62E222EF" w14:textId="4E90D3C2" w:rsidR="00C077C9" w:rsidRDefault="00C077C9" w:rsidP="000A609F"/>
    <w:p w14:paraId="25189C3C" w14:textId="73E9AF79" w:rsidR="00C077C9" w:rsidRDefault="00C077C9" w:rsidP="000A609F">
      <w:r>
        <w:t>No response provided.</w:t>
      </w:r>
    </w:p>
    <w:p w14:paraId="2D76D43C" w14:textId="602480BB" w:rsidR="00C077C9" w:rsidRDefault="00C077C9" w:rsidP="000A609F"/>
    <w:p w14:paraId="736B6923" w14:textId="77777777" w:rsidR="00C077C9" w:rsidRDefault="00C077C9" w:rsidP="000A609F"/>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18BB9A5E" w14:textId="02B95247" w:rsidR="000A609F" w:rsidRDefault="000A609F" w:rsidP="000A609F">
      <w:permStart w:id="336408232" w:edGrp="everyone"/>
    </w:p>
    <w:p w14:paraId="1A962BD6" w14:textId="0E1C7382" w:rsidR="009F22A2" w:rsidRDefault="009F22A2" w:rsidP="000A609F"/>
    <w:p w14:paraId="75174A00" w14:textId="307794F5" w:rsidR="00863EB9" w:rsidRDefault="00863EB9" w:rsidP="00863EB9">
      <w:r>
        <w:t>Invesco does not support ESMA’s proposal to include within Annex 1 of RTS 1 and RTS 2 frequent batch auction (FBA) systems as a new type of trading system with tailored pre-trade transparency requirements. Nor do we agree with ESMA’s updated description of period auction trading systems. It is our view that</w:t>
      </w:r>
      <w:r w:rsidR="00975BA2">
        <w:t xml:space="preserve">, in </w:t>
      </w:r>
      <w:r w:rsidR="0008619D">
        <w:t xml:space="preserve">its Opinion of </w:t>
      </w:r>
      <w:r w:rsidR="00975BA2">
        <w:t xml:space="preserve">October 2019, </w:t>
      </w:r>
      <w:r>
        <w:t>ESMA</w:t>
      </w:r>
      <w:r w:rsidR="00975BA2">
        <w:t xml:space="preserve"> took appropriate steps to clarify the application of pre-trade transparency and price determination in FBAs. This was a well-balanced approach and we do not believe there is sufficient evidence to suggest that further recalibration of the rules applying to periodic auction systems is warranted.</w:t>
      </w:r>
    </w:p>
    <w:p w14:paraId="30A1B14E" w14:textId="461BCBDC" w:rsidR="00863EB9" w:rsidRDefault="00863EB9" w:rsidP="009F22A2"/>
    <w:p w14:paraId="2D95F741" w14:textId="53C4CFCE" w:rsidR="00202FA1" w:rsidRDefault="00975BA2" w:rsidP="009F22A2">
      <w:r>
        <w:t xml:space="preserve">Indeed, </w:t>
      </w:r>
      <w:r w:rsidR="00502377">
        <w:t>we believe</w:t>
      </w:r>
      <w:r>
        <w:t xml:space="preserve"> that the additional pre-trade transparency proposed by ESMA in respect of FBA systems would undermine the benefits that period auction venues have brought to market participants. It is our view that </w:t>
      </w:r>
      <w:r w:rsidRPr="00975BA2">
        <w:t xml:space="preserve">making orders transparent prior to a match being identified </w:t>
      </w:r>
      <w:r>
        <w:t>(</w:t>
      </w:r>
      <w:r w:rsidRPr="00975BA2">
        <w:t>either through full order book disclosure or the publication of best available price and volume</w:t>
      </w:r>
      <w:r>
        <w:t xml:space="preserve">) </w:t>
      </w:r>
      <w:r w:rsidRPr="00975BA2">
        <w:t xml:space="preserve">and making an imbalance quantity public during the course of an auction would provide sufficient data to enable exploitation of institutional interest by those capable of </w:t>
      </w:r>
      <w:r>
        <w:t xml:space="preserve">moving fastest </w:t>
      </w:r>
      <w:r w:rsidRPr="00975BA2">
        <w:t>in continuous markets</w:t>
      </w:r>
      <w:r w:rsidR="00202FA1">
        <w:t xml:space="preserve"> – i.e., ESMA’s proposal would reintroduce the advantages (to some</w:t>
      </w:r>
      <w:r w:rsidR="004620A2">
        <w:t xml:space="preserve"> market participants</w:t>
      </w:r>
      <w:r w:rsidR="00202FA1">
        <w:t>) and disadvantages (to most</w:t>
      </w:r>
      <w:r w:rsidR="004620A2">
        <w:t xml:space="preserve"> market participants</w:t>
      </w:r>
      <w:r w:rsidR="00202FA1">
        <w:t>) of speed.</w:t>
      </w:r>
    </w:p>
    <w:p w14:paraId="17CB7E55" w14:textId="77777777" w:rsidR="00202FA1" w:rsidRDefault="00202FA1" w:rsidP="009F22A2"/>
    <w:p w14:paraId="2EF4E554" w14:textId="4C3709B0" w:rsidR="00202FA1" w:rsidRDefault="00202FA1" w:rsidP="009F22A2">
      <w:r>
        <w:t xml:space="preserve">If ESMA pursues this proposal, </w:t>
      </w:r>
      <w:r w:rsidRPr="00202FA1">
        <w:t>the current pre- and post-trade price stability that attracts customers and liquidity to periodic auctions</w:t>
      </w:r>
      <w:r>
        <w:t xml:space="preserve"> would, in our view, be immediately eliminated to the detriment of end-investors. We strongly discourage ESMA from taking such action</w:t>
      </w:r>
      <w:r w:rsidR="008F6003">
        <w:t>.</w:t>
      </w:r>
    </w:p>
    <w:p w14:paraId="6340E25A" w14:textId="6A930A9B" w:rsidR="009F22A2" w:rsidRDefault="009F22A2" w:rsidP="000A609F"/>
    <w:p w14:paraId="260AD0E6" w14:textId="77777777" w:rsidR="009F22A2" w:rsidRDefault="009F22A2" w:rsidP="000A609F"/>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755B6A82" w14:textId="66767F4B" w:rsidR="009F22A2" w:rsidRDefault="009F22A2" w:rsidP="000A609F">
      <w:permStart w:id="908748387" w:edGrp="everyone"/>
    </w:p>
    <w:p w14:paraId="6AFE44B9" w14:textId="379F5D4D" w:rsidR="009F22A2" w:rsidRDefault="009F22A2" w:rsidP="000A609F"/>
    <w:p w14:paraId="6C6750EC" w14:textId="78692986" w:rsidR="00863EB9" w:rsidRDefault="00796068" w:rsidP="009F22A2">
      <w:r>
        <w:t xml:space="preserve">As outlined in our response to Q4, Invesco does not support ESMA’s proposal to include within Annex 1 of RTS 1 and RTS 2 FBA systems as a new type of trading system with tailored pre-trade transparency requirements. Nor do we agree with ESMA’s updated description of period auction trading systems. It is our view that, in </w:t>
      </w:r>
      <w:r w:rsidR="00502377">
        <w:t xml:space="preserve">its Opinion of </w:t>
      </w:r>
      <w:r>
        <w:t>October 2019, ESMA took appropriate steps to clarify the application of pre-trade transparency and price determination in FBAs. This was a well-balanced approach and we do not believe there is sufficient evidence to suggest that further recalibration of the rules applying to periodic auction systems is warranted.</w:t>
      </w:r>
    </w:p>
    <w:p w14:paraId="5C844F1E" w14:textId="31282CF5" w:rsidR="00796068" w:rsidRDefault="00796068" w:rsidP="009F22A2"/>
    <w:p w14:paraId="4902A914" w14:textId="58AE645B" w:rsidR="00796068" w:rsidRDefault="00796068" w:rsidP="009F22A2">
      <w:r>
        <w:t>As such, we do not support either option proposed by ESMA on the applicable pre-trade transparency requirements for FBA trading systems.</w:t>
      </w:r>
    </w:p>
    <w:p w14:paraId="594CA314" w14:textId="6C19272E" w:rsidR="00796068" w:rsidRDefault="00796068" w:rsidP="009F22A2"/>
    <w:p w14:paraId="70A09D8D" w14:textId="2B811403" w:rsidR="00796068" w:rsidRDefault="00796068" w:rsidP="00796068">
      <w:r>
        <w:t xml:space="preserve">Indeed, </w:t>
      </w:r>
      <w:r w:rsidR="00502377">
        <w:t xml:space="preserve">we believe </w:t>
      </w:r>
      <w:r>
        <w:t xml:space="preserve">that the additional pre-trade transparency proposed by ESMA in respect of FBA systems would undermine the benefits that period auction venues have brought to market participants. It is our view that </w:t>
      </w:r>
      <w:r w:rsidRPr="00975BA2">
        <w:t xml:space="preserve">making orders transparent prior to a match being identified </w:t>
      </w:r>
      <w:r>
        <w:t>(</w:t>
      </w:r>
      <w:r w:rsidRPr="00975BA2">
        <w:t>either through full order book disclosure or the publication of best available price and volume</w:t>
      </w:r>
      <w:r>
        <w:t xml:space="preserve">) </w:t>
      </w:r>
      <w:r w:rsidRPr="00975BA2">
        <w:t xml:space="preserve">and making an imbalance quantity public </w:t>
      </w:r>
      <w:r w:rsidRPr="00975BA2">
        <w:lastRenderedPageBreak/>
        <w:t xml:space="preserve">during the course of an auction would provide sufficient data to enable exploitation of institutional interest by those capable of </w:t>
      </w:r>
      <w:r>
        <w:t xml:space="preserve">moving fastest </w:t>
      </w:r>
      <w:r w:rsidRPr="00975BA2">
        <w:t>in continuous markets</w:t>
      </w:r>
      <w:r>
        <w:t xml:space="preserve"> – i.e., ESMA’s proposal would reintroduce the advantages (to some</w:t>
      </w:r>
      <w:r w:rsidR="00502377">
        <w:t xml:space="preserve"> market participants</w:t>
      </w:r>
      <w:r>
        <w:t>) and disadvantages (to most</w:t>
      </w:r>
      <w:r w:rsidR="00502377">
        <w:t xml:space="preserve"> market participants</w:t>
      </w:r>
      <w:r>
        <w:t>) of speed.</w:t>
      </w:r>
    </w:p>
    <w:p w14:paraId="5CC91059" w14:textId="77777777" w:rsidR="00796068" w:rsidRDefault="00796068" w:rsidP="00796068"/>
    <w:p w14:paraId="2885165A" w14:textId="21E60CD1" w:rsidR="00796068" w:rsidRDefault="00796068" w:rsidP="00796068">
      <w:r>
        <w:t xml:space="preserve">If ESMA pursues this proposal, </w:t>
      </w:r>
      <w:r w:rsidRPr="00202FA1">
        <w:t>the current pre- and post-trade price stability that attracts customers and liquidity to periodic auctions</w:t>
      </w:r>
      <w:r>
        <w:t xml:space="preserve"> would, in our view, be immediately eliminated to the detriment of end-investors. We strongly discourage ESMA from taking such action.</w:t>
      </w:r>
    </w:p>
    <w:p w14:paraId="0555FE1D" w14:textId="48E7B2BD" w:rsidR="009F22A2" w:rsidRDefault="009F22A2" w:rsidP="000A609F"/>
    <w:p w14:paraId="7BC0DF0A" w14:textId="77777777" w:rsidR="009F22A2" w:rsidRDefault="009F22A2" w:rsidP="000A609F"/>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6CA57969" w:rsidR="000A609F" w:rsidRDefault="000A609F" w:rsidP="000A609F">
      <w:permStart w:id="1323308231" w:edGrp="everyone"/>
    </w:p>
    <w:p w14:paraId="74551BE0" w14:textId="77777777" w:rsidR="00946FD0" w:rsidRDefault="00946FD0" w:rsidP="00946FD0"/>
    <w:p w14:paraId="001B496E" w14:textId="77777777" w:rsidR="00946FD0" w:rsidRDefault="00946FD0" w:rsidP="00946FD0">
      <w:r>
        <w:t>No response provided.</w:t>
      </w:r>
    </w:p>
    <w:p w14:paraId="31DCA78D" w14:textId="77777777" w:rsidR="00946FD0" w:rsidRDefault="00946FD0" w:rsidP="00946FD0"/>
    <w:p w14:paraId="232F9ADF" w14:textId="77777777" w:rsidR="00946FD0" w:rsidRDefault="00946FD0" w:rsidP="000A609F"/>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2595D201" w14:textId="77777777" w:rsidR="00946FD0" w:rsidRDefault="00946FD0" w:rsidP="00946FD0">
      <w:permStart w:id="764624971" w:edGrp="everyone"/>
    </w:p>
    <w:p w14:paraId="252863AB" w14:textId="77777777" w:rsidR="00946FD0" w:rsidRDefault="00946FD0" w:rsidP="00946FD0"/>
    <w:p w14:paraId="7FA64627" w14:textId="721EDD9A" w:rsidR="00946FD0" w:rsidRDefault="00946FD0" w:rsidP="00946FD0">
      <w:r>
        <w:t>No response provided.</w:t>
      </w:r>
    </w:p>
    <w:p w14:paraId="28DE458C" w14:textId="77777777" w:rsidR="00946FD0" w:rsidRDefault="00946FD0" w:rsidP="00946FD0"/>
    <w:p w14:paraId="5B796C1F" w14:textId="7914949A" w:rsidR="000A609F" w:rsidRDefault="000A609F" w:rsidP="000A609F"/>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069879F1" w:rsidR="000A609F" w:rsidRDefault="000A609F" w:rsidP="000A609F">
      <w:permStart w:id="693053983" w:edGrp="everyone"/>
    </w:p>
    <w:p w14:paraId="228AD2C4" w14:textId="42C4763B" w:rsidR="00946FD0" w:rsidRDefault="00946FD0" w:rsidP="000A609F"/>
    <w:p w14:paraId="17FAFF9E" w14:textId="141DD4FF" w:rsidR="00946FD0" w:rsidRDefault="00946FD0" w:rsidP="00946FD0">
      <w:r>
        <w:t xml:space="preserve">Invesco sees merit in considering further standardisation regarding the way in which pre-trade information is </w:t>
      </w:r>
      <w:r w:rsidR="00CD7651">
        <w:t xml:space="preserve">formatted and </w:t>
      </w:r>
      <w:r>
        <w:t xml:space="preserve">disclosed </w:t>
      </w:r>
      <w:proofErr w:type="gramStart"/>
      <w:r>
        <w:t>so as to</w:t>
      </w:r>
      <w:proofErr w:type="gramEnd"/>
      <w:r>
        <w:t xml:space="preserve"> facilitate consumption and aggregation</w:t>
      </w:r>
      <w:r w:rsidR="00312281">
        <w:t xml:space="preserve"> via a consolidated tape</w:t>
      </w:r>
      <w:r>
        <w:t>.</w:t>
      </w:r>
      <w:r w:rsidR="00CD7651">
        <w:t xml:space="preserve"> </w:t>
      </w:r>
    </w:p>
    <w:p w14:paraId="7DB0A92F" w14:textId="57FDB6BB" w:rsidR="00946FD0" w:rsidRDefault="00946FD0" w:rsidP="000A609F"/>
    <w:p w14:paraId="3B57F768" w14:textId="77777777" w:rsidR="00946FD0" w:rsidRDefault="00946FD0" w:rsidP="000A609F"/>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126D9E00" w:rsidR="000A609F" w:rsidRDefault="000A609F" w:rsidP="000A609F">
      <w:permStart w:id="802323909" w:edGrp="everyone"/>
    </w:p>
    <w:p w14:paraId="12531BBA" w14:textId="195B6B1D" w:rsidR="00CD7651" w:rsidRDefault="00CD7651" w:rsidP="000A609F"/>
    <w:p w14:paraId="073BBA66" w14:textId="0F85F79F" w:rsidR="00CD7651" w:rsidRDefault="00CD7651" w:rsidP="00CD7651">
      <w:pPr>
        <w:rPr>
          <w:rFonts w:cs="Arial"/>
          <w:szCs w:val="20"/>
          <w:lang w:val="en-US"/>
        </w:rPr>
      </w:pPr>
      <w:r>
        <w:lastRenderedPageBreak/>
        <w:t>Per our response to Q2, it is our view that end-of-day deferral reporting rules should be applied more robustly across EU Member States to ensure that all qualifying trade data is published before a specified cut-off point (e.g., 18.30 CET</w:t>
      </w:r>
      <w:r w:rsidR="00587E7B">
        <w:t xml:space="preserve"> on the same day of trading</w:t>
      </w:r>
      <w:r>
        <w:t xml:space="preserve">). </w:t>
      </w:r>
    </w:p>
    <w:p w14:paraId="321914B2" w14:textId="77777777" w:rsidR="00CD7651" w:rsidRDefault="00CD7651" w:rsidP="000A609F"/>
    <w:p w14:paraId="5B7429CB" w14:textId="77777777" w:rsidR="00CD7651" w:rsidRDefault="00CD7651" w:rsidP="000A609F"/>
    <w:permEnd w:id="802323909"/>
    <w:p w14:paraId="09E7E5FD" w14:textId="798DE75E"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15D555F8" w:rsidR="000A609F" w:rsidRDefault="000A609F" w:rsidP="000A609F">
      <w:permStart w:id="683432005" w:edGrp="everyone"/>
    </w:p>
    <w:p w14:paraId="344FC2B1" w14:textId="5C88BEB1" w:rsidR="007148BF" w:rsidRDefault="007148BF" w:rsidP="000A609F"/>
    <w:p w14:paraId="050862C6" w14:textId="7FD6ABA4" w:rsidR="007148BF" w:rsidRDefault="007148BF" w:rsidP="000A609F">
      <w:r>
        <w:t>No response provided.</w:t>
      </w:r>
    </w:p>
    <w:p w14:paraId="0231B77F" w14:textId="02571108" w:rsidR="007148BF" w:rsidRDefault="007148BF" w:rsidP="000A609F"/>
    <w:p w14:paraId="6135054B" w14:textId="77777777" w:rsidR="007148BF" w:rsidRDefault="007148BF" w:rsidP="000A609F"/>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7BF899C7" w:rsidR="000A609F" w:rsidRDefault="000A609F" w:rsidP="000A609F">
      <w:permStart w:id="1927510640" w:edGrp="everyone"/>
    </w:p>
    <w:p w14:paraId="0B305E22" w14:textId="5997F51F" w:rsidR="007148BF" w:rsidRDefault="007148BF" w:rsidP="000A609F"/>
    <w:p w14:paraId="35A39E00" w14:textId="3F493117" w:rsidR="007148BF" w:rsidRDefault="007148BF" w:rsidP="000A609F">
      <w:r>
        <w:t>Yes, we agree with the proposed amendment of Article 11(3)(c)</w:t>
      </w:r>
      <w:r w:rsidR="00DC573B">
        <w:t xml:space="preserve"> of RTS 1 which should provide </w:t>
      </w:r>
      <w:r w:rsidR="00DC573B" w:rsidRPr="00DC573B">
        <w:t>clarity on the post-trade LIS transactions to be excluded</w:t>
      </w:r>
      <w:r w:rsidR="00DC573B">
        <w:t xml:space="preserve"> under that </w:t>
      </w:r>
      <w:r w:rsidR="00B5350B">
        <w:t>A</w:t>
      </w:r>
      <w:r w:rsidR="00DC573B">
        <w:t>rticle.</w:t>
      </w:r>
    </w:p>
    <w:p w14:paraId="084A0628" w14:textId="695039DB" w:rsidR="007148BF" w:rsidRDefault="007148BF" w:rsidP="000A609F"/>
    <w:p w14:paraId="45C86E1C" w14:textId="77777777" w:rsidR="007148BF" w:rsidRDefault="007148BF" w:rsidP="000A609F"/>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2112E728" w:rsidR="000A609F" w:rsidRDefault="000A609F" w:rsidP="000A609F">
      <w:permStart w:id="1353266664" w:edGrp="everyone"/>
    </w:p>
    <w:p w14:paraId="6D3AA7CB" w14:textId="7E4414C6" w:rsidR="00B5350B" w:rsidRDefault="00B5350B" w:rsidP="000A609F"/>
    <w:p w14:paraId="6C62129F" w14:textId="77777777" w:rsidR="00B5350B" w:rsidRDefault="00B5350B" w:rsidP="00B5350B">
      <w:r>
        <w:t>No response provided.</w:t>
      </w:r>
    </w:p>
    <w:p w14:paraId="09714EAF" w14:textId="77777777" w:rsidR="00B5350B" w:rsidRDefault="00B5350B" w:rsidP="00B5350B"/>
    <w:p w14:paraId="14DDDDDA" w14:textId="77777777" w:rsidR="00B5350B" w:rsidRDefault="00B5350B" w:rsidP="000A609F"/>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00662CFD" w:rsidR="000A609F" w:rsidRDefault="000A609F" w:rsidP="000A609F">
      <w:permStart w:id="1454447199" w:edGrp="everyone"/>
      <w:r>
        <w:t>T</w:t>
      </w:r>
    </w:p>
    <w:p w14:paraId="73C2F9DC" w14:textId="77777777" w:rsidR="00B5350B" w:rsidRDefault="00B5350B" w:rsidP="00B5350B"/>
    <w:p w14:paraId="19F859F2" w14:textId="77777777" w:rsidR="00B5350B" w:rsidRDefault="00B5350B" w:rsidP="00B5350B">
      <w:r>
        <w:t>No response provided.</w:t>
      </w:r>
    </w:p>
    <w:p w14:paraId="679F577A" w14:textId="77777777" w:rsidR="00B5350B" w:rsidRDefault="00B5350B" w:rsidP="00B5350B"/>
    <w:p w14:paraId="6AD889F3" w14:textId="77777777" w:rsidR="00B5350B" w:rsidRDefault="00B5350B" w:rsidP="000A609F"/>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lastRenderedPageBreak/>
        <w:t>&lt;ESMA_QUESTION_RVEW_14&gt;</w:t>
      </w:r>
    </w:p>
    <w:p w14:paraId="495205B3" w14:textId="12799A10" w:rsidR="000A609F" w:rsidRDefault="000A609F" w:rsidP="000A609F">
      <w:permStart w:id="800200996" w:edGrp="everyone"/>
    </w:p>
    <w:p w14:paraId="5EEE1F97" w14:textId="77777777" w:rsidR="007B6660" w:rsidRDefault="007B6660" w:rsidP="007B6660"/>
    <w:p w14:paraId="703EDC30" w14:textId="77777777" w:rsidR="007B6660" w:rsidRDefault="007B6660" w:rsidP="007B6660">
      <w:r>
        <w:t>No response provided.</w:t>
      </w:r>
    </w:p>
    <w:p w14:paraId="369212B4" w14:textId="77777777" w:rsidR="007B6660" w:rsidRDefault="007B6660" w:rsidP="007B6660"/>
    <w:p w14:paraId="5E182271" w14:textId="77777777" w:rsidR="007B6660" w:rsidRDefault="007B6660" w:rsidP="000A609F"/>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45FBDADE" w:rsidR="000A609F" w:rsidRDefault="000A609F" w:rsidP="000A609F">
      <w:permStart w:id="947940030" w:edGrp="everyone"/>
    </w:p>
    <w:p w14:paraId="5E3DC379" w14:textId="77777777" w:rsidR="00B63D8B" w:rsidRDefault="00B63D8B" w:rsidP="00B63D8B"/>
    <w:p w14:paraId="0280EE60" w14:textId="77777777" w:rsidR="00B63D8B" w:rsidRDefault="00B63D8B" w:rsidP="00B63D8B">
      <w:r>
        <w:t>No response provided.</w:t>
      </w:r>
    </w:p>
    <w:p w14:paraId="27457E31" w14:textId="77777777" w:rsidR="00B63D8B" w:rsidRDefault="00B63D8B" w:rsidP="00B63D8B"/>
    <w:p w14:paraId="6A085F52" w14:textId="77777777" w:rsidR="00B63D8B" w:rsidRDefault="00B63D8B" w:rsidP="000A609F"/>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13381B35" w:rsidR="000A609F" w:rsidRDefault="000A609F" w:rsidP="000A609F">
      <w:permStart w:id="1456035944" w:edGrp="everyone"/>
    </w:p>
    <w:p w14:paraId="2D8615DF" w14:textId="77777777" w:rsidR="00B63D8B" w:rsidRDefault="00B63D8B" w:rsidP="00B63D8B"/>
    <w:p w14:paraId="0C01C543" w14:textId="77777777" w:rsidR="00B63D8B" w:rsidRDefault="00B63D8B" w:rsidP="00B63D8B">
      <w:r>
        <w:t>No response provided.</w:t>
      </w:r>
    </w:p>
    <w:p w14:paraId="3AF94620" w14:textId="77777777" w:rsidR="00B63D8B" w:rsidRDefault="00B63D8B" w:rsidP="00B63D8B"/>
    <w:p w14:paraId="6A788B54" w14:textId="77777777" w:rsidR="00B63D8B" w:rsidRDefault="00B63D8B" w:rsidP="000A609F"/>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1DCAC0A8" w:rsidR="000A609F" w:rsidRDefault="000A609F" w:rsidP="000A609F">
      <w:permStart w:id="141764790" w:edGrp="everyone"/>
    </w:p>
    <w:p w14:paraId="6E522785" w14:textId="77777777" w:rsidR="00B63D8B" w:rsidRDefault="00B63D8B" w:rsidP="00B63D8B"/>
    <w:p w14:paraId="60C31758" w14:textId="77777777" w:rsidR="00B63D8B" w:rsidRDefault="00B63D8B" w:rsidP="00B63D8B">
      <w:r>
        <w:t>No response provided.</w:t>
      </w:r>
    </w:p>
    <w:p w14:paraId="376378E4" w14:textId="77777777" w:rsidR="00B63D8B" w:rsidRDefault="00B63D8B" w:rsidP="00B63D8B"/>
    <w:p w14:paraId="064DB62A" w14:textId="77777777" w:rsidR="00B63D8B" w:rsidRDefault="00B63D8B" w:rsidP="000A609F"/>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67736119" w:rsidR="000A609F" w:rsidRDefault="000A609F" w:rsidP="000A609F">
      <w:permStart w:id="683039510" w:edGrp="everyone"/>
    </w:p>
    <w:p w14:paraId="2FCD3B75" w14:textId="77777777" w:rsidR="00B63D8B" w:rsidRDefault="00B63D8B" w:rsidP="00B63D8B"/>
    <w:p w14:paraId="6F6EC175" w14:textId="77777777" w:rsidR="00B63D8B" w:rsidRDefault="00B63D8B" w:rsidP="00B63D8B">
      <w:r>
        <w:t>No response provided.</w:t>
      </w:r>
    </w:p>
    <w:p w14:paraId="07008A10" w14:textId="77777777" w:rsidR="00B63D8B" w:rsidRDefault="00B63D8B" w:rsidP="00B63D8B"/>
    <w:p w14:paraId="5060E20F" w14:textId="77777777" w:rsidR="00B63D8B" w:rsidRDefault="00B63D8B" w:rsidP="000A609F"/>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lastRenderedPageBreak/>
        <w:t>&lt;ESMA_QUESTION_RVEW_</w:t>
      </w:r>
      <w:r w:rsidR="000E78C1">
        <w:t>19</w:t>
      </w:r>
      <w:r>
        <w:t>&gt;</w:t>
      </w:r>
    </w:p>
    <w:p w14:paraId="1B91EB1E" w14:textId="073F6714" w:rsidR="000A609F" w:rsidRDefault="000A609F" w:rsidP="000A609F">
      <w:permStart w:id="2136082965" w:edGrp="everyone"/>
    </w:p>
    <w:p w14:paraId="1C699BB7" w14:textId="77777777" w:rsidR="00B63D8B" w:rsidRDefault="00B63D8B" w:rsidP="00B63D8B"/>
    <w:p w14:paraId="1A8787D6" w14:textId="77777777" w:rsidR="00B63D8B" w:rsidRDefault="00B63D8B" w:rsidP="00B63D8B">
      <w:r>
        <w:t>No response provided.</w:t>
      </w:r>
    </w:p>
    <w:p w14:paraId="5C72D3BD" w14:textId="77777777" w:rsidR="00B63D8B" w:rsidRDefault="00B63D8B" w:rsidP="00B63D8B"/>
    <w:p w14:paraId="26621919" w14:textId="77777777" w:rsidR="00B63D8B" w:rsidRDefault="00B63D8B" w:rsidP="000A609F"/>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6068D1B4" w:rsidR="000E78C1" w:rsidRDefault="000E78C1" w:rsidP="000E78C1">
      <w:permStart w:id="649150215" w:edGrp="everyone"/>
    </w:p>
    <w:p w14:paraId="665E5EC2" w14:textId="77777777" w:rsidR="00B63D8B" w:rsidRDefault="00B63D8B" w:rsidP="00B63D8B"/>
    <w:p w14:paraId="4D662173" w14:textId="77777777" w:rsidR="00B63D8B" w:rsidRDefault="00B63D8B" w:rsidP="00B63D8B">
      <w:r>
        <w:t>No response provided.</w:t>
      </w:r>
    </w:p>
    <w:p w14:paraId="621E24F9" w14:textId="77777777" w:rsidR="00B63D8B" w:rsidRDefault="00B63D8B" w:rsidP="00B63D8B"/>
    <w:p w14:paraId="3041C63A" w14:textId="77777777" w:rsidR="00B63D8B" w:rsidRDefault="00B63D8B" w:rsidP="000E78C1"/>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16752825" w:rsidR="000E78C1" w:rsidRDefault="000E78C1" w:rsidP="000E78C1">
      <w:permStart w:id="1655654043" w:edGrp="everyone"/>
    </w:p>
    <w:p w14:paraId="1F0D3119" w14:textId="77777777" w:rsidR="00B63D8B" w:rsidRDefault="00B63D8B" w:rsidP="00B63D8B"/>
    <w:p w14:paraId="5821415B" w14:textId="77777777" w:rsidR="00B63D8B" w:rsidRDefault="00B63D8B" w:rsidP="00B63D8B">
      <w:r>
        <w:t>No response provided.</w:t>
      </w:r>
    </w:p>
    <w:p w14:paraId="0ED51F85" w14:textId="77777777" w:rsidR="00B63D8B" w:rsidRDefault="00B63D8B" w:rsidP="00B63D8B"/>
    <w:p w14:paraId="2791CA5E" w14:textId="77777777" w:rsidR="00B63D8B" w:rsidRDefault="00B63D8B" w:rsidP="000E78C1"/>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6E7FB642" w:rsidR="000A609F" w:rsidRDefault="000A609F" w:rsidP="000A609F">
      <w:permStart w:id="634392100" w:edGrp="everyone"/>
    </w:p>
    <w:p w14:paraId="2A991639" w14:textId="77777777" w:rsidR="00B63D8B" w:rsidRDefault="00B63D8B" w:rsidP="00B63D8B"/>
    <w:p w14:paraId="4DF650CA" w14:textId="77777777" w:rsidR="00B63D8B" w:rsidRDefault="00B63D8B" w:rsidP="00B63D8B">
      <w:r>
        <w:t>No response provided.</w:t>
      </w:r>
    </w:p>
    <w:p w14:paraId="7D86252E" w14:textId="77777777" w:rsidR="00B63D8B" w:rsidRDefault="00B63D8B" w:rsidP="00B63D8B"/>
    <w:p w14:paraId="347FEC4D" w14:textId="77777777" w:rsidR="00B63D8B" w:rsidRDefault="00B63D8B" w:rsidP="000A609F"/>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14B84848" w:rsidR="000A609F" w:rsidRDefault="000A609F" w:rsidP="000A609F">
      <w:permStart w:id="460739192" w:edGrp="everyone"/>
    </w:p>
    <w:p w14:paraId="7B500FC9" w14:textId="77777777" w:rsidR="00B63D8B" w:rsidRDefault="00B63D8B" w:rsidP="00B63D8B"/>
    <w:p w14:paraId="497A8363" w14:textId="77777777" w:rsidR="00B63D8B" w:rsidRDefault="00B63D8B" w:rsidP="00B63D8B">
      <w:r>
        <w:t>No response provided.</w:t>
      </w:r>
    </w:p>
    <w:p w14:paraId="7C0F400F" w14:textId="77777777" w:rsidR="00B63D8B" w:rsidRDefault="00B63D8B" w:rsidP="00B63D8B"/>
    <w:p w14:paraId="7CB9B48A" w14:textId="77777777" w:rsidR="00B63D8B" w:rsidRDefault="00B63D8B" w:rsidP="000A609F"/>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lastRenderedPageBreak/>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1B5BE17F" w:rsidR="000A609F" w:rsidRDefault="000A609F" w:rsidP="000A609F">
      <w:permStart w:id="966469442" w:edGrp="everyone"/>
    </w:p>
    <w:p w14:paraId="2EE67445" w14:textId="5A073835" w:rsidR="009F22A2" w:rsidRDefault="009F22A2" w:rsidP="000A609F"/>
    <w:p w14:paraId="1EF97AC4" w14:textId="3FCA3AB4" w:rsidR="000606F7" w:rsidRDefault="000606F7" w:rsidP="000606F7">
      <w:pPr>
        <w:rPr>
          <w:rFonts w:cs="Arial"/>
          <w:szCs w:val="20"/>
        </w:rPr>
      </w:pPr>
      <w:r w:rsidRPr="000606F7">
        <w:rPr>
          <w:rFonts w:cs="Arial"/>
          <w:szCs w:val="20"/>
        </w:rPr>
        <w:t xml:space="preserve">It is our view that current pre-trade transparency requirements for fixed income securities have exceptionally limited/no beneficial impact on price formation. In many respects, where brokers provide price indications, they are generally available for a short period of time and can be challenging to interact with as a result – </w:t>
      </w:r>
      <w:proofErr w:type="gramStart"/>
      <w:r w:rsidRPr="000606F7">
        <w:rPr>
          <w:rFonts w:cs="Arial"/>
          <w:szCs w:val="20"/>
        </w:rPr>
        <w:t>more often than not</w:t>
      </w:r>
      <w:proofErr w:type="gramEnd"/>
      <w:r w:rsidRPr="000606F7">
        <w:rPr>
          <w:rFonts w:cs="Arial"/>
          <w:szCs w:val="20"/>
        </w:rPr>
        <w:t>, the execution price will be different from the pre-trade indications provided by brokers.</w:t>
      </w:r>
    </w:p>
    <w:p w14:paraId="4C3ADCFD" w14:textId="77777777" w:rsidR="000606F7" w:rsidRPr="000606F7" w:rsidRDefault="000606F7" w:rsidP="000606F7">
      <w:pPr>
        <w:rPr>
          <w:rFonts w:cs="Arial"/>
          <w:szCs w:val="20"/>
        </w:rPr>
      </w:pPr>
    </w:p>
    <w:p w14:paraId="1A0A0075" w14:textId="093CA856" w:rsidR="00B63D8B" w:rsidRDefault="000606F7" w:rsidP="000606F7">
      <w:pPr>
        <w:rPr>
          <w:rFonts w:cs="Arial"/>
          <w:szCs w:val="20"/>
        </w:rPr>
      </w:pPr>
      <w:r w:rsidRPr="000606F7">
        <w:rPr>
          <w:rFonts w:cs="Arial"/>
          <w:szCs w:val="20"/>
        </w:rPr>
        <w:t>Regarding OTC derivatives (</w:t>
      </w:r>
      <w:proofErr w:type="gramStart"/>
      <w:r w:rsidRPr="000606F7">
        <w:rPr>
          <w:rFonts w:cs="Arial"/>
          <w:szCs w:val="20"/>
        </w:rPr>
        <w:t>with the exception of</w:t>
      </w:r>
      <w:proofErr w:type="gramEnd"/>
      <w:r w:rsidRPr="000606F7">
        <w:rPr>
          <w:rFonts w:cs="Arial"/>
          <w:szCs w:val="20"/>
        </w:rPr>
        <w:t xml:space="preserve"> very ‘on-the-run’ (OTR) structures), the situation is very much the same. It is our view that current pre- and post-trade transparency requirements offer very little benefit from a price formation perspective. </w:t>
      </w:r>
      <w:proofErr w:type="gramStart"/>
      <w:r w:rsidRPr="000606F7">
        <w:rPr>
          <w:rFonts w:cs="Arial"/>
          <w:szCs w:val="20"/>
        </w:rPr>
        <w:t>Similar to</w:t>
      </w:r>
      <w:proofErr w:type="gramEnd"/>
      <w:r w:rsidRPr="000606F7">
        <w:rPr>
          <w:rFonts w:cs="Arial"/>
          <w:szCs w:val="20"/>
        </w:rPr>
        <w:t xml:space="preserve"> the above, more often than not, the execution price for OTC derivatives (including some OTR structures) will be different from the pre-trade indications provided by brokers.</w:t>
      </w:r>
    </w:p>
    <w:p w14:paraId="4A81278A" w14:textId="77777777" w:rsidR="00B63D8B" w:rsidRDefault="00B63D8B" w:rsidP="000A609F">
      <w:pPr>
        <w:rPr>
          <w:rFonts w:cs="Arial"/>
          <w:szCs w:val="20"/>
        </w:rPr>
      </w:pPr>
    </w:p>
    <w:p w14:paraId="65E4426B" w14:textId="68B85F30" w:rsidR="00B104DF" w:rsidRDefault="00B758C6" w:rsidP="00B104DF">
      <w:r>
        <w:rPr>
          <w:rFonts w:cs="Arial"/>
          <w:szCs w:val="20"/>
        </w:rPr>
        <w:t xml:space="preserve">In addition, in line with our responses to Q4 and Q5, </w:t>
      </w:r>
      <w:r w:rsidR="00B104DF">
        <w:t xml:space="preserve">Invesco does not support ESMA’s proposal to include within Annex 1 of RTS 1 and RTS 2 FBA systems as a new type of trading system with tailored pre-trade transparency requirements. Nor do we agree with ESMA’s updated description of period auction trading systems. It is our view that, in </w:t>
      </w:r>
      <w:r w:rsidR="00654A91">
        <w:t xml:space="preserve">its Opinion of </w:t>
      </w:r>
      <w:r w:rsidR="00B104DF">
        <w:t>October 2019, ESMA took appropriate steps to clarify the application of pre-trade transparency and price determination in FBAs. This was a well-balanced approach and we do not believe there is sufficient evidence to suggest that further recalibration of the rules applying to periodic auction systems is warranted.</w:t>
      </w:r>
    </w:p>
    <w:p w14:paraId="5789F014" w14:textId="49318182" w:rsidR="009F22A2" w:rsidRDefault="009F22A2" w:rsidP="000A609F"/>
    <w:p w14:paraId="0B423358" w14:textId="77777777" w:rsidR="009F22A2" w:rsidRDefault="009F22A2" w:rsidP="000A609F"/>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C56E286" w14:textId="4BD0DFFD" w:rsidR="000A609F" w:rsidRDefault="000A609F" w:rsidP="000A609F">
      <w:permStart w:id="1377646280" w:edGrp="everyone"/>
    </w:p>
    <w:p w14:paraId="272DC913" w14:textId="5171E5D7" w:rsidR="009F22A2" w:rsidRDefault="009F22A2" w:rsidP="000A609F"/>
    <w:p w14:paraId="7B5C1ABF" w14:textId="7D736B73" w:rsidR="00B104DF" w:rsidRDefault="00B104DF" w:rsidP="00B104DF">
      <w:pPr>
        <w:rPr>
          <w:rFonts w:cs="Arial"/>
          <w:szCs w:val="20"/>
        </w:rPr>
      </w:pPr>
      <w:r>
        <w:t xml:space="preserve">As outlined in our response to Q24, </w:t>
      </w:r>
      <w:r>
        <w:rPr>
          <w:rFonts w:cs="Arial"/>
          <w:szCs w:val="20"/>
        </w:rPr>
        <w:t>it</w:t>
      </w:r>
      <w:r w:rsidRPr="000606F7">
        <w:rPr>
          <w:rFonts w:cs="Arial"/>
          <w:szCs w:val="20"/>
        </w:rPr>
        <w:t xml:space="preserve"> is our view that current pre-trade transparency requirements for fixed income securities have exceptionally limited/no beneficial impact on price formation. In many respects, where brokers provide price indications, they are generally available for a short period of time and can be challenging to interact with as a result – </w:t>
      </w:r>
      <w:proofErr w:type="gramStart"/>
      <w:r w:rsidRPr="000606F7">
        <w:rPr>
          <w:rFonts w:cs="Arial"/>
          <w:szCs w:val="20"/>
        </w:rPr>
        <w:t>more often than not</w:t>
      </w:r>
      <w:proofErr w:type="gramEnd"/>
      <w:r w:rsidRPr="000606F7">
        <w:rPr>
          <w:rFonts w:cs="Arial"/>
          <w:szCs w:val="20"/>
        </w:rPr>
        <w:t>, the execution price will be different from the pre-trade indications provided by brokers.</w:t>
      </w:r>
    </w:p>
    <w:p w14:paraId="177AFCD6" w14:textId="77777777" w:rsidR="00B104DF" w:rsidRPr="000606F7" w:rsidRDefault="00B104DF" w:rsidP="00B104DF">
      <w:pPr>
        <w:rPr>
          <w:rFonts w:cs="Arial"/>
          <w:szCs w:val="20"/>
        </w:rPr>
      </w:pPr>
    </w:p>
    <w:p w14:paraId="198B53E2" w14:textId="71D7D825" w:rsidR="00B104DF" w:rsidRDefault="00B104DF" w:rsidP="00B104DF">
      <w:r w:rsidRPr="000606F7">
        <w:rPr>
          <w:rFonts w:cs="Arial"/>
          <w:szCs w:val="20"/>
        </w:rPr>
        <w:t>Regarding OTC derivatives (</w:t>
      </w:r>
      <w:proofErr w:type="gramStart"/>
      <w:r w:rsidRPr="000606F7">
        <w:rPr>
          <w:rFonts w:cs="Arial"/>
          <w:szCs w:val="20"/>
        </w:rPr>
        <w:t>with the exception of</w:t>
      </w:r>
      <w:proofErr w:type="gramEnd"/>
      <w:r w:rsidRPr="000606F7">
        <w:rPr>
          <w:rFonts w:cs="Arial"/>
          <w:szCs w:val="20"/>
        </w:rPr>
        <w:t xml:space="preserve"> very ‘on-the-run’ (OTR) structures), the situation is very much the same. It is our view that current pre- and post-trade transparency requirements offer very little benefit from a price formation perspective. </w:t>
      </w:r>
      <w:proofErr w:type="gramStart"/>
      <w:r w:rsidRPr="000606F7">
        <w:rPr>
          <w:rFonts w:cs="Arial"/>
          <w:szCs w:val="20"/>
        </w:rPr>
        <w:t>Similar to</w:t>
      </w:r>
      <w:proofErr w:type="gramEnd"/>
      <w:r w:rsidRPr="000606F7">
        <w:rPr>
          <w:rFonts w:cs="Arial"/>
          <w:szCs w:val="20"/>
        </w:rPr>
        <w:t xml:space="preserve"> the above, more often than not, the execution price for OTC derivatives (including some OTR structures) will be different from the pre-trade indications provided by brokers</w:t>
      </w:r>
      <w:r w:rsidR="008E6E0F">
        <w:rPr>
          <w:rFonts w:cs="Arial"/>
          <w:szCs w:val="20"/>
        </w:rPr>
        <w:t>.</w:t>
      </w:r>
    </w:p>
    <w:p w14:paraId="6349D6DA" w14:textId="284F21E6" w:rsidR="009F22A2" w:rsidRDefault="009F22A2" w:rsidP="000A609F"/>
    <w:p w14:paraId="7ED42A46" w14:textId="77777777" w:rsidR="009F22A2" w:rsidRDefault="009F22A2" w:rsidP="000A609F"/>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lastRenderedPageBreak/>
        <w:t>&lt;ESMA_QUESTION_RVEW_</w:t>
      </w:r>
      <w:r w:rsidR="000E78C1">
        <w:t>26</w:t>
      </w:r>
      <w:r>
        <w:t>&gt;</w:t>
      </w:r>
    </w:p>
    <w:p w14:paraId="4A4BD902" w14:textId="03FBCCBA" w:rsidR="000A609F" w:rsidRDefault="000A609F" w:rsidP="000A609F">
      <w:permStart w:id="182349300" w:edGrp="everyone"/>
    </w:p>
    <w:p w14:paraId="6DE99C76" w14:textId="3A44BF9E" w:rsidR="009F22A2" w:rsidRDefault="009F22A2" w:rsidP="000A609F"/>
    <w:p w14:paraId="7A77DC26" w14:textId="62835D6E" w:rsidR="001C0071" w:rsidRDefault="001C0071" w:rsidP="000A609F">
      <w:r>
        <w:t xml:space="preserve">Per our response to the March 2020 ESMA consultation on the transparency regime for non-equity and the trading obligation for derivatives (DTO), Invesco continues to support (1) </w:t>
      </w:r>
      <w:r w:rsidRPr="001C0071">
        <w:t>ESMA’s assertion that the SSTI</w:t>
      </w:r>
      <w:r w:rsidR="002756B3">
        <w:t xml:space="preserve"> </w:t>
      </w:r>
      <w:r w:rsidRPr="001C0071">
        <w:t>waiver</w:t>
      </w:r>
      <w:r w:rsidR="002756B3">
        <w:t>/deferral regime</w:t>
      </w:r>
      <w:r w:rsidRPr="001C0071">
        <w:t xml:space="preserve"> adds further complexity to an already complex pre</w:t>
      </w:r>
      <w:r w:rsidR="002756B3">
        <w:t>- and post</w:t>
      </w:r>
      <w:r w:rsidRPr="001C0071">
        <w:t>-trade transparency regime in representing another threshold to be assessed</w:t>
      </w:r>
      <w:r>
        <w:t xml:space="preserve"> and (2) </w:t>
      </w:r>
      <w:r w:rsidRPr="001C0071">
        <w:t>ESMA’s recommendation to delete the pre-</w:t>
      </w:r>
      <w:r w:rsidR="002756B3">
        <w:t xml:space="preserve"> and post-</w:t>
      </w:r>
      <w:r w:rsidRPr="001C0071">
        <w:t>trade SSTI waiver</w:t>
      </w:r>
      <w:r w:rsidR="002756B3">
        <w:t>/deferral</w:t>
      </w:r>
      <w:r w:rsidRPr="001C0071">
        <w:t xml:space="preserve"> and lower the pre-</w:t>
      </w:r>
      <w:r w:rsidR="002756B3">
        <w:t xml:space="preserve"> and post-</w:t>
      </w:r>
      <w:r w:rsidRPr="001C0071">
        <w:t>trade LIS threshold proportionately.</w:t>
      </w:r>
    </w:p>
    <w:p w14:paraId="184268DA" w14:textId="6CDD317A" w:rsidR="009F22A2" w:rsidRDefault="009F22A2" w:rsidP="000A609F"/>
    <w:p w14:paraId="7CC00CD4" w14:textId="77777777" w:rsidR="009F22A2" w:rsidRDefault="009F22A2" w:rsidP="000A609F"/>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C95BD8C" w14:textId="73B790D8" w:rsidR="000A609F" w:rsidRDefault="000A609F" w:rsidP="000A609F">
      <w:permStart w:id="419637817" w:edGrp="everyone"/>
    </w:p>
    <w:p w14:paraId="643C99EA" w14:textId="03E99222" w:rsidR="006E4C30" w:rsidRDefault="006E4C30" w:rsidP="000A609F"/>
    <w:p w14:paraId="3297D9F3" w14:textId="16851A33" w:rsidR="006E4C30" w:rsidRDefault="002E4B36" w:rsidP="000A609F">
      <w:r>
        <w:t>No response provided.</w:t>
      </w:r>
    </w:p>
    <w:p w14:paraId="59C22A83" w14:textId="0243DA00" w:rsidR="006E4C30" w:rsidRDefault="006E4C30" w:rsidP="000A609F"/>
    <w:p w14:paraId="000ED2D3" w14:textId="77777777" w:rsidR="006E4C30" w:rsidRDefault="006E4C30" w:rsidP="000A609F"/>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14D0270" w:rsidR="000A609F" w:rsidRDefault="000A609F" w:rsidP="000A609F">
      <w:permStart w:id="1984312142" w:edGrp="everyone"/>
    </w:p>
    <w:p w14:paraId="553E3813" w14:textId="77777777" w:rsidR="002E4B36" w:rsidRDefault="002E4B36" w:rsidP="002E4B36"/>
    <w:p w14:paraId="4EFA1575" w14:textId="77777777" w:rsidR="002E4B36" w:rsidRDefault="002E4B36" w:rsidP="002E4B36">
      <w:r>
        <w:t>No response provided.</w:t>
      </w:r>
    </w:p>
    <w:p w14:paraId="6B15FA33" w14:textId="452C686B" w:rsidR="002E4B36" w:rsidRDefault="002E4B36" w:rsidP="002E4B36"/>
    <w:p w14:paraId="53AEAE4E" w14:textId="77777777" w:rsidR="002E4B36" w:rsidRDefault="002E4B36" w:rsidP="002E4B36"/>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472EF0E7" w:rsidR="000A609F" w:rsidRDefault="000A609F" w:rsidP="000A609F">
      <w:permStart w:id="731848676" w:edGrp="everyone"/>
    </w:p>
    <w:p w14:paraId="6EDCA61B" w14:textId="21DD51FF" w:rsidR="006E4C30" w:rsidRDefault="006E4C30" w:rsidP="000A609F"/>
    <w:p w14:paraId="429F649A" w14:textId="0D1015E5" w:rsidR="006E4C30" w:rsidRDefault="003248A3" w:rsidP="00183348">
      <w:r>
        <w:t xml:space="preserve">Invesco questions whether the proposed deletion of </w:t>
      </w:r>
      <w:r w:rsidR="006E4C30">
        <w:t>Article 12(1)(b)</w:t>
      </w:r>
      <w:r>
        <w:t xml:space="preserve"> of </w:t>
      </w:r>
      <w:r w:rsidR="006E4C30">
        <w:t>RTS</w:t>
      </w:r>
      <w:r>
        <w:t xml:space="preserve"> </w:t>
      </w:r>
      <w:r w:rsidR="006E4C30">
        <w:t xml:space="preserve">2 </w:t>
      </w:r>
      <w:r>
        <w:t xml:space="preserve">could lead to unnecessary </w:t>
      </w:r>
      <w:r w:rsidR="00183348">
        <w:t>duplication</w:t>
      </w:r>
      <w:r>
        <w:t xml:space="preserve"> of </w:t>
      </w:r>
      <w:r w:rsidR="00183348">
        <w:t>interfund trade reporting</w:t>
      </w:r>
      <w:r w:rsidR="0016000A">
        <w:t xml:space="preserve"> </w:t>
      </w:r>
      <w:r w:rsidR="00183348">
        <w:t>for non-equity instruments.</w:t>
      </w:r>
      <w:r w:rsidR="006E4C30">
        <w:t xml:space="preserve"> </w:t>
      </w:r>
    </w:p>
    <w:p w14:paraId="49F0D931" w14:textId="6AC4F172" w:rsidR="006E4C30" w:rsidRDefault="006E4C30" w:rsidP="006E4C30"/>
    <w:p w14:paraId="206F99ED" w14:textId="77777777" w:rsidR="006E4C30" w:rsidRDefault="006E4C30" w:rsidP="006E4C30"/>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1A087B33" w:rsidR="000A609F" w:rsidRDefault="000A609F" w:rsidP="000A609F">
      <w:permStart w:id="322120573" w:edGrp="everyone"/>
    </w:p>
    <w:p w14:paraId="526B207A" w14:textId="72C9D710" w:rsidR="00CD064A" w:rsidRDefault="00CD064A" w:rsidP="000A609F"/>
    <w:p w14:paraId="444C6C7C" w14:textId="33EB4A5E" w:rsidR="00CD064A" w:rsidRDefault="00CD064A" w:rsidP="000A609F">
      <w:r>
        <w:t>No response provided.</w:t>
      </w:r>
    </w:p>
    <w:p w14:paraId="6490CBEB" w14:textId="5C48646F" w:rsidR="00CD064A" w:rsidRDefault="00CD064A" w:rsidP="000A609F"/>
    <w:p w14:paraId="6041DCAD" w14:textId="77777777" w:rsidR="00CD064A" w:rsidRDefault="00CD064A" w:rsidP="000A609F"/>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140D6122" w14:textId="77777777" w:rsidR="006E4C30" w:rsidRDefault="006E4C30" w:rsidP="000A609F">
      <w:permStart w:id="2054638963" w:edGrp="everyone"/>
    </w:p>
    <w:p w14:paraId="130E9CC0" w14:textId="77777777" w:rsidR="006E4C30" w:rsidRDefault="006E4C30" w:rsidP="000A609F"/>
    <w:p w14:paraId="512D2EFC" w14:textId="77777777" w:rsidR="001E2F2A" w:rsidRDefault="001E2F2A" w:rsidP="001E2F2A">
      <w:r>
        <w:t>No response provided.</w:t>
      </w:r>
    </w:p>
    <w:p w14:paraId="46EBBAC8" w14:textId="737974A4" w:rsidR="006E4C30" w:rsidRDefault="006E4C30" w:rsidP="000A609F"/>
    <w:p w14:paraId="157CA8B9" w14:textId="77777777" w:rsidR="006E4C30" w:rsidRDefault="006E4C30" w:rsidP="000A609F"/>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0CBCB395" w:rsidR="000A609F" w:rsidRDefault="000A609F" w:rsidP="000A609F">
      <w:permStart w:id="1260810222" w:edGrp="everyone"/>
    </w:p>
    <w:p w14:paraId="3E4205B0" w14:textId="05E11160" w:rsidR="006E4C30" w:rsidRDefault="006E4C30" w:rsidP="000A609F"/>
    <w:p w14:paraId="4E877765" w14:textId="77777777" w:rsidR="0050468A" w:rsidRDefault="0050468A" w:rsidP="0050468A">
      <w:r>
        <w:t>No response provided.</w:t>
      </w:r>
    </w:p>
    <w:p w14:paraId="579CE9F6" w14:textId="30A9AB09" w:rsidR="006E4C30" w:rsidRDefault="006E4C30" w:rsidP="000A609F"/>
    <w:p w14:paraId="7813333C" w14:textId="77777777" w:rsidR="006E4C30" w:rsidRDefault="006E4C30" w:rsidP="000A609F"/>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1107C147" w:rsidR="000A609F" w:rsidRDefault="000A609F" w:rsidP="000A609F">
      <w:permStart w:id="186528103" w:edGrp="everyone"/>
    </w:p>
    <w:p w14:paraId="718E81D4" w14:textId="03179556" w:rsidR="0050468A" w:rsidRDefault="0050468A" w:rsidP="000A609F"/>
    <w:p w14:paraId="5E925B73" w14:textId="77777777" w:rsidR="0050468A" w:rsidRDefault="0050468A" w:rsidP="0050468A">
      <w:r>
        <w:t>No response provided.</w:t>
      </w:r>
    </w:p>
    <w:p w14:paraId="3AC8A656" w14:textId="2FCB22BF" w:rsidR="0050468A" w:rsidRDefault="0050468A" w:rsidP="000A609F"/>
    <w:p w14:paraId="1F00B64E" w14:textId="77777777" w:rsidR="0050468A" w:rsidRDefault="0050468A" w:rsidP="000A609F"/>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65B53116" w:rsidR="000A609F" w:rsidRDefault="000A609F" w:rsidP="000A609F">
      <w:permStart w:id="1737048103" w:edGrp="everyone"/>
    </w:p>
    <w:p w14:paraId="732903D6" w14:textId="078529B3" w:rsidR="006E4C30" w:rsidRDefault="006E4C30" w:rsidP="000A609F"/>
    <w:p w14:paraId="6DF3BD8A" w14:textId="77777777" w:rsidR="0050468A" w:rsidRDefault="0050468A" w:rsidP="0050468A">
      <w:r>
        <w:t>No response provided.</w:t>
      </w:r>
    </w:p>
    <w:p w14:paraId="78244209" w14:textId="2D048450" w:rsidR="006E4C30" w:rsidRDefault="006E4C30" w:rsidP="000A609F"/>
    <w:p w14:paraId="2154B493" w14:textId="77777777" w:rsidR="006E4C30" w:rsidRDefault="006E4C30" w:rsidP="000A609F"/>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lastRenderedPageBreak/>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5AE9237B" w14:textId="35563254" w:rsidR="000A609F" w:rsidRDefault="000A609F" w:rsidP="000A609F">
      <w:permStart w:id="1176645916" w:edGrp="everyone"/>
    </w:p>
    <w:p w14:paraId="46D58ED1" w14:textId="09D4BAA6" w:rsidR="006E4C30" w:rsidRDefault="006E4C30" w:rsidP="000A609F"/>
    <w:p w14:paraId="772D1BF5" w14:textId="77777777" w:rsidR="00AA25E2" w:rsidRDefault="00AA25E2" w:rsidP="00AA25E2">
      <w:r>
        <w:t>No response provided.</w:t>
      </w:r>
    </w:p>
    <w:p w14:paraId="4EE47358" w14:textId="2F00B9E6" w:rsidR="006E4C30" w:rsidRDefault="006E4C30" w:rsidP="000A609F"/>
    <w:p w14:paraId="49E87037" w14:textId="77777777" w:rsidR="006E4C30" w:rsidRDefault="006E4C30" w:rsidP="000A609F"/>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3E351B45" w:rsidR="000A609F" w:rsidRDefault="000A609F" w:rsidP="000A609F">
      <w:permStart w:id="1542740676" w:edGrp="everyone"/>
    </w:p>
    <w:p w14:paraId="166408AD" w14:textId="16AD89D3" w:rsidR="006E4C30" w:rsidRDefault="006E4C30" w:rsidP="000A609F"/>
    <w:p w14:paraId="63D12923" w14:textId="08110CD7" w:rsidR="0002304D" w:rsidRDefault="0002304D" w:rsidP="0002304D">
      <w:r>
        <w:t xml:space="preserve">In our response to Q26, we reiterated our continued support of (1) </w:t>
      </w:r>
      <w:r w:rsidRPr="001C0071">
        <w:t>ESMA’s assertion that the SSTI</w:t>
      </w:r>
      <w:r>
        <w:t xml:space="preserve"> </w:t>
      </w:r>
      <w:r w:rsidRPr="001C0071">
        <w:t>waiver</w:t>
      </w:r>
      <w:r>
        <w:t>/deferral regime</w:t>
      </w:r>
      <w:r w:rsidRPr="001C0071">
        <w:t xml:space="preserve"> adds further complexity to an already complex pre</w:t>
      </w:r>
      <w:r>
        <w:t>- and post</w:t>
      </w:r>
      <w:r w:rsidRPr="001C0071">
        <w:t>-trade transparency regime in representing another threshold to be assessed</w:t>
      </w:r>
      <w:r>
        <w:t xml:space="preserve"> and (2) </w:t>
      </w:r>
      <w:r w:rsidRPr="001C0071">
        <w:t>ESMA’s recommendation to delete the pre-</w:t>
      </w:r>
      <w:r>
        <w:t xml:space="preserve"> and post-</w:t>
      </w:r>
      <w:r w:rsidRPr="001C0071">
        <w:t>trade SSTI waiver</w:t>
      </w:r>
      <w:r>
        <w:t>/deferral</w:t>
      </w:r>
      <w:r w:rsidRPr="001C0071">
        <w:t xml:space="preserve"> and lower the pre-</w:t>
      </w:r>
      <w:r>
        <w:t xml:space="preserve"> and post-</w:t>
      </w:r>
      <w:r w:rsidRPr="001C0071">
        <w:t>trade LIS threshold proportionately.</w:t>
      </w:r>
    </w:p>
    <w:p w14:paraId="112646E9" w14:textId="047B11F8" w:rsidR="0002304D" w:rsidRDefault="0002304D" w:rsidP="0002304D"/>
    <w:p w14:paraId="2F8757FA" w14:textId="0DDF32E3" w:rsidR="006E4C30" w:rsidRDefault="0002304D" w:rsidP="000A609F">
      <w:r>
        <w:t>As such, we question the logic of suggesting further amendments to the rules governing the setting of the SSTI threshold</w:t>
      </w:r>
      <w:r w:rsidR="00B51DB6">
        <w:t>s for non-equity instruments</w:t>
      </w:r>
      <w:r>
        <w:t>.</w:t>
      </w:r>
    </w:p>
    <w:p w14:paraId="7C35AA6B" w14:textId="4F114C18" w:rsidR="0002304D" w:rsidRDefault="0002304D" w:rsidP="000A609F"/>
    <w:p w14:paraId="65A11A18" w14:textId="77777777" w:rsidR="0002304D" w:rsidRDefault="0002304D" w:rsidP="000A609F"/>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411FDBC7" w:rsidR="000A609F" w:rsidRDefault="000A609F" w:rsidP="000A609F">
      <w:permStart w:id="404452169" w:edGrp="everyone"/>
    </w:p>
    <w:p w14:paraId="7E3F27A6" w14:textId="57E0FAA6" w:rsidR="000E7B67" w:rsidRDefault="000E7B67" w:rsidP="000A609F"/>
    <w:p w14:paraId="6CFC8925" w14:textId="55AEBFE1" w:rsidR="000E7B67" w:rsidRDefault="000E7B67" w:rsidP="000A609F">
      <w:r>
        <w:t>No response provided.</w:t>
      </w:r>
    </w:p>
    <w:p w14:paraId="2C041001" w14:textId="5D6A7094" w:rsidR="000E7B67" w:rsidRDefault="000E7B67" w:rsidP="000A609F"/>
    <w:p w14:paraId="576DB9C7" w14:textId="77777777" w:rsidR="000E7B67" w:rsidRDefault="000E7B67" w:rsidP="000A609F"/>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59277095" w:rsidR="000A609F" w:rsidRDefault="000A609F" w:rsidP="000A609F">
      <w:permStart w:id="649619710" w:edGrp="everyone"/>
    </w:p>
    <w:p w14:paraId="5916F592" w14:textId="60D7BC07" w:rsidR="005A2EEB" w:rsidRDefault="005A2EEB" w:rsidP="000A609F"/>
    <w:p w14:paraId="21DF14C1" w14:textId="2FE049E9" w:rsidR="000E7B67" w:rsidRDefault="000E7B67" w:rsidP="000A609F">
      <w:r>
        <w:t>No response provided.</w:t>
      </w:r>
    </w:p>
    <w:p w14:paraId="6B254290" w14:textId="06F14A5C" w:rsidR="005A2EEB" w:rsidRDefault="005A2EEB" w:rsidP="000A609F"/>
    <w:p w14:paraId="71BE5EE5" w14:textId="77777777" w:rsidR="005A2EEB" w:rsidRDefault="005A2EEB" w:rsidP="000A609F"/>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lastRenderedPageBreak/>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4B9E951D" w:rsidR="000A609F" w:rsidRDefault="000A609F" w:rsidP="000A609F">
      <w:permStart w:id="132125109" w:edGrp="everyone"/>
    </w:p>
    <w:p w14:paraId="1DCB57DF" w14:textId="1CF6D3CA" w:rsidR="005A2EEB" w:rsidRDefault="005A2EEB" w:rsidP="000A609F"/>
    <w:p w14:paraId="776EAAB3" w14:textId="20C28081" w:rsidR="00C85426" w:rsidRDefault="004107BD" w:rsidP="00C85426">
      <w:r>
        <w:t>No response provided.</w:t>
      </w:r>
    </w:p>
    <w:p w14:paraId="60C8A4CF" w14:textId="77777777" w:rsidR="004107BD" w:rsidRDefault="004107BD" w:rsidP="00C85426"/>
    <w:p w14:paraId="781F27AF" w14:textId="77777777" w:rsidR="00C85426" w:rsidRDefault="00C85426" w:rsidP="00C85426"/>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6CCC6BCE" w:rsidR="000A609F" w:rsidRDefault="000A609F" w:rsidP="000A609F">
      <w:permStart w:id="42420518" w:edGrp="everyone"/>
    </w:p>
    <w:p w14:paraId="7950BF3C" w14:textId="29C55550" w:rsidR="00C85426" w:rsidRDefault="00C85426" w:rsidP="000A609F"/>
    <w:p w14:paraId="565102DF" w14:textId="77777777" w:rsidR="0005289C" w:rsidRDefault="0005289C" w:rsidP="0005289C">
      <w:r>
        <w:t>No response provided.</w:t>
      </w:r>
    </w:p>
    <w:p w14:paraId="687869E2" w14:textId="32C7EBA5" w:rsidR="00C85426" w:rsidRDefault="00C85426" w:rsidP="000A609F"/>
    <w:p w14:paraId="3AA7E9A4" w14:textId="77777777" w:rsidR="00C85426" w:rsidRDefault="00C85426" w:rsidP="000A609F"/>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6C8A52F5" w:rsidR="000A609F" w:rsidRDefault="000A609F" w:rsidP="000A609F">
      <w:permStart w:id="1907828334" w:edGrp="everyone"/>
    </w:p>
    <w:p w14:paraId="119D78AB" w14:textId="612AEEBE" w:rsidR="0005289C" w:rsidRDefault="0005289C" w:rsidP="000A609F"/>
    <w:p w14:paraId="672C8B1B" w14:textId="77777777" w:rsidR="0005289C" w:rsidRDefault="0005289C" w:rsidP="0005289C">
      <w:r>
        <w:t>No response provided.</w:t>
      </w:r>
    </w:p>
    <w:p w14:paraId="4715D8D2" w14:textId="32E167B9" w:rsidR="0005289C" w:rsidRDefault="0005289C" w:rsidP="000A609F"/>
    <w:p w14:paraId="0C54E0AD" w14:textId="77777777" w:rsidR="0005289C" w:rsidRDefault="0005289C" w:rsidP="000A609F"/>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656D3B73" w14:textId="15E92FDA" w:rsidR="000A609F" w:rsidRDefault="000A609F" w:rsidP="000A609F">
      <w:permStart w:id="1238650876" w:edGrp="everyone"/>
    </w:p>
    <w:p w14:paraId="09C5B0E0" w14:textId="001F2E56" w:rsidR="00C85426" w:rsidRDefault="00C85426" w:rsidP="000A609F"/>
    <w:p w14:paraId="560E34ED" w14:textId="1A60A13E" w:rsidR="00EB2536" w:rsidRDefault="00C85426" w:rsidP="000A609F">
      <w:r w:rsidRPr="00C85426">
        <w:t xml:space="preserve">We </w:t>
      </w:r>
      <w:r w:rsidR="00EB2536">
        <w:t>welcome ESMA’s acknowl</w:t>
      </w:r>
      <w:r w:rsidR="00644F39">
        <w:t>edgement that firms will require sufficient lead-time to implement the necessary operational changes to comply with any updated transparency obligations. It is important that EU policymakers and regulators take a pragmatic approach to the implementation of new rules. Invesco would support ESMA’s proposal to ensure that firms are provided with at least six months to comply with any updated transparency obligations, following publication of the RTS in the OJEU.</w:t>
      </w:r>
    </w:p>
    <w:p w14:paraId="22FF45DA" w14:textId="1D7C16EC" w:rsidR="00C85426" w:rsidRDefault="00C85426" w:rsidP="000A609F"/>
    <w:p w14:paraId="3C880F96" w14:textId="77777777" w:rsidR="00C85426" w:rsidRDefault="00C85426" w:rsidP="000A609F"/>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EE255D" w:rsidR="000A609F" w:rsidRDefault="000A609F" w:rsidP="000A609F">
      <w:permStart w:id="989536485" w:edGrp="everyone"/>
    </w:p>
    <w:p w14:paraId="061C5753" w14:textId="084ECC6B" w:rsidR="00C85426" w:rsidRDefault="00C85426" w:rsidP="000A609F"/>
    <w:p w14:paraId="5204E05D" w14:textId="2181A0A5" w:rsidR="00C85426" w:rsidRDefault="001E1D8B" w:rsidP="000A609F">
      <w:r>
        <w:t>No response provided.</w:t>
      </w:r>
    </w:p>
    <w:p w14:paraId="6026AA7A" w14:textId="1D34E02A" w:rsidR="00C85426" w:rsidRDefault="00C85426" w:rsidP="000A609F"/>
    <w:p w14:paraId="10886DA6" w14:textId="77777777" w:rsidR="00C85426" w:rsidRDefault="00C85426" w:rsidP="000A609F"/>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94114" w14:textId="77777777" w:rsidR="00D26967" w:rsidRDefault="00D26967">
      <w:r>
        <w:separator/>
      </w:r>
    </w:p>
    <w:p w14:paraId="27D27B80" w14:textId="77777777" w:rsidR="00D26967" w:rsidRDefault="00D26967"/>
  </w:endnote>
  <w:endnote w:type="continuationSeparator" w:id="0">
    <w:p w14:paraId="2437FF34" w14:textId="77777777" w:rsidR="00D26967" w:rsidRDefault="00D26967">
      <w:r>
        <w:continuationSeparator/>
      </w:r>
    </w:p>
    <w:p w14:paraId="134630BB" w14:textId="77777777" w:rsidR="00D26967" w:rsidRDefault="00D26967"/>
  </w:endnote>
  <w:endnote w:type="continuationNotice" w:id="1">
    <w:p w14:paraId="480BF144" w14:textId="77777777" w:rsidR="00D26967" w:rsidRDefault="00D26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auto"/>
    <w:pitch w:val="variable"/>
    <w:sig w:usb0="E1000AEF" w:usb1="5000A1FF" w:usb2="00000000" w:usb3="00000000" w:csb0="000001BF" w:csb1="00000000"/>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75BA2" w:rsidRPr="00616B9B" w14:paraId="313FAE1A" w14:textId="77777777" w:rsidTr="00315E96">
      <w:trPr>
        <w:trHeight w:val="284"/>
      </w:trPr>
      <w:tc>
        <w:tcPr>
          <w:tcW w:w="8460" w:type="dxa"/>
        </w:tcPr>
        <w:p w14:paraId="0BEF8BC6" w14:textId="77777777" w:rsidR="00975BA2" w:rsidRPr="00315E96" w:rsidRDefault="00975BA2" w:rsidP="00315E96">
          <w:pPr>
            <w:pStyle w:val="00Footer"/>
            <w:rPr>
              <w:lang w:val="fr-FR"/>
            </w:rPr>
          </w:pPr>
        </w:p>
      </w:tc>
      <w:tc>
        <w:tcPr>
          <w:tcW w:w="952" w:type="dxa"/>
        </w:tcPr>
        <w:p w14:paraId="7FD1DE07" w14:textId="77777777" w:rsidR="00975BA2" w:rsidRPr="00616B9B" w:rsidRDefault="00975BA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975BA2" w:rsidRDefault="00975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975BA2" w:rsidRDefault="00975BA2"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975BA2" w:rsidRDefault="00975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4B7CB" w14:textId="77777777" w:rsidR="00D26967" w:rsidRDefault="00D26967">
      <w:r>
        <w:separator/>
      </w:r>
    </w:p>
    <w:p w14:paraId="702BC11B" w14:textId="77777777" w:rsidR="00D26967" w:rsidRDefault="00D26967"/>
  </w:footnote>
  <w:footnote w:type="continuationSeparator" w:id="0">
    <w:p w14:paraId="573465F5" w14:textId="77777777" w:rsidR="00D26967" w:rsidRDefault="00D26967">
      <w:r>
        <w:continuationSeparator/>
      </w:r>
    </w:p>
    <w:p w14:paraId="10383FD3" w14:textId="77777777" w:rsidR="00D26967" w:rsidRDefault="00D26967"/>
  </w:footnote>
  <w:footnote w:type="continuationNotice" w:id="1">
    <w:p w14:paraId="51578C6B" w14:textId="77777777" w:rsidR="00D26967" w:rsidRDefault="00D26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975BA2" w:rsidRDefault="00975BA2">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975BA2" w:rsidRDefault="00975BA2"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975BA2" w:rsidRDefault="00975B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75BA2" w:rsidRPr="002F4496" w14:paraId="60C7474C" w14:textId="77777777" w:rsidTr="000C06C9">
      <w:trPr>
        <w:trHeight w:val="284"/>
      </w:trPr>
      <w:tc>
        <w:tcPr>
          <w:tcW w:w="8460" w:type="dxa"/>
        </w:tcPr>
        <w:p w14:paraId="54B7E7F0" w14:textId="77777777" w:rsidR="00975BA2" w:rsidRPr="000C3B6D" w:rsidRDefault="00975BA2" w:rsidP="000C06C9">
          <w:pPr>
            <w:pStyle w:val="00Footer"/>
            <w:rPr>
              <w:lang w:val="fr-FR"/>
            </w:rPr>
          </w:pPr>
        </w:p>
      </w:tc>
      <w:tc>
        <w:tcPr>
          <w:tcW w:w="952" w:type="dxa"/>
        </w:tcPr>
        <w:p w14:paraId="2E49D042" w14:textId="77777777" w:rsidR="00975BA2" w:rsidRPr="00146B34" w:rsidRDefault="00975BA2" w:rsidP="000C06C9">
          <w:pPr>
            <w:pStyle w:val="00aPagenumber"/>
            <w:rPr>
              <w:lang w:val="fr-FR"/>
            </w:rPr>
          </w:pPr>
        </w:p>
      </w:tc>
    </w:tr>
  </w:tbl>
  <w:p w14:paraId="580707D9" w14:textId="77777777" w:rsidR="00975BA2" w:rsidRPr="00DB46C3" w:rsidRDefault="00975BA2">
    <w:pPr>
      <w:rPr>
        <w:lang w:val="fr-FR"/>
      </w:rPr>
    </w:pPr>
  </w:p>
  <w:p w14:paraId="20C4F67C" w14:textId="77777777" w:rsidR="00975BA2" w:rsidRPr="002F4496" w:rsidRDefault="00975BA2">
    <w:pPr>
      <w:pStyle w:val="Header"/>
      <w:rPr>
        <w:lang w:val="fr-FR"/>
      </w:rPr>
    </w:pPr>
  </w:p>
  <w:p w14:paraId="3F30C70B" w14:textId="77777777" w:rsidR="00975BA2" w:rsidRPr="002F4496" w:rsidRDefault="00975BA2" w:rsidP="000C06C9">
    <w:pPr>
      <w:pStyle w:val="Header"/>
      <w:tabs>
        <w:tab w:val="clear" w:pos="4536"/>
        <w:tab w:val="clear" w:pos="9072"/>
        <w:tab w:val="left" w:pos="8227"/>
      </w:tabs>
      <w:rPr>
        <w:lang w:val="fr-FR"/>
      </w:rPr>
    </w:pPr>
  </w:p>
  <w:p w14:paraId="4D50BC39" w14:textId="77777777" w:rsidR="00975BA2" w:rsidRPr="002F4496" w:rsidRDefault="00975BA2" w:rsidP="00583885">
    <w:pPr>
      <w:pStyle w:val="Header"/>
      <w:jc w:val="right"/>
      <w:rPr>
        <w:lang w:val="fr-FR"/>
      </w:rPr>
    </w:pPr>
  </w:p>
  <w:p w14:paraId="2D51BEA2" w14:textId="77777777" w:rsidR="00975BA2" w:rsidRPr="002F4496" w:rsidRDefault="00975BA2">
    <w:pPr>
      <w:pStyle w:val="Header"/>
      <w:rPr>
        <w:lang w:val="fr-FR"/>
      </w:rPr>
    </w:pPr>
  </w:p>
  <w:p w14:paraId="340B2438" w14:textId="77777777" w:rsidR="00975BA2" w:rsidRPr="002F4496" w:rsidRDefault="00975BA2">
    <w:pPr>
      <w:pStyle w:val="Header"/>
      <w:rPr>
        <w:lang w:val="fr-FR"/>
      </w:rPr>
    </w:pPr>
  </w:p>
  <w:p w14:paraId="2A794A3E" w14:textId="77777777" w:rsidR="00975BA2" w:rsidRPr="002F4496" w:rsidRDefault="00975BA2">
    <w:pPr>
      <w:pStyle w:val="Header"/>
      <w:rPr>
        <w:lang w:val="fr-FR"/>
      </w:rPr>
    </w:pPr>
  </w:p>
  <w:p w14:paraId="0A21F475" w14:textId="77777777" w:rsidR="00975BA2" w:rsidRPr="002F4496" w:rsidRDefault="00975BA2">
    <w:pPr>
      <w:pStyle w:val="Header"/>
      <w:rPr>
        <w:highlight w:val="yellow"/>
        <w:lang w:val="fr-FR"/>
      </w:rPr>
    </w:pPr>
  </w:p>
  <w:p w14:paraId="53ABEE5D" w14:textId="77777777" w:rsidR="00975BA2" w:rsidRDefault="00975BA2">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1C0B2E"/>
    <w:multiLevelType w:val="hybridMultilevel"/>
    <w:tmpl w:val="4AB21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960D2"/>
    <w:multiLevelType w:val="hybridMultilevel"/>
    <w:tmpl w:val="3E0EFAE8"/>
    <w:lvl w:ilvl="0" w:tplc="531E27A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82478"/>
    <w:multiLevelType w:val="hybridMultilevel"/>
    <w:tmpl w:val="78F6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94609C"/>
    <w:multiLevelType w:val="hybridMultilevel"/>
    <w:tmpl w:val="3D4E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2"/>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1"/>
  </w:num>
  <w:num w:numId="24">
    <w:abstractNumId w:val="30"/>
  </w:num>
  <w:num w:numId="25">
    <w:abstractNumId w:val="29"/>
  </w:num>
  <w:num w:numId="26">
    <w:abstractNumId w:val="20"/>
  </w:num>
  <w:num w:numId="27">
    <w:abstractNumId w:val="33"/>
  </w:num>
  <w:num w:numId="28">
    <w:abstractNumId w:val="40"/>
  </w:num>
  <w:num w:numId="29">
    <w:abstractNumId w:val="9"/>
  </w:num>
  <w:num w:numId="30">
    <w:abstractNumId w:val="4"/>
  </w:num>
  <w:num w:numId="31">
    <w:abstractNumId w:val="22"/>
  </w:num>
  <w:num w:numId="32">
    <w:abstractNumId w:val="21"/>
  </w:num>
  <w:num w:numId="33">
    <w:abstractNumId w:val="35"/>
  </w:num>
  <w:num w:numId="34">
    <w:abstractNumId w:val="34"/>
  </w:num>
  <w:num w:numId="35">
    <w:abstractNumId w:val="7"/>
  </w:num>
  <w:num w:numId="36">
    <w:abstractNumId w:val="37"/>
  </w:num>
  <w:num w:numId="37">
    <w:abstractNumId w:val="21"/>
    <w:lvlOverride w:ilvl="0">
      <w:startOverride w:val="1"/>
    </w:lvlOverride>
  </w:num>
  <w:num w:numId="38">
    <w:abstractNumId w:val="21"/>
  </w:num>
  <w:num w:numId="39">
    <w:abstractNumId w:val="5"/>
  </w:num>
  <w:num w:numId="40">
    <w:abstractNumId w:val="36"/>
  </w:num>
  <w:num w:numId="41">
    <w:abstractNumId w:val="2"/>
  </w:num>
  <w:num w:numId="42">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04D"/>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89C"/>
    <w:rsid w:val="00052F47"/>
    <w:rsid w:val="000537BB"/>
    <w:rsid w:val="0005399B"/>
    <w:rsid w:val="00054DE6"/>
    <w:rsid w:val="000569D7"/>
    <w:rsid w:val="000576D7"/>
    <w:rsid w:val="000606F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19D"/>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B67"/>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B81"/>
    <w:rsid w:val="00151907"/>
    <w:rsid w:val="001544C8"/>
    <w:rsid w:val="00155FAB"/>
    <w:rsid w:val="001567A1"/>
    <w:rsid w:val="00156857"/>
    <w:rsid w:val="00157E79"/>
    <w:rsid w:val="00157EED"/>
    <w:rsid w:val="0016000A"/>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3348"/>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071"/>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1D8B"/>
    <w:rsid w:val="001E2F2A"/>
    <w:rsid w:val="001E407D"/>
    <w:rsid w:val="001E40FB"/>
    <w:rsid w:val="001E66EC"/>
    <w:rsid w:val="001E68C5"/>
    <w:rsid w:val="001F0F63"/>
    <w:rsid w:val="001F3996"/>
    <w:rsid w:val="001F44A4"/>
    <w:rsid w:val="001F579D"/>
    <w:rsid w:val="001F65EF"/>
    <w:rsid w:val="001F697B"/>
    <w:rsid w:val="002005A6"/>
    <w:rsid w:val="00200609"/>
    <w:rsid w:val="00202FA1"/>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56B3"/>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4B36"/>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281"/>
    <w:rsid w:val="00312675"/>
    <w:rsid w:val="00314013"/>
    <w:rsid w:val="00314945"/>
    <w:rsid w:val="00315389"/>
    <w:rsid w:val="00315746"/>
    <w:rsid w:val="00315E96"/>
    <w:rsid w:val="00317FC8"/>
    <w:rsid w:val="003223D7"/>
    <w:rsid w:val="00323D9F"/>
    <w:rsid w:val="003248A3"/>
    <w:rsid w:val="00324FDB"/>
    <w:rsid w:val="00325F48"/>
    <w:rsid w:val="0033194F"/>
    <w:rsid w:val="00332304"/>
    <w:rsid w:val="00332406"/>
    <w:rsid w:val="00332D8D"/>
    <w:rsid w:val="00336B56"/>
    <w:rsid w:val="00341B25"/>
    <w:rsid w:val="00341EC0"/>
    <w:rsid w:val="0034240C"/>
    <w:rsid w:val="00343083"/>
    <w:rsid w:val="00344496"/>
    <w:rsid w:val="0034449A"/>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2D25"/>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07BD"/>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0A2"/>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2377"/>
    <w:rsid w:val="00503A3E"/>
    <w:rsid w:val="00503F59"/>
    <w:rsid w:val="0050468A"/>
    <w:rsid w:val="005049A7"/>
    <w:rsid w:val="005053B2"/>
    <w:rsid w:val="00506331"/>
    <w:rsid w:val="00507D11"/>
    <w:rsid w:val="00510662"/>
    <w:rsid w:val="005109B7"/>
    <w:rsid w:val="00510A19"/>
    <w:rsid w:val="00511AAB"/>
    <w:rsid w:val="005133DE"/>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54BE"/>
    <w:rsid w:val="00530A8D"/>
    <w:rsid w:val="00531C6D"/>
    <w:rsid w:val="00532EF4"/>
    <w:rsid w:val="005347CE"/>
    <w:rsid w:val="00535477"/>
    <w:rsid w:val="00535DEA"/>
    <w:rsid w:val="0053723A"/>
    <w:rsid w:val="00537636"/>
    <w:rsid w:val="00537B1D"/>
    <w:rsid w:val="00540191"/>
    <w:rsid w:val="00540A2A"/>
    <w:rsid w:val="005418D4"/>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E7B"/>
    <w:rsid w:val="00587F1D"/>
    <w:rsid w:val="00590348"/>
    <w:rsid w:val="00591161"/>
    <w:rsid w:val="00591CDF"/>
    <w:rsid w:val="00592318"/>
    <w:rsid w:val="00593133"/>
    <w:rsid w:val="0059575D"/>
    <w:rsid w:val="00596825"/>
    <w:rsid w:val="005A06A0"/>
    <w:rsid w:val="005A150A"/>
    <w:rsid w:val="005A2B3E"/>
    <w:rsid w:val="005A2EEB"/>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39"/>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4A91"/>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C30"/>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07E0A"/>
    <w:rsid w:val="00710519"/>
    <w:rsid w:val="00710F6E"/>
    <w:rsid w:val="00711663"/>
    <w:rsid w:val="007116B4"/>
    <w:rsid w:val="00712580"/>
    <w:rsid w:val="007133E4"/>
    <w:rsid w:val="00713788"/>
    <w:rsid w:val="00713940"/>
    <w:rsid w:val="007148BF"/>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068"/>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6660"/>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F8E"/>
    <w:rsid w:val="0085590C"/>
    <w:rsid w:val="008575EB"/>
    <w:rsid w:val="00862DDD"/>
    <w:rsid w:val="0086326D"/>
    <w:rsid w:val="00863CC1"/>
    <w:rsid w:val="00863EB9"/>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D658F"/>
    <w:rsid w:val="008E1B6A"/>
    <w:rsid w:val="008E3054"/>
    <w:rsid w:val="008E32FF"/>
    <w:rsid w:val="008E5625"/>
    <w:rsid w:val="008E5C5B"/>
    <w:rsid w:val="008E6A37"/>
    <w:rsid w:val="008E6E0F"/>
    <w:rsid w:val="008F0354"/>
    <w:rsid w:val="008F085A"/>
    <w:rsid w:val="008F1462"/>
    <w:rsid w:val="008F2413"/>
    <w:rsid w:val="008F248D"/>
    <w:rsid w:val="008F4B2C"/>
    <w:rsid w:val="008F4C08"/>
    <w:rsid w:val="008F6003"/>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398"/>
    <w:rsid w:val="00945BCF"/>
    <w:rsid w:val="00945FD1"/>
    <w:rsid w:val="00946CCC"/>
    <w:rsid w:val="00946FD0"/>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5BA2"/>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22A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6C4"/>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5E2"/>
    <w:rsid w:val="00AA2F67"/>
    <w:rsid w:val="00AA34A4"/>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4DF"/>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76"/>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1DB6"/>
    <w:rsid w:val="00B525C0"/>
    <w:rsid w:val="00B52FAB"/>
    <w:rsid w:val="00B5319A"/>
    <w:rsid w:val="00B5350B"/>
    <w:rsid w:val="00B539F9"/>
    <w:rsid w:val="00B53E56"/>
    <w:rsid w:val="00B546C3"/>
    <w:rsid w:val="00B54BD9"/>
    <w:rsid w:val="00B5503C"/>
    <w:rsid w:val="00B55640"/>
    <w:rsid w:val="00B55C57"/>
    <w:rsid w:val="00B57107"/>
    <w:rsid w:val="00B60D27"/>
    <w:rsid w:val="00B619E4"/>
    <w:rsid w:val="00B61CD3"/>
    <w:rsid w:val="00B61D0B"/>
    <w:rsid w:val="00B6351C"/>
    <w:rsid w:val="00B63D8B"/>
    <w:rsid w:val="00B6439A"/>
    <w:rsid w:val="00B6443B"/>
    <w:rsid w:val="00B6517B"/>
    <w:rsid w:val="00B65E71"/>
    <w:rsid w:val="00B66C26"/>
    <w:rsid w:val="00B67829"/>
    <w:rsid w:val="00B71FB3"/>
    <w:rsid w:val="00B73492"/>
    <w:rsid w:val="00B7512A"/>
    <w:rsid w:val="00B758C6"/>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2C55"/>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077C9"/>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4DE6"/>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426"/>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815"/>
    <w:rsid w:val="00CB2ED9"/>
    <w:rsid w:val="00CB36A5"/>
    <w:rsid w:val="00CB56B4"/>
    <w:rsid w:val="00CB7286"/>
    <w:rsid w:val="00CB7947"/>
    <w:rsid w:val="00CC1783"/>
    <w:rsid w:val="00CC3B46"/>
    <w:rsid w:val="00CC3D8B"/>
    <w:rsid w:val="00CC4AE5"/>
    <w:rsid w:val="00CC4E27"/>
    <w:rsid w:val="00CC570C"/>
    <w:rsid w:val="00CC62B6"/>
    <w:rsid w:val="00CC76AA"/>
    <w:rsid w:val="00CC7CD2"/>
    <w:rsid w:val="00CD05CF"/>
    <w:rsid w:val="00CD064A"/>
    <w:rsid w:val="00CD1FAE"/>
    <w:rsid w:val="00CD232F"/>
    <w:rsid w:val="00CD279E"/>
    <w:rsid w:val="00CD2F92"/>
    <w:rsid w:val="00CD4EB0"/>
    <w:rsid w:val="00CD512D"/>
    <w:rsid w:val="00CD5831"/>
    <w:rsid w:val="00CD6F6E"/>
    <w:rsid w:val="00CD765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04FB"/>
    <w:rsid w:val="00D22786"/>
    <w:rsid w:val="00D228B4"/>
    <w:rsid w:val="00D25AC4"/>
    <w:rsid w:val="00D26967"/>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6E02"/>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573B"/>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536"/>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6E92"/>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3812</Words>
  <Characters>21731</Characters>
  <Application>Microsoft Office Word</Application>
  <DocSecurity>8</DocSecurity>
  <Lines>181</Lines>
  <Paragraphs>50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25493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 Alvsaker</cp:lastModifiedBy>
  <cp:revision>2</cp:revision>
  <cp:lastPrinted>2015-02-18T11:01:00Z</cp:lastPrinted>
  <dcterms:created xsi:type="dcterms:W3CDTF">2021-10-11T09:47:00Z</dcterms:created>
  <dcterms:modified xsi:type="dcterms:W3CDTF">2021-10-11T09:47:00Z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