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Piedepgina"/>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9" w:history="1">
        <w:r w:rsidRPr="005B6B12">
          <w:rPr>
            <w:rStyle w:val="Hipervnculo"/>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ipervnculo"/>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Ttu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Textodelmarcadordeposicin"/>
              <w:rFonts w:cs="Arial"/>
            </w:rPr>
            <w:id w:val="651570699"/>
            <w:text/>
          </w:sdtPr>
          <w:sdtEndPr>
            <w:rPr>
              <w:rStyle w:val="Textodelmarcadordeposicin"/>
            </w:rPr>
          </w:sdtEndPr>
          <w:sdtContent>
            <w:tc>
              <w:tcPr>
                <w:tcW w:w="5595" w:type="dxa"/>
                <w:shd w:val="clear" w:color="auto" w:fill="auto"/>
              </w:tcPr>
              <w:p w14:paraId="7A68491E" w14:textId="0F260EF5" w:rsidR="00C2682A" w:rsidRPr="00AB6D88" w:rsidRDefault="003B13B3" w:rsidP="00FA5524">
                <w:pPr>
                  <w:rPr>
                    <w:rStyle w:val="Textodelmarcadordeposicin"/>
                    <w:rFonts w:cs="Arial"/>
                  </w:rPr>
                </w:pPr>
                <w:r>
                  <w:rPr>
                    <w:rStyle w:val="Textodelmarcadordeposicin"/>
                    <w:rFonts w:cs="Arial"/>
                  </w:rPr>
                  <w:t>Bolsas y Mercados Españoles</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5371D480" w:rsidR="00C2682A" w:rsidRPr="00AB6D88" w:rsidRDefault="000C61A8"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B13B3">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0D357274" w:rsidR="00C2682A" w:rsidRPr="00AB6D88" w:rsidRDefault="00277943"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C51C4E5" w:rsidR="00C2682A" w:rsidRPr="00AB6D88" w:rsidRDefault="003B13B3" w:rsidP="00FA5524">
                <w:pPr>
                  <w:rPr>
                    <w:rFonts w:cs="Arial"/>
                  </w:rPr>
                </w:pPr>
                <w:r>
                  <w:rPr>
                    <w:rFonts w:cs="Arial"/>
                  </w:rPr>
                  <w:t>Spain</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Ttulo1"/>
        <w:numPr>
          <w:ilvl w:val="0"/>
          <w:numId w:val="0"/>
        </w:numPr>
        <w:ind w:left="431" w:hanging="431"/>
      </w:pPr>
      <w:r>
        <w:t>Introduction</w:t>
      </w:r>
    </w:p>
    <w:p w14:paraId="0A354328" w14:textId="77777777" w:rsidR="00F87897" w:rsidRPr="001D47A5" w:rsidRDefault="00F87897" w:rsidP="00F87897">
      <w:pPr>
        <w:rPr>
          <w:rStyle w:val="nfasisintenso"/>
        </w:rPr>
      </w:pPr>
      <w:r w:rsidRPr="001D47A5">
        <w:rPr>
          <w:rStyle w:val="nfasisintenso"/>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5DCA5F22" w14:textId="77777777" w:rsidR="00DC5961" w:rsidRDefault="00DC5961" w:rsidP="00DC5961">
      <w:permStart w:id="1454525006" w:edGrp="everyone"/>
      <w:proofErr w:type="spellStart"/>
      <w:r>
        <w:t>Bolsas</w:t>
      </w:r>
      <w:proofErr w:type="spellEnd"/>
      <w:r>
        <w:t xml:space="preserve"> y Mercados </w:t>
      </w:r>
      <w:proofErr w:type="spellStart"/>
      <w:r>
        <w:t>Españoles</w:t>
      </w:r>
      <w:proofErr w:type="spellEnd"/>
      <w:r>
        <w:t xml:space="preserve"> (BME) is the operator of all stock Markets and financial systems in Spain. BME has been a listed company from 2006 to 2020 and is a SIX Group Company. One of the strengths of the Group resides in its diversification, apparent on the company structure that that aims to provide a full range of products and services to its clients.</w:t>
      </w:r>
    </w:p>
    <w:p w14:paraId="6A22288E" w14:textId="5AFB3E5D" w:rsidR="00F87897" w:rsidRDefault="00DC5961" w:rsidP="00F87897">
      <w:r>
        <w:t xml:space="preserve">BME is committed to contribute decisively to a transparent, </w:t>
      </w:r>
      <w:proofErr w:type="gramStart"/>
      <w:r>
        <w:t>safe</w:t>
      </w:r>
      <w:proofErr w:type="gramEnd"/>
      <w:r>
        <w:t xml:space="preserve"> and efficient functioning of the markets to support the economic growth of our companies, creating value for our shareholders.</w:t>
      </w:r>
    </w:p>
    <w:p w14:paraId="73946DE4" w14:textId="4CB2C782" w:rsidR="00F87897" w:rsidRDefault="00DC5961" w:rsidP="00F87897">
      <w:r>
        <w:t xml:space="preserve">BME welcomes the opportunity to comment on the Review of RTS 1 and RTS 2 </w:t>
      </w:r>
      <w:r w:rsidRPr="00DC5961">
        <w:t xml:space="preserve">thus contributing to the overarching objectives of CMU, integrity, </w:t>
      </w:r>
      <w:proofErr w:type="gramStart"/>
      <w:r w:rsidRPr="00DC5961">
        <w:t>transparency</w:t>
      </w:r>
      <w:proofErr w:type="gramEnd"/>
      <w:r w:rsidRPr="00DC5961">
        <w:t xml:space="preserve"> and resilience for the financial markets.</w:t>
      </w:r>
      <w:r>
        <w:t xml:space="preserve"> </w:t>
      </w:r>
      <w:permEnd w:id="1454525006"/>
    </w:p>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54394164" w14:textId="7A14E251" w:rsidR="002C3708" w:rsidRPr="0038488C" w:rsidRDefault="00082D8A" w:rsidP="0038488C">
      <w:pPr>
        <w:spacing w:after="120"/>
        <w:jc w:val="both"/>
        <w:rPr>
          <w:color w:val="00B0F0"/>
          <w:lang w:val="en-US"/>
        </w:rPr>
      </w:pPr>
      <w:permStart w:id="1512797590" w:edGrp="everyone"/>
      <w:r w:rsidRPr="0038488C">
        <w:rPr>
          <w:color w:val="00B0F0"/>
        </w:rPr>
        <w:t>BME</w:t>
      </w:r>
      <w:r w:rsidR="0038488C" w:rsidRPr="0038488C">
        <w:rPr>
          <w:color w:val="00B0F0"/>
        </w:rPr>
        <w:t xml:space="preserve"> </w:t>
      </w:r>
      <w:r w:rsidR="00DC5961">
        <w:rPr>
          <w:color w:val="00B0F0"/>
        </w:rPr>
        <w:t>does not</w:t>
      </w:r>
      <w:r w:rsidR="0038488C" w:rsidRPr="0038488C">
        <w:rPr>
          <w:color w:val="00B0F0"/>
        </w:rPr>
        <w:t xml:space="preserve"> agree with the proposal of increasing the threshold. </w:t>
      </w:r>
      <w:r w:rsidR="00DC5961">
        <w:rPr>
          <w:color w:val="00B0F0"/>
        </w:rPr>
        <w:t>W</w:t>
      </w:r>
      <w:r w:rsidR="00006A55">
        <w:rPr>
          <w:color w:val="00B0F0"/>
        </w:rPr>
        <w:t>e believe t</w:t>
      </w:r>
      <w:r w:rsidR="0038488C" w:rsidRPr="0038488C">
        <w:rPr>
          <w:color w:val="00B0F0"/>
        </w:rPr>
        <w:t>he pre-trade LIS threshold for ETFs should be in line with those applicable to equity.</w:t>
      </w:r>
    </w:p>
    <w:permEnd w:id="1512797590"/>
    <w:p w14:paraId="27215ACF" w14:textId="6163FEF7"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7FB3FF8B" w14:textId="1B36BDA4" w:rsidR="00786423" w:rsidRDefault="00D01166" w:rsidP="006D2BFF">
      <w:pPr>
        <w:jc w:val="both"/>
      </w:pPr>
      <w:permStart w:id="2084269393" w:edGrp="everyone"/>
      <w:r>
        <w:t>BME</w:t>
      </w:r>
      <w:r w:rsidR="00DF6628">
        <w:t xml:space="preserve"> agrees with ESMA to increase the minimum qualifying size of transaction for a 60 </w:t>
      </w:r>
      <w:proofErr w:type="gramStart"/>
      <w:r w:rsidR="00DF6628">
        <w:t>minutes</w:t>
      </w:r>
      <w:proofErr w:type="gramEnd"/>
      <w:r w:rsidR="00DF6628">
        <w:t xml:space="preserve"> delay from EUR 10,000,000 to EUR 15,000,000. The volume of transactions subject to deferred publication in relation to the total volume of ETFs executed on-venue is significantly high, which goes against the objective of achieving higher real-time post-trade transparency.</w:t>
      </w:r>
    </w:p>
    <w:permEnd w:id="2084269393"/>
    <w:p w14:paraId="5B70D15F" w14:textId="3A198299"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6F70EAA8" w14:textId="7DA1F5A2" w:rsidR="006D2BFF" w:rsidRDefault="006D2BFF" w:rsidP="006D2BFF">
      <w:pPr>
        <w:jc w:val="both"/>
        <w:rPr>
          <w:rFonts w:cs="Arial"/>
        </w:rPr>
      </w:pPr>
      <w:permStart w:id="345523561" w:edGrp="everyone"/>
      <w:r w:rsidRPr="006D2BFF">
        <w:rPr>
          <w:rFonts w:cs="Arial"/>
        </w:rPr>
        <w:t xml:space="preserve">As a preliminary remark, </w:t>
      </w:r>
      <w:r w:rsidR="00082D8A">
        <w:rPr>
          <w:rFonts w:cs="Arial"/>
        </w:rPr>
        <w:t>BME</w:t>
      </w:r>
      <w:r w:rsidRPr="006D2BFF">
        <w:rPr>
          <w:rFonts w:cs="Arial"/>
        </w:rPr>
        <w:t xml:space="preserve"> would stress that the notion of addressable liquidity is not about the place of execution and is not limited to multilateral venues. Such an overly simplified view risks unforeseen major consequences on equity market structure: where MiFID II/MiFIR looked at increasing market transparency, an unjustified definition of non-addressable liquidity could be at odds with this main objective and question the concept of an efficient price discovery process. Whilst in this debate it is important to recognise </w:t>
      </w:r>
      <w:proofErr w:type="gramStart"/>
      <w:r w:rsidRPr="006D2BFF">
        <w:rPr>
          <w:rFonts w:cs="Arial"/>
        </w:rPr>
        <w:t>as well the distinction</w:t>
      </w:r>
      <w:proofErr w:type="gramEnd"/>
      <w:r w:rsidRPr="006D2BFF">
        <w:rPr>
          <w:rFonts w:cs="Arial"/>
        </w:rPr>
        <w:t xml:space="preserve"> between price-forming and non-price-forming transactions, addressable liquidity refers to the interactive nature of liquidity and encompasses both categories. Likewise, mixing technical transactions, non-pre trade transparent trades, and trades without an economic trading interest is incorrect. For example, a significant number of non-</w:t>
      </w:r>
      <w:proofErr w:type="gramStart"/>
      <w:r w:rsidRPr="006D2BFF">
        <w:rPr>
          <w:rFonts w:cs="Arial"/>
        </w:rPr>
        <w:t>price</w:t>
      </w:r>
      <w:proofErr w:type="gramEnd"/>
      <w:r w:rsidRPr="006D2BFF">
        <w:rPr>
          <w:rFonts w:cs="Arial"/>
        </w:rPr>
        <w:t xml:space="preserve"> forming transactions (like those executed under the negotiated transaction waiver) are addressable, and would even be price forming if executed on a trading venue. Trades can be identified as addressable liquidity regardless of whether conducted OTC or in an SI.</w:t>
      </w:r>
    </w:p>
    <w:p w14:paraId="49593B64" w14:textId="77777777" w:rsidR="00B723B1" w:rsidRPr="006D2BFF" w:rsidRDefault="00B723B1" w:rsidP="006D2BFF">
      <w:pPr>
        <w:jc w:val="both"/>
        <w:rPr>
          <w:rFonts w:cs="Arial"/>
        </w:rPr>
      </w:pPr>
    </w:p>
    <w:p w14:paraId="59E71575" w14:textId="6D65F6E9" w:rsidR="006D2BFF" w:rsidRDefault="006D2BFF" w:rsidP="006D2BFF">
      <w:pPr>
        <w:jc w:val="both"/>
        <w:rPr>
          <w:rFonts w:cs="Arial"/>
        </w:rPr>
      </w:pPr>
      <w:r w:rsidRPr="006D2BFF">
        <w:rPr>
          <w:rFonts w:cs="Arial"/>
        </w:rPr>
        <w:t>The topic of non-addressable liquidity and non-price forming transactions should also be considered in the context of the STO as well as the consolidated tape, the categories of trades under its scope are a fundamental aspect and in no case the consolidated tape should be ringfenced to addressable liquidity.</w:t>
      </w:r>
    </w:p>
    <w:p w14:paraId="7BBE494B" w14:textId="77777777" w:rsidR="00B723B1" w:rsidRPr="006D2BFF" w:rsidRDefault="00B723B1" w:rsidP="006D2BFF">
      <w:pPr>
        <w:jc w:val="both"/>
        <w:rPr>
          <w:rFonts w:cs="Arial"/>
        </w:rPr>
      </w:pPr>
    </w:p>
    <w:p w14:paraId="26BD263A" w14:textId="3FEE1D65" w:rsidR="00582F72" w:rsidRPr="004A2CE9" w:rsidRDefault="006D2BFF" w:rsidP="006D2BFF">
      <w:pPr>
        <w:jc w:val="both"/>
        <w:rPr>
          <w:lang w:val="en-US"/>
        </w:rPr>
      </w:pPr>
      <w:r w:rsidRPr="006D2BFF">
        <w:rPr>
          <w:rFonts w:cs="Arial"/>
        </w:rPr>
        <w:t xml:space="preserve">These preliminary remarks having been made, </w:t>
      </w:r>
      <w:r w:rsidR="00082D8A">
        <w:rPr>
          <w:rFonts w:cs="Arial"/>
        </w:rPr>
        <w:t>BME</w:t>
      </w:r>
      <w:r w:rsidRPr="006D2BFF">
        <w:rPr>
          <w:rFonts w:cs="Arial"/>
        </w:rPr>
        <w:t xml:space="preserve"> generally agrees with ESMA’s approach to streamline regulatory requirements, while eliminating inconsistencies. The concept of non-addressable liquidity has taken a significant place in the debate on market data quality, with </w:t>
      </w:r>
      <w:proofErr w:type="spellStart"/>
      <w:r w:rsidRPr="006D2BFF">
        <w:rPr>
          <w:rFonts w:cs="Arial"/>
        </w:rPr>
        <w:t>spillovers</w:t>
      </w:r>
      <w:proofErr w:type="spellEnd"/>
      <w:r w:rsidRPr="006D2BFF">
        <w:rPr>
          <w:rFonts w:cs="Arial"/>
        </w:rPr>
        <w:t xml:space="preserve"> on the discussions on equity market structure particularly in the context of the MiFID II/MiFIR Review. Streamlining the regulatory framework where there are inconsistencies is necessary to ensure a clear and harmonised understanding across</w:t>
      </w:r>
      <w:r w:rsidRPr="006D2BFF">
        <w:t xml:space="preserve"> </w:t>
      </w:r>
      <w:r w:rsidRPr="006D2BFF">
        <w:rPr>
          <w:rFonts w:cs="Arial"/>
        </w:rPr>
        <w:t>the EU (for example, in connection with Article 23 MiFIR and RTS 1 Articles 2, 6, and 13, and Article 2 RTS 22).</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69E8832B" w14:textId="13F7D98D" w:rsidR="00375FBC" w:rsidRDefault="00FF165F" w:rsidP="00447178">
      <w:pPr>
        <w:spacing w:after="120"/>
        <w:jc w:val="both"/>
        <w:rPr>
          <w:rFonts w:ascii="Trebuchet MS" w:hAnsi="Trebuchet MS"/>
          <w:szCs w:val="22"/>
          <w:lang w:val="en-US" w:eastAsia="en-US"/>
        </w:rPr>
      </w:pPr>
      <w:permStart w:id="336408232" w:edGrp="everyone"/>
      <w:r w:rsidRPr="0038488C">
        <w:rPr>
          <w:lang w:val="en-US"/>
        </w:rPr>
        <w:t>BME</w:t>
      </w:r>
      <w:r w:rsidR="002E5695" w:rsidRPr="0038488C">
        <w:rPr>
          <w:lang w:val="en-US"/>
        </w:rPr>
        <w:t xml:space="preserve"> </w:t>
      </w:r>
      <w:r w:rsidR="00A25DF8">
        <w:rPr>
          <w:lang w:val="en-US"/>
        </w:rPr>
        <w:t>support</w:t>
      </w:r>
      <w:r w:rsidR="00825BBE">
        <w:rPr>
          <w:lang w:val="en-US"/>
        </w:rPr>
        <w:t>s</w:t>
      </w:r>
      <w:r w:rsidR="00A25DF8">
        <w:rPr>
          <w:lang w:val="en-US"/>
        </w:rPr>
        <w:t xml:space="preserve"> transparent and multilateral trading, thereby ensuring a robust price formation process for the benefit of the overall market and its individual participants, not least retail investors</w:t>
      </w:r>
      <w:r w:rsidR="00825BBE">
        <w:rPr>
          <w:lang w:val="en-US"/>
        </w:rPr>
        <w:t>.</w:t>
      </w:r>
    </w:p>
    <w:p w14:paraId="096ECE10" w14:textId="3581EB2B" w:rsidR="004B5A18" w:rsidRPr="00DC5961" w:rsidRDefault="004B5A18" w:rsidP="00447178">
      <w:pPr>
        <w:spacing w:after="120"/>
        <w:jc w:val="both"/>
        <w:rPr>
          <w:rFonts w:ascii="Trebuchet MS" w:hAnsi="Trebuchet MS"/>
          <w:szCs w:val="22"/>
          <w:lang w:val="en-US" w:eastAsia="en-US"/>
        </w:rPr>
      </w:pPr>
      <w:r w:rsidRPr="00DC5961">
        <w:rPr>
          <w:lang w:val="en-US"/>
        </w:rPr>
        <w:t>BME agrees</w:t>
      </w:r>
      <w:r w:rsidR="00DC5961" w:rsidRPr="00DC5961">
        <w:rPr>
          <w:lang w:val="en-US"/>
        </w:rPr>
        <w:t xml:space="preserve"> that</w:t>
      </w:r>
      <w:r w:rsidRPr="00DC5961">
        <w:rPr>
          <w:lang w:val="en-US"/>
        </w:rPr>
        <w:t xml:space="preserve"> Frequent Batch Auctions (FBAs) should be defined separately from periodic auctions. BME considers </w:t>
      </w:r>
      <w:r w:rsidR="0080117B" w:rsidRPr="00DC5961">
        <w:rPr>
          <w:lang w:val="en-US"/>
        </w:rPr>
        <w:t xml:space="preserve">the </w:t>
      </w:r>
      <w:r w:rsidRPr="00DC5961">
        <w:rPr>
          <w:lang w:val="en-US"/>
        </w:rPr>
        <w:t>definition</w:t>
      </w:r>
      <w:r w:rsidR="0080117B" w:rsidRPr="00DC5961">
        <w:rPr>
          <w:lang w:val="en-US"/>
        </w:rPr>
        <w:t xml:space="preserve"> of FBA</w:t>
      </w:r>
      <w:r w:rsidRPr="00DC5961">
        <w:rPr>
          <w:lang w:val="en-US"/>
        </w:rPr>
        <w:t xml:space="preserve"> </w:t>
      </w:r>
      <w:r w:rsidR="0080117B" w:rsidRPr="00DC5961">
        <w:rPr>
          <w:lang w:val="en-US"/>
        </w:rPr>
        <w:t xml:space="preserve">should </w:t>
      </w:r>
      <w:r w:rsidR="00DC5961" w:rsidRPr="00DC5961">
        <w:rPr>
          <w:lang w:val="en-US"/>
        </w:rPr>
        <w:t>consider</w:t>
      </w:r>
      <w:r w:rsidR="0080117B" w:rsidRPr="00DC5961">
        <w:rPr>
          <w:lang w:val="en-US"/>
        </w:rPr>
        <w:t xml:space="preserve"> </w:t>
      </w:r>
      <w:r w:rsidRPr="00DC5961">
        <w:rPr>
          <w:lang w:val="en-US"/>
        </w:rPr>
        <w:t xml:space="preserve">some important </w:t>
      </w:r>
      <w:r w:rsidR="00DC5961" w:rsidRPr="00DC5961">
        <w:rPr>
          <w:lang w:val="en-US"/>
        </w:rPr>
        <w:t>features</w:t>
      </w:r>
      <w:r w:rsidRPr="00DC5961">
        <w:rPr>
          <w:lang w:val="en-US"/>
        </w:rPr>
        <w:t>:</w:t>
      </w:r>
    </w:p>
    <w:p w14:paraId="7AE3E9E4" w14:textId="128BE0AB" w:rsidR="004B5A18" w:rsidRPr="00DC5961" w:rsidRDefault="004B5A18" w:rsidP="00447178">
      <w:pPr>
        <w:pStyle w:val="Prrafodelista"/>
        <w:numPr>
          <w:ilvl w:val="0"/>
          <w:numId w:val="39"/>
        </w:numPr>
        <w:spacing w:line="259" w:lineRule="auto"/>
        <w:ind w:left="708" w:hanging="424"/>
        <w:jc w:val="both"/>
        <w:rPr>
          <w:lang w:val="en-US"/>
        </w:rPr>
      </w:pPr>
      <w:r w:rsidRPr="00DC5961">
        <w:rPr>
          <w:lang w:val="en-US"/>
        </w:rPr>
        <w:t xml:space="preserve">Frequent batch auctions can only operate separately from the continuous order </w:t>
      </w:r>
      <w:r w:rsidR="00292008" w:rsidRPr="00DC5961">
        <w:rPr>
          <w:lang w:val="en-US"/>
        </w:rPr>
        <w:t>b</w:t>
      </w:r>
      <w:r w:rsidRPr="00DC5961">
        <w:rPr>
          <w:lang w:val="en-US"/>
        </w:rPr>
        <w:t>ook</w:t>
      </w:r>
      <w:r w:rsidR="00292008" w:rsidRPr="00DC5961">
        <w:rPr>
          <w:lang w:val="en-US"/>
        </w:rPr>
        <w:t>.</w:t>
      </w:r>
    </w:p>
    <w:p w14:paraId="1490C4DE" w14:textId="77777777" w:rsidR="004B5A18" w:rsidRPr="00DC5961" w:rsidRDefault="004B5A18" w:rsidP="00447178">
      <w:pPr>
        <w:pStyle w:val="Prrafodelista"/>
        <w:numPr>
          <w:ilvl w:val="0"/>
          <w:numId w:val="39"/>
        </w:numPr>
        <w:spacing w:line="259" w:lineRule="auto"/>
        <w:ind w:left="708" w:hanging="424"/>
        <w:jc w:val="both"/>
        <w:rPr>
          <w:lang w:val="en-US"/>
        </w:rPr>
      </w:pPr>
      <w:r w:rsidRPr="00DC5961">
        <w:rPr>
          <w:lang w:val="en-US"/>
        </w:rPr>
        <w:t>Very short call phase which is too limited to allow for the auction’s objectives to be met in terms of multilateral interaction and thus price formation.</w:t>
      </w:r>
    </w:p>
    <w:p w14:paraId="10DD4800" w14:textId="5CBFCA94" w:rsidR="004B5A18" w:rsidRPr="00DC5961" w:rsidRDefault="004B5A18" w:rsidP="00447178">
      <w:pPr>
        <w:pStyle w:val="Prrafodelista"/>
        <w:numPr>
          <w:ilvl w:val="0"/>
          <w:numId w:val="39"/>
        </w:numPr>
        <w:spacing w:line="259" w:lineRule="auto"/>
        <w:ind w:left="708" w:hanging="424"/>
        <w:jc w:val="both"/>
        <w:rPr>
          <w:lang w:val="en-US"/>
        </w:rPr>
      </w:pPr>
      <w:r w:rsidRPr="00DC5961">
        <w:rPr>
          <w:lang w:val="en-US"/>
        </w:rPr>
        <w:t xml:space="preserve">The order prices are restricted by collars and the uncrossing price </w:t>
      </w:r>
      <w:proofErr w:type="gramStart"/>
      <w:r w:rsidRPr="00DC5961">
        <w:rPr>
          <w:lang w:val="en-US"/>
        </w:rPr>
        <w:t>has to</w:t>
      </w:r>
      <w:proofErr w:type="gramEnd"/>
      <w:r w:rsidRPr="00DC5961">
        <w:rPr>
          <w:lang w:val="en-US"/>
        </w:rPr>
        <w:t xml:space="preserve"> be inside the best bid and offer</w:t>
      </w:r>
      <w:r w:rsidR="00292008" w:rsidRPr="00DC5961">
        <w:rPr>
          <w:lang w:val="en-US"/>
        </w:rPr>
        <w:t>.</w:t>
      </w:r>
    </w:p>
    <w:p w14:paraId="141FE931" w14:textId="77777777" w:rsidR="004B5A18" w:rsidRPr="00DC5961" w:rsidRDefault="004B5A18" w:rsidP="00447178">
      <w:pPr>
        <w:ind w:firstLine="1"/>
        <w:jc w:val="both"/>
        <w:rPr>
          <w:lang w:val="en-US"/>
        </w:rPr>
      </w:pPr>
    </w:p>
    <w:p w14:paraId="2741B154" w14:textId="4D2F6167" w:rsidR="004B5A18" w:rsidRPr="00DC5961" w:rsidRDefault="000F7637" w:rsidP="00447178">
      <w:pPr>
        <w:ind w:firstLine="1"/>
        <w:jc w:val="both"/>
        <w:rPr>
          <w:lang w:val="en-US"/>
        </w:rPr>
      </w:pPr>
      <w:r w:rsidRPr="00DC5961">
        <w:rPr>
          <w:lang w:val="en-US"/>
        </w:rPr>
        <w:t xml:space="preserve">Therefore, </w:t>
      </w:r>
      <w:r w:rsidR="004B5A18" w:rsidRPr="00DC5961">
        <w:rPr>
          <w:lang w:val="en-US"/>
        </w:rPr>
        <w:t>BME proposes to define FBA as follows:</w:t>
      </w:r>
    </w:p>
    <w:p w14:paraId="1E3CA3A8" w14:textId="77777777" w:rsidR="004B5A18" w:rsidRPr="00DC5961" w:rsidRDefault="004B5A18" w:rsidP="00447178">
      <w:pPr>
        <w:ind w:firstLine="1"/>
        <w:jc w:val="both"/>
        <w:rPr>
          <w:lang w:val="en-US"/>
        </w:rPr>
      </w:pPr>
    </w:p>
    <w:p w14:paraId="0080747D" w14:textId="0D10245B" w:rsidR="00A25DF8" w:rsidRPr="00DC5961" w:rsidRDefault="004B5A18" w:rsidP="00447178">
      <w:pPr>
        <w:ind w:left="567" w:right="566" w:firstLine="1"/>
        <w:jc w:val="both"/>
        <w:rPr>
          <w:rFonts w:cs="Arial"/>
          <w:i/>
          <w:iCs/>
          <w:lang w:val="en-US"/>
        </w:rPr>
      </w:pPr>
      <w:r w:rsidRPr="00DC5961">
        <w:rPr>
          <w:rFonts w:cs="Arial"/>
          <w:i/>
          <w:iCs/>
          <w:lang w:val="x-none"/>
        </w:rPr>
        <w:t xml:space="preserve">A </w:t>
      </w:r>
      <w:proofErr w:type="spellStart"/>
      <w:r w:rsidRPr="00DC5961">
        <w:rPr>
          <w:rFonts w:cs="Arial"/>
          <w:i/>
          <w:iCs/>
          <w:lang w:val="x-none"/>
        </w:rPr>
        <w:t>system</w:t>
      </w:r>
      <w:proofErr w:type="spellEnd"/>
      <w:r w:rsidRPr="00DC5961">
        <w:rPr>
          <w:rFonts w:cs="Arial"/>
          <w:i/>
          <w:iCs/>
          <w:lang w:val="x-none"/>
        </w:rPr>
        <w:t xml:space="preserve"> </w:t>
      </w:r>
      <w:proofErr w:type="spellStart"/>
      <w:r w:rsidRPr="00DC5961">
        <w:rPr>
          <w:rFonts w:cs="Arial"/>
          <w:i/>
          <w:iCs/>
          <w:lang w:val="x-none"/>
        </w:rPr>
        <w:t>that</w:t>
      </w:r>
      <w:proofErr w:type="spellEnd"/>
      <w:r w:rsidRPr="00DC5961">
        <w:rPr>
          <w:rFonts w:cs="Arial"/>
          <w:i/>
          <w:iCs/>
          <w:lang w:val="x-none"/>
        </w:rPr>
        <w:t xml:space="preserve"> </w:t>
      </w:r>
      <w:proofErr w:type="spellStart"/>
      <w:r w:rsidRPr="00DC5961">
        <w:rPr>
          <w:rFonts w:cs="Arial"/>
          <w:i/>
          <w:iCs/>
          <w:lang w:val="x-none"/>
        </w:rPr>
        <w:t>matches</w:t>
      </w:r>
      <w:proofErr w:type="spellEnd"/>
      <w:r w:rsidRPr="00DC5961">
        <w:rPr>
          <w:rFonts w:cs="Arial"/>
          <w:i/>
          <w:iCs/>
          <w:lang w:val="x-none"/>
        </w:rPr>
        <w:t xml:space="preserve"> </w:t>
      </w:r>
      <w:proofErr w:type="spellStart"/>
      <w:r w:rsidRPr="00DC5961">
        <w:rPr>
          <w:rFonts w:cs="Arial"/>
          <w:i/>
          <w:iCs/>
          <w:lang w:val="x-none"/>
        </w:rPr>
        <w:t>orders</w:t>
      </w:r>
      <w:proofErr w:type="spellEnd"/>
      <w:r w:rsidRPr="00DC5961">
        <w:rPr>
          <w:rFonts w:cs="Arial"/>
          <w:i/>
          <w:iCs/>
          <w:lang w:val="x-none"/>
        </w:rPr>
        <w:t xml:space="preserve"> </w:t>
      </w:r>
      <w:proofErr w:type="spellStart"/>
      <w:r w:rsidRPr="00DC5961">
        <w:rPr>
          <w:rFonts w:cs="Arial"/>
          <w:i/>
          <w:iCs/>
          <w:lang w:val="x-none"/>
        </w:rPr>
        <w:t>periodically</w:t>
      </w:r>
      <w:proofErr w:type="spellEnd"/>
      <w:r w:rsidRPr="00DC5961">
        <w:rPr>
          <w:rFonts w:cs="Arial"/>
          <w:i/>
          <w:iCs/>
          <w:lang w:val="en-US"/>
        </w:rPr>
        <w:t xml:space="preserve"> separated</w:t>
      </w:r>
      <w:r w:rsidR="00294548" w:rsidRPr="00DC5961">
        <w:rPr>
          <w:rFonts w:cs="Arial"/>
          <w:i/>
          <w:iCs/>
          <w:lang w:val="en-US"/>
        </w:rPr>
        <w:t xml:space="preserve"> from the continuous </w:t>
      </w:r>
      <w:r w:rsidRPr="00DC5961">
        <w:rPr>
          <w:rFonts w:cs="Arial"/>
          <w:i/>
          <w:iCs/>
          <w:lang w:val="en-US"/>
        </w:rPr>
        <w:t>order book</w:t>
      </w:r>
      <w:r w:rsidRPr="00DC5961">
        <w:rPr>
          <w:rFonts w:cs="Arial"/>
          <w:i/>
          <w:iCs/>
          <w:lang w:val="x-none"/>
        </w:rPr>
        <w:t xml:space="preserve">, </w:t>
      </w:r>
      <w:proofErr w:type="spellStart"/>
      <w:r w:rsidRPr="00DC5961">
        <w:rPr>
          <w:rFonts w:cs="Arial"/>
          <w:i/>
          <w:iCs/>
          <w:lang w:val="x-none"/>
        </w:rPr>
        <w:t>using</w:t>
      </w:r>
      <w:proofErr w:type="spellEnd"/>
      <w:r w:rsidRPr="00DC5961">
        <w:rPr>
          <w:rFonts w:cs="Arial"/>
          <w:i/>
          <w:iCs/>
          <w:lang w:val="x-none"/>
        </w:rPr>
        <w:t xml:space="preserve"> a trading </w:t>
      </w:r>
      <w:proofErr w:type="spellStart"/>
      <w:r w:rsidRPr="00DC5961">
        <w:rPr>
          <w:rFonts w:cs="Arial"/>
          <w:i/>
          <w:iCs/>
          <w:lang w:val="x-none"/>
        </w:rPr>
        <w:t>algorithm</w:t>
      </w:r>
      <w:proofErr w:type="spellEnd"/>
      <w:r w:rsidRPr="00DC5961">
        <w:rPr>
          <w:rFonts w:cs="Arial"/>
          <w:i/>
          <w:iCs/>
          <w:lang w:val="x-none"/>
        </w:rPr>
        <w:t xml:space="preserve">. </w:t>
      </w:r>
      <w:proofErr w:type="spellStart"/>
      <w:r w:rsidRPr="00DC5961">
        <w:rPr>
          <w:rFonts w:cs="Arial"/>
          <w:i/>
          <w:iCs/>
          <w:lang w:val="x-none"/>
        </w:rPr>
        <w:t>FBA</w:t>
      </w:r>
      <w:proofErr w:type="spellEnd"/>
      <w:r w:rsidRPr="00DC5961">
        <w:rPr>
          <w:rFonts w:cs="Arial"/>
          <w:i/>
          <w:iCs/>
          <w:lang w:val="x-none"/>
        </w:rPr>
        <w:t xml:space="preserve"> </w:t>
      </w:r>
      <w:proofErr w:type="spellStart"/>
      <w:r w:rsidRPr="00DC5961">
        <w:rPr>
          <w:rFonts w:cs="Arial"/>
          <w:i/>
          <w:iCs/>
          <w:lang w:val="x-none"/>
        </w:rPr>
        <w:t>system</w:t>
      </w:r>
      <w:r w:rsidRPr="00DC5961">
        <w:rPr>
          <w:rFonts w:cs="Arial"/>
          <w:i/>
          <w:iCs/>
          <w:lang w:val="en-US"/>
        </w:rPr>
        <w:t>s</w:t>
      </w:r>
      <w:proofErr w:type="spellEnd"/>
      <w:r w:rsidRPr="00DC5961">
        <w:rPr>
          <w:rFonts w:cs="Arial"/>
          <w:i/>
          <w:iCs/>
          <w:lang w:val="x-none"/>
        </w:rPr>
        <w:t xml:space="preserve"> are </w:t>
      </w:r>
      <w:proofErr w:type="spellStart"/>
      <w:r w:rsidRPr="00DC5961">
        <w:rPr>
          <w:rFonts w:cs="Arial"/>
          <w:i/>
          <w:iCs/>
          <w:lang w:val="x-none"/>
        </w:rPr>
        <w:t>not</w:t>
      </w:r>
      <w:proofErr w:type="spellEnd"/>
      <w:r w:rsidRPr="00DC5961">
        <w:rPr>
          <w:rFonts w:cs="Arial"/>
          <w:i/>
          <w:iCs/>
          <w:lang w:val="x-none"/>
        </w:rPr>
        <w:t xml:space="preserve"> </w:t>
      </w:r>
      <w:proofErr w:type="spellStart"/>
      <w:r w:rsidRPr="00DC5961">
        <w:rPr>
          <w:rFonts w:cs="Arial"/>
          <w:i/>
          <w:iCs/>
          <w:lang w:val="x-none"/>
        </w:rPr>
        <w:t>based</w:t>
      </w:r>
      <w:proofErr w:type="spellEnd"/>
      <w:r w:rsidRPr="00DC5961">
        <w:rPr>
          <w:rFonts w:cs="Arial"/>
          <w:i/>
          <w:iCs/>
          <w:lang w:val="x-none"/>
        </w:rPr>
        <w:t xml:space="preserve"> </w:t>
      </w:r>
      <w:proofErr w:type="spellStart"/>
      <w:r w:rsidRPr="00DC5961">
        <w:rPr>
          <w:rFonts w:cs="Arial"/>
          <w:i/>
          <w:iCs/>
          <w:lang w:val="x-none"/>
        </w:rPr>
        <w:t>on</w:t>
      </w:r>
      <w:proofErr w:type="spellEnd"/>
      <w:r w:rsidRPr="00DC5961">
        <w:rPr>
          <w:rFonts w:cs="Arial"/>
          <w:i/>
          <w:iCs/>
          <w:lang w:val="x-none"/>
        </w:rPr>
        <w:t xml:space="preserve"> </w:t>
      </w:r>
      <w:proofErr w:type="spellStart"/>
      <w:r w:rsidRPr="00DC5961">
        <w:rPr>
          <w:rFonts w:cs="Arial"/>
          <w:i/>
          <w:iCs/>
          <w:lang w:val="x-none"/>
        </w:rPr>
        <w:t>scheduled</w:t>
      </w:r>
      <w:proofErr w:type="spellEnd"/>
      <w:r w:rsidRPr="00DC5961">
        <w:rPr>
          <w:rFonts w:cs="Arial"/>
          <w:i/>
          <w:iCs/>
          <w:lang w:val="x-none"/>
        </w:rPr>
        <w:t xml:space="preserve"> </w:t>
      </w:r>
      <w:proofErr w:type="spellStart"/>
      <w:r w:rsidRPr="00DC5961">
        <w:rPr>
          <w:rFonts w:cs="Arial"/>
          <w:i/>
          <w:iCs/>
          <w:lang w:val="x-none"/>
        </w:rPr>
        <w:t>auctions</w:t>
      </w:r>
      <w:proofErr w:type="spellEnd"/>
      <w:r w:rsidRPr="00DC5961">
        <w:rPr>
          <w:rFonts w:cs="Arial"/>
          <w:i/>
          <w:iCs/>
          <w:lang w:val="x-none"/>
        </w:rPr>
        <w:t xml:space="preserve">, and </w:t>
      </w:r>
      <w:proofErr w:type="spellStart"/>
      <w:r w:rsidRPr="00DC5961">
        <w:rPr>
          <w:rFonts w:cs="Arial"/>
          <w:i/>
          <w:iCs/>
          <w:lang w:val="x-none"/>
        </w:rPr>
        <w:t>the</w:t>
      </w:r>
      <w:proofErr w:type="spellEnd"/>
      <w:r w:rsidRPr="00DC5961">
        <w:rPr>
          <w:rFonts w:cs="Arial"/>
          <w:i/>
          <w:iCs/>
          <w:lang w:val="x-none"/>
        </w:rPr>
        <w:t xml:space="preserve"> </w:t>
      </w:r>
      <w:proofErr w:type="spellStart"/>
      <w:r w:rsidRPr="00DC5961">
        <w:rPr>
          <w:rFonts w:cs="Arial"/>
          <w:i/>
          <w:iCs/>
          <w:lang w:val="x-none"/>
        </w:rPr>
        <w:t>start</w:t>
      </w:r>
      <w:proofErr w:type="spellEnd"/>
      <w:r w:rsidRPr="00DC5961">
        <w:rPr>
          <w:rFonts w:cs="Arial"/>
          <w:i/>
          <w:iCs/>
          <w:lang w:val="x-none"/>
        </w:rPr>
        <w:t xml:space="preserve"> </w:t>
      </w:r>
      <w:proofErr w:type="spellStart"/>
      <w:r w:rsidRPr="00DC5961">
        <w:rPr>
          <w:rFonts w:cs="Arial"/>
          <w:i/>
          <w:iCs/>
          <w:lang w:val="x-none"/>
        </w:rPr>
        <w:t>of</w:t>
      </w:r>
      <w:proofErr w:type="spellEnd"/>
      <w:r w:rsidRPr="00DC5961">
        <w:rPr>
          <w:rFonts w:cs="Arial"/>
          <w:i/>
          <w:iCs/>
          <w:lang w:val="x-none"/>
        </w:rPr>
        <w:t xml:space="preserve"> </w:t>
      </w:r>
      <w:proofErr w:type="spellStart"/>
      <w:r w:rsidRPr="00DC5961">
        <w:rPr>
          <w:rFonts w:cs="Arial"/>
          <w:i/>
          <w:iCs/>
          <w:lang w:val="x-none"/>
        </w:rPr>
        <w:t>an</w:t>
      </w:r>
      <w:proofErr w:type="spellEnd"/>
      <w:r w:rsidRPr="00DC5961">
        <w:rPr>
          <w:rFonts w:cs="Arial"/>
          <w:i/>
          <w:iCs/>
          <w:lang w:val="x-none"/>
        </w:rPr>
        <w:t xml:space="preserve"> </w:t>
      </w:r>
      <w:proofErr w:type="spellStart"/>
      <w:r w:rsidRPr="00DC5961">
        <w:rPr>
          <w:rFonts w:cs="Arial"/>
          <w:i/>
          <w:iCs/>
          <w:lang w:val="x-none"/>
        </w:rPr>
        <w:t>auction</w:t>
      </w:r>
      <w:proofErr w:type="spellEnd"/>
      <w:r w:rsidRPr="00DC5961">
        <w:rPr>
          <w:rFonts w:cs="Arial"/>
          <w:i/>
          <w:iCs/>
          <w:lang w:val="x-none"/>
        </w:rPr>
        <w:t xml:space="preserve"> </w:t>
      </w:r>
      <w:proofErr w:type="spellStart"/>
      <w:r w:rsidRPr="00DC5961">
        <w:rPr>
          <w:rFonts w:cs="Arial"/>
          <w:i/>
          <w:iCs/>
          <w:lang w:val="x-none"/>
        </w:rPr>
        <w:t>is</w:t>
      </w:r>
      <w:proofErr w:type="spellEnd"/>
      <w:r w:rsidRPr="00DC5961">
        <w:rPr>
          <w:rFonts w:cs="Arial"/>
          <w:i/>
          <w:iCs/>
          <w:lang w:val="x-none"/>
        </w:rPr>
        <w:t xml:space="preserve"> </w:t>
      </w:r>
      <w:proofErr w:type="spellStart"/>
      <w:r w:rsidRPr="00DC5961">
        <w:rPr>
          <w:rFonts w:cs="Arial"/>
          <w:i/>
          <w:iCs/>
          <w:lang w:val="x-none"/>
        </w:rPr>
        <w:t>determined</w:t>
      </w:r>
      <w:proofErr w:type="spellEnd"/>
      <w:r w:rsidRPr="00DC5961">
        <w:rPr>
          <w:rFonts w:cs="Arial"/>
          <w:i/>
          <w:iCs/>
          <w:lang w:val="x-none"/>
        </w:rPr>
        <w:t xml:space="preserve"> </w:t>
      </w:r>
      <w:proofErr w:type="spellStart"/>
      <w:r w:rsidRPr="00DC5961">
        <w:rPr>
          <w:rFonts w:cs="Arial"/>
          <w:i/>
          <w:iCs/>
          <w:lang w:val="x-none"/>
        </w:rPr>
        <w:t>by</w:t>
      </w:r>
      <w:proofErr w:type="spellEnd"/>
      <w:r w:rsidRPr="00DC5961">
        <w:rPr>
          <w:rFonts w:cs="Arial"/>
          <w:i/>
          <w:iCs/>
          <w:lang w:val="x-none"/>
        </w:rPr>
        <w:t xml:space="preserve"> </w:t>
      </w:r>
      <w:proofErr w:type="spellStart"/>
      <w:r w:rsidRPr="00DC5961">
        <w:rPr>
          <w:rFonts w:cs="Arial"/>
          <w:i/>
          <w:iCs/>
          <w:lang w:val="x-none"/>
        </w:rPr>
        <w:t>the</w:t>
      </w:r>
      <w:proofErr w:type="spellEnd"/>
      <w:r w:rsidRPr="00DC5961">
        <w:rPr>
          <w:rFonts w:cs="Arial"/>
          <w:i/>
          <w:iCs/>
          <w:lang w:val="x-none"/>
        </w:rPr>
        <w:t xml:space="preserve"> </w:t>
      </w:r>
      <w:proofErr w:type="spellStart"/>
      <w:r w:rsidRPr="00DC5961">
        <w:rPr>
          <w:rFonts w:cs="Arial"/>
          <w:i/>
          <w:iCs/>
          <w:lang w:val="x-none"/>
        </w:rPr>
        <w:t>submission</w:t>
      </w:r>
      <w:proofErr w:type="spellEnd"/>
      <w:r w:rsidRPr="00DC5961">
        <w:rPr>
          <w:rFonts w:cs="Arial"/>
          <w:i/>
          <w:iCs/>
          <w:lang w:val="x-none"/>
        </w:rPr>
        <w:t xml:space="preserve"> </w:t>
      </w:r>
      <w:proofErr w:type="spellStart"/>
      <w:r w:rsidRPr="00DC5961">
        <w:rPr>
          <w:rFonts w:cs="Arial"/>
          <w:i/>
          <w:iCs/>
          <w:lang w:val="x-none"/>
        </w:rPr>
        <w:t>of</w:t>
      </w:r>
      <w:proofErr w:type="spellEnd"/>
      <w:r w:rsidRPr="00DC5961">
        <w:rPr>
          <w:rFonts w:cs="Arial"/>
          <w:i/>
          <w:iCs/>
          <w:lang w:val="x-none"/>
        </w:rPr>
        <w:t xml:space="preserve"> </w:t>
      </w:r>
      <w:proofErr w:type="spellStart"/>
      <w:r w:rsidRPr="00DC5961">
        <w:rPr>
          <w:rFonts w:cs="Arial"/>
          <w:i/>
          <w:iCs/>
          <w:lang w:val="x-none"/>
        </w:rPr>
        <w:t>orders</w:t>
      </w:r>
      <w:proofErr w:type="spellEnd"/>
      <w:r w:rsidRPr="00DC5961">
        <w:rPr>
          <w:rFonts w:cs="Arial"/>
          <w:i/>
          <w:iCs/>
          <w:lang w:val="x-none"/>
        </w:rPr>
        <w:t xml:space="preserve"> </w:t>
      </w:r>
      <w:proofErr w:type="spellStart"/>
      <w:r w:rsidRPr="00DC5961">
        <w:rPr>
          <w:rFonts w:cs="Arial"/>
          <w:i/>
          <w:iCs/>
          <w:lang w:val="x-none"/>
        </w:rPr>
        <w:t>by</w:t>
      </w:r>
      <w:proofErr w:type="spellEnd"/>
      <w:r w:rsidRPr="00DC5961">
        <w:rPr>
          <w:rFonts w:cs="Arial"/>
          <w:i/>
          <w:iCs/>
          <w:lang w:val="x-none"/>
        </w:rPr>
        <w:t xml:space="preserve"> </w:t>
      </w:r>
      <w:proofErr w:type="spellStart"/>
      <w:r w:rsidRPr="00DC5961">
        <w:rPr>
          <w:rFonts w:cs="Arial"/>
          <w:i/>
          <w:iCs/>
          <w:lang w:val="x-none"/>
        </w:rPr>
        <w:t>members</w:t>
      </w:r>
      <w:proofErr w:type="spellEnd"/>
      <w:r w:rsidRPr="00DC5961">
        <w:rPr>
          <w:rFonts w:cs="Arial"/>
          <w:i/>
          <w:iCs/>
          <w:lang w:val="x-none"/>
        </w:rPr>
        <w:t xml:space="preserve"> </w:t>
      </w:r>
      <w:proofErr w:type="spellStart"/>
      <w:r w:rsidRPr="00DC5961">
        <w:rPr>
          <w:rFonts w:cs="Arial"/>
          <w:i/>
          <w:iCs/>
          <w:lang w:val="x-none"/>
        </w:rPr>
        <w:t>or</w:t>
      </w:r>
      <w:proofErr w:type="spellEnd"/>
      <w:r w:rsidRPr="00DC5961">
        <w:rPr>
          <w:rFonts w:cs="Arial"/>
          <w:i/>
          <w:iCs/>
          <w:lang w:val="x-none"/>
        </w:rPr>
        <w:t xml:space="preserve"> </w:t>
      </w:r>
      <w:proofErr w:type="spellStart"/>
      <w:r w:rsidRPr="00DC5961">
        <w:rPr>
          <w:rFonts w:cs="Arial"/>
          <w:i/>
          <w:iCs/>
          <w:lang w:val="x-none"/>
        </w:rPr>
        <w:t>participants</w:t>
      </w:r>
      <w:proofErr w:type="spellEnd"/>
      <w:r w:rsidRPr="00DC5961">
        <w:rPr>
          <w:rFonts w:cs="Arial"/>
          <w:i/>
          <w:iCs/>
          <w:lang w:val="x-none"/>
        </w:rPr>
        <w:t xml:space="preserve"> </w:t>
      </w:r>
      <w:proofErr w:type="spellStart"/>
      <w:r w:rsidRPr="00DC5961">
        <w:rPr>
          <w:rFonts w:cs="Arial"/>
          <w:i/>
          <w:iCs/>
          <w:lang w:val="x-none"/>
        </w:rPr>
        <w:t>or</w:t>
      </w:r>
      <w:proofErr w:type="spellEnd"/>
      <w:r w:rsidRPr="00DC5961">
        <w:rPr>
          <w:rFonts w:cs="Arial"/>
          <w:i/>
          <w:iCs/>
          <w:lang w:val="x-none"/>
        </w:rPr>
        <w:t xml:space="preserve"> </w:t>
      </w:r>
      <w:proofErr w:type="spellStart"/>
      <w:r w:rsidRPr="00DC5961">
        <w:rPr>
          <w:rFonts w:cs="Arial"/>
          <w:i/>
          <w:iCs/>
          <w:lang w:val="x-none"/>
        </w:rPr>
        <w:t>by</w:t>
      </w:r>
      <w:proofErr w:type="spellEnd"/>
      <w:r w:rsidRPr="00DC5961">
        <w:rPr>
          <w:rFonts w:cs="Arial"/>
          <w:i/>
          <w:iCs/>
          <w:lang w:val="x-none"/>
        </w:rPr>
        <w:t xml:space="preserve"> </w:t>
      </w:r>
      <w:proofErr w:type="spellStart"/>
      <w:r w:rsidRPr="00DC5961">
        <w:rPr>
          <w:rFonts w:cs="Arial"/>
          <w:i/>
          <w:iCs/>
          <w:lang w:val="x-none"/>
        </w:rPr>
        <w:t>the</w:t>
      </w:r>
      <w:proofErr w:type="spellEnd"/>
      <w:r w:rsidRPr="00DC5961">
        <w:rPr>
          <w:rFonts w:cs="Arial"/>
          <w:i/>
          <w:iCs/>
          <w:lang w:val="x-none"/>
        </w:rPr>
        <w:t xml:space="preserve"> </w:t>
      </w:r>
      <w:proofErr w:type="spellStart"/>
      <w:r w:rsidRPr="00DC5961">
        <w:rPr>
          <w:rFonts w:cs="Arial"/>
          <w:i/>
          <w:iCs/>
          <w:lang w:val="x-none"/>
        </w:rPr>
        <w:t>identification</w:t>
      </w:r>
      <w:proofErr w:type="spellEnd"/>
      <w:r w:rsidRPr="00DC5961">
        <w:rPr>
          <w:rFonts w:cs="Arial"/>
          <w:i/>
          <w:iCs/>
          <w:lang w:val="x-none"/>
        </w:rPr>
        <w:t xml:space="preserve"> </w:t>
      </w:r>
      <w:proofErr w:type="spellStart"/>
      <w:r w:rsidRPr="00DC5961">
        <w:rPr>
          <w:rFonts w:cs="Arial"/>
          <w:i/>
          <w:iCs/>
          <w:lang w:val="x-none"/>
        </w:rPr>
        <w:t>of</w:t>
      </w:r>
      <w:proofErr w:type="spellEnd"/>
      <w:r w:rsidRPr="00DC5961">
        <w:rPr>
          <w:rFonts w:cs="Arial"/>
          <w:i/>
          <w:iCs/>
          <w:lang w:val="x-none"/>
        </w:rPr>
        <w:t xml:space="preserve"> </w:t>
      </w:r>
      <w:proofErr w:type="spellStart"/>
      <w:r w:rsidRPr="00DC5961">
        <w:rPr>
          <w:rFonts w:cs="Arial"/>
          <w:i/>
          <w:iCs/>
          <w:lang w:val="x-none"/>
        </w:rPr>
        <w:t>two</w:t>
      </w:r>
      <w:proofErr w:type="spellEnd"/>
      <w:r w:rsidRPr="00DC5961">
        <w:rPr>
          <w:rFonts w:cs="Arial"/>
          <w:i/>
          <w:iCs/>
          <w:lang w:val="x-none"/>
        </w:rPr>
        <w:t xml:space="preserve"> </w:t>
      </w:r>
      <w:proofErr w:type="spellStart"/>
      <w:r w:rsidRPr="00DC5961">
        <w:rPr>
          <w:rFonts w:cs="Arial"/>
          <w:i/>
          <w:iCs/>
          <w:lang w:val="x-none"/>
        </w:rPr>
        <w:t>potentially</w:t>
      </w:r>
      <w:proofErr w:type="spellEnd"/>
      <w:r w:rsidRPr="00DC5961">
        <w:rPr>
          <w:rFonts w:cs="Arial"/>
          <w:i/>
          <w:iCs/>
          <w:lang w:val="x-none"/>
        </w:rPr>
        <w:t xml:space="preserve"> </w:t>
      </w:r>
      <w:proofErr w:type="spellStart"/>
      <w:r w:rsidRPr="00DC5961">
        <w:rPr>
          <w:rFonts w:cs="Arial"/>
          <w:i/>
          <w:iCs/>
          <w:lang w:val="x-none"/>
        </w:rPr>
        <w:t>matching</w:t>
      </w:r>
      <w:proofErr w:type="spellEnd"/>
      <w:r w:rsidRPr="00DC5961">
        <w:rPr>
          <w:rFonts w:cs="Arial"/>
          <w:i/>
          <w:iCs/>
          <w:lang w:val="x-none"/>
        </w:rPr>
        <w:t xml:space="preserve"> </w:t>
      </w:r>
      <w:proofErr w:type="spellStart"/>
      <w:r w:rsidRPr="00DC5961">
        <w:rPr>
          <w:rFonts w:cs="Arial"/>
          <w:i/>
          <w:iCs/>
          <w:lang w:val="x-none"/>
        </w:rPr>
        <w:t>orders</w:t>
      </w:r>
      <w:proofErr w:type="spellEnd"/>
      <w:r w:rsidRPr="00DC5961">
        <w:rPr>
          <w:rFonts w:cs="Arial"/>
          <w:i/>
          <w:iCs/>
          <w:lang w:val="en-US"/>
        </w:rPr>
        <w:t xml:space="preserve">. </w:t>
      </w:r>
    </w:p>
    <w:p w14:paraId="002B7400" w14:textId="77777777" w:rsidR="00786423" w:rsidRDefault="00786423" w:rsidP="00786423">
      <w:pPr>
        <w:ind w:left="567" w:right="566" w:firstLine="1"/>
        <w:jc w:val="both"/>
        <w:rPr>
          <w:rFonts w:cs="Arial"/>
          <w:i/>
          <w:iCs/>
          <w:color w:val="00B0F0"/>
          <w:lang w:val="en-US"/>
        </w:rPr>
      </w:pPr>
    </w:p>
    <w:p w14:paraId="5E4DD130" w14:textId="2C39C60B" w:rsidR="00294548" w:rsidRPr="00786423" w:rsidRDefault="00A25DF8" w:rsidP="00447178">
      <w:pPr>
        <w:ind w:firstLine="1"/>
        <w:jc w:val="both"/>
        <w:rPr>
          <w:color w:val="00B0F0"/>
          <w:lang w:val="en-US"/>
        </w:rPr>
      </w:pPr>
      <w:r>
        <w:rPr>
          <w:lang w:val="en-US"/>
        </w:rPr>
        <w:t xml:space="preserve">Regarding the description of periodic auction trading systems, </w:t>
      </w:r>
      <w:r w:rsidR="00D01166" w:rsidRPr="00DC5961">
        <w:rPr>
          <w:lang w:val="en-US"/>
        </w:rPr>
        <w:t>BME</w:t>
      </w:r>
      <w:r w:rsidRPr="00DC5961">
        <w:rPr>
          <w:lang w:val="en-US"/>
        </w:rPr>
        <w:t xml:space="preserve"> </w:t>
      </w:r>
      <w:r>
        <w:rPr>
          <w:lang w:val="en-US"/>
        </w:rPr>
        <w:t>would highlight that the list provided is not exhaustive: intraday auctions which are not opening auctions, nor closing auctions nor auctions following a volatility interruption, are not mentioned. Those intraday auctions taking place usually at midday, are scheduled and do interrupt continuous trading.</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16AC0377" w14:textId="78F052C8" w:rsidR="007D59BE" w:rsidRPr="00DC5961" w:rsidRDefault="007D59BE" w:rsidP="007D59BE">
      <w:pPr>
        <w:rPr>
          <w:lang w:val="en-US"/>
        </w:rPr>
      </w:pPr>
      <w:permStart w:id="908748387" w:edGrp="everyone"/>
      <w:r w:rsidRPr="00DC5961">
        <w:rPr>
          <w:lang w:val="en-US"/>
        </w:rPr>
        <w:t xml:space="preserve">BME believes Option </w:t>
      </w:r>
      <w:r w:rsidR="008744A8" w:rsidRPr="00DC5961">
        <w:rPr>
          <w:lang w:val="en-US"/>
        </w:rPr>
        <w:t>2</w:t>
      </w:r>
      <w:r w:rsidRPr="00DC5961">
        <w:rPr>
          <w:lang w:val="en-US"/>
        </w:rPr>
        <w:t xml:space="preserve"> provides a higher level of pre-trade transparency</w:t>
      </w:r>
      <w:r w:rsidR="009C740A" w:rsidRPr="00DC5961">
        <w:rPr>
          <w:lang w:val="en-US"/>
        </w:rPr>
        <w:t xml:space="preserve"> given the short duration of FBA</w:t>
      </w:r>
      <w:r w:rsidRPr="00DC5961">
        <w:rPr>
          <w:lang w:val="en-US"/>
        </w:rPr>
        <w:t>.</w:t>
      </w:r>
    </w:p>
    <w:p w14:paraId="48586481" w14:textId="77777777" w:rsidR="00292008" w:rsidRPr="00DC5961" w:rsidRDefault="00292008" w:rsidP="00447178">
      <w:pPr>
        <w:jc w:val="both"/>
      </w:pPr>
    </w:p>
    <w:p w14:paraId="36A4BA8B" w14:textId="6BB2E06B" w:rsidR="00786423" w:rsidRPr="004B0773" w:rsidRDefault="007B0D6A" w:rsidP="00447178">
      <w:pPr>
        <w:jc w:val="both"/>
        <w:rPr>
          <w:color w:val="00B0F0"/>
          <w:lang w:val="en-US"/>
        </w:rPr>
      </w:pPr>
      <w:r w:rsidRPr="00DC5961">
        <w:t>BME</w:t>
      </w:r>
      <w:r w:rsidR="00786423" w:rsidRPr="00DC5961">
        <w:t xml:space="preserve"> has observed that the Level 3 Guidelines are applied differently across EU jurisdictions with for example some NCAs </w:t>
      </w:r>
      <w:r w:rsidR="00786423">
        <w:t xml:space="preserve">having forbidden midpoint order pegging as opposed to other jurisdictions where the Level 3 guidelines have not been applied. Although </w:t>
      </w:r>
      <w:r>
        <w:t>BME</w:t>
      </w:r>
      <w:r w:rsidR="00786423">
        <w:t xml:space="preserve"> understands that Level 3 regulation is not mandatory, we also notice distortion to the benefit of some players. In this instance, </w:t>
      </w:r>
      <w:r w:rsidR="005E4730">
        <w:t>BME</w:t>
      </w:r>
      <w:r w:rsidR="00786423">
        <w:t xml:space="preserve"> advises moving the Level 3 measures with respect to forbidding midpoint order pegging by FBAs to Level 2 to avoid competition distortion.</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32EE243C" w14:textId="2707753C" w:rsidR="00535E1E" w:rsidRPr="00DC5961" w:rsidRDefault="00535E1E" w:rsidP="00535E1E">
      <w:pPr>
        <w:jc w:val="both"/>
        <w:rPr>
          <w:lang w:val="en-US"/>
        </w:rPr>
      </w:pPr>
      <w:permStart w:id="1323308231" w:edGrp="everyone"/>
      <w:r w:rsidRPr="00DC5961">
        <w:rPr>
          <w:lang w:val="en-US"/>
        </w:rPr>
        <w:t xml:space="preserve">BME agrees with ESMA’s proposals for creating </w:t>
      </w:r>
      <w:r w:rsidR="00E230E2" w:rsidRPr="00DC5961">
        <w:rPr>
          <w:lang w:val="en-US"/>
        </w:rPr>
        <w:t xml:space="preserve">a </w:t>
      </w:r>
      <w:r w:rsidRPr="00DC5961">
        <w:rPr>
          <w:lang w:val="en-US"/>
        </w:rPr>
        <w:t>new trading system category for hybrid systems separated from “Any other trading system”, when a trading system falls within two or more of the types of trading systems currently covered in Table 1 of Annex I of RTS 1.</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61E506BA" w14:textId="642958A2" w:rsidR="003649BE" w:rsidRPr="00DC5961" w:rsidRDefault="003649BE" w:rsidP="003649BE">
      <w:pPr>
        <w:jc w:val="both"/>
        <w:rPr>
          <w:lang w:val="en-US"/>
        </w:rPr>
      </w:pPr>
      <w:permStart w:id="764624971" w:edGrp="everyone"/>
      <w:r w:rsidRPr="00DC5961">
        <w:rPr>
          <w:lang w:val="en-US"/>
        </w:rPr>
        <w:t>Yes, BME considers this standardization will help to understand these trading systems are the same in both RTSs</w:t>
      </w:r>
      <w:r w:rsidR="00E230E2" w:rsidRPr="00DC5961">
        <w:rPr>
          <w:lang w:val="en-US"/>
        </w:rPr>
        <w:t>.</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0CE82B11" w14:textId="29519AFD" w:rsidR="004874AE" w:rsidRPr="0004768A" w:rsidRDefault="004874AE" w:rsidP="00447178">
      <w:pPr>
        <w:spacing w:after="120"/>
        <w:jc w:val="both"/>
        <w:rPr>
          <w:rFonts w:cs="Arial"/>
          <w:szCs w:val="22"/>
          <w:lang w:eastAsia="en-US"/>
        </w:rPr>
      </w:pPr>
      <w:permStart w:id="693053983" w:edGrp="everyone"/>
      <w:r w:rsidRPr="0004768A">
        <w:rPr>
          <w:rFonts w:cs="Arial"/>
        </w:rPr>
        <w:t xml:space="preserve">There is some merit in attempting to harmonise the pre-trade information to be disclosed however </w:t>
      </w:r>
      <w:r w:rsidR="00A659D2" w:rsidRPr="00292008">
        <w:rPr>
          <w:rFonts w:cs="Arial"/>
          <w:color w:val="00B0F0"/>
        </w:rPr>
        <w:t>BME</w:t>
      </w:r>
      <w:r w:rsidRPr="0004768A">
        <w:rPr>
          <w:rFonts w:cs="Arial"/>
        </w:rPr>
        <w:t xml:space="preserve"> does not agree with </w:t>
      </w:r>
      <w:proofErr w:type="gramStart"/>
      <w:r w:rsidRPr="0004768A">
        <w:rPr>
          <w:rFonts w:cs="Arial"/>
        </w:rPr>
        <w:t>all of</w:t>
      </w:r>
      <w:proofErr w:type="gramEnd"/>
      <w:r w:rsidRPr="0004768A">
        <w:rPr>
          <w:rFonts w:cs="Arial"/>
        </w:rPr>
        <w:t xml:space="preserve"> ESMA’s proposals in this area. ESMA should in general stick to the data content requirements and abstain from being intrusive in technical data formats. </w:t>
      </w:r>
    </w:p>
    <w:p w14:paraId="41C8D8E2" w14:textId="3AB3B1EE" w:rsidR="004874AE" w:rsidRPr="0004768A" w:rsidRDefault="004874AE" w:rsidP="00447178">
      <w:pPr>
        <w:spacing w:after="120"/>
        <w:jc w:val="both"/>
        <w:rPr>
          <w:rFonts w:cs="Arial"/>
        </w:rPr>
      </w:pPr>
      <w:r w:rsidRPr="0004768A">
        <w:rPr>
          <w:rFonts w:cs="Arial"/>
        </w:rPr>
        <w:t xml:space="preserve">Except for end-user terminals where human beings consume the information, the rest of the market processing value chain is invisible and designed for transparent and efficient data transmission. </w:t>
      </w:r>
      <w:proofErr w:type="spellStart"/>
      <w:r w:rsidRPr="0004768A">
        <w:rPr>
          <w:rFonts w:cs="Arial"/>
        </w:rPr>
        <w:t>Feedhandlers</w:t>
      </w:r>
      <w:proofErr w:type="spellEnd"/>
      <w:r w:rsidRPr="0004768A">
        <w:rPr>
          <w:rFonts w:cs="Arial"/>
        </w:rPr>
        <w:t xml:space="preserve"> operated by vendors are efficient and can easily make the correct interpretation of incoming data from trading venues and APAs and reproduce compliant information on display services for end-users.</w:t>
      </w:r>
    </w:p>
    <w:p w14:paraId="5135284C" w14:textId="77777777" w:rsidR="004874AE" w:rsidRPr="0004768A" w:rsidRDefault="004874AE" w:rsidP="00447178">
      <w:pPr>
        <w:spacing w:after="120"/>
        <w:jc w:val="both"/>
        <w:rPr>
          <w:rFonts w:cs="Arial"/>
        </w:rPr>
      </w:pPr>
      <w:r w:rsidRPr="0004768A">
        <w:rPr>
          <w:rFonts w:cs="Arial"/>
        </w:rPr>
        <w:t xml:space="preserve">As stated in the ESMA Q&amp;As on MiFID II and MiFIR transparency topics (see question 2c), it is also important to ensure efficient distribution in terms of reasonable bandwidth consumption and latency performance. </w:t>
      </w:r>
    </w:p>
    <w:p w14:paraId="7F57CF69" w14:textId="77777777" w:rsidR="004874AE" w:rsidRPr="0004768A" w:rsidRDefault="004874AE" w:rsidP="00447178">
      <w:pPr>
        <w:spacing w:after="120"/>
        <w:jc w:val="both"/>
        <w:rPr>
          <w:rFonts w:cs="Arial"/>
        </w:rPr>
      </w:pPr>
      <w:r w:rsidRPr="0004768A">
        <w:rPr>
          <w:rFonts w:cs="Arial"/>
        </w:rPr>
        <w:t>Asking for human-readable informational content across the invisible sequences of the data processing chain would trigger huge re-engineering costs, more bandwidth consumption, and slow down the overall data transmission speed. This would add no transparency improvements and make costs explode. The ISO data format for timestamps is the archetypical example of potential inadequate format requirements for efficient distribution via data feeds.</w:t>
      </w:r>
    </w:p>
    <w:p w14:paraId="60B2027C" w14:textId="212108B5" w:rsidR="00BD38C0" w:rsidRPr="0004768A" w:rsidRDefault="004874AE" w:rsidP="00447178">
      <w:pPr>
        <w:jc w:val="both"/>
        <w:rPr>
          <w:rFonts w:cs="Arial"/>
          <w:color w:val="00B0F0"/>
          <w:lang w:val="en-US"/>
        </w:rPr>
      </w:pPr>
      <w:r w:rsidRPr="0004768A">
        <w:rPr>
          <w:rFonts w:cs="Arial"/>
        </w:rPr>
        <w:t xml:space="preserve">In short, </w:t>
      </w:r>
      <w:r w:rsidR="00A659D2" w:rsidRPr="00DC5961">
        <w:rPr>
          <w:rFonts w:cs="Arial"/>
        </w:rPr>
        <w:t>BME</w:t>
      </w:r>
      <w:r w:rsidRPr="00DC5961">
        <w:rPr>
          <w:rFonts w:cs="Arial"/>
        </w:rPr>
        <w:t xml:space="preserve"> </w:t>
      </w:r>
      <w:r w:rsidRPr="0004768A">
        <w:rPr>
          <w:rFonts w:cs="Arial"/>
        </w:rPr>
        <w:t>would strongly dissuade ESMA from making changes that could affect the efficiency of pre-trade information disclosed and overload data users with unnecessary data.</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5BF7B2C2" w14:textId="69A4D839" w:rsidR="000E1998" w:rsidRDefault="006D2BFF" w:rsidP="000E1998">
      <w:pPr>
        <w:jc w:val="both"/>
      </w:pPr>
      <w:permStart w:id="802323909" w:edGrp="everyone"/>
      <w:r w:rsidRPr="006D2BFF">
        <w:t xml:space="preserve">Yes, </w:t>
      </w:r>
      <w:r w:rsidR="00082D8A" w:rsidRPr="00DC5961">
        <w:t>BME</w:t>
      </w:r>
      <w:r w:rsidRPr="00DC5961">
        <w:t xml:space="preserve"> </w:t>
      </w:r>
      <w:r w:rsidRPr="006D2BFF">
        <w:t>agrees with the changes proposed by ESMA. Bringing the publication of deferred trades to the opening of the next trading session for trades executed less than two hours before the end of the trading day brings more transparency and appears technically feasible. However, ESMA suggests publishing the information “no later than the opening of the trading day of the most relevant market in terms of liquidity […]”. This requirement means an adjustment on an instrument-by-instrument level which brings unnecessary complexity both for venues and market participants. We would therefore propose to publish the information earlier than noon but at the same time for all reporting entities: “no later than 09:00 local time […]”.</w:t>
      </w:r>
    </w:p>
    <w:permEnd w:id="802323909"/>
    <w:p w14:paraId="09E7E5FD" w14:textId="1A9EDFAD"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2457A1E3" w14:textId="50B73A87" w:rsidR="004874AE" w:rsidRDefault="00457CDB" w:rsidP="00E71ADA">
      <w:pPr>
        <w:jc w:val="both"/>
      </w:pPr>
      <w:permStart w:id="683432005" w:edGrp="everyone"/>
      <w:r w:rsidRPr="00DC5961">
        <w:t>BME</w:t>
      </w:r>
      <w:r w:rsidR="004874AE" w:rsidRPr="00DC5961">
        <w:t xml:space="preserve"> </w:t>
      </w:r>
      <w:r w:rsidR="004874AE">
        <w:t>agrees with the proposal to modify Article 17(2) of RTS 1 for the date of application of transparency calculations replacing the 1</w:t>
      </w:r>
      <w:r w:rsidR="004874AE">
        <w:rPr>
          <w:vertAlign w:val="superscript"/>
        </w:rPr>
        <w:t>st</w:t>
      </w:r>
      <w:r w:rsidR="004874AE">
        <w:t xml:space="preserve"> April for the first Monday of April of each year. We understand this change means that the annual update on the most relevant market in terms of liquidity and the average daily turnover for the purpose of identifying large-in-scale orders and the standard market size will apply on the first Monday of April.</w:t>
      </w:r>
    </w:p>
    <w:p w14:paraId="204D356C" w14:textId="77777777" w:rsidR="00E71ADA" w:rsidRDefault="00E71ADA" w:rsidP="00E71ADA">
      <w:pPr>
        <w:jc w:val="both"/>
        <w:rPr>
          <w:rFonts w:ascii="Trebuchet MS" w:hAnsi="Trebuchet MS"/>
          <w:szCs w:val="22"/>
          <w:lang w:eastAsia="en-US"/>
        </w:rPr>
      </w:pPr>
    </w:p>
    <w:p w14:paraId="0735611D" w14:textId="745530D7" w:rsidR="004874AE" w:rsidRDefault="004874AE" w:rsidP="00E71ADA">
      <w:pPr>
        <w:jc w:val="both"/>
      </w:pPr>
      <w:r>
        <w:t>We would signal to ESMA that this decision does have an impact beyond RTS 1 and requires adjustment due to the operational risk coming from discrepancies between regulations. Indeed, regarding tick sizes Article 3(4) of RTS 11 stipulates that “Trading venues shall apply the tick sizes of the liquidity band corresponding to the average daily number of transactions as published in accordance with paragraph 1 from 1 April following that publication.” Leaving RTS 11 as it currently is would require two updates of our systems which entails a significant operational risk for trading venues and in general confusion for all market participants. We then very much urge ESMA to modify RTS 11 to align both regulations as follows: “Trading venues shall apply the tick sizes of the liquidity band corresponding to the average daily number of transactions as published in accordance with paragraph 1 from the first Monday of April following that publication.</w:t>
      </w:r>
    </w:p>
    <w:p w14:paraId="22C76246" w14:textId="77777777" w:rsidR="00E71ADA" w:rsidRDefault="00E71ADA" w:rsidP="00E71ADA">
      <w:pPr>
        <w:jc w:val="both"/>
      </w:pPr>
    </w:p>
    <w:p w14:paraId="21F71794" w14:textId="44E68B17" w:rsidR="006119E9" w:rsidRPr="00DC5961" w:rsidRDefault="003817D5" w:rsidP="00E71ADA">
      <w:pPr>
        <w:jc w:val="both"/>
      </w:pPr>
      <w:r w:rsidRPr="00DC5961">
        <w:t>We would</w:t>
      </w:r>
      <w:r w:rsidR="00DC5961" w:rsidRPr="00DC5961">
        <w:t xml:space="preserve"> also</w:t>
      </w:r>
      <w:r w:rsidRPr="00DC5961">
        <w:t xml:space="preserve"> like to signal that as t</w:t>
      </w:r>
      <w:r w:rsidR="00D5148B" w:rsidRPr="00DC5961">
        <w:t>ransparency calculations are made on a yearly basis, s</w:t>
      </w:r>
      <w:r w:rsidR="006119E9" w:rsidRPr="00DC5961">
        <w:t>uch long-term calculations can negatively affect values and trading venues who really are the most relevant market in terms of liquidity but where the value was not first admitted to trading.</w:t>
      </w:r>
      <w:r w:rsidR="00D5148B" w:rsidRPr="00DC5961">
        <w:t xml:space="preserve"> BME considers necessary to increase the periodicity in which the transparency calculations are made, </w:t>
      </w:r>
      <w:proofErr w:type="gramStart"/>
      <w:r w:rsidR="00D5148B" w:rsidRPr="00DC5961">
        <w:t>in order to</w:t>
      </w:r>
      <w:proofErr w:type="gramEnd"/>
      <w:r w:rsidR="00D5148B" w:rsidRPr="00DC5961">
        <w:t xml:space="preserve"> reflect more accurately the market situation. </w:t>
      </w:r>
      <w:r w:rsidR="006119E9" w:rsidRPr="00DC5961">
        <w:t>The same should apply to the calculation of the Average Daily Number of Transactions.</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7661CB11" w14:textId="32B9FCFB" w:rsidR="00BC1A66" w:rsidRPr="00115C77" w:rsidRDefault="00115C77" w:rsidP="00447178">
      <w:pPr>
        <w:jc w:val="both"/>
        <w:rPr>
          <w:rFonts w:cs="Arial"/>
          <w:color w:val="00B0F0"/>
          <w:szCs w:val="20"/>
        </w:rPr>
      </w:pPr>
      <w:permStart w:id="1927510640" w:edGrp="everyone"/>
      <w:r w:rsidRPr="00DC5961">
        <w:rPr>
          <w:rFonts w:cs="Arial"/>
          <w:szCs w:val="20"/>
        </w:rPr>
        <w:t>BME</w:t>
      </w:r>
      <w:r w:rsidR="00BC1A66" w:rsidRPr="00DC5961">
        <w:rPr>
          <w:rFonts w:cs="Arial"/>
          <w:szCs w:val="20"/>
        </w:rPr>
        <w:t xml:space="preserve"> </w:t>
      </w:r>
      <w:r w:rsidR="00BC1A66" w:rsidRPr="00115C77">
        <w:rPr>
          <w:rFonts w:cs="Arial"/>
          <w:szCs w:val="20"/>
        </w:rPr>
        <w:t>believes that a simple amendment to Article 11 should be made to include post-trade LIS transactions. This amendment would ensure that the SMS level is properly representative of liquidity in equity markets.</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4E70CF34" w14:textId="683758BA" w:rsidR="00265DF3" w:rsidRPr="00DC5961" w:rsidRDefault="00750A47" w:rsidP="00447178">
      <w:pPr>
        <w:jc w:val="both"/>
        <w:rPr>
          <w:rFonts w:cs="Arial"/>
          <w:szCs w:val="20"/>
          <w:lang w:val="en-US"/>
        </w:rPr>
      </w:pPr>
      <w:permStart w:id="1353266664" w:edGrp="everyone"/>
      <w:r w:rsidRPr="00DC5961">
        <w:rPr>
          <w:rFonts w:cs="Arial"/>
          <w:szCs w:val="20"/>
          <w:lang w:val="en-US"/>
        </w:rPr>
        <w:t xml:space="preserve">BME believes the proposed amendment </w:t>
      </w:r>
      <w:r w:rsidR="003D3B70" w:rsidRPr="00DC5961">
        <w:rPr>
          <w:rFonts w:cs="Arial"/>
          <w:szCs w:val="20"/>
          <w:lang w:val="en-US"/>
        </w:rPr>
        <w:t>brings more</w:t>
      </w:r>
      <w:r w:rsidRPr="00DC5961">
        <w:rPr>
          <w:rFonts w:cs="Arial"/>
          <w:szCs w:val="20"/>
          <w:lang w:val="en-US"/>
        </w:rPr>
        <w:t xml:space="preserve"> clarity </w:t>
      </w:r>
      <w:r w:rsidR="00C946C6" w:rsidRPr="00DC5961">
        <w:rPr>
          <w:rFonts w:cs="Arial"/>
          <w:szCs w:val="20"/>
          <w:lang w:val="en-US"/>
        </w:rPr>
        <w:t>in the pos</w:t>
      </w:r>
      <w:r w:rsidR="00A24988" w:rsidRPr="00DC5961">
        <w:rPr>
          <w:rFonts w:cs="Arial"/>
          <w:szCs w:val="20"/>
          <w:lang w:val="en-US"/>
        </w:rPr>
        <w:t>t</w:t>
      </w:r>
      <w:r w:rsidR="00C946C6" w:rsidRPr="00DC5961">
        <w:rPr>
          <w:rFonts w:cs="Arial"/>
          <w:szCs w:val="20"/>
          <w:lang w:val="en-US"/>
        </w:rPr>
        <w:t>-trade reports</w:t>
      </w:r>
      <w:r w:rsidR="00D50D30" w:rsidRPr="00DC5961">
        <w:rPr>
          <w:rFonts w:cs="Arial"/>
          <w:szCs w:val="20"/>
          <w:lang w:val="en-US"/>
        </w:rPr>
        <w:t>.</w:t>
      </w:r>
      <w:r w:rsidR="00250FD3" w:rsidRPr="00DC5961">
        <w:rPr>
          <w:rFonts w:cs="Arial"/>
          <w:szCs w:val="20"/>
          <w:lang w:val="en-US"/>
        </w:rPr>
        <w:t xml:space="preserve"> </w:t>
      </w:r>
      <w:r w:rsidR="00D50D30" w:rsidRPr="00DC5961">
        <w:rPr>
          <w:rFonts w:cs="Arial"/>
          <w:szCs w:val="20"/>
          <w:lang w:val="en-US"/>
        </w:rPr>
        <w:t>H</w:t>
      </w:r>
      <w:r w:rsidR="00250FD3" w:rsidRPr="00DC5961">
        <w:rPr>
          <w:rFonts w:cs="Arial"/>
          <w:szCs w:val="20"/>
          <w:lang w:val="en-US"/>
        </w:rPr>
        <w:t>owever, regarding the price field, BME believes that from a data management perspective, it is not wise to ask for an alphanumeric entry in a numeric field (price field). This was true with the “PNDG” entry and it is true again with the proposed “NOAP” entry. Many systems operated by vendors cannot cope with this piece of information. Considering that trade flags are usually components of standard trade messages, it would be more convenient to have that “PNDG” and “NOAP” as trade flags rather than price field value. The informational content for post-trade transparency purposes would be equivalent.</w:t>
      </w:r>
    </w:p>
    <w:p w14:paraId="3551FAB9" w14:textId="5C0B3257" w:rsidR="007569CF" w:rsidRPr="00DC5961" w:rsidRDefault="007569CF" w:rsidP="00447178">
      <w:pPr>
        <w:jc w:val="both"/>
        <w:rPr>
          <w:rFonts w:cs="Arial"/>
          <w:szCs w:val="20"/>
          <w:lang w:val="en-US"/>
        </w:rPr>
      </w:pPr>
    </w:p>
    <w:p w14:paraId="34972160" w14:textId="0FE8FDAE" w:rsidR="00B90056" w:rsidRPr="00DC5961" w:rsidRDefault="00EA5800" w:rsidP="00447178">
      <w:pPr>
        <w:jc w:val="both"/>
        <w:rPr>
          <w:rFonts w:cs="Arial"/>
          <w:szCs w:val="20"/>
          <w:lang w:val="en-US"/>
        </w:rPr>
      </w:pPr>
      <w:r w:rsidRPr="00DC5961">
        <w:rPr>
          <w:rFonts w:cs="Arial"/>
          <w:szCs w:val="20"/>
        </w:rPr>
        <w:t>Moreover, t</w:t>
      </w:r>
      <w:r w:rsidR="00B90056" w:rsidRPr="00DC5961">
        <w:rPr>
          <w:rFonts w:cs="Arial"/>
          <w:szCs w:val="20"/>
        </w:rPr>
        <w:t>he trading date and time field identifier should be harmonised to be in accordance with RTS 25 irrespective of the execution venue.</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C1191FA" w14:textId="6B239F36" w:rsidR="00B90056" w:rsidRPr="00DC5961" w:rsidRDefault="00821AC1" w:rsidP="00BC6747">
      <w:pPr>
        <w:jc w:val="both"/>
        <w:rPr>
          <w:rFonts w:cs="Arial"/>
          <w:szCs w:val="20"/>
        </w:rPr>
      </w:pPr>
      <w:permStart w:id="1454447199" w:edGrp="everyone"/>
      <w:r w:rsidRPr="00DC5961">
        <w:rPr>
          <w:rFonts w:cs="Arial"/>
          <w:szCs w:val="20"/>
        </w:rPr>
        <w:t xml:space="preserve">BME agrees </w:t>
      </w:r>
      <w:r w:rsidR="00ED1DA7" w:rsidRPr="00DC5961">
        <w:rPr>
          <w:rFonts w:cs="Arial"/>
          <w:szCs w:val="20"/>
        </w:rPr>
        <w:t>no changes are requi</w:t>
      </w:r>
      <w:r w:rsidR="00D87675" w:rsidRPr="00DC5961">
        <w:rPr>
          <w:rFonts w:cs="Arial"/>
          <w:szCs w:val="20"/>
        </w:rPr>
        <w:t>r</w:t>
      </w:r>
      <w:r w:rsidR="00ED1DA7" w:rsidRPr="00DC5961">
        <w:rPr>
          <w:rFonts w:cs="Arial"/>
          <w:szCs w:val="20"/>
        </w:rPr>
        <w:t xml:space="preserve">ed </w:t>
      </w:r>
      <w:r w:rsidR="00357A78" w:rsidRPr="00DC5961">
        <w:rPr>
          <w:rFonts w:cs="Arial"/>
          <w:szCs w:val="20"/>
        </w:rPr>
        <w:t>on Tables 1 and 2 of Annex III of RTS 1</w:t>
      </w:r>
      <w:r w:rsidR="002F5A44" w:rsidRPr="00DC5961">
        <w:rPr>
          <w:rFonts w:cs="Arial"/>
          <w:szCs w:val="20"/>
        </w:rPr>
        <w:t>.</w:t>
      </w:r>
    </w:p>
    <w:permEnd w:id="1454447199"/>
    <w:p w14:paraId="01673729" w14:textId="61DEAA03"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95205B3" w14:textId="58B687A0" w:rsidR="000A609F" w:rsidRPr="00DC5961" w:rsidRDefault="00B66DF4" w:rsidP="00447178">
      <w:pPr>
        <w:jc w:val="both"/>
        <w:rPr>
          <w:lang w:val="en-US"/>
        </w:rPr>
      </w:pPr>
      <w:permStart w:id="800200996" w:edGrp="everyone"/>
      <w:r w:rsidRPr="00DC5961">
        <w:rPr>
          <w:lang w:val="en-US"/>
        </w:rPr>
        <w:t xml:space="preserve">BME considers </w:t>
      </w:r>
      <w:r w:rsidR="00021008" w:rsidRPr="00DC5961">
        <w:rPr>
          <w:lang w:val="en-US"/>
        </w:rPr>
        <w:t xml:space="preserve">these </w:t>
      </w:r>
      <w:r w:rsidRPr="00DC5961">
        <w:rPr>
          <w:lang w:val="en-US"/>
        </w:rPr>
        <w:t xml:space="preserve">new tables </w:t>
      </w:r>
      <w:r w:rsidR="00D31CDE" w:rsidRPr="00DC5961">
        <w:rPr>
          <w:lang w:val="en-US"/>
        </w:rPr>
        <w:t xml:space="preserve">add more granularity and </w:t>
      </w:r>
      <w:r w:rsidR="00D87675" w:rsidRPr="00DC5961">
        <w:rPr>
          <w:lang w:val="en-US"/>
        </w:rPr>
        <w:t>bring more</w:t>
      </w:r>
      <w:r w:rsidRPr="00DC5961">
        <w:rPr>
          <w:lang w:val="en-US"/>
        </w:rPr>
        <w:t xml:space="preserve"> </w:t>
      </w:r>
      <w:r w:rsidR="00CC4DFB" w:rsidRPr="00DC5961">
        <w:rPr>
          <w:lang w:val="en-US"/>
        </w:rPr>
        <w:t xml:space="preserve">clarity </w:t>
      </w:r>
      <w:r w:rsidR="00D87675" w:rsidRPr="00DC5961">
        <w:rPr>
          <w:lang w:val="en-US"/>
        </w:rPr>
        <w:t xml:space="preserve">to the </w:t>
      </w:r>
      <w:r w:rsidR="00CC4DFB" w:rsidRPr="00DC5961">
        <w:rPr>
          <w:lang w:val="en-US"/>
        </w:rPr>
        <w:t>trading volumes</w:t>
      </w:r>
      <w:r w:rsidR="00D87675" w:rsidRPr="00DC5961">
        <w:rPr>
          <w:lang w:val="en-US"/>
        </w:rPr>
        <w:t xml:space="preserve"> executed under waivers</w:t>
      </w:r>
      <w:r w:rsidR="00021008" w:rsidRPr="00DC5961">
        <w:rPr>
          <w:lang w:val="en-US"/>
        </w:rPr>
        <w:t xml:space="preserve">, although it implies </w:t>
      </w:r>
      <w:r w:rsidR="003E3920" w:rsidRPr="00DC5961">
        <w:rPr>
          <w:lang w:val="en-US"/>
        </w:rPr>
        <w:t xml:space="preserve">a significant technical </w:t>
      </w:r>
      <w:r w:rsidR="00021008" w:rsidRPr="00DC5961">
        <w:rPr>
          <w:lang w:val="en-US"/>
        </w:rPr>
        <w:t>development</w:t>
      </w:r>
      <w:r w:rsidR="003E3920" w:rsidRPr="00DC5961">
        <w:rPr>
          <w:lang w:val="en-US"/>
        </w:rPr>
        <w:t xml:space="preserve"> on the RTS files and subsequent systems for the transparency calculation</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381F6A00" w14:textId="77777777" w:rsidR="00021008" w:rsidRDefault="00021008" w:rsidP="000A609F">
      <w:pPr>
        <w:rPr>
          <w:color w:val="FF0000"/>
          <w:lang w:val="es-ES"/>
        </w:rPr>
      </w:pPr>
      <w:permStart w:id="947940030" w:edGrp="everyone"/>
    </w:p>
    <w:permEnd w:id="947940030"/>
    <w:p w14:paraId="2D4E8310" w14:textId="06885B33"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2DD10F7C" w14:textId="24C672BE" w:rsidR="009C6AFC" w:rsidRPr="00DC5961" w:rsidRDefault="009C6AFC" w:rsidP="00447178">
      <w:pPr>
        <w:jc w:val="both"/>
      </w:pPr>
      <w:permStart w:id="1456035944" w:edGrp="everyone"/>
      <w:r w:rsidRPr="002C640A">
        <w:t>B</w:t>
      </w:r>
      <w:r w:rsidRPr="00DC5961">
        <w:t xml:space="preserve">ME disagrees with the deletion of the SI flags ‘SIZE’, ‘ILQD’, and ‘RPRI’. Steps should be taken to improve the consistency and completeness of SI data quality </w:t>
      </w:r>
      <w:proofErr w:type="gramStart"/>
      <w:r w:rsidRPr="00DC5961">
        <w:t>in order to</w:t>
      </w:r>
      <w:proofErr w:type="gramEnd"/>
      <w:r w:rsidRPr="00DC5961">
        <w:t xml:space="preserve"> increase visibility of what is happening in this space. The deletion of three SI flags may facilitate easier flagging of SI trades but it would ultimately fall short of addressing the underlying issue</w:t>
      </w:r>
      <w:r w:rsidR="002937F4" w:rsidRPr="00DC5961">
        <w:t>, it would worsen the quality of data analysis,</w:t>
      </w:r>
      <w:r w:rsidRPr="00DC5961">
        <w:t xml:space="preserve"> and </w:t>
      </w:r>
      <w:r w:rsidR="0070657B" w:rsidRPr="00DC5961">
        <w:t>will imply IT developments</w:t>
      </w:r>
      <w:r w:rsidRPr="00DC5961">
        <w:t xml:space="preserve">. </w:t>
      </w:r>
      <w:r w:rsidR="002937F4" w:rsidRPr="00DC5961">
        <w:t>BME considers removing them contradicts the objective of MiFID II/MiFIR of improving transparency.</w:t>
      </w:r>
    </w:p>
    <w:p w14:paraId="2F09750F" w14:textId="77777777" w:rsidR="002937F4" w:rsidRPr="00DC5961" w:rsidRDefault="002937F4" w:rsidP="00447178">
      <w:pPr>
        <w:jc w:val="both"/>
      </w:pPr>
    </w:p>
    <w:p w14:paraId="091D6D11" w14:textId="2DBFB7DC" w:rsidR="009C6AFC" w:rsidRPr="00DC5961" w:rsidRDefault="009C6AFC" w:rsidP="00447178">
      <w:pPr>
        <w:jc w:val="both"/>
      </w:pPr>
      <w:r w:rsidRPr="00DC5961">
        <w:t>We understand that the unambiguous identification of a trade executed via an SI is done via the MIC (SINT) field. We appreciate the simplification attempt, but the three pre-trade transparency waiver flags applicable to SIs are not replaced by any flag</w:t>
      </w:r>
      <w:r w:rsidR="0070657B" w:rsidRPr="00DC5961">
        <w:t xml:space="preserve"> against our mandate of ensuring a level playing field.</w:t>
      </w:r>
    </w:p>
    <w:p w14:paraId="2E7D0F56" w14:textId="77777777" w:rsidR="0070657B" w:rsidRPr="00DC5961" w:rsidRDefault="0070657B" w:rsidP="00447178">
      <w:pPr>
        <w:jc w:val="both"/>
      </w:pPr>
    </w:p>
    <w:p w14:paraId="73993F96" w14:textId="0C81D347" w:rsidR="009C6AFC" w:rsidRPr="00DC5961" w:rsidRDefault="009C6AFC" w:rsidP="002F5A44">
      <w:pPr>
        <w:jc w:val="both"/>
      </w:pPr>
      <w:r w:rsidRPr="00DC5961">
        <w:t>Further information and clarification will help to apply flags in an accurate and consistent manner.</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77150ABB" w14:textId="74B7DE83" w:rsidR="002F1030" w:rsidRPr="00DC5961" w:rsidRDefault="001C47B7" w:rsidP="00447178">
      <w:pPr>
        <w:jc w:val="both"/>
      </w:pPr>
      <w:permStart w:id="141764790" w:edGrp="everyone"/>
      <w:r w:rsidRPr="00DC5961">
        <w:t>BME do</w:t>
      </w:r>
      <w:r w:rsidR="002F1030" w:rsidRPr="00DC5961">
        <w:t>es</w:t>
      </w:r>
      <w:r w:rsidRPr="00DC5961">
        <w:t xml:space="preserve"> not support the ESMA’s proposal of deleting th</w:t>
      </w:r>
      <w:r w:rsidR="00660062" w:rsidRPr="00DC5961">
        <w:t>is</w:t>
      </w:r>
      <w:r w:rsidRPr="00DC5961">
        <w:t xml:space="preserve"> flag. </w:t>
      </w:r>
      <w:r w:rsidR="00B92308" w:rsidRPr="00DC5961">
        <w:t>Since the OTC already is an opaque market, further reducing its level of post-trade transparency does not appear appropriate.</w:t>
      </w:r>
      <w:r w:rsidR="00B92308" w:rsidRPr="00DC5961">
        <w:rPr>
          <w:rFonts w:asciiTheme="minorHAnsi" w:hAnsiTheme="minorHAnsi"/>
        </w:rPr>
        <w:t xml:space="preserve"> </w:t>
      </w:r>
      <w:r w:rsidRPr="00DC5961">
        <w:t xml:space="preserve">BME considers removing </w:t>
      </w:r>
      <w:r w:rsidR="00660062" w:rsidRPr="00DC5961">
        <w:t xml:space="preserve">it </w:t>
      </w:r>
      <w:r w:rsidRPr="00DC5961">
        <w:t>contradicts the objective of MiFID II/MiFIR of improving transparency.</w:t>
      </w:r>
    </w:p>
    <w:permEnd w:id="141764790"/>
    <w:p w14:paraId="61378289" w14:textId="10D9300D"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43459DAE" w14:textId="330E0488" w:rsidR="00972F54" w:rsidRPr="00DC5961" w:rsidRDefault="00DA1123" w:rsidP="00972F54">
      <w:pPr>
        <w:jc w:val="both"/>
        <w:rPr>
          <w:lang w:val="en-US"/>
        </w:rPr>
      </w:pPr>
      <w:permStart w:id="683039510" w:edGrp="everyone"/>
      <w:r w:rsidRPr="00DC5961">
        <w:rPr>
          <w:lang w:val="en-US"/>
        </w:rPr>
        <w:t>BME</w:t>
      </w:r>
      <w:r w:rsidR="00972F54" w:rsidRPr="00DC5961">
        <w:rPr>
          <w:lang w:val="en-US"/>
        </w:rPr>
        <w:t xml:space="preserve"> generally agrees with ESMA’s approach for non-price forming transactions in RTS 1, which would improve data quality and facilitate the aggregation of information and will also result in a better and more consistent application and understanding of the flagging regime by the market participants. At the same time, to preserve fair, stable, and transparent markets, </w:t>
      </w:r>
      <w:r w:rsidR="00FE4B3E" w:rsidRPr="00DC5961">
        <w:rPr>
          <w:lang w:val="en-US"/>
        </w:rPr>
        <w:t xml:space="preserve">benchmark, </w:t>
      </w:r>
      <w:proofErr w:type="gramStart"/>
      <w:r w:rsidR="00FE4B3E" w:rsidRPr="00DC5961">
        <w:rPr>
          <w:lang w:val="en-US"/>
        </w:rPr>
        <w:t>portfolio</w:t>
      </w:r>
      <w:proofErr w:type="gramEnd"/>
      <w:r w:rsidR="00FE4B3E" w:rsidRPr="00DC5961">
        <w:rPr>
          <w:lang w:val="en-US"/>
        </w:rPr>
        <w:t xml:space="preserve"> and contingent transactions should be clearly defined. </w:t>
      </w:r>
      <w:r w:rsidR="00972F54" w:rsidRPr="00DC5961">
        <w:rPr>
          <w:lang w:val="en-US"/>
        </w:rPr>
        <w:t xml:space="preserve">This is important </w:t>
      </w:r>
      <w:proofErr w:type="gramStart"/>
      <w:r w:rsidR="00972F54" w:rsidRPr="00DC5961">
        <w:rPr>
          <w:lang w:val="en-US"/>
        </w:rPr>
        <w:t>in order to</w:t>
      </w:r>
      <w:proofErr w:type="gramEnd"/>
      <w:r w:rsidR="00972F54" w:rsidRPr="00DC5961">
        <w:rPr>
          <w:lang w:val="en-US"/>
        </w:rPr>
        <w:t xml:space="preserve"> ensure a common understanding and avoid necessary adaptions in the future. </w:t>
      </w:r>
    </w:p>
    <w:p w14:paraId="77CE9F68" w14:textId="4CC65397" w:rsidR="00FE4B3E" w:rsidRPr="00DC5961" w:rsidRDefault="00FE4B3E" w:rsidP="00972F54">
      <w:pPr>
        <w:jc w:val="both"/>
        <w:rPr>
          <w:lang w:val="en-US"/>
        </w:rPr>
      </w:pPr>
    </w:p>
    <w:p w14:paraId="6F81969A" w14:textId="3AD3CBD9" w:rsidR="00FE4B3E" w:rsidRPr="00DC5961" w:rsidRDefault="00FE4B3E" w:rsidP="00972F54">
      <w:pPr>
        <w:jc w:val="both"/>
        <w:rPr>
          <w:lang w:val="en-US"/>
        </w:rPr>
      </w:pPr>
      <w:r w:rsidRPr="00DC5961">
        <w:rPr>
          <w:lang w:val="en-US"/>
        </w:rPr>
        <w:t>On the other hand, BME doesn´t agree with the creation of the NTLS flag as stated in Q20.</w:t>
      </w:r>
    </w:p>
    <w:p w14:paraId="60F63D11" w14:textId="77777777" w:rsidR="00972F54" w:rsidRPr="00DC5961" w:rsidRDefault="00972F54" w:rsidP="00972F54">
      <w:pPr>
        <w:jc w:val="both"/>
        <w:rPr>
          <w:lang w:val="en-US"/>
        </w:rPr>
      </w:pPr>
    </w:p>
    <w:p w14:paraId="1A90AF7E" w14:textId="367CE5A0" w:rsidR="00972F54" w:rsidRPr="00DC5961" w:rsidRDefault="001C4365" w:rsidP="00972F54">
      <w:pPr>
        <w:jc w:val="both"/>
        <w:rPr>
          <w:lang w:val="en-US"/>
        </w:rPr>
      </w:pPr>
      <w:r w:rsidRPr="00DC5961">
        <w:rPr>
          <w:lang w:val="en-US"/>
        </w:rPr>
        <w:t>BME</w:t>
      </w:r>
      <w:r w:rsidR="00972F54" w:rsidRPr="00DC5961">
        <w:rPr>
          <w:lang w:val="en-US"/>
        </w:rPr>
        <w:t xml:space="preserve"> would also like to remark that trade flags represent one part of the solution</w:t>
      </w:r>
      <w:r w:rsidR="00FE4B3E" w:rsidRPr="00DC5961">
        <w:rPr>
          <w:lang w:val="en-US"/>
        </w:rPr>
        <w:t>, but d</w:t>
      </w:r>
      <w:r w:rsidR="00972F54" w:rsidRPr="00DC5961">
        <w:rPr>
          <w:lang w:val="en-US"/>
        </w:rPr>
        <w:t xml:space="preserve">efinitions of rules on how to properly use the flags (reporting guidelines) as well as supervisory enforcement are equally important. Communication and education of stakeholders (reporting </w:t>
      </w:r>
      <w:r w:rsidR="00BB3CD3" w:rsidRPr="00DC5961">
        <w:rPr>
          <w:lang w:val="en-US"/>
        </w:rPr>
        <w:t>organizations</w:t>
      </w:r>
      <w:r w:rsidR="00972F54" w:rsidRPr="00DC5961">
        <w:rPr>
          <w:lang w:val="en-US"/>
        </w:rPr>
        <w:t xml:space="preserve">, </w:t>
      </w:r>
      <w:proofErr w:type="spellStart"/>
      <w:r w:rsidR="00972F54" w:rsidRPr="00DC5961">
        <w:rPr>
          <w:lang w:val="en-US"/>
        </w:rPr>
        <w:t>APAs</w:t>
      </w:r>
      <w:proofErr w:type="spellEnd"/>
      <w:r w:rsidR="00972F54" w:rsidRPr="00DC5961">
        <w:rPr>
          <w:lang w:val="en-US"/>
        </w:rPr>
        <w:t xml:space="preserve">, auditors, </w:t>
      </w:r>
      <w:proofErr w:type="spellStart"/>
      <w:r w:rsidR="00972F54" w:rsidRPr="00DC5961">
        <w:rPr>
          <w:lang w:val="en-US"/>
        </w:rPr>
        <w:t>etc</w:t>
      </w:r>
      <w:proofErr w:type="spellEnd"/>
      <w:r w:rsidR="00972F54" w:rsidRPr="00DC5961">
        <w:rPr>
          <w:lang w:val="en-US"/>
        </w:rPr>
        <w:t>) around flags and flag usage rules are very much needed as well.</w:t>
      </w:r>
    </w:p>
    <w:p w14:paraId="5577ABAD" w14:textId="77777777" w:rsidR="009105A9" w:rsidRPr="00DC5961" w:rsidRDefault="009105A9" w:rsidP="00972F54">
      <w:pPr>
        <w:jc w:val="both"/>
        <w:rPr>
          <w:lang w:val="en-US"/>
        </w:rPr>
      </w:pPr>
    </w:p>
    <w:p w14:paraId="3719F4EF" w14:textId="6159372F" w:rsidR="00972F54" w:rsidRPr="00DC5961" w:rsidRDefault="001C4365" w:rsidP="009C21E7">
      <w:pPr>
        <w:jc w:val="both"/>
        <w:rPr>
          <w:lang w:val="en-US"/>
        </w:rPr>
      </w:pPr>
      <w:r w:rsidRPr="00DC5961">
        <w:rPr>
          <w:lang w:val="en-US"/>
        </w:rPr>
        <w:t>It should</w:t>
      </w:r>
      <w:r w:rsidR="00DC5961">
        <w:rPr>
          <w:lang w:val="en-US"/>
        </w:rPr>
        <w:t xml:space="preserve"> also</w:t>
      </w:r>
      <w:r w:rsidRPr="00DC5961">
        <w:rPr>
          <w:lang w:val="en-US"/>
        </w:rPr>
        <w:t xml:space="preserve"> be </w:t>
      </w:r>
      <w:r w:rsidR="00DC5961">
        <w:rPr>
          <w:lang w:val="en-US"/>
        </w:rPr>
        <w:t xml:space="preserve">considered that </w:t>
      </w:r>
      <w:r w:rsidRPr="00DC5961">
        <w:rPr>
          <w:lang w:val="en-US"/>
        </w:rPr>
        <w:t>IT developments are required to implement the amendments in the flagging system.</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5ACD4361" w14:textId="23367A71" w:rsidR="00DB2383" w:rsidRPr="00DC5961" w:rsidRDefault="00A400A8" w:rsidP="00F867A8">
      <w:pPr>
        <w:jc w:val="both"/>
        <w:rPr>
          <w:lang w:val="en-US"/>
        </w:rPr>
      </w:pPr>
      <w:bookmarkStart w:id="3" w:name="_Hlk83727121"/>
      <w:permStart w:id="2136082965" w:edGrp="everyone"/>
      <w:r w:rsidRPr="00DC5961">
        <w:rPr>
          <w:lang w:val="en-US"/>
        </w:rPr>
        <w:t>BME</w:t>
      </w:r>
      <w:r w:rsidR="0010107B" w:rsidRPr="00DC5961">
        <w:t xml:space="preserve"> </w:t>
      </w:r>
      <w:r w:rsidR="0010107B" w:rsidRPr="00DC5961">
        <w:rPr>
          <w:lang w:val="en-US"/>
        </w:rPr>
        <w:t>does not agree with ESMAs proposal</w:t>
      </w:r>
      <w:r w:rsidR="00AD6ED1" w:rsidRPr="00DC5961">
        <w:rPr>
          <w:lang w:val="en-US"/>
        </w:rPr>
        <w:t xml:space="preserve">. </w:t>
      </w:r>
    </w:p>
    <w:p w14:paraId="672F3284" w14:textId="77777777" w:rsidR="00DB2383" w:rsidRPr="00DC5961" w:rsidRDefault="00DB2383" w:rsidP="00F867A8">
      <w:pPr>
        <w:jc w:val="both"/>
        <w:rPr>
          <w:lang w:val="en-US"/>
        </w:rPr>
      </w:pPr>
    </w:p>
    <w:p w14:paraId="005E220C" w14:textId="20F2CA22" w:rsidR="00D533A8" w:rsidRPr="00DC5961" w:rsidRDefault="00AD6ED1" w:rsidP="00F867A8">
      <w:pPr>
        <w:jc w:val="both"/>
        <w:rPr>
          <w:lang w:val="en-US"/>
        </w:rPr>
      </w:pPr>
      <w:r w:rsidRPr="00DC5961">
        <w:rPr>
          <w:lang w:val="en-US"/>
        </w:rPr>
        <w:t xml:space="preserve">New pre-trade flagging regime for LIS trades will require a </w:t>
      </w:r>
      <w:r w:rsidR="00FA16EB" w:rsidRPr="00DC5961">
        <w:rPr>
          <w:lang w:val="en-US"/>
        </w:rPr>
        <w:t>large</w:t>
      </w:r>
      <w:r w:rsidRPr="00DC5961">
        <w:rPr>
          <w:lang w:val="en-US"/>
        </w:rPr>
        <w:t xml:space="preserve"> technical effort across the trading venue </w:t>
      </w:r>
      <w:r w:rsidR="00DB2383" w:rsidRPr="00DC5961">
        <w:rPr>
          <w:lang w:val="en-US"/>
        </w:rPr>
        <w:t xml:space="preserve">infrastructure as the new flagging system will require a complete traceability between orders and its corresponding transactions. </w:t>
      </w:r>
      <w:r w:rsidR="00612B6B" w:rsidRPr="00DC5961">
        <w:rPr>
          <w:lang w:val="en-US"/>
        </w:rPr>
        <w:t>In addition, this new flag could lead to possible information leakage</w:t>
      </w:r>
      <w:r w:rsidR="00E52435" w:rsidRPr="00DC5961">
        <w:rPr>
          <w:lang w:val="en-US"/>
        </w:rPr>
        <w:t>.</w:t>
      </w:r>
    </w:p>
    <w:p w14:paraId="3BCFF53B" w14:textId="057D0FEF" w:rsidR="0010107B" w:rsidRPr="00DC5961" w:rsidRDefault="0010107B" w:rsidP="00F867A8">
      <w:pPr>
        <w:jc w:val="both"/>
        <w:rPr>
          <w:lang w:val="en-US"/>
        </w:rPr>
      </w:pPr>
    </w:p>
    <w:p w14:paraId="1834D57C" w14:textId="734A78A2" w:rsidR="0010107B" w:rsidRPr="00DC5961" w:rsidRDefault="00E52435" w:rsidP="00F867A8">
      <w:pPr>
        <w:jc w:val="both"/>
        <w:rPr>
          <w:lang w:val="en-US"/>
        </w:rPr>
      </w:pPr>
      <w:r w:rsidRPr="00DC5961">
        <w:rPr>
          <w:lang w:val="en-US"/>
        </w:rPr>
        <w:t xml:space="preserve">BME believes further information and guidance </w:t>
      </w:r>
      <w:r w:rsidR="007C292E" w:rsidRPr="00DC5961">
        <w:rPr>
          <w:lang w:val="en-US"/>
        </w:rPr>
        <w:t xml:space="preserve">is the solution </w:t>
      </w:r>
      <w:r w:rsidR="007C292E" w:rsidRPr="00DC5961">
        <w:t>to apply “LRGS” post-trade flag in an accurate and consistent manner</w:t>
      </w:r>
      <w:r w:rsidR="00B70005" w:rsidRPr="00DC5961">
        <w:t xml:space="preserve"> instead of incorporating more flags</w:t>
      </w:r>
      <w:r w:rsidR="007C292E" w:rsidRPr="00DC5961">
        <w:t>.</w:t>
      </w:r>
    </w:p>
    <w:bookmarkEnd w:id="3"/>
    <w:permEnd w:id="2136082965"/>
    <w:p w14:paraId="47F59BDD" w14:textId="128E2C0B"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3C625739" w14:textId="11AF683A" w:rsidR="00A03F30" w:rsidRPr="00DC5961" w:rsidRDefault="00A03F30" w:rsidP="00447178">
      <w:pPr>
        <w:jc w:val="both"/>
        <w:rPr>
          <w:sz w:val="22"/>
          <w:szCs w:val="28"/>
          <w:lang w:val="en-US"/>
        </w:rPr>
      </w:pPr>
      <w:bookmarkStart w:id="4" w:name="_Hlk83727778"/>
      <w:permStart w:id="649150215" w:edGrp="everyone"/>
      <w:r w:rsidRPr="00DC5961">
        <w:rPr>
          <w:lang w:val="en-US"/>
        </w:rPr>
        <w:t>BME</w:t>
      </w:r>
      <w:r w:rsidRPr="00DC5961">
        <w:t xml:space="preserve"> </w:t>
      </w:r>
      <w:r w:rsidR="008E26EE" w:rsidRPr="00DC5961">
        <w:rPr>
          <w:lang w:val="en-US"/>
        </w:rPr>
        <w:t xml:space="preserve">disagrees with </w:t>
      </w:r>
      <w:r w:rsidR="00A11A8B" w:rsidRPr="00DC5961">
        <w:rPr>
          <w:lang w:val="en-US"/>
        </w:rPr>
        <w:t xml:space="preserve">ESMA </w:t>
      </w:r>
      <w:r w:rsidR="008E26EE" w:rsidRPr="00DC5961">
        <w:rPr>
          <w:lang w:val="en-US"/>
        </w:rPr>
        <w:t>proposal as this new pre-trade flag does not have obvious value-added</w:t>
      </w:r>
      <w:r w:rsidR="00922E88" w:rsidRPr="00DC5961">
        <w:rPr>
          <w:lang w:val="en-US"/>
        </w:rPr>
        <w:t xml:space="preserve"> to end users</w:t>
      </w:r>
      <w:r w:rsidR="008E26EE" w:rsidRPr="00DC5961">
        <w:rPr>
          <w:lang w:val="en-US"/>
        </w:rPr>
        <w:t xml:space="preserve">. </w:t>
      </w:r>
      <w:r w:rsidR="00922E88" w:rsidRPr="00DC5961">
        <w:rPr>
          <w:lang w:val="en-US"/>
        </w:rPr>
        <w:t>In addition, t</w:t>
      </w:r>
      <w:r w:rsidR="00F66565" w:rsidRPr="00DC5961">
        <w:rPr>
          <w:lang w:val="en-US"/>
        </w:rPr>
        <w:t>he definition of this new “NTLS” flag is</w:t>
      </w:r>
      <w:r w:rsidR="008E26EE" w:rsidRPr="00DC5961">
        <w:rPr>
          <w:lang w:val="en-US"/>
        </w:rPr>
        <w:t xml:space="preserve"> too broad</w:t>
      </w:r>
      <w:r w:rsidR="0097766E" w:rsidRPr="00DC5961">
        <w:rPr>
          <w:lang w:val="en-US"/>
        </w:rPr>
        <w:t xml:space="preserve"> and therefore could create inconsistenc</w:t>
      </w:r>
      <w:r w:rsidR="007814DB" w:rsidRPr="00DC5961">
        <w:rPr>
          <w:lang w:val="en-US"/>
        </w:rPr>
        <w:t>i</w:t>
      </w:r>
      <w:r w:rsidR="0097766E" w:rsidRPr="00DC5961">
        <w:rPr>
          <w:lang w:val="en-US"/>
        </w:rPr>
        <w:t>es</w:t>
      </w:r>
      <w:r w:rsidR="00D552D8" w:rsidRPr="00DC5961">
        <w:rPr>
          <w:lang w:val="en-US"/>
        </w:rPr>
        <w:t>.</w:t>
      </w:r>
    </w:p>
    <w:p w14:paraId="0A41DA45" w14:textId="77777777" w:rsidR="00A03F30" w:rsidRDefault="00A03F30" w:rsidP="00447178">
      <w:pPr>
        <w:jc w:val="both"/>
        <w:rPr>
          <w:color w:val="00B0F0"/>
          <w:lang w:val="en-US"/>
        </w:rPr>
      </w:pPr>
    </w:p>
    <w:p w14:paraId="1AB38C6A" w14:textId="38302A0A" w:rsidR="004212A6" w:rsidRPr="00DC5961" w:rsidRDefault="004212A6" w:rsidP="00AF6C48">
      <w:pPr>
        <w:jc w:val="both"/>
        <w:rPr>
          <w:lang w:val="en-US"/>
        </w:rPr>
      </w:pPr>
      <w:r w:rsidRPr="00DC5961">
        <w:rPr>
          <w:lang w:val="en-US"/>
        </w:rPr>
        <w:t xml:space="preserve">BME believes further information and guidance is the solution </w:t>
      </w:r>
      <w:r w:rsidRPr="00DC5961">
        <w:t>to apply “LRGS” post-trade flag in an accurate and consistent manner</w:t>
      </w:r>
      <w:r w:rsidR="00B70005" w:rsidRPr="00DC5961">
        <w:t xml:space="preserve"> </w:t>
      </w:r>
      <w:bookmarkStart w:id="5" w:name="_Hlk83727412"/>
      <w:r w:rsidR="00B70005" w:rsidRPr="00DC5961">
        <w:t>instead of incorporating more flags</w:t>
      </w:r>
      <w:r w:rsidRPr="00DC5961">
        <w:t>.</w:t>
      </w:r>
      <w:bookmarkEnd w:id="5"/>
    </w:p>
    <w:bookmarkEnd w:id="4"/>
    <w:permEnd w:id="649150215"/>
    <w:p w14:paraId="1076EE8F" w14:textId="1B5F38E0"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2EAF2E90" w14:textId="39DD29AA" w:rsidR="00BE2991" w:rsidRPr="00C63714" w:rsidRDefault="005C2356" w:rsidP="009734CB">
      <w:pPr>
        <w:jc w:val="both"/>
        <w:rPr>
          <w:rFonts w:cs="Arial"/>
          <w:szCs w:val="20"/>
        </w:rPr>
      </w:pPr>
      <w:permStart w:id="1655654043" w:edGrp="everyone"/>
      <w:r w:rsidRPr="00DC5961">
        <w:rPr>
          <w:lang w:val="en-US"/>
        </w:rPr>
        <w:t>BME</w:t>
      </w:r>
      <w:r w:rsidR="00BE2991" w:rsidRPr="00DC5961">
        <w:rPr>
          <w:lang w:val="en-US"/>
        </w:rPr>
        <w:t xml:space="preserve"> </w:t>
      </w:r>
      <w:r w:rsidR="00BE2991" w:rsidRPr="00C63714">
        <w:rPr>
          <w:rFonts w:cs="Arial"/>
          <w:szCs w:val="20"/>
          <w:lang w:val="en-US"/>
        </w:rPr>
        <w:t xml:space="preserve">agrees with ESMA’s proposal not to add such flags, especially looking at redundancy and complexity issues as well as misconceptions linking some new flags with addressable liquidity. For example, trades occurring outside of trading hours can be addressable, the same applies to transactions like inter-affiliate trades and internal crossing network executions. Any additional flags should be properly justified and defined, not only </w:t>
      </w:r>
      <w:proofErr w:type="gramStart"/>
      <w:r w:rsidR="00BE2991" w:rsidRPr="00C63714">
        <w:rPr>
          <w:rFonts w:cs="Arial"/>
          <w:szCs w:val="20"/>
          <w:lang w:val="en-US"/>
        </w:rPr>
        <w:t>in order to</w:t>
      </w:r>
      <w:proofErr w:type="gramEnd"/>
      <w:r w:rsidR="00BE2991" w:rsidRPr="00C63714">
        <w:rPr>
          <w:rFonts w:cs="Arial"/>
          <w:szCs w:val="20"/>
          <w:lang w:val="en-US"/>
        </w:rPr>
        <w:t xml:space="preserve"> ensure regulatory certainty (which is necessary for correct reporting of off-venue transactions), but as well to create a common understanding and reliable trade </w:t>
      </w:r>
      <w:proofErr w:type="spellStart"/>
      <w:r w:rsidR="00BE2991" w:rsidRPr="00C63714">
        <w:rPr>
          <w:rFonts w:cs="Arial"/>
          <w:szCs w:val="20"/>
          <w:lang w:val="en-US"/>
        </w:rPr>
        <w:t>reportings</w:t>
      </w:r>
      <w:proofErr w:type="spellEnd"/>
      <w:r w:rsidR="00BE2991" w:rsidRPr="00C63714">
        <w:rPr>
          <w:rFonts w:cs="Arial"/>
          <w:szCs w:val="20"/>
          <w:lang w:val="en-US"/>
        </w:rPr>
        <w:t xml:space="preserve"> resulting in reliable data for the EU. For the sake of high-quality market data in the EU, clear definitions are indispensable</w:t>
      </w:r>
      <w:r w:rsidR="00BE2991" w:rsidRPr="00C63714">
        <w:rPr>
          <w:rFonts w:cs="Arial"/>
          <w:szCs w:val="20"/>
        </w:rPr>
        <w:t>.</w:t>
      </w:r>
    </w:p>
    <w:permEnd w:id="1655654043"/>
    <w:p w14:paraId="38890EC0" w14:textId="18F29E4A"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277EB8F6" w14:textId="52DC54D5" w:rsidR="00613E95" w:rsidRPr="003B13B3" w:rsidRDefault="00286F88" w:rsidP="000A609F">
      <w:pPr>
        <w:rPr>
          <w:color w:val="FF0000"/>
          <w:lang w:val="en-US"/>
        </w:rPr>
      </w:pPr>
      <w:permStart w:id="634392100" w:edGrp="everyone"/>
      <w:r w:rsidRPr="00286F88">
        <w:t xml:space="preserve"> </w:t>
      </w:r>
      <w:r w:rsidRPr="004F0873">
        <w:t>Please see our answer to question 12.</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7E07A1D8" w14:textId="5F7A3854" w:rsidR="00BE714F" w:rsidRPr="00DC5961" w:rsidRDefault="00BE714F" w:rsidP="006E04CF">
      <w:pPr>
        <w:jc w:val="both"/>
      </w:pPr>
      <w:permStart w:id="460739192" w:edGrp="everyone"/>
      <w:r w:rsidRPr="00DC5961">
        <w:t xml:space="preserve">BME considers </w:t>
      </w:r>
      <w:r w:rsidR="00432E59" w:rsidRPr="00DC5961">
        <w:t xml:space="preserve">this change </w:t>
      </w:r>
      <w:r w:rsidRPr="00DC5961">
        <w:t xml:space="preserve">will require a </w:t>
      </w:r>
      <w:r w:rsidR="00995FA7" w:rsidRPr="00DC5961">
        <w:t>significant</w:t>
      </w:r>
      <w:r w:rsidRPr="00DC5961">
        <w:t xml:space="preserve"> re-engineering effort across the market data value chain that will make implementation </w:t>
      </w:r>
      <w:r w:rsidR="00FE136D" w:rsidRPr="00DC5961">
        <w:t>quite</w:t>
      </w:r>
      <w:r w:rsidRPr="00DC5961">
        <w:t xml:space="preserve"> expensive.</w:t>
      </w:r>
    </w:p>
    <w:p w14:paraId="0D1FC93B" w14:textId="3484C04E" w:rsidR="000A609F" w:rsidRPr="00DC5961" w:rsidRDefault="006401FE" w:rsidP="00447178">
      <w:pPr>
        <w:jc w:val="both"/>
      </w:pPr>
      <w:r w:rsidRPr="00DC5961">
        <w:t xml:space="preserve">However, </w:t>
      </w:r>
      <w:r w:rsidR="0096189D" w:rsidRPr="00DC5961">
        <w:t xml:space="preserve">BME agrees with the </w:t>
      </w:r>
      <w:r w:rsidR="004D1F79" w:rsidRPr="00DC5961">
        <w:t>categorisation of the flags in levels. It</w:t>
      </w:r>
      <w:r w:rsidR="0096189D" w:rsidRPr="00DC5961">
        <w:t xml:space="preserve"> will ease the </w:t>
      </w:r>
      <w:r w:rsidR="00911B88" w:rsidRPr="00DC5961">
        <w:t>understanding of the f</w:t>
      </w:r>
      <w:r w:rsidR="00A368A8" w:rsidRPr="00DC5961">
        <w:t>l</w:t>
      </w:r>
      <w:r w:rsidR="00911B88" w:rsidRPr="00DC5961">
        <w:t>agging regime</w:t>
      </w:r>
      <w:r w:rsidR="004D1F79" w:rsidRPr="00DC5961">
        <w:t xml:space="preserve"> and provide further guidance of the use of flags</w:t>
      </w:r>
      <w:r w:rsidR="00911B88" w:rsidRPr="00DC5961">
        <w:t>.</w:t>
      </w:r>
      <w:r w:rsidR="004D1F79" w:rsidRPr="00DC5961">
        <w:t xml:space="preserve"> Although it doesn´t fully match the current FIX MMT approach yet.</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1E2EFF58" w14:textId="13B3FBF4" w:rsidR="002C640A" w:rsidRPr="007E1246" w:rsidRDefault="002C640A" w:rsidP="002C640A">
      <w:permStart w:id="966469442" w:edGrp="everyone"/>
      <w:r w:rsidRPr="007E1246">
        <w:t xml:space="preserve">Yes, </w:t>
      </w:r>
      <w:r>
        <w:t>BME</w:t>
      </w:r>
      <w:r w:rsidRPr="007E1246">
        <w:t xml:space="preserve"> in principle would agree with </w:t>
      </w:r>
      <w:proofErr w:type="spellStart"/>
      <w:r w:rsidRPr="007E1246">
        <w:t>ESMA’s</w:t>
      </w:r>
      <w:proofErr w:type="spellEnd"/>
      <w:r w:rsidRPr="007E1246">
        <w:t xml:space="preserve"> proposed amendments. Although trading systems in equity are different from non-equity ones (</w:t>
      </w:r>
      <w:proofErr w:type="gramStart"/>
      <w:r w:rsidRPr="007E1246">
        <w:t>i.e.</w:t>
      </w:r>
      <w:proofErr w:type="gramEnd"/>
      <w:r w:rsidRPr="007E1246">
        <w:t xml:space="preserve"> voice trading systems are not relevant at all for equities), adopting a homogeneous approach looks reasonable. This should not prevent to define in the future different transparency requirements for equity and non-equity trading systems within a single table, if necessary. </w:t>
      </w:r>
    </w:p>
    <w:p w14:paraId="0C069FA0" w14:textId="77777777" w:rsidR="002C640A" w:rsidRPr="007E1246" w:rsidRDefault="002C640A" w:rsidP="002C640A">
      <w:r w:rsidRPr="007E1246">
        <w:t xml:space="preserve">Generally, it is appreciated that the description of trading systems and pre-trade transparency requirements applicable to those systems are consistent across RTS1 and RTS2. However, referring to our response to Question 4, we have reservations about the proposed definitions for FBAs and periodic auction trading systems. </w:t>
      </w:r>
    </w:p>
    <w:p w14:paraId="752669A1" w14:textId="77777777" w:rsidR="002C640A" w:rsidRPr="007E1246" w:rsidRDefault="002C640A" w:rsidP="002C640A">
      <w:r w:rsidRPr="007E1246">
        <w:t xml:space="preserve">As stated in the response to Q4, we believe that it is crucial that the FBA definition in RTS1 captures specifically those FBAs that could benefit from more meaningful pre-trade information, </w:t>
      </w:r>
      <w:proofErr w:type="gramStart"/>
      <w:r w:rsidRPr="007E1246">
        <w:t>i.e.</w:t>
      </w:r>
      <w:proofErr w:type="gramEnd"/>
      <w:r w:rsidRPr="007E1246">
        <w:t xml:space="preserve"> those auctions that meet the characteristics outlined in paragraph 61 of the consultation paper</w:t>
      </w:r>
    </w:p>
    <w:p w14:paraId="763240A0" w14:textId="5DAF41A5" w:rsidR="000A609F" w:rsidRDefault="002C640A" w:rsidP="000A609F">
      <w:r w:rsidRPr="007E1246">
        <w:t xml:space="preserve">Introducing the concept into RTS2 will exacerbate the unintended consequences. It is rather recommended to develop a more precise definition of FBA. Alongside we urge ESMA to maintain the current definition for periodic auction systems as per RTS 2, </w:t>
      </w:r>
      <w:proofErr w:type="gramStart"/>
      <w:r w:rsidRPr="007E1246">
        <w:t>i.e.</w:t>
      </w:r>
      <w:proofErr w:type="gramEnd"/>
      <w:r w:rsidRPr="007E1246">
        <w:t xml:space="preserve"> a system that matches orders on the basis of a periodic auction and a trading algorithm operated without human intervention. This definition has established proven and well-working auction </w:t>
      </w:r>
      <w:proofErr w:type="gramStart"/>
      <w:r w:rsidRPr="007E1246">
        <w:t>mechanisms.</w:t>
      </w:r>
      <w:permEnd w:id="966469442"/>
      <w:r w:rsidR="000A609F">
        <w:t>&lt;</w:t>
      </w:r>
      <w:proofErr w:type="gramEnd"/>
      <w:r w:rsidR="000A609F">
        <w:t>ESMA_QUESTION_RVEW_</w:t>
      </w:r>
      <w:r w:rsidR="000E78C1">
        <w:t>24</w:t>
      </w:r>
      <w:r w:rsidR="000A609F">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73B54D72" w14:textId="77777777" w:rsidR="002C640A" w:rsidRPr="007E1246" w:rsidRDefault="002C640A" w:rsidP="002C640A">
      <w:permStart w:id="1377646280" w:edGrp="everyone"/>
      <w:r w:rsidRPr="007E1246">
        <w:t xml:space="preserve">With regards to derivatives markets, we do not believe that it is necessary for the regulations to specify in detail the information that trading venues need to disclose in the operation of their markets. Requiring venues to add data that participants do not need </w:t>
      </w:r>
      <w:proofErr w:type="gramStart"/>
      <w:r w:rsidRPr="007E1246">
        <w:t>would</w:t>
      </w:r>
      <w:proofErr w:type="gramEnd"/>
      <w:r w:rsidRPr="007E1246">
        <w:t xml:space="preserve"> slow the operation of the venue, which we do not believe is in consumers’ best interests, and would hamper the formation of an orderly and efficient market.</w:t>
      </w:r>
    </w:p>
    <w:p w14:paraId="0D690B66" w14:textId="77777777" w:rsidR="002C640A" w:rsidRPr="007E1246" w:rsidRDefault="002C640A" w:rsidP="002C640A">
      <w:r w:rsidRPr="007E1246">
        <w:t xml:space="preserve">We would therefore disagree with </w:t>
      </w:r>
      <w:proofErr w:type="spellStart"/>
      <w:r w:rsidRPr="007E1246">
        <w:t>ESMA’s</w:t>
      </w:r>
      <w:proofErr w:type="spellEnd"/>
      <w:r w:rsidRPr="007E1246">
        <w:t xml:space="preserve"> proposal and would suggest keeping the current regime. </w:t>
      </w:r>
    </w:p>
    <w:p w14:paraId="11E6FAA2" w14:textId="6C783BD7" w:rsidR="002C640A" w:rsidRPr="007E1246" w:rsidRDefault="002C640A" w:rsidP="002C640A">
      <w:r w:rsidRPr="007E1246">
        <w:t xml:space="preserve">Having said this, we hold the view that all market participants in the EU should contribute to more pre-trade transparency. Excluding </w:t>
      </w:r>
      <w:proofErr w:type="spellStart"/>
      <w:r w:rsidRPr="007E1246">
        <w:t>SIs</w:t>
      </w:r>
      <w:proofErr w:type="spellEnd"/>
      <w:r w:rsidRPr="007E1246">
        <w:t xml:space="preserve"> from the mandate to publish pre-trade transparency data for non-equity instruments according to the same standards that apply to trading venues will, however, hinder the ability of data consumers to retrieve all required pre-trade information in a harmonised manner. </w:t>
      </w:r>
      <w:r>
        <w:t>BME</w:t>
      </w:r>
      <w:r w:rsidRPr="007E1246">
        <w:t xml:space="preserve"> would therefore like to encourage ESMA to extend the mandate for a standardised publication of pre-trade transparency data also to </w:t>
      </w:r>
      <w:proofErr w:type="spellStart"/>
      <w:r w:rsidRPr="007E1246">
        <w:t>SIs</w:t>
      </w:r>
      <w:proofErr w:type="spellEnd"/>
      <w:r w:rsidRPr="007E1246">
        <w:t>.</w:t>
      </w:r>
    </w:p>
    <w:p w14:paraId="6529E3A1" w14:textId="77777777" w:rsidR="002C640A" w:rsidRPr="007E1246" w:rsidRDefault="002C640A" w:rsidP="002C640A">
      <w:pPr>
        <w:rPr>
          <w:rFonts w:ascii="Calibri" w:eastAsiaTheme="minorHAnsi" w:hAnsi="Calibri"/>
        </w:rPr>
      </w:pPr>
      <w:r w:rsidRPr="007E1246">
        <w:t xml:space="preserve">With regards to fixed income instruments, the added value of the pre-trade table is not clear. Any short-term technical changes running up to the MiFIR Review should have a clear benefit to the market. We question the addition of the type of trading system for each individual price, at this point we do not see the need to have info on the type of trading system. In general, exchanges already make available pre-trade data which is consumed by many market participants and other data users. The costs of implementing these changes to both trading venues and data subscribers will be significant. The requirement to implement standardised fields, field formats and field values for pre-trade data will require trading venues to invest significant human and financial resources. </w:t>
      </w:r>
      <w:proofErr w:type="gramStart"/>
      <w:r w:rsidRPr="007E1246">
        <w:t>Similarly</w:t>
      </w:r>
      <w:proofErr w:type="gramEnd"/>
      <w:r w:rsidRPr="007E1246">
        <w:t xml:space="preserve"> existing data subscribers will have to invest significant human and financial resources to consume the pre-trade data according to the new formats. </w:t>
      </w:r>
    </w:p>
    <w:p w14:paraId="130E7BF8" w14:textId="77777777" w:rsidR="002C640A" w:rsidRPr="007E1246" w:rsidRDefault="002C640A" w:rsidP="002C640A">
      <w:r w:rsidRPr="007E1246">
        <w:t xml:space="preserve">We believe that the benefit that ESMA identifies is not aligned with the recent guidance published in the ESMA Guidelines on Market Data. </w:t>
      </w:r>
      <w:proofErr w:type="gramStart"/>
      <w:r w:rsidRPr="007E1246">
        <w:t>In particular, ESMA</w:t>
      </w:r>
      <w:proofErr w:type="gramEnd"/>
      <w:r w:rsidRPr="007E1246">
        <w:t xml:space="preserve"> identifies in paragraph 235 that this new requirement will “facilitate the consumption and aggregation of the pre-trade information”. The Market Data Guideline 18 however notes: “Given that the [pre-trade] data is not provided for the purpose of consolidation, it should be available until the next more recent quote is available (</w:t>
      </w:r>
      <w:proofErr w:type="gramStart"/>
      <w:r w:rsidRPr="007E1246">
        <w:t>i.e.</w:t>
      </w:r>
      <w:proofErr w:type="gramEnd"/>
      <w:r w:rsidRPr="007E1246">
        <w:t xml:space="preserve"> a snapshot view, without historical information), or in case of lack of such update, until midnight of the following business day.”</w:t>
      </w:r>
    </w:p>
    <w:p w14:paraId="2DB6A2D3" w14:textId="77777777" w:rsidR="002C640A" w:rsidRPr="007E1246" w:rsidRDefault="002C640A" w:rsidP="002C640A">
      <w:r w:rsidRPr="007E1246">
        <w:t>We therefore suggest that ESMA does not take forward this proposal.</w:t>
      </w:r>
    </w:p>
    <w:p w14:paraId="5291484D" w14:textId="77777777" w:rsidR="002C640A" w:rsidRPr="007E1246" w:rsidRDefault="002C640A" w:rsidP="002C640A">
      <w:r w:rsidRPr="007E1246">
        <w:t>Should ESMA include this proposal, we would like to make the following comments on the proposed fields:</w:t>
      </w:r>
    </w:p>
    <w:p w14:paraId="2A8F8F09" w14:textId="77777777" w:rsidR="002C640A" w:rsidRPr="007E1246" w:rsidRDefault="002C640A" w:rsidP="002C640A"/>
    <w:p w14:paraId="606F16AC" w14:textId="77777777" w:rsidR="002C640A" w:rsidRPr="007E1246" w:rsidRDefault="002C640A" w:rsidP="002C640A">
      <w:pPr>
        <w:rPr>
          <w:b/>
          <w:bCs/>
        </w:rPr>
      </w:pPr>
      <w:r w:rsidRPr="007E1246">
        <w:rPr>
          <w:b/>
          <w:bCs/>
        </w:rPr>
        <w:t>Field 1 Submission date and time</w:t>
      </w:r>
    </w:p>
    <w:p w14:paraId="20C5AC7D" w14:textId="77777777" w:rsidR="002C640A" w:rsidRPr="007E1246" w:rsidRDefault="002C640A" w:rsidP="002C640A">
      <w:r w:rsidRPr="007E1246">
        <w:t xml:space="preserve">This field is likely to be misleading to data subscribers in cases where an order, quote or </w:t>
      </w:r>
      <w:proofErr w:type="spellStart"/>
      <w:r w:rsidRPr="007E1246">
        <w:t>AIOI</w:t>
      </w:r>
      <w:proofErr w:type="spellEnd"/>
      <w:r w:rsidRPr="007E1246">
        <w:t xml:space="preserve"> is updated, which could occur frequently and a long time after the submission of the original quote, order or </w:t>
      </w:r>
      <w:proofErr w:type="spellStart"/>
      <w:r w:rsidRPr="007E1246">
        <w:t>AIOI</w:t>
      </w:r>
      <w:proofErr w:type="spellEnd"/>
      <w:r w:rsidRPr="007E1246">
        <w:t xml:space="preserve">. It would make more sense to publish the latest update time for the order, quote or </w:t>
      </w:r>
      <w:proofErr w:type="spellStart"/>
      <w:r w:rsidRPr="007E1246">
        <w:t>AIOI</w:t>
      </w:r>
      <w:proofErr w:type="spellEnd"/>
      <w:r w:rsidRPr="007E1246">
        <w:t>.</w:t>
      </w:r>
    </w:p>
    <w:p w14:paraId="5A76EF61" w14:textId="77777777" w:rsidR="002C640A" w:rsidRPr="007E1246" w:rsidRDefault="002C640A" w:rsidP="002C640A">
      <w:pPr>
        <w:rPr>
          <w:b/>
          <w:bCs/>
        </w:rPr>
      </w:pPr>
    </w:p>
    <w:p w14:paraId="1FCA5061" w14:textId="77777777" w:rsidR="002C640A" w:rsidRPr="007E1246" w:rsidRDefault="002C640A" w:rsidP="002C640A">
      <w:pPr>
        <w:rPr>
          <w:b/>
          <w:bCs/>
        </w:rPr>
      </w:pPr>
      <w:r w:rsidRPr="007E1246">
        <w:rPr>
          <w:b/>
          <w:bCs/>
        </w:rPr>
        <w:t xml:space="preserve">Field 2 </w:t>
      </w:r>
      <w:proofErr w:type="spellStart"/>
      <w:r w:rsidRPr="007E1246">
        <w:rPr>
          <w:b/>
          <w:bCs/>
        </w:rPr>
        <w:t>ISIN</w:t>
      </w:r>
      <w:proofErr w:type="spellEnd"/>
    </w:p>
    <w:p w14:paraId="2F7A618C" w14:textId="77777777" w:rsidR="002C640A" w:rsidRPr="007E1246" w:rsidRDefault="002C640A" w:rsidP="002C640A">
      <w:r w:rsidRPr="007E1246">
        <w:t xml:space="preserve">For some instruments the </w:t>
      </w:r>
      <w:proofErr w:type="spellStart"/>
      <w:r w:rsidRPr="007E1246">
        <w:t>ISIN</w:t>
      </w:r>
      <w:proofErr w:type="spellEnd"/>
      <w:r w:rsidRPr="007E1246">
        <w:t xml:space="preserve"> may not always be available at the point of order submission, for example some derivative contracts such as interest rate swaps where the </w:t>
      </w:r>
      <w:proofErr w:type="spellStart"/>
      <w:r w:rsidRPr="007E1246">
        <w:t>ISIN</w:t>
      </w:r>
      <w:proofErr w:type="spellEnd"/>
      <w:r w:rsidRPr="007E1246">
        <w:t xml:space="preserve"> may be requested from ANNA-</w:t>
      </w:r>
      <w:proofErr w:type="spellStart"/>
      <w:r w:rsidRPr="007E1246">
        <w:t>DSB</w:t>
      </w:r>
      <w:proofErr w:type="spellEnd"/>
      <w:r w:rsidRPr="007E1246">
        <w:t xml:space="preserve"> after the order submission. This should be an optional field or allow for the use of alternative identifiers, in line with the existing ESMA Q&amp;A on transparency issues:</w:t>
      </w:r>
    </w:p>
    <w:p w14:paraId="04FCF634" w14:textId="77777777" w:rsidR="002C640A" w:rsidRPr="007E1246" w:rsidRDefault="002C640A" w:rsidP="002C640A"/>
    <w:p w14:paraId="777DE129" w14:textId="77777777" w:rsidR="002C640A" w:rsidRPr="007E1246" w:rsidRDefault="002C640A" w:rsidP="002C640A">
      <w:r w:rsidRPr="007E1246">
        <w:t xml:space="preserve">Question 5 [Last update: 03/04/2017] </w:t>
      </w:r>
    </w:p>
    <w:p w14:paraId="3333CB8B" w14:textId="77777777" w:rsidR="002C640A" w:rsidRPr="007E1246" w:rsidRDefault="002C640A" w:rsidP="002C640A">
      <w:r w:rsidRPr="007E1246">
        <w:t xml:space="preserve">Does an </w:t>
      </w:r>
      <w:proofErr w:type="spellStart"/>
      <w:r w:rsidRPr="007E1246">
        <w:t>ISIN</w:t>
      </w:r>
      <w:proofErr w:type="spellEnd"/>
      <w:r w:rsidRPr="007E1246">
        <w:t xml:space="preserve"> need to be included for pre-trade quote publication? </w:t>
      </w:r>
    </w:p>
    <w:p w14:paraId="651471D4" w14:textId="77777777" w:rsidR="002C640A" w:rsidRPr="007E1246" w:rsidRDefault="002C640A" w:rsidP="002C640A"/>
    <w:p w14:paraId="5C5FC627" w14:textId="77777777" w:rsidR="002C640A" w:rsidRPr="007E1246" w:rsidRDefault="002C640A" w:rsidP="002C640A">
      <w:r w:rsidRPr="007E1246">
        <w:t xml:space="preserve">Answer 5 </w:t>
      </w:r>
    </w:p>
    <w:p w14:paraId="6141B4D6" w14:textId="77777777" w:rsidR="002C640A" w:rsidRPr="007E1246" w:rsidRDefault="002C640A" w:rsidP="002C640A">
      <w:r w:rsidRPr="007E1246">
        <w:t xml:space="preserve">Pre-trade transparency information should allow identifying unequivocally the financial instrument to which the information published refers. </w:t>
      </w:r>
      <w:proofErr w:type="spellStart"/>
      <w:r w:rsidRPr="007E1246">
        <w:t>ISINs</w:t>
      </w:r>
      <w:proofErr w:type="spellEnd"/>
      <w:r w:rsidRPr="007E1246">
        <w:t xml:space="preserve"> are one of the available ways to ensure the unequivocal identification of a financial instrument. However, ESMA recognises that </w:t>
      </w:r>
      <w:proofErr w:type="spellStart"/>
      <w:r w:rsidRPr="007E1246">
        <w:t>ISINs</w:t>
      </w:r>
      <w:proofErr w:type="spellEnd"/>
      <w:r w:rsidRPr="007E1246">
        <w:t xml:space="preserve"> may not always be available when providing a quote. Trading venues and systematic </w:t>
      </w:r>
      <w:proofErr w:type="spellStart"/>
      <w:r w:rsidRPr="007E1246">
        <w:t>internalisers</w:t>
      </w:r>
      <w:proofErr w:type="spellEnd"/>
      <w:r w:rsidRPr="007E1246">
        <w:t xml:space="preserve"> are free to use other ways for identifying instruments for pre-trade transparency purposes </w:t>
      </w:r>
      <w:proofErr w:type="gramStart"/>
      <w:r w:rsidRPr="007E1246">
        <w:t>as long as</w:t>
      </w:r>
      <w:proofErr w:type="gramEnd"/>
      <w:r w:rsidRPr="007E1246">
        <w:t xml:space="preserve"> the financial instrument can be unequivocally identified.</w:t>
      </w:r>
    </w:p>
    <w:p w14:paraId="30C35A72" w14:textId="77777777" w:rsidR="002C640A" w:rsidRPr="007E1246" w:rsidRDefault="002C640A" w:rsidP="002C640A"/>
    <w:p w14:paraId="5171A60C" w14:textId="77777777" w:rsidR="002C640A" w:rsidRPr="007E1246" w:rsidRDefault="002C640A" w:rsidP="002C640A">
      <w:pPr>
        <w:rPr>
          <w:b/>
          <w:bCs/>
        </w:rPr>
      </w:pPr>
      <w:r w:rsidRPr="007E1246">
        <w:rPr>
          <w:b/>
          <w:bCs/>
        </w:rPr>
        <w:t>Field 3 Side</w:t>
      </w:r>
    </w:p>
    <w:p w14:paraId="0FFC0403" w14:textId="77777777" w:rsidR="002C640A" w:rsidRPr="007E1246" w:rsidRDefault="002C640A" w:rsidP="002C640A">
      <w:r w:rsidRPr="007E1246">
        <w:t xml:space="preserve">Publicly disclosing the side of an </w:t>
      </w:r>
      <w:proofErr w:type="spellStart"/>
      <w:r w:rsidRPr="007E1246">
        <w:t>AIOI</w:t>
      </w:r>
      <w:proofErr w:type="spellEnd"/>
      <w:r w:rsidRPr="007E1246">
        <w:t xml:space="preserve"> would present an issue for RFQ trading systems, where requests are usually single-sided (</w:t>
      </w:r>
      <w:proofErr w:type="gramStart"/>
      <w:r w:rsidRPr="007E1246">
        <w:t>i.e.</w:t>
      </w:r>
      <w:proofErr w:type="gramEnd"/>
      <w:r w:rsidRPr="007E1246">
        <w:t xml:space="preserve"> a request for a buy quote or a request for a sell quote) rather than double-side (i.e. a request for a buy quote and a sell quote). The side field would allow data subscribers to be aware of the side of the responders to the RFQ. This information could allow other market participants to move the market to the disadvantage of the RFQ responder in anticipation of the RFQ responder seeking to cover any positions arising from the RFQ. This would likely to be accounted for by RFQ responders should the proposal be implemented, resulting potentially in worse pricing for RFQ requestors or potentially a loss of RFQ responders.</w:t>
      </w:r>
    </w:p>
    <w:p w14:paraId="52329EE9" w14:textId="77777777" w:rsidR="002C640A" w:rsidRPr="007E1246" w:rsidRDefault="002C640A" w:rsidP="002C640A"/>
    <w:p w14:paraId="4C56E286" w14:textId="7B0736D8" w:rsidR="000A609F" w:rsidRDefault="002C640A" w:rsidP="002C640A">
      <w:r w:rsidRPr="007E1246">
        <w:t xml:space="preserve">Additionally, this could encourage RFQ requestors to instead ask for quotes OTC from </w:t>
      </w:r>
      <w:proofErr w:type="spellStart"/>
      <w:r w:rsidRPr="007E1246">
        <w:t>SIs</w:t>
      </w:r>
      <w:proofErr w:type="spellEnd"/>
      <w:r w:rsidRPr="007E1246">
        <w:t xml:space="preserve"> that would not have the same pre-trade transparency format requirements as trading venues under </w:t>
      </w:r>
      <w:proofErr w:type="spellStart"/>
      <w:r w:rsidRPr="007E1246">
        <w:t>ESMA’s</w:t>
      </w:r>
      <w:proofErr w:type="spellEnd"/>
      <w:r w:rsidRPr="007E1246">
        <w:t xml:space="preserve"> proposals. This would result in a shift from regulated RFQ trading venues to OTC trading.</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tbl>
      <w:tblPr>
        <w:tblStyle w:val="Tablaconcuadrcula"/>
        <w:tblW w:w="0" w:type="auto"/>
        <w:tblLook w:val="04A0" w:firstRow="1" w:lastRow="0" w:firstColumn="1" w:lastColumn="0" w:noHBand="0" w:noVBand="1"/>
      </w:tblPr>
      <w:tblGrid>
        <w:gridCol w:w="9062"/>
      </w:tblGrid>
      <w:tr w:rsidR="002C640A" w:rsidRPr="007E1246" w14:paraId="3734689E" w14:textId="77777777" w:rsidTr="002C640A">
        <w:tc>
          <w:tcPr>
            <w:tcW w:w="9062" w:type="dxa"/>
          </w:tcPr>
          <w:p w14:paraId="3B3796CC" w14:textId="429A58B3" w:rsidR="002C640A" w:rsidRPr="007E1246" w:rsidRDefault="002C640A" w:rsidP="002C640A">
            <w:pPr>
              <w:autoSpaceDE w:val="0"/>
              <w:autoSpaceDN w:val="0"/>
              <w:adjustRightInd w:val="0"/>
              <w:rPr>
                <w:rFonts w:cstheme="minorHAnsi"/>
              </w:rPr>
            </w:pPr>
            <w:permStart w:id="182349300" w:edGrp="everyone"/>
            <w:r>
              <w:rPr>
                <w:rFonts w:cstheme="minorHAnsi"/>
              </w:rPr>
              <w:t>BME</w:t>
            </w:r>
            <w:r w:rsidRPr="007E1246">
              <w:rPr>
                <w:rFonts w:cstheme="minorHAnsi"/>
              </w:rPr>
              <w:t xml:space="preserve"> appreciates </w:t>
            </w:r>
            <w:proofErr w:type="spellStart"/>
            <w:r w:rsidRPr="007E1246">
              <w:rPr>
                <w:rFonts w:cstheme="minorHAnsi"/>
              </w:rPr>
              <w:t>ESMA’s</w:t>
            </w:r>
            <w:proofErr w:type="spellEnd"/>
            <w:r w:rsidRPr="007E1246">
              <w:rPr>
                <w:rFonts w:cstheme="minorHAnsi"/>
              </w:rPr>
              <w:t xml:space="preserve"> announcement to conduct a targeted review of the threshold methodology for derivatives, other than commodity derivatives. </w:t>
            </w:r>
            <w:r>
              <w:rPr>
                <w:rFonts w:cstheme="minorHAnsi"/>
              </w:rPr>
              <w:t>BME</w:t>
            </w:r>
            <w:r w:rsidRPr="007E1246">
              <w:rPr>
                <w:rFonts w:cstheme="minorHAnsi"/>
              </w:rPr>
              <w:t xml:space="preserve"> members are committed to transparent markets and share the goal of MiFID II/MiFIR to shift more trading activities in derivatives from opaque OTC markets to trading venues. However, after three years of experience with the current design of the transparency regime as per RTS 2, we would like to highlight several improvements that we consider necessary regarding the methodology for exchange-traded derivatives (ETDs). Even though, ETDs are already characterised by high levels of pre- and post-trade transparency, the current methodology for the threshold calculation for certain sub-asset classes of equity derivatives and interest rate derivatives leads to outcomes that either limit or reverse the transparency ambition.</w:t>
            </w:r>
          </w:p>
          <w:p w14:paraId="5EA0D797" w14:textId="77777777" w:rsidR="002C640A" w:rsidRPr="007E1246" w:rsidRDefault="002C640A" w:rsidP="002C640A">
            <w:pPr>
              <w:autoSpaceDE w:val="0"/>
              <w:autoSpaceDN w:val="0"/>
              <w:adjustRightInd w:val="0"/>
              <w:rPr>
                <w:rFonts w:cstheme="minorHAnsi"/>
              </w:rPr>
            </w:pPr>
          </w:p>
          <w:p w14:paraId="5B7BB7A3" w14:textId="2C5EDBCA" w:rsidR="002C640A" w:rsidRPr="007E1246" w:rsidRDefault="002C640A" w:rsidP="002C640A">
            <w:pPr>
              <w:tabs>
                <w:tab w:val="left" w:pos="1650"/>
              </w:tabs>
              <w:autoSpaceDE w:val="0"/>
              <w:autoSpaceDN w:val="0"/>
              <w:adjustRightInd w:val="0"/>
              <w:rPr>
                <w:rFonts w:cstheme="minorHAnsi"/>
              </w:rPr>
            </w:pPr>
            <w:r w:rsidRPr="007E1246">
              <w:rPr>
                <w:rFonts w:cstheme="minorHAnsi"/>
              </w:rPr>
              <w:t xml:space="preserve">In our view, the methodology for the transparency calculations as per RTS 2 seems to be especially flawed for the sub-asset classes bond options and stock futures. Moreover, we see also room for improvement for stock index options and stock index futures. A re-calibration of the existing LIS calculation methodology would allow ESMA to determine LIS thresholds </w:t>
            </w:r>
            <w:proofErr w:type="gramStart"/>
            <w:r w:rsidRPr="007E1246">
              <w:rPr>
                <w:rFonts w:cstheme="minorHAnsi"/>
              </w:rPr>
              <w:t>in order to</w:t>
            </w:r>
            <w:proofErr w:type="gramEnd"/>
            <w:r w:rsidRPr="007E1246">
              <w:rPr>
                <w:rFonts w:cstheme="minorHAnsi"/>
              </w:rPr>
              <w:t xml:space="preserve"> </w:t>
            </w:r>
            <w:proofErr w:type="spellStart"/>
            <w:r w:rsidRPr="007E1246">
              <w:rPr>
                <w:rFonts w:cstheme="minorHAnsi"/>
              </w:rPr>
              <w:t>tier</w:t>
            </w:r>
            <w:proofErr w:type="spellEnd"/>
            <w:r w:rsidRPr="007E1246">
              <w:rPr>
                <w:rFonts w:cstheme="minorHAnsi"/>
              </w:rPr>
              <w:t xml:space="preserve"> them more specifically to individual market specifics of each of the aforementioned asset classes. In the following, </w:t>
            </w:r>
            <w:r>
              <w:rPr>
                <w:rFonts w:cstheme="minorHAnsi"/>
              </w:rPr>
              <w:t>BME</w:t>
            </w:r>
            <w:r w:rsidRPr="007E1246">
              <w:rPr>
                <w:rFonts w:cstheme="minorHAnsi"/>
              </w:rPr>
              <w:t xml:space="preserve"> therefore proposes improvements to the methodology for the threshold calculations for equity and interest rate derivatives to achieve a better transparency situation for the above-mentioned sub-asset classes.</w:t>
            </w:r>
          </w:p>
          <w:p w14:paraId="3440C4C1" w14:textId="77777777" w:rsidR="002C640A" w:rsidRPr="007E1246" w:rsidRDefault="002C640A" w:rsidP="002C640A">
            <w:pPr>
              <w:tabs>
                <w:tab w:val="left" w:pos="1650"/>
              </w:tabs>
              <w:autoSpaceDE w:val="0"/>
              <w:autoSpaceDN w:val="0"/>
              <w:adjustRightInd w:val="0"/>
              <w:rPr>
                <w:rFonts w:cstheme="minorHAnsi"/>
              </w:rPr>
            </w:pPr>
          </w:p>
          <w:p w14:paraId="33C8E01A" w14:textId="77777777" w:rsidR="002C640A" w:rsidRPr="007E1246" w:rsidRDefault="002C640A" w:rsidP="002C640A">
            <w:pPr>
              <w:tabs>
                <w:tab w:val="left" w:pos="1650"/>
              </w:tabs>
              <w:autoSpaceDE w:val="0"/>
              <w:autoSpaceDN w:val="0"/>
              <w:adjustRightInd w:val="0"/>
              <w:rPr>
                <w:rFonts w:cstheme="minorHAnsi"/>
                <w:b/>
                <w:bCs/>
                <w:u w:val="single"/>
              </w:rPr>
            </w:pPr>
            <w:r w:rsidRPr="007E1246">
              <w:rPr>
                <w:rFonts w:cstheme="minorHAnsi"/>
                <w:b/>
                <w:bCs/>
                <w:u w:val="single"/>
              </w:rPr>
              <w:t>(1) Methodology for Equity Derivatives</w:t>
            </w:r>
          </w:p>
          <w:p w14:paraId="3C4A23EE" w14:textId="77777777" w:rsidR="002C640A" w:rsidRPr="007E1246" w:rsidRDefault="002C640A" w:rsidP="002C640A">
            <w:pPr>
              <w:tabs>
                <w:tab w:val="left" w:pos="1650"/>
              </w:tabs>
              <w:autoSpaceDE w:val="0"/>
              <w:autoSpaceDN w:val="0"/>
              <w:adjustRightInd w:val="0"/>
              <w:rPr>
                <w:rFonts w:cstheme="minorHAnsi"/>
                <w:b/>
                <w:bCs/>
              </w:rPr>
            </w:pPr>
          </w:p>
          <w:p w14:paraId="03513D2D" w14:textId="77777777" w:rsidR="002C640A" w:rsidRPr="007E1246" w:rsidRDefault="002C640A" w:rsidP="002C640A">
            <w:pPr>
              <w:tabs>
                <w:tab w:val="left" w:pos="1650"/>
              </w:tabs>
              <w:autoSpaceDE w:val="0"/>
              <w:autoSpaceDN w:val="0"/>
              <w:adjustRightInd w:val="0"/>
              <w:rPr>
                <w:rFonts w:cstheme="minorHAnsi"/>
                <w:b/>
                <w:bCs/>
              </w:rPr>
            </w:pPr>
            <w:r w:rsidRPr="007E1246">
              <w:rPr>
                <w:rFonts w:cstheme="minorHAnsi"/>
                <w:b/>
                <w:bCs/>
              </w:rPr>
              <w:t>1.1 Stock index options and stock index futures</w:t>
            </w:r>
          </w:p>
          <w:p w14:paraId="5EA4A769" w14:textId="77777777" w:rsidR="002C640A" w:rsidRPr="007E1246" w:rsidRDefault="002C640A" w:rsidP="002C640A">
            <w:pPr>
              <w:tabs>
                <w:tab w:val="left" w:pos="1650"/>
              </w:tabs>
              <w:autoSpaceDE w:val="0"/>
              <w:autoSpaceDN w:val="0"/>
              <w:adjustRightInd w:val="0"/>
              <w:rPr>
                <w:rFonts w:cstheme="minorHAnsi"/>
              </w:rPr>
            </w:pPr>
            <w:r w:rsidRPr="007E1246">
              <w:rPr>
                <w:rFonts w:cstheme="minorHAnsi"/>
              </w:rPr>
              <w:t>The current RTS 2 methodology for setting LIS-thresholds for equity derivatives is based on the average daily notional amount (</w:t>
            </w:r>
            <w:proofErr w:type="spellStart"/>
            <w:r w:rsidRPr="007E1246">
              <w:rPr>
                <w:rFonts w:cstheme="minorHAnsi"/>
              </w:rPr>
              <w:t>ADNA</w:t>
            </w:r>
            <w:proofErr w:type="spellEnd"/>
            <w:r w:rsidRPr="007E1246">
              <w:rPr>
                <w:rFonts w:cstheme="minorHAnsi"/>
              </w:rPr>
              <w:t xml:space="preserve">), calculated over the period of one year. RTS 2 assigns for equity derivatives certain ranges of </w:t>
            </w:r>
            <w:proofErr w:type="spellStart"/>
            <w:r w:rsidRPr="007E1246">
              <w:rPr>
                <w:rFonts w:cstheme="minorHAnsi"/>
              </w:rPr>
              <w:t>ADNA</w:t>
            </w:r>
            <w:proofErr w:type="spellEnd"/>
            <w:r w:rsidRPr="007E1246">
              <w:rPr>
                <w:rFonts w:cstheme="minorHAnsi"/>
              </w:rPr>
              <w:t xml:space="preserve"> based on which LIS-thresholds are determined. Depending on the respective equity derivatives sub-asset class, RTS 2 provides either four or five possible </w:t>
            </w:r>
            <w:proofErr w:type="spellStart"/>
            <w:r w:rsidRPr="007E1246">
              <w:rPr>
                <w:rFonts w:cstheme="minorHAnsi"/>
              </w:rPr>
              <w:t>ADNA</w:t>
            </w:r>
            <w:proofErr w:type="spellEnd"/>
            <w:r w:rsidRPr="007E1246">
              <w:rPr>
                <w:rFonts w:cstheme="minorHAnsi"/>
              </w:rPr>
              <w:t xml:space="preserve">-ranges for LIS-threshold designation. However, RTS 2 does not explain why certain sub-asset classes are provided with either four or five </w:t>
            </w:r>
            <w:proofErr w:type="spellStart"/>
            <w:r w:rsidRPr="007E1246">
              <w:rPr>
                <w:rFonts w:cstheme="minorHAnsi"/>
              </w:rPr>
              <w:t>ADNA</w:t>
            </w:r>
            <w:proofErr w:type="spellEnd"/>
            <w:r w:rsidRPr="007E1246">
              <w:rPr>
                <w:rFonts w:cstheme="minorHAnsi"/>
              </w:rPr>
              <w:t xml:space="preserve">-ranges. For example, stock index options are only provided with four </w:t>
            </w:r>
            <w:proofErr w:type="spellStart"/>
            <w:r w:rsidRPr="007E1246">
              <w:rPr>
                <w:rFonts w:cstheme="minorHAnsi"/>
              </w:rPr>
              <w:t>ADNA</w:t>
            </w:r>
            <w:proofErr w:type="spellEnd"/>
            <w:r w:rsidRPr="007E1246">
              <w:rPr>
                <w:rFonts w:cstheme="minorHAnsi"/>
              </w:rPr>
              <w:t xml:space="preserve">-ranges, whereas stock index futures, for example, have five </w:t>
            </w:r>
            <w:proofErr w:type="spellStart"/>
            <w:r w:rsidRPr="007E1246">
              <w:rPr>
                <w:rFonts w:cstheme="minorHAnsi"/>
              </w:rPr>
              <w:t>ADNA</w:t>
            </w:r>
            <w:proofErr w:type="spellEnd"/>
            <w:r w:rsidRPr="007E1246">
              <w:rPr>
                <w:rFonts w:cstheme="minorHAnsi"/>
              </w:rPr>
              <w:t xml:space="preserve">-ranges according to which LIS-thresholds are assigned. </w:t>
            </w:r>
          </w:p>
          <w:p w14:paraId="6DB74C99" w14:textId="77777777" w:rsidR="002C640A" w:rsidRPr="007E1246" w:rsidRDefault="002C640A" w:rsidP="002C640A">
            <w:pPr>
              <w:tabs>
                <w:tab w:val="left" w:pos="1650"/>
              </w:tabs>
              <w:autoSpaceDE w:val="0"/>
              <w:autoSpaceDN w:val="0"/>
              <w:adjustRightInd w:val="0"/>
              <w:rPr>
                <w:rFonts w:cstheme="minorHAnsi"/>
              </w:rPr>
            </w:pPr>
          </w:p>
          <w:p w14:paraId="2C02782D" w14:textId="76BB76D7" w:rsidR="002C640A" w:rsidRPr="007E1246" w:rsidRDefault="002C640A" w:rsidP="002C640A">
            <w:pPr>
              <w:tabs>
                <w:tab w:val="left" w:pos="1650"/>
              </w:tabs>
              <w:autoSpaceDE w:val="0"/>
              <w:autoSpaceDN w:val="0"/>
              <w:adjustRightInd w:val="0"/>
              <w:rPr>
                <w:rFonts w:cstheme="minorHAnsi"/>
              </w:rPr>
            </w:pPr>
            <w:r>
              <w:rPr>
                <w:rFonts w:cstheme="minorHAnsi"/>
              </w:rPr>
              <w:t>BME</w:t>
            </w:r>
            <w:r w:rsidRPr="007E1246">
              <w:rPr>
                <w:rFonts w:cstheme="minorHAnsi"/>
              </w:rPr>
              <w:t xml:space="preserve"> considers the current levels of granularity as insufficient. For example, stock index options which have evolved from EUR 200 million ≤ </w:t>
            </w:r>
            <w:proofErr w:type="spellStart"/>
            <w:r w:rsidRPr="007E1246">
              <w:rPr>
                <w:rFonts w:cstheme="minorHAnsi"/>
              </w:rPr>
              <w:t>ADNA</w:t>
            </w:r>
            <w:proofErr w:type="spellEnd"/>
            <w:r w:rsidRPr="007E1246">
              <w:rPr>
                <w:rFonts w:cstheme="minorHAnsi"/>
              </w:rPr>
              <w:t xml:space="preserve"> &lt; EUR 600 million to </w:t>
            </w:r>
            <w:proofErr w:type="spellStart"/>
            <w:r w:rsidRPr="007E1246">
              <w:rPr>
                <w:rFonts w:cstheme="minorHAnsi"/>
              </w:rPr>
              <w:t>ADNA</w:t>
            </w:r>
            <w:proofErr w:type="spellEnd"/>
            <w:r w:rsidRPr="007E1246">
              <w:rPr>
                <w:rFonts w:cstheme="minorHAnsi"/>
              </w:rPr>
              <w:t xml:space="preserve"> ≥ EUR 600 million experience a significant jump in the applicable LIS-threshold from EUR 5.5 million to EUR 20 million. Similar jumps in LIS-thresholds from EUR 5.5 million to EUR 20 million are also foreseen by RTS 2 for stock index futures.</w:t>
            </w:r>
          </w:p>
          <w:p w14:paraId="75C93414" w14:textId="77777777" w:rsidR="002C640A" w:rsidRPr="007E1246" w:rsidRDefault="002C640A" w:rsidP="002C640A">
            <w:pPr>
              <w:tabs>
                <w:tab w:val="left" w:pos="1650"/>
              </w:tabs>
              <w:autoSpaceDE w:val="0"/>
              <w:autoSpaceDN w:val="0"/>
              <w:adjustRightInd w:val="0"/>
              <w:rPr>
                <w:rFonts w:cstheme="minorHAnsi"/>
              </w:rPr>
            </w:pPr>
          </w:p>
          <w:p w14:paraId="42DFEC62" w14:textId="77777777" w:rsidR="002C640A" w:rsidRPr="007E1246" w:rsidRDefault="002C640A" w:rsidP="002C640A">
            <w:pPr>
              <w:tabs>
                <w:tab w:val="left" w:pos="1650"/>
              </w:tabs>
              <w:autoSpaceDE w:val="0"/>
              <w:autoSpaceDN w:val="0"/>
              <w:adjustRightInd w:val="0"/>
              <w:rPr>
                <w:rFonts w:cstheme="minorHAnsi"/>
              </w:rPr>
            </w:pPr>
            <w:r w:rsidRPr="007E1246">
              <w:rPr>
                <w:rFonts w:cstheme="minorHAnsi"/>
              </w:rPr>
              <w:t xml:space="preserve">The reason why the current levels of granularity are considered as insufficient is because the </w:t>
            </w:r>
            <w:proofErr w:type="spellStart"/>
            <w:r w:rsidRPr="007E1246">
              <w:rPr>
                <w:rFonts w:cstheme="minorHAnsi"/>
              </w:rPr>
              <w:t>ADNA</w:t>
            </w:r>
            <w:proofErr w:type="spellEnd"/>
            <w:r w:rsidRPr="007E1246">
              <w:rPr>
                <w:rFonts w:cstheme="minorHAnsi"/>
              </w:rPr>
              <w:t xml:space="preserve"> is being defined by Table 4 Annex II RTS 2 as the notional </w:t>
            </w:r>
            <w:proofErr w:type="gramStart"/>
            <w:r w:rsidRPr="007E1246">
              <w:rPr>
                <w:rFonts w:cstheme="minorHAnsi"/>
              </w:rPr>
              <w:t>amount</w:t>
            </w:r>
            <w:proofErr w:type="gramEnd"/>
            <w:r w:rsidRPr="007E1246">
              <w:rPr>
                <w:rFonts w:cstheme="minorHAnsi"/>
              </w:rPr>
              <w:t xml:space="preserve"> of traded contracts. Hence, the </w:t>
            </w:r>
            <w:proofErr w:type="spellStart"/>
            <w:r w:rsidRPr="007E1246">
              <w:rPr>
                <w:rFonts w:cstheme="minorHAnsi"/>
              </w:rPr>
              <w:t>ADNA</w:t>
            </w:r>
            <w:proofErr w:type="spellEnd"/>
            <w:r w:rsidRPr="007E1246">
              <w:rPr>
                <w:rFonts w:cstheme="minorHAnsi"/>
              </w:rPr>
              <w:t xml:space="preserve"> of a stock index option or stock index future can not only change due to </w:t>
            </w:r>
            <w:proofErr w:type="gramStart"/>
            <w:r w:rsidRPr="007E1246">
              <w:rPr>
                <w:rFonts w:cstheme="minorHAnsi"/>
              </w:rPr>
              <w:t>more or less traded</w:t>
            </w:r>
            <w:proofErr w:type="gramEnd"/>
            <w:r w:rsidRPr="007E1246">
              <w:rPr>
                <w:rFonts w:cstheme="minorHAnsi"/>
              </w:rPr>
              <w:t xml:space="preserve"> contracts over the period of one year. Changes in the </w:t>
            </w:r>
            <w:proofErr w:type="spellStart"/>
            <w:r w:rsidRPr="007E1246">
              <w:rPr>
                <w:rFonts w:cstheme="minorHAnsi"/>
              </w:rPr>
              <w:t>ADNA</w:t>
            </w:r>
            <w:proofErr w:type="spellEnd"/>
            <w:r w:rsidRPr="007E1246">
              <w:rPr>
                <w:rFonts w:cstheme="minorHAnsi"/>
              </w:rPr>
              <w:t xml:space="preserve"> can also occur, if the notional amount changes due to spot price movements of the underlying index.</w:t>
            </w:r>
            <w:r w:rsidRPr="007E1246">
              <w:rPr>
                <w:rStyle w:val="Refdenotaalpie"/>
                <w:rFonts w:cstheme="minorHAnsi"/>
              </w:rPr>
              <w:footnoteReference w:id="2"/>
            </w:r>
            <w:r w:rsidRPr="007E1246">
              <w:rPr>
                <w:rFonts w:cstheme="minorHAnsi"/>
              </w:rPr>
              <w:t xml:space="preserve"> For example, a stock index option has in the first year an </w:t>
            </w:r>
            <w:proofErr w:type="spellStart"/>
            <w:r w:rsidRPr="007E1246">
              <w:rPr>
                <w:rFonts w:cstheme="minorHAnsi"/>
              </w:rPr>
              <w:t>ADNA</w:t>
            </w:r>
            <w:proofErr w:type="spellEnd"/>
            <w:r w:rsidRPr="007E1246">
              <w:rPr>
                <w:rFonts w:cstheme="minorHAnsi"/>
              </w:rPr>
              <w:t xml:space="preserve"> of EUR 590 million. In the second year, the number of traded contracts in the stock index option are equal to the previous year. However, in the second year the spot price of the underlying has increased by 10%. Despite constant trading activities measured by the number of contracts, the </w:t>
            </w:r>
            <w:proofErr w:type="spellStart"/>
            <w:r w:rsidRPr="007E1246">
              <w:rPr>
                <w:rFonts w:cstheme="minorHAnsi"/>
              </w:rPr>
              <w:t>ADNA</w:t>
            </w:r>
            <w:proofErr w:type="spellEnd"/>
            <w:r w:rsidRPr="007E1246">
              <w:rPr>
                <w:rFonts w:cstheme="minorHAnsi"/>
              </w:rPr>
              <w:t xml:space="preserve"> of the stock index option is in the second year therefore 10% higher as in the first year and above the threshold of EUR 600 million. </w:t>
            </w:r>
            <w:proofErr w:type="gramStart"/>
            <w:r w:rsidRPr="007E1246">
              <w:rPr>
                <w:rFonts w:cstheme="minorHAnsi"/>
              </w:rPr>
              <w:t>As a consequence</w:t>
            </w:r>
            <w:proofErr w:type="gramEnd"/>
            <w:r w:rsidRPr="007E1246">
              <w:rPr>
                <w:rFonts w:cstheme="minorHAnsi"/>
              </w:rPr>
              <w:t xml:space="preserve">, the stock index option is equipped with a significantly higher threshold, despite no changes in the trading activities. </w:t>
            </w:r>
          </w:p>
          <w:p w14:paraId="237C5507" w14:textId="77777777" w:rsidR="002C640A" w:rsidRPr="007E1246" w:rsidRDefault="002C640A" w:rsidP="002C640A">
            <w:pPr>
              <w:tabs>
                <w:tab w:val="left" w:pos="1650"/>
              </w:tabs>
              <w:autoSpaceDE w:val="0"/>
              <w:autoSpaceDN w:val="0"/>
              <w:adjustRightInd w:val="0"/>
              <w:rPr>
                <w:rFonts w:cstheme="minorHAnsi"/>
              </w:rPr>
            </w:pPr>
          </w:p>
          <w:p w14:paraId="73D6B6D2" w14:textId="77777777" w:rsidR="002C640A" w:rsidRPr="007E1246" w:rsidRDefault="002C640A" w:rsidP="002C640A">
            <w:pPr>
              <w:tabs>
                <w:tab w:val="left" w:pos="1650"/>
              </w:tabs>
              <w:autoSpaceDE w:val="0"/>
              <w:autoSpaceDN w:val="0"/>
              <w:adjustRightInd w:val="0"/>
              <w:rPr>
                <w:rFonts w:cstheme="minorHAnsi"/>
              </w:rPr>
            </w:pPr>
            <w:r w:rsidRPr="007E1246">
              <w:rPr>
                <w:rFonts w:cstheme="minorHAnsi"/>
              </w:rPr>
              <w:t xml:space="preserve">These jumps in the applicable thresholds can have significant impacts on affected products. For example, the 2021 ESMA transparency calculations classified </w:t>
            </w:r>
            <w:r w:rsidRPr="007E1246">
              <w:t xml:space="preserve">Options on the EURO </w:t>
            </w:r>
            <w:proofErr w:type="spellStart"/>
            <w:r w:rsidRPr="007E1246">
              <w:t>STOXX</w:t>
            </w:r>
            <w:proofErr w:type="spellEnd"/>
            <w:r w:rsidRPr="007E1246">
              <w:t>® Banks Index (</w:t>
            </w:r>
            <w:proofErr w:type="spellStart"/>
            <w:r w:rsidRPr="007E1246">
              <w:t>OESB</w:t>
            </w:r>
            <w:proofErr w:type="spellEnd"/>
            <w:r w:rsidRPr="007E1246">
              <w:t xml:space="preserve">), into the highest </w:t>
            </w:r>
            <w:proofErr w:type="spellStart"/>
            <w:r w:rsidRPr="007E1246">
              <w:t>ADNA</w:t>
            </w:r>
            <w:proofErr w:type="spellEnd"/>
            <w:r w:rsidRPr="007E1246">
              <w:t xml:space="preserve">-range for stock index options. As a result, the applicable LIS-threshold increased from </w:t>
            </w:r>
            <w:r w:rsidRPr="007E1246">
              <w:rPr>
                <w:rFonts w:cstheme="minorHAnsi"/>
              </w:rPr>
              <w:t>EUR 5.5 million to EUR 20 million, which translated into an increase of the minimum block trade size (</w:t>
            </w:r>
            <w:proofErr w:type="spellStart"/>
            <w:r w:rsidRPr="007E1246">
              <w:rPr>
                <w:rFonts w:cstheme="minorHAnsi"/>
              </w:rPr>
              <w:t>MBTS</w:t>
            </w:r>
            <w:proofErr w:type="spellEnd"/>
            <w:r w:rsidRPr="007E1246">
              <w:rPr>
                <w:rFonts w:cstheme="minorHAnsi"/>
              </w:rPr>
              <w:t xml:space="preserve">) for </w:t>
            </w:r>
            <w:proofErr w:type="spellStart"/>
            <w:r w:rsidRPr="007E1246">
              <w:rPr>
                <w:rFonts w:cstheme="minorHAnsi"/>
              </w:rPr>
              <w:t>OESB</w:t>
            </w:r>
            <w:proofErr w:type="spellEnd"/>
            <w:r w:rsidRPr="007E1246">
              <w:rPr>
                <w:rFonts w:cstheme="minorHAnsi"/>
              </w:rPr>
              <w:t xml:space="preserve"> from 3000 contracts to 6000 contracts. This increase led to a situation where market participants were not able to appropriately manage their risk exposure in bank assets, as uncertainty prevailed as to whether the order-book could absorb orders above 3000 contracts, which previously had been executed off-book. If an asset manager, for example, intended to trade at the previous </w:t>
            </w:r>
            <w:proofErr w:type="spellStart"/>
            <w:r w:rsidRPr="007E1246">
              <w:rPr>
                <w:rFonts w:cstheme="minorHAnsi"/>
              </w:rPr>
              <w:t>MBTS</w:t>
            </w:r>
            <w:proofErr w:type="spellEnd"/>
            <w:r w:rsidRPr="007E1246">
              <w:rPr>
                <w:rFonts w:cstheme="minorHAnsi"/>
              </w:rPr>
              <w:t xml:space="preserve"> of 3000 but was now using the new </w:t>
            </w:r>
            <w:proofErr w:type="spellStart"/>
            <w:r w:rsidRPr="007E1246">
              <w:rPr>
                <w:rFonts w:cstheme="minorHAnsi"/>
              </w:rPr>
              <w:t>MBTS</w:t>
            </w:r>
            <w:proofErr w:type="spellEnd"/>
            <w:r w:rsidRPr="007E1246">
              <w:rPr>
                <w:rFonts w:cstheme="minorHAnsi"/>
              </w:rPr>
              <w:t xml:space="preserve"> of 6000, he would end up adding as much risk as he tried to reduce and that would likely deter him from trading and risk could stay unhedged. Following the implementation of the new thresholds, trading data and market feedback in that </w:t>
            </w:r>
            <w:proofErr w:type="gramStart"/>
            <w:r w:rsidRPr="007E1246">
              <w:rPr>
                <w:rFonts w:cstheme="minorHAnsi"/>
              </w:rPr>
              <w:t>particular instance</w:t>
            </w:r>
            <w:proofErr w:type="gramEnd"/>
            <w:r w:rsidRPr="007E1246">
              <w:rPr>
                <w:rFonts w:cstheme="minorHAnsi"/>
              </w:rPr>
              <w:t xml:space="preserve"> show that market participants avoid submitting orders between 3000 and 6000 contracts into the order book as execution cannot be guaranteed at a given price. Market participants therefore need to split their order into smaller ones, which in turn increases their trading costs and disincentivizes on-exchange trading activities. </w:t>
            </w:r>
          </w:p>
          <w:p w14:paraId="0F3088DC" w14:textId="77777777" w:rsidR="002C640A" w:rsidRPr="007E1246" w:rsidRDefault="002C640A" w:rsidP="002C640A">
            <w:pPr>
              <w:tabs>
                <w:tab w:val="left" w:pos="1650"/>
              </w:tabs>
              <w:autoSpaceDE w:val="0"/>
              <w:autoSpaceDN w:val="0"/>
              <w:adjustRightInd w:val="0"/>
              <w:rPr>
                <w:rFonts w:cstheme="minorHAnsi"/>
              </w:rPr>
            </w:pPr>
          </w:p>
          <w:p w14:paraId="53FF090E" w14:textId="66524682" w:rsidR="002C640A" w:rsidRPr="007E1246" w:rsidRDefault="002C640A" w:rsidP="002C640A">
            <w:pPr>
              <w:tabs>
                <w:tab w:val="left" w:pos="1650"/>
              </w:tabs>
              <w:autoSpaceDE w:val="0"/>
              <w:autoSpaceDN w:val="0"/>
              <w:adjustRightInd w:val="0"/>
              <w:rPr>
                <w:rFonts w:cstheme="minorHAnsi"/>
              </w:rPr>
            </w:pPr>
            <w:r w:rsidRPr="007E1246">
              <w:rPr>
                <w:rFonts w:cstheme="minorHAnsi"/>
              </w:rPr>
              <w:t xml:space="preserve">To avoid such consequences for stock index options and stock index futures, whose </w:t>
            </w:r>
            <w:proofErr w:type="spellStart"/>
            <w:r w:rsidRPr="007E1246">
              <w:rPr>
                <w:rFonts w:cstheme="minorHAnsi"/>
              </w:rPr>
              <w:t>ADNA</w:t>
            </w:r>
            <w:proofErr w:type="spellEnd"/>
            <w:r w:rsidRPr="007E1246">
              <w:rPr>
                <w:rFonts w:cstheme="minorHAnsi"/>
              </w:rPr>
              <w:t xml:space="preserve"> fluctuates around the current </w:t>
            </w:r>
            <w:proofErr w:type="spellStart"/>
            <w:r w:rsidRPr="007E1246">
              <w:rPr>
                <w:rFonts w:cstheme="minorHAnsi"/>
              </w:rPr>
              <w:t>ADNA</w:t>
            </w:r>
            <w:proofErr w:type="spellEnd"/>
            <w:r w:rsidRPr="007E1246">
              <w:rPr>
                <w:rFonts w:cstheme="minorHAnsi"/>
              </w:rPr>
              <w:t xml:space="preserve">-ranges and where slight increases in their underlying spot price can lead to significantly higher LIS-thresholds, </w:t>
            </w:r>
            <w:r>
              <w:rPr>
                <w:rFonts w:cstheme="minorHAnsi"/>
              </w:rPr>
              <w:t>BME</w:t>
            </w:r>
            <w:r w:rsidRPr="007E1246">
              <w:rPr>
                <w:rFonts w:cstheme="minorHAnsi"/>
              </w:rPr>
              <w:t xml:space="preserve"> suggests adding more granularity to the current </w:t>
            </w:r>
            <w:proofErr w:type="spellStart"/>
            <w:r w:rsidRPr="007E1246">
              <w:rPr>
                <w:rFonts w:cstheme="minorHAnsi"/>
              </w:rPr>
              <w:t>ADNA</w:t>
            </w:r>
            <w:proofErr w:type="spellEnd"/>
            <w:r w:rsidRPr="007E1246">
              <w:rPr>
                <w:rFonts w:cstheme="minorHAnsi"/>
              </w:rPr>
              <w:t xml:space="preserve">-ranges. We propose to extend the </w:t>
            </w:r>
            <w:proofErr w:type="spellStart"/>
            <w:r w:rsidRPr="007E1246">
              <w:rPr>
                <w:rFonts w:cstheme="minorHAnsi"/>
              </w:rPr>
              <w:t>ADNA</w:t>
            </w:r>
            <w:proofErr w:type="spellEnd"/>
            <w:r w:rsidRPr="007E1246">
              <w:rPr>
                <w:rFonts w:cstheme="minorHAnsi"/>
              </w:rPr>
              <w:t xml:space="preserve">-ranges for stock index options and stock index futures to 6 and 7 respectively, as indicated below. We are of the opinion that more granularity for stock index options and stock index futures with respect to the </w:t>
            </w:r>
            <w:proofErr w:type="spellStart"/>
            <w:r w:rsidRPr="007E1246">
              <w:rPr>
                <w:rFonts w:cstheme="minorHAnsi"/>
              </w:rPr>
              <w:t>ADNA</w:t>
            </w:r>
            <w:proofErr w:type="spellEnd"/>
            <w:r w:rsidRPr="007E1246">
              <w:rPr>
                <w:rFonts w:cstheme="minorHAnsi"/>
              </w:rPr>
              <w:t xml:space="preserve">-ranges will reduce the steps between the LIS-thresholds and thereby facilitate a smoother transition towards higher LIS-thresholds. </w:t>
            </w:r>
          </w:p>
          <w:p w14:paraId="7A0B5392" w14:textId="77777777" w:rsidR="002C640A" w:rsidRPr="007E1246" w:rsidRDefault="002C640A" w:rsidP="002C640A">
            <w:pPr>
              <w:tabs>
                <w:tab w:val="left" w:pos="1650"/>
              </w:tabs>
              <w:autoSpaceDE w:val="0"/>
              <w:autoSpaceDN w:val="0"/>
              <w:adjustRightInd w:val="0"/>
              <w:rPr>
                <w:rFonts w:cstheme="minorHAnsi"/>
              </w:rPr>
            </w:pPr>
          </w:p>
          <w:tbl>
            <w:tblPr>
              <w:tblW w:w="8562" w:type="dxa"/>
              <w:tblCellMar>
                <w:left w:w="0" w:type="dxa"/>
                <w:right w:w="0" w:type="dxa"/>
              </w:tblCellMar>
              <w:tblLook w:val="04A0" w:firstRow="1" w:lastRow="0" w:firstColumn="1" w:lastColumn="0" w:noHBand="0" w:noVBand="1"/>
            </w:tblPr>
            <w:tblGrid>
              <w:gridCol w:w="3420"/>
              <w:gridCol w:w="2334"/>
              <w:gridCol w:w="2808"/>
            </w:tblGrid>
            <w:tr w:rsidR="000C61A8" w:rsidRPr="007E1246" w14:paraId="2EE47A38" w14:textId="77777777" w:rsidTr="003D05F2">
              <w:trPr>
                <w:trHeight w:val="300"/>
              </w:trPr>
              <w:tc>
                <w:tcPr>
                  <w:tcW w:w="3420" w:type="dxa"/>
                  <w:tcBorders>
                    <w:top w:val="single" w:sz="8" w:space="0" w:color="A6A6A6"/>
                    <w:left w:val="single" w:sz="8" w:space="0" w:color="A6A6A6"/>
                    <w:bottom w:val="nil"/>
                    <w:right w:val="single" w:sz="8" w:space="0" w:color="A6A6A6"/>
                  </w:tcBorders>
                  <w:shd w:val="clear" w:color="auto" w:fill="FFC000"/>
                  <w:noWrap/>
                  <w:tcMar>
                    <w:top w:w="0" w:type="dxa"/>
                    <w:left w:w="108" w:type="dxa"/>
                    <w:bottom w:w="0" w:type="dxa"/>
                    <w:right w:w="108" w:type="dxa"/>
                  </w:tcMar>
                  <w:vAlign w:val="center"/>
                  <w:hideMark/>
                </w:tcPr>
                <w:p w14:paraId="1D4E88BE" w14:textId="77777777" w:rsidR="000C61A8" w:rsidRPr="007E1246" w:rsidRDefault="000C61A8" w:rsidP="000C61A8">
                  <w:pPr>
                    <w:jc w:val="center"/>
                    <w:rPr>
                      <w:rFonts w:ascii="Calibri" w:hAnsi="Calibri"/>
                      <w:b/>
                      <w:bCs/>
                      <w:color w:val="000000"/>
                      <w:lang w:eastAsia="zh-CN"/>
                    </w:rPr>
                  </w:pPr>
                  <w:r w:rsidRPr="007E1246">
                    <w:rPr>
                      <w:b/>
                      <w:bCs/>
                      <w:color w:val="000000"/>
                      <w:lang w:eastAsia="zh-CN"/>
                    </w:rPr>
                    <w:t>New Stock index Options</w:t>
                  </w:r>
                </w:p>
              </w:tc>
              <w:tc>
                <w:tcPr>
                  <w:tcW w:w="2334" w:type="dxa"/>
                  <w:tcBorders>
                    <w:top w:val="single" w:sz="8" w:space="0" w:color="A6A6A6"/>
                    <w:left w:val="nil"/>
                    <w:bottom w:val="single" w:sz="8" w:space="0" w:color="A6A6A6"/>
                    <w:right w:val="single" w:sz="8" w:space="0" w:color="A6A6A6"/>
                  </w:tcBorders>
                  <w:shd w:val="clear" w:color="auto" w:fill="002060"/>
                  <w:noWrap/>
                  <w:tcMar>
                    <w:top w:w="0" w:type="dxa"/>
                    <w:left w:w="108" w:type="dxa"/>
                    <w:bottom w:w="0" w:type="dxa"/>
                    <w:right w:w="108" w:type="dxa"/>
                  </w:tcMar>
                  <w:vAlign w:val="bottom"/>
                  <w:hideMark/>
                </w:tcPr>
                <w:p w14:paraId="68E0B371" w14:textId="77777777" w:rsidR="000C61A8" w:rsidRPr="000C61A8" w:rsidRDefault="000C61A8" w:rsidP="000C61A8">
                  <w:pPr>
                    <w:jc w:val="center"/>
                    <w:rPr>
                      <w:color w:val="000000" w:themeColor="text1"/>
                      <w:lang w:eastAsia="zh-CN"/>
                    </w:rPr>
                  </w:pPr>
                  <w:r w:rsidRPr="000C61A8">
                    <w:rPr>
                      <w:color w:val="000000" w:themeColor="text1"/>
                      <w:lang w:eastAsia="zh-CN"/>
                    </w:rPr>
                    <w:t xml:space="preserve">LIS Pre Trade </w:t>
                  </w:r>
                </w:p>
              </w:tc>
              <w:tc>
                <w:tcPr>
                  <w:tcW w:w="2808" w:type="dxa"/>
                  <w:shd w:val="clear" w:color="auto" w:fill="002060"/>
                  <w:noWrap/>
                  <w:tcMar>
                    <w:top w:w="0" w:type="dxa"/>
                    <w:left w:w="108" w:type="dxa"/>
                    <w:bottom w:w="0" w:type="dxa"/>
                    <w:right w:w="108" w:type="dxa"/>
                  </w:tcMar>
                  <w:vAlign w:val="bottom"/>
                  <w:hideMark/>
                </w:tcPr>
                <w:p w14:paraId="0F50EEC3" w14:textId="77777777" w:rsidR="000C61A8" w:rsidRPr="000C61A8" w:rsidRDefault="000C61A8" w:rsidP="000C61A8">
                  <w:pPr>
                    <w:jc w:val="center"/>
                    <w:rPr>
                      <w:color w:val="000000" w:themeColor="text1"/>
                      <w:lang w:eastAsia="zh-CN"/>
                    </w:rPr>
                  </w:pPr>
                  <w:r w:rsidRPr="000C61A8">
                    <w:rPr>
                      <w:color w:val="000000" w:themeColor="text1"/>
                      <w:lang w:eastAsia="zh-CN"/>
                    </w:rPr>
                    <w:t>LIS Post Trade</w:t>
                  </w:r>
                </w:p>
              </w:tc>
            </w:tr>
            <w:tr w:rsidR="000C61A8" w:rsidRPr="007E1246" w14:paraId="1963888A" w14:textId="77777777" w:rsidTr="003D05F2">
              <w:trPr>
                <w:trHeight w:val="300"/>
              </w:trPr>
              <w:tc>
                <w:tcPr>
                  <w:tcW w:w="3420" w:type="dxa"/>
                  <w:tcBorders>
                    <w:top w:val="nil"/>
                    <w:left w:val="single" w:sz="8" w:space="0" w:color="A6A6A6"/>
                    <w:bottom w:val="single" w:sz="8" w:space="0" w:color="A6A6A6"/>
                    <w:right w:val="single" w:sz="8" w:space="0" w:color="A6A6A6"/>
                  </w:tcBorders>
                  <w:shd w:val="clear" w:color="auto" w:fill="FFC000"/>
                  <w:noWrap/>
                  <w:tcMar>
                    <w:top w:w="0" w:type="dxa"/>
                    <w:left w:w="108" w:type="dxa"/>
                    <w:bottom w:w="0" w:type="dxa"/>
                    <w:right w:w="108" w:type="dxa"/>
                  </w:tcMar>
                  <w:vAlign w:val="center"/>
                  <w:hideMark/>
                </w:tcPr>
                <w:p w14:paraId="0E3185D9" w14:textId="77777777" w:rsidR="000C61A8" w:rsidRPr="000C61A8" w:rsidRDefault="000C61A8" w:rsidP="000C61A8">
                  <w:pPr>
                    <w:jc w:val="center"/>
                    <w:rPr>
                      <w:color w:val="000000" w:themeColor="text1"/>
                      <w:lang w:eastAsia="zh-CN"/>
                    </w:rPr>
                  </w:pPr>
                  <w:r w:rsidRPr="000C61A8">
                    <w:rPr>
                      <w:color w:val="000000" w:themeColor="text1"/>
                      <w:lang w:eastAsia="zh-CN"/>
                    </w:rPr>
                    <w:t> </w:t>
                  </w:r>
                </w:p>
              </w:tc>
              <w:tc>
                <w:tcPr>
                  <w:tcW w:w="2334" w:type="dxa"/>
                  <w:tcBorders>
                    <w:top w:val="nil"/>
                    <w:left w:val="nil"/>
                    <w:bottom w:val="single" w:sz="8" w:space="0" w:color="A6A6A6"/>
                    <w:right w:val="single" w:sz="8" w:space="0" w:color="A6A6A6"/>
                  </w:tcBorders>
                  <w:shd w:val="clear" w:color="auto" w:fill="002060"/>
                  <w:noWrap/>
                  <w:tcMar>
                    <w:top w:w="0" w:type="dxa"/>
                    <w:left w:w="108" w:type="dxa"/>
                    <w:bottom w:w="0" w:type="dxa"/>
                    <w:right w:w="108" w:type="dxa"/>
                  </w:tcMar>
                  <w:vAlign w:val="bottom"/>
                  <w:hideMark/>
                </w:tcPr>
                <w:p w14:paraId="1CE87E98" w14:textId="77777777" w:rsidR="000C61A8" w:rsidRPr="000C61A8" w:rsidRDefault="000C61A8" w:rsidP="000C61A8">
                  <w:pPr>
                    <w:jc w:val="center"/>
                    <w:rPr>
                      <w:color w:val="000000" w:themeColor="text1"/>
                      <w:lang w:eastAsia="zh-CN"/>
                    </w:rPr>
                  </w:pPr>
                  <w:r w:rsidRPr="000C61A8">
                    <w:rPr>
                      <w:color w:val="000000" w:themeColor="text1"/>
                      <w:lang w:eastAsia="zh-CN"/>
                    </w:rPr>
                    <w:t>RTS 2 Threshold</w:t>
                  </w:r>
                </w:p>
              </w:tc>
              <w:tc>
                <w:tcPr>
                  <w:tcW w:w="2808" w:type="dxa"/>
                  <w:tcBorders>
                    <w:top w:val="single" w:sz="8" w:space="0" w:color="A6A6A6"/>
                    <w:left w:val="nil"/>
                    <w:bottom w:val="single" w:sz="8" w:space="0" w:color="A6A6A6"/>
                    <w:right w:val="single" w:sz="8" w:space="0" w:color="A6A6A6"/>
                  </w:tcBorders>
                  <w:shd w:val="clear" w:color="auto" w:fill="002060"/>
                  <w:noWrap/>
                  <w:tcMar>
                    <w:top w:w="0" w:type="dxa"/>
                    <w:left w:w="108" w:type="dxa"/>
                    <w:bottom w:w="0" w:type="dxa"/>
                    <w:right w:w="108" w:type="dxa"/>
                  </w:tcMar>
                  <w:vAlign w:val="bottom"/>
                  <w:hideMark/>
                </w:tcPr>
                <w:p w14:paraId="1E4D5FDE" w14:textId="77777777" w:rsidR="000C61A8" w:rsidRPr="000C61A8" w:rsidRDefault="000C61A8" w:rsidP="000C61A8">
                  <w:pPr>
                    <w:jc w:val="center"/>
                    <w:rPr>
                      <w:color w:val="000000" w:themeColor="text1"/>
                      <w:lang w:eastAsia="zh-CN"/>
                    </w:rPr>
                  </w:pPr>
                  <w:r w:rsidRPr="000C61A8">
                    <w:rPr>
                      <w:color w:val="000000" w:themeColor="text1"/>
                      <w:lang w:eastAsia="zh-CN"/>
                    </w:rPr>
                    <w:t>RTS 2 Threshold</w:t>
                  </w:r>
                </w:p>
              </w:tc>
            </w:tr>
            <w:tr w:rsidR="000C61A8" w:rsidRPr="007E1246" w14:paraId="778C4ADF" w14:textId="77777777" w:rsidTr="003D05F2">
              <w:trPr>
                <w:trHeight w:val="300"/>
              </w:trPr>
              <w:tc>
                <w:tcPr>
                  <w:tcW w:w="3420" w:type="dxa"/>
                  <w:tcBorders>
                    <w:top w:val="nil"/>
                    <w:left w:val="single" w:sz="8" w:space="0" w:color="A6A6A6"/>
                    <w:bottom w:val="single" w:sz="8" w:space="0" w:color="A6A6A6"/>
                    <w:right w:val="single" w:sz="8" w:space="0" w:color="A6A6A6"/>
                  </w:tcBorders>
                  <w:shd w:val="clear" w:color="auto" w:fill="002060"/>
                  <w:noWrap/>
                  <w:tcMar>
                    <w:top w:w="0" w:type="dxa"/>
                    <w:left w:w="108" w:type="dxa"/>
                    <w:bottom w:w="0" w:type="dxa"/>
                    <w:right w:w="108" w:type="dxa"/>
                  </w:tcMar>
                  <w:vAlign w:val="center"/>
                  <w:hideMark/>
                </w:tcPr>
                <w:p w14:paraId="1A79D526" w14:textId="77777777" w:rsidR="000C61A8" w:rsidRPr="000C61A8" w:rsidRDefault="000C61A8" w:rsidP="000C61A8">
                  <w:pPr>
                    <w:jc w:val="center"/>
                    <w:rPr>
                      <w:color w:val="000000" w:themeColor="text1"/>
                      <w:lang w:eastAsia="zh-CN"/>
                    </w:rPr>
                  </w:pPr>
                  <w:r w:rsidRPr="000C61A8">
                    <w:rPr>
                      <w:color w:val="000000" w:themeColor="text1"/>
                      <w:lang w:eastAsia="zh-CN"/>
                    </w:rPr>
                    <w:t>&lt;100 m</w:t>
                  </w:r>
                </w:p>
              </w:tc>
              <w:tc>
                <w:tcPr>
                  <w:tcW w:w="2334"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4EF2E36D" w14:textId="77777777" w:rsidR="000C61A8" w:rsidRPr="000C61A8" w:rsidRDefault="000C61A8" w:rsidP="000C61A8">
                  <w:pPr>
                    <w:jc w:val="right"/>
                    <w:rPr>
                      <w:color w:val="000000" w:themeColor="text1"/>
                      <w:lang w:eastAsia="zh-CN"/>
                    </w:rPr>
                  </w:pPr>
                  <w:r w:rsidRPr="000C61A8">
                    <w:rPr>
                      <w:color w:val="000000" w:themeColor="text1"/>
                      <w:lang w:eastAsia="zh-CN"/>
                    </w:rPr>
                    <w:t xml:space="preserve">             25,000 </w:t>
                  </w:r>
                </w:p>
              </w:tc>
              <w:tc>
                <w:tcPr>
                  <w:tcW w:w="2808"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570BB785" w14:textId="77777777" w:rsidR="000C61A8" w:rsidRPr="000C61A8" w:rsidRDefault="000C61A8" w:rsidP="000C61A8">
                  <w:pPr>
                    <w:jc w:val="right"/>
                    <w:rPr>
                      <w:color w:val="000000" w:themeColor="text1"/>
                      <w:lang w:eastAsia="zh-CN"/>
                    </w:rPr>
                  </w:pPr>
                  <w:r w:rsidRPr="000C61A8">
                    <w:rPr>
                      <w:color w:val="000000" w:themeColor="text1"/>
                      <w:lang w:eastAsia="zh-CN"/>
                    </w:rPr>
                    <w:t xml:space="preserve">                     1,500,000 </w:t>
                  </w:r>
                </w:p>
              </w:tc>
            </w:tr>
            <w:tr w:rsidR="000C61A8" w:rsidRPr="007E1246" w14:paraId="7AD94B40" w14:textId="77777777" w:rsidTr="003D05F2">
              <w:trPr>
                <w:trHeight w:val="300"/>
              </w:trPr>
              <w:tc>
                <w:tcPr>
                  <w:tcW w:w="3420" w:type="dxa"/>
                  <w:tcBorders>
                    <w:top w:val="nil"/>
                    <w:left w:val="single" w:sz="8" w:space="0" w:color="A6A6A6"/>
                    <w:bottom w:val="single" w:sz="8" w:space="0" w:color="A6A6A6"/>
                    <w:right w:val="single" w:sz="8" w:space="0" w:color="A6A6A6"/>
                  </w:tcBorders>
                  <w:shd w:val="clear" w:color="auto" w:fill="002060"/>
                  <w:noWrap/>
                  <w:tcMar>
                    <w:top w:w="0" w:type="dxa"/>
                    <w:left w:w="108" w:type="dxa"/>
                    <w:bottom w:w="0" w:type="dxa"/>
                    <w:right w:w="108" w:type="dxa"/>
                  </w:tcMar>
                  <w:vAlign w:val="center"/>
                  <w:hideMark/>
                </w:tcPr>
                <w:p w14:paraId="5C2139E2" w14:textId="77777777" w:rsidR="000C61A8" w:rsidRPr="000C61A8" w:rsidRDefault="000C61A8" w:rsidP="000C61A8">
                  <w:pPr>
                    <w:jc w:val="center"/>
                    <w:rPr>
                      <w:color w:val="000000" w:themeColor="text1"/>
                      <w:lang w:eastAsia="zh-CN"/>
                    </w:rPr>
                  </w:pPr>
                  <w:r w:rsidRPr="000C61A8">
                    <w:rPr>
                      <w:color w:val="000000" w:themeColor="text1"/>
                      <w:lang w:eastAsia="zh-CN"/>
                    </w:rPr>
                    <w:t>100m&lt;=</w:t>
                  </w:r>
                  <w:proofErr w:type="spellStart"/>
                  <w:r w:rsidRPr="000C61A8">
                    <w:rPr>
                      <w:color w:val="000000" w:themeColor="text1"/>
                      <w:lang w:eastAsia="zh-CN"/>
                    </w:rPr>
                    <w:t>ADNA</w:t>
                  </w:r>
                  <w:proofErr w:type="spellEnd"/>
                  <w:r w:rsidRPr="000C61A8">
                    <w:rPr>
                      <w:color w:val="000000" w:themeColor="text1"/>
                      <w:lang w:eastAsia="zh-CN"/>
                    </w:rPr>
                    <w:t>&lt;=200m</w:t>
                  </w:r>
                </w:p>
              </w:tc>
              <w:tc>
                <w:tcPr>
                  <w:tcW w:w="2334"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01B66A19" w14:textId="77777777" w:rsidR="000C61A8" w:rsidRPr="000C61A8" w:rsidRDefault="000C61A8" w:rsidP="000C61A8">
                  <w:pPr>
                    <w:jc w:val="right"/>
                    <w:rPr>
                      <w:color w:val="000000" w:themeColor="text1"/>
                      <w:lang w:eastAsia="zh-CN"/>
                    </w:rPr>
                  </w:pPr>
                  <w:r w:rsidRPr="000C61A8">
                    <w:rPr>
                      <w:color w:val="000000" w:themeColor="text1"/>
                      <w:lang w:eastAsia="zh-CN"/>
                    </w:rPr>
                    <w:t xml:space="preserve">             2,500,000 </w:t>
                  </w:r>
                </w:p>
              </w:tc>
              <w:tc>
                <w:tcPr>
                  <w:tcW w:w="2808"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4E10F023" w14:textId="77777777" w:rsidR="000C61A8" w:rsidRPr="007E1246" w:rsidRDefault="000C61A8" w:rsidP="000C61A8">
                  <w:pPr>
                    <w:jc w:val="right"/>
                    <w:rPr>
                      <w:lang w:eastAsia="zh-CN"/>
                    </w:rPr>
                  </w:pPr>
                  <w:r w:rsidRPr="007E1246">
                    <w:rPr>
                      <w:lang w:eastAsia="zh-CN"/>
                    </w:rPr>
                    <w:t xml:space="preserve">                     25,000,000 </w:t>
                  </w:r>
                </w:p>
              </w:tc>
            </w:tr>
            <w:tr w:rsidR="000C61A8" w:rsidRPr="007E1246" w14:paraId="52156DEC" w14:textId="77777777" w:rsidTr="003D05F2">
              <w:trPr>
                <w:trHeight w:val="300"/>
              </w:trPr>
              <w:tc>
                <w:tcPr>
                  <w:tcW w:w="3420" w:type="dxa"/>
                  <w:tcBorders>
                    <w:top w:val="nil"/>
                    <w:left w:val="single" w:sz="8" w:space="0" w:color="A6A6A6"/>
                    <w:bottom w:val="single" w:sz="8" w:space="0" w:color="A6A6A6"/>
                    <w:right w:val="single" w:sz="8" w:space="0" w:color="A6A6A6"/>
                  </w:tcBorders>
                  <w:shd w:val="clear" w:color="auto" w:fill="002060"/>
                  <w:noWrap/>
                  <w:tcMar>
                    <w:top w:w="0" w:type="dxa"/>
                    <w:left w:w="108" w:type="dxa"/>
                    <w:bottom w:w="0" w:type="dxa"/>
                    <w:right w:w="108" w:type="dxa"/>
                  </w:tcMar>
                  <w:vAlign w:val="center"/>
                  <w:hideMark/>
                </w:tcPr>
                <w:p w14:paraId="7D28D39A" w14:textId="77777777" w:rsidR="000C61A8" w:rsidRPr="000C61A8" w:rsidRDefault="000C61A8" w:rsidP="000C61A8">
                  <w:pPr>
                    <w:jc w:val="center"/>
                    <w:rPr>
                      <w:color w:val="000000" w:themeColor="text1"/>
                      <w:lang w:eastAsia="zh-CN"/>
                    </w:rPr>
                  </w:pPr>
                  <w:r w:rsidRPr="000C61A8">
                    <w:rPr>
                      <w:color w:val="000000" w:themeColor="text1"/>
                      <w:lang w:eastAsia="zh-CN"/>
                    </w:rPr>
                    <w:t>200m&lt;=</w:t>
                  </w:r>
                  <w:proofErr w:type="spellStart"/>
                  <w:r w:rsidRPr="000C61A8">
                    <w:rPr>
                      <w:color w:val="000000" w:themeColor="text1"/>
                      <w:lang w:eastAsia="zh-CN"/>
                    </w:rPr>
                    <w:t>ADNA</w:t>
                  </w:r>
                  <w:proofErr w:type="spellEnd"/>
                  <w:r w:rsidRPr="000C61A8">
                    <w:rPr>
                      <w:color w:val="000000" w:themeColor="text1"/>
                      <w:lang w:eastAsia="zh-CN"/>
                    </w:rPr>
                    <w:t>&lt;=600m</w:t>
                  </w:r>
                </w:p>
              </w:tc>
              <w:tc>
                <w:tcPr>
                  <w:tcW w:w="2334"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224AB6CE" w14:textId="77777777" w:rsidR="000C61A8" w:rsidRPr="000C61A8" w:rsidRDefault="000C61A8" w:rsidP="000C61A8">
                  <w:pPr>
                    <w:jc w:val="right"/>
                    <w:rPr>
                      <w:color w:val="000000" w:themeColor="text1"/>
                      <w:lang w:eastAsia="zh-CN"/>
                    </w:rPr>
                  </w:pPr>
                  <w:r w:rsidRPr="000C61A8">
                    <w:rPr>
                      <w:color w:val="000000" w:themeColor="text1"/>
                      <w:lang w:eastAsia="zh-CN"/>
                    </w:rPr>
                    <w:t xml:space="preserve">             5,000,000 </w:t>
                  </w:r>
                </w:p>
              </w:tc>
              <w:tc>
                <w:tcPr>
                  <w:tcW w:w="2808"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2753BA0E" w14:textId="77777777" w:rsidR="000C61A8" w:rsidRPr="007E1246" w:rsidRDefault="000C61A8" w:rsidP="000C61A8">
                  <w:pPr>
                    <w:jc w:val="right"/>
                    <w:rPr>
                      <w:lang w:eastAsia="zh-CN"/>
                    </w:rPr>
                  </w:pPr>
                  <w:r w:rsidRPr="007E1246">
                    <w:rPr>
                      <w:lang w:eastAsia="zh-CN"/>
                    </w:rPr>
                    <w:t xml:space="preserve">                     50,000,000 </w:t>
                  </w:r>
                </w:p>
              </w:tc>
            </w:tr>
            <w:tr w:rsidR="000C61A8" w:rsidRPr="007E1246" w14:paraId="259EE8E8" w14:textId="77777777" w:rsidTr="003D05F2">
              <w:trPr>
                <w:trHeight w:val="300"/>
              </w:trPr>
              <w:tc>
                <w:tcPr>
                  <w:tcW w:w="3420" w:type="dxa"/>
                  <w:tcBorders>
                    <w:top w:val="nil"/>
                    <w:left w:val="nil"/>
                    <w:bottom w:val="nil"/>
                    <w:right w:val="single" w:sz="8" w:space="0" w:color="A6A6A6"/>
                  </w:tcBorders>
                  <w:shd w:val="clear" w:color="auto" w:fill="002060"/>
                  <w:noWrap/>
                  <w:tcMar>
                    <w:top w:w="0" w:type="dxa"/>
                    <w:left w:w="108" w:type="dxa"/>
                    <w:bottom w:w="0" w:type="dxa"/>
                    <w:right w:w="108" w:type="dxa"/>
                  </w:tcMar>
                  <w:vAlign w:val="center"/>
                  <w:hideMark/>
                </w:tcPr>
                <w:p w14:paraId="1B26D17A" w14:textId="77777777" w:rsidR="000C61A8" w:rsidRPr="000C61A8" w:rsidRDefault="000C61A8" w:rsidP="000C61A8">
                  <w:pPr>
                    <w:jc w:val="center"/>
                    <w:rPr>
                      <w:color w:val="000000" w:themeColor="text1"/>
                      <w:lang w:eastAsia="zh-CN"/>
                    </w:rPr>
                  </w:pPr>
                  <w:r w:rsidRPr="000C61A8">
                    <w:rPr>
                      <w:color w:val="000000" w:themeColor="text1"/>
                      <w:lang w:eastAsia="zh-CN"/>
                    </w:rPr>
                    <w:t>600m&lt;=</w:t>
                  </w:r>
                  <w:proofErr w:type="spellStart"/>
                  <w:r w:rsidRPr="000C61A8">
                    <w:rPr>
                      <w:color w:val="000000" w:themeColor="text1"/>
                      <w:lang w:eastAsia="zh-CN"/>
                    </w:rPr>
                    <w:t>ADNA</w:t>
                  </w:r>
                  <w:proofErr w:type="spellEnd"/>
                  <w:r w:rsidRPr="000C61A8">
                    <w:rPr>
                      <w:color w:val="000000" w:themeColor="text1"/>
                      <w:lang w:eastAsia="zh-CN"/>
                    </w:rPr>
                    <w:t>&lt;=2b</w:t>
                  </w:r>
                </w:p>
              </w:tc>
              <w:tc>
                <w:tcPr>
                  <w:tcW w:w="2334"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3B3EE786" w14:textId="77777777" w:rsidR="000C61A8" w:rsidRPr="000C61A8" w:rsidRDefault="000C61A8" w:rsidP="000C61A8">
                  <w:pPr>
                    <w:jc w:val="right"/>
                    <w:rPr>
                      <w:color w:val="000000" w:themeColor="text1"/>
                      <w:lang w:eastAsia="zh-CN"/>
                    </w:rPr>
                  </w:pPr>
                  <w:r w:rsidRPr="000C61A8">
                    <w:rPr>
                      <w:color w:val="000000" w:themeColor="text1"/>
                      <w:lang w:eastAsia="zh-CN"/>
                    </w:rPr>
                    <w:t xml:space="preserve">             10,000,000 </w:t>
                  </w:r>
                </w:p>
              </w:tc>
              <w:tc>
                <w:tcPr>
                  <w:tcW w:w="2808"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7744CDFA" w14:textId="77777777" w:rsidR="000C61A8" w:rsidRPr="007E1246" w:rsidRDefault="000C61A8" w:rsidP="000C61A8">
                  <w:pPr>
                    <w:jc w:val="right"/>
                    <w:rPr>
                      <w:lang w:eastAsia="zh-CN"/>
                    </w:rPr>
                  </w:pPr>
                  <w:r w:rsidRPr="007E1246">
                    <w:rPr>
                      <w:lang w:eastAsia="zh-CN"/>
                    </w:rPr>
                    <w:t xml:space="preserve">                     100,000,000 </w:t>
                  </w:r>
                </w:p>
              </w:tc>
            </w:tr>
            <w:tr w:rsidR="000C61A8" w:rsidRPr="007E1246" w14:paraId="67B8C19D" w14:textId="77777777" w:rsidTr="003D05F2">
              <w:trPr>
                <w:trHeight w:val="300"/>
              </w:trPr>
              <w:tc>
                <w:tcPr>
                  <w:tcW w:w="3420" w:type="dxa"/>
                  <w:tcBorders>
                    <w:top w:val="single" w:sz="8" w:space="0" w:color="A6A6A6"/>
                    <w:left w:val="nil"/>
                    <w:bottom w:val="nil"/>
                    <w:right w:val="single" w:sz="8" w:space="0" w:color="A6A6A6"/>
                  </w:tcBorders>
                  <w:shd w:val="clear" w:color="auto" w:fill="002060"/>
                  <w:noWrap/>
                  <w:tcMar>
                    <w:top w:w="0" w:type="dxa"/>
                    <w:left w:w="108" w:type="dxa"/>
                    <w:bottom w:w="0" w:type="dxa"/>
                    <w:right w:w="108" w:type="dxa"/>
                  </w:tcMar>
                  <w:vAlign w:val="center"/>
                  <w:hideMark/>
                </w:tcPr>
                <w:p w14:paraId="5C59D423" w14:textId="77777777" w:rsidR="000C61A8" w:rsidRPr="000C61A8" w:rsidRDefault="000C61A8" w:rsidP="000C61A8">
                  <w:pPr>
                    <w:jc w:val="center"/>
                    <w:rPr>
                      <w:color w:val="000000" w:themeColor="text1"/>
                      <w:lang w:eastAsia="zh-CN"/>
                    </w:rPr>
                  </w:pPr>
                  <w:r w:rsidRPr="000C61A8">
                    <w:rPr>
                      <w:color w:val="000000" w:themeColor="text1"/>
                      <w:lang w:eastAsia="zh-CN"/>
                    </w:rPr>
                    <w:t>2b&lt;=</w:t>
                  </w:r>
                  <w:proofErr w:type="spellStart"/>
                  <w:r w:rsidRPr="000C61A8">
                    <w:rPr>
                      <w:color w:val="000000" w:themeColor="text1"/>
                      <w:lang w:eastAsia="zh-CN"/>
                    </w:rPr>
                    <w:t>ADNA</w:t>
                  </w:r>
                  <w:proofErr w:type="spellEnd"/>
                  <w:r w:rsidRPr="000C61A8">
                    <w:rPr>
                      <w:color w:val="000000" w:themeColor="text1"/>
                      <w:lang w:eastAsia="zh-CN"/>
                    </w:rPr>
                    <w:t>&lt;=4b</w:t>
                  </w:r>
                </w:p>
              </w:tc>
              <w:tc>
                <w:tcPr>
                  <w:tcW w:w="2334"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7D2C23F8" w14:textId="77777777" w:rsidR="000C61A8" w:rsidRPr="000C61A8" w:rsidRDefault="000C61A8" w:rsidP="000C61A8">
                  <w:pPr>
                    <w:jc w:val="right"/>
                    <w:rPr>
                      <w:color w:val="000000" w:themeColor="text1"/>
                      <w:lang w:eastAsia="zh-CN"/>
                    </w:rPr>
                  </w:pPr>
                  <w:r w:rsidRPr="000C61A8">
                    <w:rPr>
                      <w:color w:val="000000" w:themeColor="text1"/>
                      <w:lang w:eastAsia="zh-CN"/>
                    </w:rPr>
                    <w:t xml:space="preserve">15,000,000 </w:t>
                  </w:r>
                </w:p>
              </w:tc>
              <w:tc>
                <w:tcPr>
                  <w:tcW w:w="2808"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216CD875" w14:textId="77777777" w:rsidR="000C61A8" w:rsidRPr="007E1246" w:rsidRDefault="000C61A8" w:rsidP="000C61A8">
                  <w:pPr>
                    <w:jc w:val="right"/>
                    <w:rPr>
                      <w:lang w:eastAsia="zh-CN"/>
                    </w:rPr>
                  </w:pPr>
                  <w:r w:rsidRPr="007E1246">
                    <w:rPr>
                      <w:lang w:eastAsia="zh-CN"/>
                    </w:rPr>
                    <w:t xml:space="preserve">                     120,000,000 </w:t>
                  </w:r>
                </w:p>
              </w:tc>
            </w:tr>
            <w:tr w:rsidR="000C61A8" w:rsidRPr="007E1246" w14:paraId="59C258C6" w14:textId="77777777" w:rsidTr="003D05F2">
              <w:trPr>
                <w:trHeight w:val="300"/>
              </w:trPr>
              <w:tc>
                <w:tcPr>
                  <w:tcW w:w="3420" w:type="dxa"/>
                  <w:tcBorders>
                    <w:top w:val="single" w:sz="8" w:space="0" w:color="A6A6A6"/>
                    <w:left w:val="nil"/>
                    <w:bottom w:val="nil"/>
                    <w:right w:val="single" w:sz="8" w:space="0" w:color="A6A6A6"/>
                  </w:tcBorders>
                  <w:shd w:val="clear" w:color="auto" w:fill="002060"/>
                  <w:noWrap/>
                  <w:tcMar>
                    <w:top w:w="0" w:type="dxa"/>
                    <w:left w:w="108" w:type="dxa"/>
                    <w:bottom w:w="0" w:type="dxa"/>
                    <w:right w:w="108" w:type="dxa"/>
                  </w:tcMar>
                  <w:vAlign w:val="center"/>
                  <w:hideMark/>
                </w:tcPr>
                <w:p w14:paraId="35E89E52" w14:textId="77777777" w:rsidR="000C61A8" w:rsidRPr="000C61A8" w:rsidRDefault="000C61A8" w:rsidP="000C61A8">
                  <w:pPr>
                    <w:jc w:val="center"/>
                    <w:rPr>
                      <w:color w:val="000000" w:themeColor="text1"/>
                      <w:lang w:eastAsia="zh-CN"/>
                    </w:rPr>
                  </w:pPr>
                  <w:proofErr w:type="spellStart"/>
                  <w:r w:rsidRPr="000C61A8">
                    <w:rPr>
                      <w:color w:val="000000" w:themeColor="text1"/>
                      <w:lang w:eastAsia="zh-CN"/>
                    </w:rPr>
                    <w:t>ADNA</w:t>
                  </w:r>
                  <w:proofErr w:type="spellEnd"/>
                  <w:r w:rsidRPr="000C61A8">
                    <w:rPr>
                      <w:color w:val="000000" w:themeColor="text1"/>
                      <w:lang w:eastAsia="zh-CN"/>
                    </w:rPr>
                    <w:t xml:space="preserve"> &gt;= 4b</w:t>
                  </w:r>
                </w:p>
              </w:tc>
              <w:tc>
                <w:tcPr>
                  <w:tcW w:w="2334"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380E740D" w14:textId="77777777" w:rsidR="000C61A8" w:rsidRPr="000C61A8" w:rsidRDefault="000C61A8" w:rsidP="000C61A8">
                  <w:pPr>
                    <w:jc w:val="right"/>
                    <w:rPr>
                      <w:color w:val="000000" w:themeColor="text1"/>
                      <w:lang w:eastAsia="zh-CN"/>
                    </w:rPr>
                  </w:pPr>
                  <w:r w:rsidRPr="000C61A8">
                    <w:rPr>
                      <w:color w:val="000000" w:themeColor="text1"/>
                      <w:lang w:eastAsia="zh-CN"/>
                    </w:rPr>
                    <w:t xml:space="preserve">20,000,000 </w:t>
                  </w:r>
                </w:p>
              </w:tc>
              <w:tc>
                <w:tcPr>
                  <w:tcW w:w="2808"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1D86DC69" w14:textId="77777777" w:rsidR="000C61A8" w:rsidRPr="007E1246" w:rsidRDefault="000C61A8" w:rsidP="000C61A8">
                  <w:pPr>
                    <w:jc w:val="right"/>
                    <w:rPr>
                      <w:lang w:eastAsia="zh-CN"/>
                    </w:rPr>
                  </w:pPr>
                  <w:r w:rsidRPr="007E1246">
                    <w:rPr>
                      <w:lang w:eastAsia="zh-CN"/>
                    </w:rPr>
                    <w:t xml:space="preserve">                     160,000,000 </w:t>
                  </w:r>
                </w:p>
              </w:tc>
            </w:tr>
          </w:tbl>
          <w:p w14:paraId="18F5E6F8" w14:textId="77777777" w:rsidR="002C640A" w:rsidRPr="007E1246" w:rsidRDefault="002C640A" w:rsidP="002C640A">
            <w:pPr>
              <w:rPr>
                <w:rFonts w:eastAsiaTheme="minorHAnsi" w:cs="Calibri"/>
              </w:rPr>
            </w:pPr>
          </w:p>
          <w:tbl>
            <w:tblPr>
              <w:tblW w:w="8548" w:type="dxa"/>
              <w:tblInd w:w="12" w:type="dxa"/>
              <w:tblCellMar>
                <w:left w:w="0" w:type="dxa"/>
                <w:right w:w="0" w:type="dxa"/>
              </w:tblCellMar>
              <w:tblLook w:val="04A0" w:firstRow="1" w:lastRow="0" w:firstColumn="1" w:lastColumn="0" w:noHBand="0" w:noVBand="1"/>
            </w:tblPr>
            <w:tblGrid>
              <w:gridCol w:w="3452"/>
              <w:gridCol w:w="2506"/>
              <w:gridCol w:w="2590"/>
            </w:tblGrid>
            <w:tr w:rsidR="002C640A" w:rsidRPr="007E1246" w14:paraId="653B554D" w14:textId="77777777" w:rsidTr="002C640A">
              <w:trPr>
                <w:trHeight w:val="307"/>
              </w:trPr>
              <w:tc>
                <w:tcPr>
                  <w:tcW w:w="3452" w:type="dxa"/>
                  <w:vMerge w:val="restart"/>
                  <w:tcBorders>
                    <w:top w:val="single" w:sz="8" w:space="0" w:color="A6A6A6"/>
                    <w:left w:val="single" w:sz="8" w:space="0" w:color="A6A6A6"/>
                    <w:bottom w:val="single" w:sz="8" w:space="0" w:color="A6A6A6"/>
                    <w:right w:val="single" w:sz="8" w:space="0" w:color="A6A6A6"/>
                  </w:tcBorders>
                  <w:shd w:val="clear" w:color="auto" w:fill="FFFF00"/>
                  <w:tcMar>
                    <w:top w:w="0" w:type="dxa"/>
                    <w:left w:w="108" w:type="dxa"/>
                    <w:bottom w:w="0" w:type="dxa"/>
                    <w:right w:w="108" w:type="dxa"/>
                  </w:tcMar>
                  <w:vAlign w:val="center"/>
                  <w:hideMark/>
                </w:tcPr>
                <w:p w14:paraId="2CAA7D41" w14:textId="77777777" w:rsidR="002C640A" w:rsidRPr="000C61A8" w:rsidRDefault="002C640A" w:rsidP="002C640A">
                  <w:pPr>
                    <w:jc w:val="center"/>
                    <w:rPr>
                      <w:rFonts w:ascii="Calibri" w:hAnsi="Calibri"/>
                      <w:b/>
                      <w:bCs/>
                      <w:color w:val="000000" w:themeColor="text1"/>
                      <w:lang w:eastAsia="zh-CN"/>
                    </w:rPr>
                  </w:pPr>
                  <w:r w:rsidRPr="000C61A8">
                    <w:rPr>
                      <w:b/>
                      <w:bCs/>
                      <w:color w:val="000000" w:themeColor="text1"/>
                      <w:lang w:eastAsia="zh-CN"/>
                    </w:rPr>
                    <w:t>New Stock index Futures/Forwards</w:t>
                  </w:r>
                </w:p>
              </w:tc>
              <w:tc>
                <w:tcPr>
                  <w:tcW w:w="2506" w:type="dxa"/>
                  <w:tcBorders>
                    <w:top w:val="single" w:sz="8" w:space="0" w:color="A6A6A6"/>
                    <w:left w:val="nil"/>
                    <w:bottom w:val="single" w:sz="8" w:space="0" w:color="A6A6A6"/>
                    <w:right w:val="single" w:sz="8" w:space="0" w:color="A6A6A6"/>
                  </w:tcBorders>
                  <w:shd w:val="clear" w:color="auto" w:fill="002060"/>
                  <w:noWrap/>
                  <w:tcMar>
                    <w:top w:w="0" w:type="dxa"/>
                    <w:left w:w="108" w:type="dxa"/>
                    <w:bottom w:w="0" w:type="dxa"/>
                    <w:right w:w="108" w:type="dxa"/>
                  </w:tcMar>
                  <w:vAlign w:val="bottom"/>
                  <w:hideMark/>
                </w:tcPr>
                <w:p w14:paraId="2393F331" w14:textId="77777777" w:rsidR="002C640A" w:rsidRPr="000C61A8" w:rsidRDefault="002C640A" w:rsidP="002C640A">
                  <w:pPr>
                    <w:jc w:val="center"/>
                    <w:rPr>
                      <w:color w:val="000000" w:themeColor="text1"/>
                      <w:lang w:eastAsia="zh-CN"/>
                    </w:rPr>
                  </w:pPr>
                  <w:r w:rsidRPr="000C61A8">
                    <w:rPr>
                      <w:color w:val="000000" w:themeColor="text1"/>
                      <w:lang w:eastAsia="zh-CN"/>
                    </w:rPr>
                    <w:t>LIS Pre Trade</w:t>
                  </w:r>
                </w:p>
              </w:tc>
              <w:tc>
                <w:tcPr>
                  <w:tcW w:w="2590" w:type="dxa"/>
                  <w:tcBorders>
                    <w:top w:val="single" w:sz="8" w:space="0" w:color="A6A6A6"/>
                    <w:left w:val="nil"/>
                    <w:bottom w:val="single" w:sz="8" w:space="0" w:color="A6A6A6"/>
                    <w:right w:val="single" w:sz="8" w:space="0" w:color="A6A6A6"/>
                  </w:tcBorders>
                  <w:shd w:val="clear" w:color="auto" w:fill="002060"/>
                  <w:noWrap/>
                  <w:tcMar>
                    <w:top w:w="0" w:type="dxa"/>
                    <w:left w:w="108" w:type="dxa"/>
                    <w:bottom w:w="0" w:type="dxa"/>
                    <w:right w:w="108" w:type="dxa"/>
                  </w:tcMar>
                  <w:vAlign w:val="bottom"/>
                  <w:hideMark/>
                </w:tcPr>
                <w:p w14:paraId="7DE56AB3" w14:textId="77777777" w:rsidR="002C640A" w:rsidRPr="000C61A8" w:rsidRDefault="002C640A" w:rsidP="002C640A">
                  <w:pPr>
                    <w:jc w:val="center"/>
                    <w:rPr>
                      <w:color w:val="000000" w:themeColor="text1"/>
                      <w:lang w:eastAsia="zh-CN"/>
                    </w:rPr>
                  </w:pPr>
                  <w:r w:rsidRPr="000C61A8">
                    <w:rPr>
                      <w:color w:val="000000" w:themeColor="text1"/>
                      <w:lang w:eastAsia="zh-CN"/>
                    </w:rPr>
                    <w:t xml:space="preserve">LIS Post Trade </w:t>
                  </w:r>
                </w:p>
              </w:tc>
            </w:tr>
            <w:tr w:rsidR="002C640A" w:rsidRPr="007E1246" w14:paraId="7890783B" w14:textId="77777777" w:rsidTr="002C640A">
              <w:trPr>
                <w:trHeight w:val="307"/>
              </w:trPr>
              <w:tc>
                <w:tcPr>
                  <w:tcW w:w="3452" w:type="dxa"/>
                  <w:vMerge/>
                  <w:tcBorders>
                    <w:top w:val="single" w:sz="8" w:space="0" w:color="A6A6A6"/>
                    <w:left w:val="single" w:sz="8" w:space="0" w:color="A6A6A6"/>
                    <w:bottom w:val="single" w:sz="8" w:space="0" w:color="A6A6A6"/>
                    <w:right w:val="single" w:sz="8" w:space="0" w:color="A6A6A6"/>
                  </w:tcBorders>
                  <w:vAlign w:val="center"/>
                  <w:hideMark/>
                </w:tcPr>
                <w:p w14:paraId="304469FA" w14:textId="77777777" w:rsidR="002C640A" w:rsidRPr="000C61A8" w:rsidRDefault="002C640A" w:rsidP="002C640A">
                  <w:pPr>
                    <w:rPr>
                      <w:rFonts w:ascii="Calibri" w:eastAsiaTheme="minorHAnsi" w:hAnsi="Calibri" w:cs="Calibri"/>
                      <w:color w:val="000000" w:themeColor="text1"/>
                      <w:lang w:eastAsia="zh-CN"/>
                    </w:rPr>
                  </w:pPr>
                </w:p>
              </w:tc>
              <w:tc>
                <w:tcPr>
                  <w:tcW w:w="2506" w:type="dxa"/>
                  <w:tcBorders>
                    <w:top w:val="nil"/>
                    <w:left w:val="nil"/>
                    <w:bottom w:val="single" w:sz="8" w:space="0" w:color="A6A6A6"/>
                    <w:right w:val="single" w:sz="8" w:space="0" w:color="A6A6A6"/>
                  </w:tcBorders>
                  <w:shd w:val="clear" w:color="auto" w:fill="002060"/>
                  <w:noWrap/>
                  <w:tcMar>
                    <w:top w:w="0" w:type="dxa"/>
                    <w:left w:w="108" w:type="dxa"/>
                    <w:bottom w:w="0" w:type="dxa"/>
                    <w:right w:w="108" w:type="dxa"/>
                  </w:tcMar>
                  <w:vAlign w:val="bottom"/>
                  <w:hideMark/>
                </w:tcPr>
                <w:p w14:paraId="4BA27117" w14:textId="77777777" w:rsidR="002C640A" w:rsidRPr="000C61A8" w:rsidRDefault="002C640A" w:rsidP="002C640A">
                  <w:pPr>
                    <w:jc w:val="center"/>
                    <w:rPr>
                      <w:color w:val="000000" w:themeColor="text1"/>
                      <w:lang w:eastAsia="zh-CN"/>
                    </w:rPr>
                  </w:pPr>
                  <w:r w:rsidRPr="000C61A8">
                    <w:rPr>
                      <w:color w:val="000000" w:themeColor="text1"/>
                      <w:lang w:eastAsia="zh-CN"/>
                    </w:rPr>
                    <w:t>RTS 2 Threshold</w:t>
                  </w:r>
                </w:p>
              </w:tc>
              <w:tc>
                <w:tcPr>
                  <w:tcW w:w="2590" w:type="dxa"/>
                  <w:tcBorders>
                    <w:top w:val="nil"/>
                    <w:left w:val="nil"/>
                    <w:bottom w:val="single" w:sz="8" w:space="0" w:color="A6A6A6"/>
                    <w:right w:val="single" w:sz="8" w:space="0" w:color="A6A6A6"/>
                  </w:tcBorders>
                  <w:shd w:val="clear" w:color="auto" w:fill="002060"/>
                  <w:noWrap/>
                  <w:tcMar>
                    <w:top w:w="0" w:type="dxa"/>
                    <w:left w:w="108" w:type="dxa"/>
                    <w:bottom w:w="0" w:type="dxa"/>
                    <w:right w:w="108" w:type="dxa"/>
                  </w:tcMar>
                  <w:vAlign w:val="bottom"/>
                  <w:hideMark/>
                </w:tcPr>
                <w:p w14:paraId="31D94DF5" w14:textId="77777777" w:rsidR="002C640A" w:rsidRPr="000C61A8" w:rsidRDefault="002C640A" w:rsidP="002C640A">
                  <w:pPr>
                    <w:jc w:val="center"/>
                    <w:rPr>
                      <w:color w:val="000000" w:themeColor="text1"/>
                      <w:lang w:eastAsia="zh-CN"/>
                    </w:rPr>
                  </w:pPr>
                  <w:r w:rsidRPr="000C61A8">
                    <w:rPr>
                      <w:color w:val="000000" w:themeColor="text1"/>
                      <w:lang w:eastAsia="zh-CN"/>
                    </w:rPr>
                    <w:t>RTS 2 Threshold</w:t>
                  </w:r>
                </w:p>
              </w:tc>
            </w:tr>
            <w:tr w:rsidR="002C640A" w:rsidRPr="007E1246" w14:paraId="756B7637" w14:textId="77777777" w:rsidTr="002C640A">
              <w:trPr>
                <w:trHeight w:val="307"/>
              </w:trPr>
              <w:tc>
                <w:tcPr>
                  <w:tcW w:w="3452" w:type="dxa"/>
                  <w:tcBorders>
                    <w:top w:val="nil"/>
                    <w:left w:val="single" w:sz="8" w:space="0" w:color="A6A6A6"/>
                    <w:bottom w:val="single" w:sz="8" w:space="0" w:color="A6A6A6"/>
                    <w:right w:val="single" w:sz="8" w:space="0" w:color="A6A6A6"/>
                  </w:tcBorders>
                  <w:shd w:val="clear" w:color="auto" w:fill="002060"/>
                  <w:noWrap/>
                  <w:tcMar>
                    <w:top w:w="0" w:type="dxa"/>
                    <w:left w:w="108" w:type="dxa"/>
                    <w:bottom w:w="0" w:type="dxa"/>
                    <w:right w:w="108" w:type="dxa"/>
                  </w:tcMar>
                  <w:vAlign w:val="bottom"/>
                  <w:hideMark/>
                </w:tcPr>
                <w:p w14:paraId="59617388" w14:textId="77777777" w:rsidR="002C640A" w:rsidRPr="000C61A8" w:rsidRDefault="002C640A" w:rsidP="002C640A">
                  <w:pPr>
                    <w:jc w:val="center"/>
                    <w:rPr>
                      <w:color w:val="000000" w:themeColor="text1"/>
                      <w:lang w:eastAsia="zh-CN"/>
                    </w:rPr>
                  </w:pPr>
                  <w:r w:rsidRPr="000C61A8">
                    <w:rPr>
                      <w:color w:val="000000" w:themeColor="text1"/>
                      <w:lang w:eastAsia="zh-CN"/>
                    </w:rPr>
                    <w:t>&lt;100 m</w:t>
                  </w:r>
                </w:p>
              </w:tc>
              <w:tc>
                <w:tcPr>
                  <w:tcW w:w="2506" w:type="dxa"/>
                  <w:tcBorders>
                    <w:top w:val="nil"/>
                    <w:left w:val="nil"/>
                    <w:bottom w:val="single" w:sz="8" w:space="0" w:color="A6A6A6"/>
                    <w:right w:val="single" w:sz="8" w:space="0" w:color="A6A6A6"/>
                  </w:tcBorders>
                  <w:shd w:val="clear" w:color="auto" w:fill="E2EFDA"/>
                  <w:noWrap/>
                  <w:tcMar>
                    <w:top w:w="0" w:type="dxa"/>
                    <w:left w:w="108" w:type="dxa"/>
                    <w:bottom w:w="0" w:type="dxa"/>
                    <w:right w:w="108" w:type="dxa"/>
                  </w:tcMar>
                  <w:vAlign w:val="bottom"/>
                  <w:hideMark/>
                </w:tcPr>
                <w:p w14:paraId="0A9A0B3E" w14:textId="77777777" w:rsidR="002C640A" w:rsidRPr="000C61A8" w:rsidRDefault="002C640A" w:rsidP="002C640A">
                  <w:pPr>
                    <w:jc w:val="right"/>
                    <w:rPr>
                      <w:color w:val="000000" w:themeColor="text1"/>
                      <w:lang w:eastAsia="zh-CN"/>
                    </w:rPr>
                  </w:pPr>
                  <w:r w:rsidRPr="000C61A8">
                    <w:rPr>
                      <w:color w:val="000000" w:themeColor="text1"/>
                      <w:lang w:eastAsia="zh-CN"/>
                    </w:rPr>
                    <w:t xml:space="preserve">                       25,000 </w:t>
                  </w:r>
                </w:p>
              </w:tc>
              <w:tc>
                <w:tcPr>
                  <w:tcW w:w="2590" w:type="dxa"/>
                  <w:tcBorders>
                    <w:top w:val="nil"/>
                    <w:left w:val="nil"/>
                    <w:bottom w:val="single" w:sz="8" w:space="0" w:color="A6A6A6"/>
                    <w:right w:val="single" w:sz="8" w:space="0" w:color="A6A6A6"/>
                  </w:tcBorders>
                  <w:shd w:val="clear" w:color="auto" w:fill="E2EFDA"/>
                  <w:noWrap/>
                  <w:tcMar>
                    <w:top w:w="0" w:type="dxa"/>
                    <w:left w:w="108" w:type="dxa"/>
                    <w:bottom w:w="0" w:type="dxa"/>
                    <w:right w:w="108" w:type="dxa"/>
                  </w:tcMar>
                  <w:vAlign w:val="bottom"/>
                  <w:hideMark/>
                </w:tcPr>
                <w:p w14:paraId="52ADED0A" w14:textId="77777777" w:rsidR="002C640A" w:rsidRPr="000C61A8" w:rsidRDefault="002C640A" w:rsidP="002C640A">
                  <w:pPr>
                    <w:jc w:val="right"/>
                    <w:rPr>
                      <w:color w:val="000000" w:themeColor="text1"/>
                      <w:lang w:eastAsia="zh-CN"/>
                    </w:rPr>
                  </w:pPr>
                  <w:r w:rsidRPr="000C61A8">
                    <w:rPr>
                      <w:color w:val="000000" w:themeColor="text1"/>
                      <w:lang w:eastAsia="zh-CN"/>
                    </w:rPr>
                    <w:t xml:space="preserve">  1,500,000 </w:t>
                  </w:r>
                </w:p>
              </w:tc>
            </w:tr>
            <w:tr w:rsidR="002C640A" w:rsidRPr="007E1246" w14:paraId="672582EE" w14:textId="77777777" w:rsidTr="002C640A">
              <w:trPr>
                <w:trHeight w:val="307"/>
              </w:trPr>
              <w:tc>
                <w:tcPr>
                  <w:tcW w:w="3452" w:type="dxa"/>
                  <w:tcBorders>
                    <w:top w:val="nil"/>
                    <w:left w:val="single" w:sz="8" w:space="0" w:color="A6A6A6"/>
                    <w:bottom w:val="single" w:sz="8" w:space="0" w:color="A6A6A6"/>
                    <w:right w:val="single" w:sz="8" w:space="0" w:color="A6A6A6"/>
                  </w:tcBorders>
                  <w:shd w:val="clear" w:color="auto" w:fill="002060"/>
                  <w:noWrap/>
                  <w:tcMar>
                    <w:top w:w="0" w:type="dxa"/>
                    <w:left w:w="108" w:type="dxa"/>
                    <w:bottom w:w="0" w:type="dxa"/>
                    <w:right w:w="108" w:type="dxa"/>
                  </w:tcMar>
                  <w:vAlign w:val="bottom"/>
                  <w:hideMark/>
                </w:tcPr>
                <w:p w14:paraId="36A3172A" w14:textId="77777777" w:rsidR="002C640A" w:rsidRPr="000C61A8" w:rsidRDefault="002C640A" w:rsidP="002C640A">
                  <w:pPr>
                    <w:jc w:val="center"/>
                    <w:rPr>
                      <w:color w:val="000000" w:themeColor="text1"/>
                      <w:lang w:eastAsia="zh-CN"/>
                    </w:rPr>
                  </w:pPr>
                  <w:r w:rsidRPr="000C61A8">
                    <w:rPr>
                      <w:color w:val="000000" w:themeColor="text1"/>
                      <w:lang w:eastAsia="zh-CN"/>
                    </w:rPr>
                    <w:t>100m&lt;=</w:t>
                  </w:r>
                  <w:proofErr w:type="spellStart"/>
                  <w:r w:rsidRPr="000C61A8">
                    <w:rPr>
                      <w:color w:val="000000" w:themeColor="text1"/>
                      <w:lang w:eastAsia="zh-CN"/>
                    </w:rPr>
                    <w:t>ADNA</w:t>
                  </w:r>
                  <w:proofErr w:type="spellEnd"/>
                  <w:r w:rsidRPr="000C61A8">
                    <w:rPr>
                      <w:color w:val="000000" w:themeColor="text1"/>
                      <w:lang w:eastAsia="zh-CN"/>
                    </w:rPr>
                    <w:t>&lt;=1b</w:t>
                  </w:r>
                </w:p>
              </w:tc>
              <w:tc>
                <w:tcPr>
                  <w:tcW w:w="2506" w:type="dxa"/>
                  <w:tcBorders>
                    <w:top w:val="nil"/>
                    <w:left w:val="nil"/>
                    <w:bottom w:val="single" w:sz="8" w:space="0" w:color="A6A6A6"/>
                    <w:right w:val="single" w:sz="8" w:space="0" w:color="A6A6A6"/>
                  </w:tcBorders>
                  <w:shd w:val="clear" w:color="auto" w:fill="E2EFDA"/>
                  <w:noWrap/>
                  <w:tcMar>
                    <w:top w:w="0" w:type="dxa"/>
                    <w:left w:w="108" w:type="dxa"/>
                    <w:bottom w:w="0" w:type="dxa"/>
                    <w:right w:w="108" w:type="dxa"/>
                  </w:tcMar>
                  <w:vAlign w:val="bottom"/>
                  <w:hideMark/>
                </w:tcPr>
                <w:p w14:paraId="29BC716A" w14:textId="77777777" w:rsidR="002C640A" w:rsidRPr="000C61A8" w:rsidRDefault="002C640A" w:rsidP="002C640A">
                  <w:pPr>
                    <w:jc w:val="right"/>
                    <w:rPr>
                      <w:color w:val="000000" w:themeColor="text1"/>
                      <w:lang w:eastAsia="zh-CN"/>
                    </w:rPr>
                  </w:pPr>
                  <w:r w:rsidRPr="000C61A8">
                    <w:rPr>
                      <w:color w:val="000000" w:themeColor="text1"/>
                      <w:lang w:eastAsia="zh-CN"/>
                    </w:rPr>
                    <w:t xml:space="preserve">550,000 </w:t>
                  </w:r>
                </w:p>
              </w:tc>
              <w:tc>
                <w:tcPr>
                  <w:tcW w:w="2590" w:type="dxa"/>
                  <w:tcBorders>
                    <w:top w:val="nil"/>
                    <w:left w:val="nil"/>
                    <w:bottom w:val="single" w:sz="8" w:space="0" w:color="A6A6A6"/>
                    <w:right w:val="single" w:sz="8" w:space="0" w:color="A6A6A6"/>
                  </w:tcBorders>
                  <w:shd w:val="clear" w:color="auto" w:fill="E2EFDA"/>
                  <w:noWrap/>
                  <w:tcMar>
                    <w:top w:w="0" w:type="dxa"/>
                    <w:left w:w="108" w:type="dxa"/>
                    <w:bottom w:w="0" w:type="dxa"/>
                    <w:right w:w="108" w:type="dxa"/>
                  </w:tcMar>
                  <w:vAlign w:val="bottom"/>
                  <w:hideMark/>
                </w:tcPr>
                <w:p w14:paraId="3D57AA1A" w14:textId="77777777" w:rsidR="002C640A" w:rsidRPr="000C61A8" w:rsidRDefault="002C640A" w:rsidP="002C640A">
                  <w:pPr>
                    <w:jc w:val="right"/>
                    <w:rPr>
                      <w:color w:val="000000" w:themeColor="text1"/>
                      <w:lang w:eastAsia="zh-CN"/>
                    </w:rPr>
                  </w:pPr>
                  <w:r w:rsidRPr="000C61A8">
                    <w:rPr>
                      <w:color w:val="000000" w:themeColor="text1"/>
                      <w:lang w:eastAsia="zh-CN"/>
                    </w:rPr>
                    <w:t xml:space="preserve">  5,500,000 </w:t>
                  </w:r>
                </w:p>
              </w:tc>
            </w:tr>
            <w:tr w:rsidR="002C640A" w:rsidRPr="007E1246" w14:paraId="2469BC6A" w14:textId="77777777" w:rsidTr="002C640A">
              <w:trPr>
                <w:trHeight w:val="307"/>
              </w:trPr>
              <w:tc>
                <w:tcPr>
                  <w:tcW w:w="3452" w:type="dxa"/>
                  <w:tcBorders>
                    <w:top w:val="nil"/>
                    <w:left w:val="single" w:sz="8" w:space="0" w:color="A6A6A6"/>
                    <w:bottom w:val="single" w:sz="8" w:space="0" w:color="A6A6A6"/>
                    <w:right w:val="single" w:sz="8" w:space="0" w:color="A6A6A6"/>
                  </w:tcBorders>
                  <w:shd w:val="clear" w:color="auto" w:fill="002060"/>
                  <w:noWrap/>
                  <w:tcMar>
                    <w:top w:w="0" w:type="dxa"/>
                    <w:left w:w="108" w:type="dxa"/>
                    <w:bottom w:w="0" w:type="dxa"/>
                    <w:right w:w="108" w:type="dxa"/>
                  </w:tcMar>
                  <w:hideMark/>
                </w:tcPr>
                <w:p w14:paraId="251CDC59" w14:textId="77777777" w:rsidR="002C640A" w:rsidRPr="000C61A8" w:rsidRDefault="002C640A" w:rsidP="002C640A">
                  <w:pPr>
                    <w:jc w:val="center"/>
                    <w:rPr>
                      <w:color w:val="000000" w:themeColor="text1"/>
                      <w:lang w:eastAsia="zh-CN"/>
                    </w:rPr>
                  </w:pPr>
                  <w:r w:rsidRPr="000C61A8">
                    <w:rPr>
                      <w:color w:val="000000" w:themeColor="text1"/>
                      <w:lang w:eastAsia="zh-CN"/>
                    </w:rPr>
                    <w:t>1b&lt;=</w:t>
                  </w:r>
                  <w:proofErr w:type="spellStart"/>
                  <w:r w:rsidRPr="000C61A8">
                    <w:rPr>
                      <w:color w:val="000000" w:themeColor="text1"/>
                      <w:lang w:eastAsia="zh-CN"/>
                    </w:rPr>
                    <w:t>ADNA</w:t>
                  </w:r>
                  <w:proofErr w:type="spellEnd"/>
                  <w:r w:rsidRPr="000C61A8">
                    <w:rPr>
                      <w:color w:val="000000" w:themeColor="text1"/>
                      <w:lang w:eastAsia="zh-CN"/>
                    </w:rPr>
                    <w:t>&lt;=2b</w:t>
                  </w:r>
                </w:p>
              </w:tc>
              <w:tc>
                <w:tcPr>
                  <w:tcW w:w="2506"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5F3E0DC9" w14:textId="77777777" w:rsidR="002C640A" w:rsidRPr="000C61A8" w:rsidRDefault="002C640A" w:rsidP="002C640A">
                  <w:pPr>
                    <w:jc w:val="right"/>
                    <w:rPr>
                      <w:color w:val="000000" w:themeColor="text1"/>
                      <w:lang w:eastAsia="zh-CN"/>
                    </w:rPr>
                  </w:pPr>
                  <w:r w:rsidRPr="000C61A8">
                    <w:rPr>
                      <w:color w:val="000000" w:themeColor="text1"/>
                      <w:lang w:eastAsia="zh-CN"/>
                    </w:rPr>
                    <w:t xml:space="preserve">2,500,000 </w:t>
                  </w:r>
                </w:p>
              </w:tc>
              <w:tc>
                <w:tcPr>
                  <w:tcW w:w="2590"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6AA3AE7C" w14:textId="77777777" w:rsidR="002C640A" w:rsidRPr="000C61A8" w:rsidRDefault="002C640A" w:rsidP="002C640A">
                  <w:pPr>
                    <w:jc w:val="right"/>
                    <w:rPr>
                      <w:color w:val="000000" w:themeColor="text1"/>
                      <w:lang w:eastAsia="zh-CN"/>
                    </w:rPr>
                  </w:pPr>
                  <w:r w:rsidRPr="000C61A8">
                    <w:rPr>
                      <w:color w:val="000000" w:themeColor="text1"/>
                      <w:lang w:eastAsia="zh-CN"/>
                    </w:rPr>
                    <w:t xml:space="preserve">25,000,000 </w:t>
                  </w:r>
                </w:p>
              </w:tc>
            </w:tr>
            <w:tr w:rsidR="002C640A" w:rsidRPr="007E1246" w14:paraId="53136AE3" w14:textId="77777777" w:rsidTr="002C640A">
              <w:trPr>
                <w:trHeight w:val="307"/>
              </w:trPr>
              <w:tc>
                <w:tcPr>
                  <w:tcW w:w="3452" w:type="dxa"/>
                  <w:tcBorders>
                    <w:top w:val="nil"/>
                    <w:left w:val="single" w:sz="8" w:space="0" w:color="A6A6A6"/>
                    <w:bottom w:val="single" w:sz="8" w:space="0" w:color="A6A6A6"/>
                    <w:right w:val="single" w:sz="8" w:space="0" w:color="A6A6A6"/>
                  </w:tcBorders>
                  <w:shd w:val="clear" w:color="auto" w:fill="002060"/>
                  <w:noWrap/>
                  <w:tcMar>
                    <w:top w:w="0" w:type="dxa"/>
                    <w:left w:w="108" w:type="dxa"/>
                    <w:bottom w:w="0" w:type="dxa"/>
                    <w:right w:w="108" w:type="dxa"/>
                  </w:tcMar>
                  <w:hideMark/>
                </w:tcPr>
                <w:p w14:paraId="076E0188" w14:textId="77777777" w:rsidR="002C640A" w:rsidRPr="000C61A8" w:rsidRDefault="002C640A" w:rsidP="002C640A">
                  <w:pPr>
                    <w:jc w:val="center"/>
                    <w:rPr>
                      <w:color w:val="000000" w:themeColor="text1"/>
                      <w:lang w:eastAsia="zh-CN"/>
                    </w:rPr>
                  </w:pPr>
                  <w:r w:rsidRPr="000C61A8">
                    <w:rPr>
                      <w:color w:val="000000" w:themeColor="text1"/>
                      <w:lang w:eastAsia="zh-CN"/>
                    </w:rPr>
                    <w:t>2b&lt;=</w:t>
                  </w:r>
                  <w:proofErr w:type="spellStart"/>
                  <w:r w:rsidRPr="000C61A8">
                    <w:rPr>
                      <w:color w:val="000000" w:themeColor="text1"/>
                      <w:lang w:eastAsia="zh-CN"/>
                    </w:rPr>
                    <w:t>ADNA</w:t>
                  </w:r>
                  <w:proofErr w:type="spellEnd"/>
                  <w:r w:rsidRPr="000C61A8">
                    <w:rPr>
                      <w:color w:val="000000" w:themeColor="text1"/>
                      <w:lang w:eastAsia="zh-CN"/>
                    </w:rPr>
                    <w:t>&lt;=3b</w:t>
                  </w:r>
                </w:p>
              </w:tc>
              <w:tc>
                <w:tcPr>
                  <w:tcW w:w="2506"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223D7BC6" w14:textId="77777777" w:rsidR="002C640A" w:rsidRPr="000C61A8" w:rsidRDefault="002C640A" w:rsidP="002C640A">
                  <w:pPr>
                    <w:jc w:val="right"/>
                    <w:rPr>
                      <w:color w:val="000000" w:themeColor="text1"/>
                      <w:lang w:eastAsia="zh-CN"/>
                    </w:rPr>
                  </w:pPr>
                  <w:r w:rsidRPr="000C61A8">
                    <w:rPr>
                      <w:color w:val="000000" w:themeColor="text1"/>
                      <w:lang w:eastAsia="zh-CN"/>
                    </w:rPr>
                    <w:t>5,500,000</w:t>
                  </w:r>
                </w:p>
              </w:tc>
              <w:tc>
                <w:tcPr>
                  <w:tcW w:w="2590"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2BC22BB4" w14:textId="77777777" w:rsidR="002C640A" w:rsidRPr="000C61A8" w:rsidRDefault="002C640A" w:rsidP="002C640A">
                  <w:pPr>
                    <w:jc w:val="right"/>
                    <w:rPr>
                      <w:color w:val="000000" w:themeColor="text1"/>
                      <w:lang w:eastAsia="zh-CN"/>
                    </w:rPr>
                  </w:pPr>
                  <w:r w:rsidRPr="000C61A8">
                    <w:rPr>
                      <w:color w:val="000000" w:themeColor="text1"/>
                      <w:lang w:eastAsia="zh-CN"/>
                    </w:rPr>
                    <w:t>55,000,000</w:t>
                  </w:r>
                </w:p>
              </w:tc>
            </w:tr>
            <w:tr w:rsidR="002C640A" w:rsidRPr="007E1246" w14:paraId="2977DBB5" w14:textId="77777777" w:rsidTr="002C640A">
              <w:trPr>
                <w:trHeight w:val="307"/>
              </w:trPr>
              <w:tc>
                <w:tcPr>
                  <w:tcW w:w="3452" w:type="dxa"/>
                  <w:tcBorders>
                    <w:top w:val="nil"/>
                    <w:left w:val="single" w:sz="8" w:space="0" w:color="A6A6A6"/>
                    <w:bottom w:val="single" w:sz="8" w:space="0" w:color="A6A6A6"/>
                    <w:right w:val="single" w:sz="8" w:space="0" w:color="A6A6A6"/>
                  </w:tcBorders>
                  <w:shd w:val="clear" w:color="auto" w:fill="002060"/>
                  <w:noWrap/>
                  <w:tcMar>
                    <w:top w:w="0" w:type="dxa"/>
                    <w:left w:w="108" w:type="dxa"/>
                    <w:bottom w:w="0" w:type="dxa"/>
                    <w:right w:w="108" w:type="dxa"/>
                  </w:tcMar>
                  <w:hideMark/>
                </w:tcPr>
                <w:p w14:paraId="2AF85FC8" w14:textId="77777777" w:rsidR="002C640A" w:rsidRPr="000C61A8" w:rsidRDefault="002C640A" w:rsidP="002C640A">
                  <w:pPr>
                    <w:jc w:val="center"/>
                    <w:rPr>
                      <w:color w:val="000000" w:themeColor="text1"/>
                      <w:lang w:eastAsia="zh-CN"/>
                    </w:rPr>
                  </w:pPr>
                  <w:r w:rsidRPr="000C61A8">
                    <w:rPr>
                      <w:color w:val="000000" w:themeColor="text1"/>
                      <w:lang w:eastAsia="zh-CN"/>
                    </w:rPr>
                    <w:t>3b&lt;=</w:t>
                  </w:r>
                  <w:proofErr w:type="spellStart"/>
                  <w:r w:rsidRPr="000C61A8">
                    <w:rPr>
                      <w:color w:val="000000" w:themeColor="text1"/>
                      <w:lang w:eastAsia="zh-CN"/>
                    </w:rPr>
                    <w:t>ADNA</w:t>
                  </w:r>
                  <w:proofErr w:type="spellEnd"/>
                  <w:r w:rsidRPr="000C61A8">
                    <w:rPr>
                      <w:color w:val="000000" w:themeColor="text1"/>
                      <w:lang w:eastAsia="zh-CN"/>
                    </w:rPr>
                    <w:t>&lt;=5b</w:t>
                  </w:r>
                </w:p>
              </w:tc>
              <w:tc>
                <w:tcPr>
                  <w:tcW w:w="2506"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157F42EA" w14:textId="77777777" w:rsidR="002C640A" w:rsidRPr="000C61A8" w:rsidRDefault="002C640A" w:rsidP="002C640A">
                  <w:pPr>
                    <w:jc w:val="right"/>
                    <w:rPr>
                      <w:color w:val="000000" w:themeColor="text1"/>
                      <w:lang w:eastAsia="zh-CN"/>
                    </w:rPr>
                  </w:pPr>
                  <w:r w:rsidRPr="000C61A8">
                    <w:rPr>
                      <w:color w:val="000000" w:themeColor="text1"/>
                      <w:lang w:eastAsia="zh-CN"/>
                    </w:rPr>
                    <w:t xml:space="preserve">   7,500,000 </w:t>
                  </w:r>
                </w:p>
              </w:tc>
              <w:tc>
                <w:tcPr>
                  <w:tcW w:w="2590" w:type="dxa"/>
                  <w:tcBorders>
                    <w:top w:val="nil"/>
                    <w:left w:val="nil"/>
                    <w:bottom w:val="single" w:sz="8" w:space="0" w:color="A6A6A6"/>
                    <w:right w:val="single" w:sz="8" w:space="0" w:color="A6A6A6"/>
                  </w:tcBorders>
                  <w:shd w:val="clear" w:color="auto" w:fill="FDE9D9" w:themeFill="accent6" w:themeFillTint="33"/>
                  <w:noWrap/>
                  <w:tcMar>
                    <w:top w:w="0" w:type="dxa"/>
                    <w:left w:w="108" w:type="dxa"/>
                    <w:bottom w:w="0" w:type="dxa"/>
                    <w:right w:w="108" w:type="dxa"/>
                  </w:tcMar>
                  <w:vAlign w:val="bottom"/>
                  <w:hideMark/>
                </w:tcPr>
                <w:p w14:paraId="4E36DAE1" w14:textId="77777777" w:rsidR="002C640A" w:rsidRPr="000C61A8" w:rsidRDefault="002C640A" w:rsidP="002C640A">
                  <w:pPr>
                    <w:jc w:val="right"/>
                    <w:rPr>
                      <w:color w:val="000000" w:themeColor="text1"/>
                      <w:lang w:eastAsia="zh-CN"/>
                    </w:rPr>
                  </w:pPr>
                  <w:r w:rsidRPr="000C61A8">
                    <w:rPr>
                      <w:color w:val="000000" w:themeColor="text1"/>
                      <w:lang w:eastAsia="zh-CN"/>
                    </w:rPr>
                    <w:t xml:space="preserve">75,000,000 </w:t>
                  </w:r>
                </w:p>
              </w:tc>
            </w:tr>
            <w:tr w:rsidR="002C640A" w:rsidRPr="007E1246" w14:paraId="1D9D4B37" w14:textId="77777777" w:rsidTr="002C640A">
              <w:trPr>
                <w:trHeight w:val="307"/>
              </w:trPr>
              <w:tc>
                <w:tcPr>
                  <w:tcW w:w="3452" w:type="dxa"/>
                  <w:tcBorders>
                    <w:top w:val="nil"/>
                    <w:left w:val="single" w:sz="8" w:space="0" w:color="A6A6A6"/>
                    <w:bottom w:val="nil"/>
                    <w:right w:val="single" w:sz="8" w:space="0" w:color="A6A6A6"/>
                  </w:tcBorders>
                  <w:shd w:val="clear" w:color="auto" w:fill="002060"/>
                  <w:noWrap/>
                  <w:tcMar>
                    <w:top w:w="0" w:type="dxa"/>
                    <w:left w:w="108" w:type="dxa"/>
                    <w:bottom w:w="0" w:type="dxa"/>
                    <w:right w:w="108" w:type="dxa"/>
                  </w:tcMar>
                  <w:hideMark/>
                </w:tcPr>
                <w:p w14:paraId="76346CCB" w14:textId="77777777" w:rsidR="002C640A" w:rsidRPr="000C61A8" w:rsidRDefault="002C640A" w:rsidP="002C640A">
                  <w:pPr>
                    <w:jc w:val="center"/>
                    <w:rPr>
                      <w:color w:val="000000" w:themeColor="text1"/>
                      <w:lang w:eastAsia="zh-CN"/>
                    </w:rPr>
                  </w:pPr>
                  <w:r w:rsidRPr="000C61A8">
                    <w:rPr>
                      <w:color w:val="000000" w:themeColor="text1"/>
                      <w:lang w:eastAsia="zh-CN"/>
                    </w:rPr>
                    <w:t>5b&lt;=</w:t>
                  </w:r>
                  <w:proofErr w:type="spellStart"/>
                  <w:r w:rsidRPr="000C61A8">
                    <w:rPr>
                      <w:color w:val="000000" w:themeColor="text1"/>
                      <w:lang w:eastAsia="zh-CN"/>
                    </w:rPr>
                    <w:t>ADNA</w:t>
                  </w:r>
                  <w:proofErr w:type="spellEnd"/>
                  <w:r w:rsidRPr="000C61A8">
                    <w:rPr>
                      <w:color w:val="000000" w:themeColor="text1"/>
                      <w:lang w:eastAsia="zh-CN"/>
                    </w:rPr>
                    <w:t>&lt;=10b</w:t>
                  </w:r>
                </w:p>
              </w:tc>
              <w:tc>
                <w:tcPr>
                  <w:tcW w:w="2506" w:type="dxa"/>
                  <w:tcBorders>
                    <w:top w:val="nil"/>
                    <w:left w:val="nil"/>
                    <w:bottom w:val="single" w:sz="8" w:space="0" w:color="A6A6A6"/>
                    <w:right w:val="single" w:sz="8" w:space="0" w:color="A6A6A6"/>
                  </w:tcBorders>
                  <w:shd w:val="clear" w:color="auto" w:fill="E2EFDA"/>
                  <w:noWrap/>
                  <w:tcMar>
                    <w:top w:w="0" w:type="dxa"/>
                    <w:left w:w="108" w:type="dxa"/>
                    <w:bottom w:w="0" w:type="dxa"/>
                    <w:right w:w="108" w:type="dxa"/>
                  </w:tcMar>
                  <w:vAlign w:val="bottom"/>
                  <w:hideMark/>
                </w:tcPr>
                <w:p w14:paraId="543E90DF" w14:textId="77777777" w:rsidR="002C640A" w:rsidRPr="000C61A8" w:rsidRDefault="002C640A" w:rsidP="002C640A">
                  <w:pPr>
                    <w:jc w:val="right"/>
                    <w:rPr>
                      <w:color w:val="000000" w:themeColor="text1"/>
                      <w:lang w:eastAsia="zh-CN"/>
                    </w:rPr>
                  </w:pPr>
                  <w:r w:rsidRPr="000C61A8">
                    <w:rPr>
                      <w:color w:val="000000" w:themeColor="text1"/>
                      <w:lang w:eastAsia="zh-CN"/>
                    </w:rPr>
                    <w:t xml:space="preserve">20,000,000 </w:t>
                  </w:r>
                </w:p>
              </w:tc>
              <w:tc>
                <w:tcPr>
                  <w:tcW w:w="2590" w:type="dxa"/>
                  <w:tcBorders>
                    <w:top w:val="nil"/>
                    <w:left w:val="nil"/>
                    <w:bottom w:val="single" w:sz="8" w:space="0" w:color="A6A6A6"/>
                    <w:right w:val="single" w:sz="8" w:space="0" w:color="A6A6A6"/>
                  </w:tcBorders>
                  <w:shd w:val="clear" w:color="auto" w:fill="E2EFDA"/>
                  <w:noWrap/>
                  <w:tcMar>
                    <w:top w:w="0" w:type="dxa"/>
                    <w:left w:w="108" w:type="dxa"/>
                    <w:bottom w:w="0" w:type="dxa"/>
                    <w:right w:w="108" w:type="dxa"/>
                  </w:tcMar>
                  <w:vAlign w:val="bottom"/>
                  <w:hideMark/>
                </w:tcPr>
                <w:p w14:paraId="7F488EDA" w14:textId="77777777" w:rsidR="002C640A" w:rsidRPr="000C61A8" w:rsidRDefault="002C640A" w:rsidP="002C640A">
                  <w:pPr>
                    <w:jc w:val="right"/>
                    <w:rPr>
                      <w:color w:val="000000" w:themeColor="text1"/>
                      <w:lang w:eastAsia="zh-CN"/>
                    </w:rPr>
                  </w:pPr>
                  <w:r w:rsidRPr="000C61A8">
                    <w:rPr>
                      <w:color w:val="000000" w:themeColor="text1"/>
                      <w:lang w:eastAsia="zh-CN"/>
                    </w:rPr>
                    <w:t xml:space="preserve">160,000,000 </w:t>
                  </w:r>
                </w:p>
              </w:tc>
            </w:tr>
            <w:tr w:rsidR="002C640A" w:rsidRPr="007E1246" w14:paraId="6DAD92B6" w14:textId="77777777" w:rsidTr="002C640A">
              <w:trPr>
                <w:trHeight w:val="307"/>
              </w:trPr>
              <w:tc>
                <w:tcPr>
                  <w:tcW w:w="3452" w:type="dxa"/>
                  <w:tcBorders>
                    <w:top w:val="single" w:sz="8" w:space="0" w:color="A6A6A6"/>
                    <w:left w:val="nil"/>
                    <w:bottom w:val="nil"/>
                    <w:right w:val="single" w:sz="8" w:space="0" w:color="A6A6A6"/>
                  </w:tcBorders>
                  <w:shd w:val="clear" w:color="auto" w:fill="002060"/>
                  <w:noWrap/>
                  <w:tcMar>
                    <w:top w:w="0" w:type="dxa"/>
                    <w:left w:w="108" w:type="dxa"/>
                    <w:bottom w:w="0" w:type="dxa"/>
                    <w:right w:w="108" w:type="dxa"/>
                  </w:tcMar>
                  <w:hideMark/>
                </w:tcPr>
                <w:p w14:paraId="365B46F0" w14:textId="77777777" w:rsidR="002C640A" w:rsidRPr="000C61A8" w:rsidRDefault="002C640A" w:rsidP="002C640A">
                  <w:pPr>
                    <w:jc w:val="center"/>
                    <w:rPr>
                      <w:color w:val="000000" w:themeColor="text1"/>
                      <w:lang w:eastAsia="zh-CN"/>
                    </w:rPr>
                  </w:pPr>
                  <w:proofErr w:type="spellStart"/>
                  <w:r w:rsidRPr="000C61A8">
                    <w:rPr>
                      <w:color w:val="000000" w:themeColor="text1"/>
                      <w:lang w:eastAsia="zh-CN"/>
                    </w:rPr>
                    <w:t>ADNA</w:t>
                  </w:r>
                  <w:proofErr w:type="spellEnd"/>
                  <w:r w:rsidRPr="000C61A8">
                    <w:rPr>
                      <w:color w:val="000000" w:themeColor="text1"/>
                      <w:lang w:eastAsia="zh-CN"/>
                    </w:rPr>
                    <w:t xml:space="preserve"> &gt;=10b</w:t>
                  </w:r>
                </w:p>
              </w:tc>
              <w:tc>
                <w:tcPr>
                  <w:tcW w:w="2506" w:type="dxa"/>
                  <w:tcBorders>
                    <w:top w:val="nil"/>
                    <w:left w:val="nil"/>
                    <w:bottom w:val="single" w:sz="8" w:space="0" w:color="A6A6A6"/>
                    <w:right w:val="single" w:sz="8" w:space="0" w:color="A6A6A6"/>
                  </w:tcBorders>
                  <w:shd w:val="clear" w:color="auto" w:fill="E2EFDA"/>
                  <w:noWrap/>
                  <w:tcMar>
                    <w:top w:w="0" w:type="dxa"/>
                    <w:left w:w="108" w:type="dxa"/>
                    <w:bottom w:w="0" w:type="dxa"/>
                    <w:right w:w="108" w:type="dxa"/>
                  </w:tcMar>
                  <w:vAlign w:val="bottom"/>
                  <w:hideMark/>
                </w:tcPr>
                <w:p w14:paraId="66BD2360" w14:textId="77777777" w:rsidR="002C640A" w:rsidRPr="000C61A8" w:rsidRDefault="002C640A" w:rsidP="002C640A">
                  <w:pPr>
                    <w:jc w:val="right"/>
                    <w:rPr>
                      <w:color w:val="000000" w:themeColor="text1"/>
                      <w:lang w:eastAsia="zh-CN"/>
                    </w:rPr>
                  </w:pPr>
                  <w:r w:rsidRPr="000C61A8">
                    <w:rPr>
                      <w:color w:val="000000" w:themeColor="text1"/>
                      <w:lang w:eastAsia="zh-CN"/>
                    </w:rPr>
                    <w:t xml:space="preserve">30,000,000 </w:t>
                  </w:r>
                </w:p>
              </w:tc>
              <w:tc>
                <w:tcPr>
                  <w:tcW w:w="2590" w:type="dxa"/>
                  <w:tcBorders>
                    <w:top w:val="nil"/>
                    <w:left w:val="nil"/>
                    <w:bottom w:val="single" w:sz="8" w:space="0" w:color="A6A6A6"/>
                    <w:right w:val="single" w:sz="8" w:space="0" w:color="A6A6A6"/>
                  </w:tcBorders>
                  <w:shd w:val="clear" w:color="auto" w:fill="E2EFDA"/>
                  <w:noWrap/>
                  <w:tcMar>
                    <w:top w:w="0" w:type="dxa"/>
                    <w:left w:w="108" w:type="dxa"/>
                    <w:bottom w:w="0" w:type="dxa"/>
                    <w:right w:w="108" w:type="dxa"/>
                  </w:tcMar>
                  <w:vAlign w:val="bottom"/>
                  <w:hideMark/>
                </w:tcPr>
                <w:p w14:paraId="010310F1" w14:textId="77777777" w:rsidR="002C640A" w:rsidRPr="000C61A8" w:rsidRDefault="002C640A" w:rsidP="002C640A">
                  <w:pPr>
                    <w:jc w:val="right"/>
                    <w:rPr>
                      <w:color w:val="000000" w:themeColor="text1"/>
                      <w:lang w:eastAsia="zh-CN"/>
                    </w:rPr>
                  </w:pPr>
                  <w:r w:rsidRPr="000C61A8">
                    <w:rPr>
                      <w:color w:val="000000" w:themeColor="text1"/>
                      <w:lang w:eastAsia="zh-CN"/>
                    </w:rPr>
                    <w:t xml:space="preserve">240,000,000 </w:t>
                  </w:r>
                </w:p>
              </w:tc>
            </w:tr>
          </w:tbl>
          <w:p w14:paraId="36E253EB" w14:textId="77777777" w:rsidR="002C640A" w:rsidRPr="007E1246" w:rsidRDefault="002C640A" w:rsidP="002C640A">
            <w:pPr>
              <w:tabs>
                <w:tab w:val="left" w:pos="1650"/>
              </w:tabs>
              <w:autoSpaceDE w:val="0"/>
              <w:autoSpaceDN w:val="0"/>
              <w:adjustRightInd w:val="0"/>
              <w:rPr>
                <w:rFonts w:cstheme="minorHAnsi"/>
              </w:rPr>
            </w:pPr>
          </w:p>
          <w:p w14:paraId="23BA30DF" w14:textId="77777777" w:rsidR="002C640A" w:rsidRPr="007E1246" w:rsidRDefault="002C640A" w:rsidP="002C640A">
            <w:pPr>
              <w:tabs>
                <w:tab w:val="left" w:pos="1650"/>
              </w:tabs>
              <w:autoSpaceDE w:val="0"/>
              <w:autoSpaceDN w:val="0"/>
              <w:adjustRightInd w:val="0"/>
              <w:rPr>
                <w:rFonts w:cstheme="minorHAnsi"/>
                <w:b/>
                <w:bCs/>
              </w:rPr>
            </w:pPr>
            <w:r w:rsidRPr="007E1246">
              <w:rPr>
                <w:rFonts w:cstheme="minorHAnsi"/>
                <w:b/>
                <w:bCs/>
              </w:rPr>
              <w:t xml:space="preserve">1.2 Stock Futures </w:t>
            </w:r>
          </w:p>
          <w:p w14:paraId="38F18DF7" w14:textId="77777777" w:rsidR="002C640A" w:rsidRPr="007E1246" w:rsidRDefault="002C640A" w:rsidP="002C640A">
            <w:pPr>
              <w:tabs>
                <w:tab w:val="left" w:pos="1650"/>
              </w:tabs>
              <w:autoSpaceDE w:val="0"/>
              <w:autoSpaceDN w:val="0"/>
              <w:adjustRightInd w:val="0"/>
              <w:rPr>
                <w:rFonts w:cstheme="minorHAnsi"/>
              </w:rPr>
            </w:pPr>
            <w:r w:rsidRPr="007E1246">
              <w:rPr>
                <w:rFonts w:cstheme="minorHAnsi"/>
              </w:rPr>
              <w:t xml:space="preserve">Despite the introduction of the MiFID II/MiFIR transparency regime in 2018, </w:t>
            </w:r>
            <w:proofErr w:type="gramStart"/>
            <w:r w:rsidRPr="007E1246">
              <w:rPr>
                <w:rFonts w:cstheme="minorHAnsi"/>
              </w:rPr>
              <w:t>the overwhelming majority of</w:t>
            </w:r>
            <w:proofErr w:type="gramEnd"/>
            <w:r w:rsidRPr="007E1246">
              <w:rPr>
                <w:rFonts w:cstheme="minorHAnsi"/>
              </w:rPr>
              <w:t xml:space="preserve"> trades in stock futures are still concluded off-book via block trading. The reason is that trading in stock futures is characterised by irregular trading activities, even for liquid products. Stock futures are mostly traded </w:t>
            </w:r>
            <w:r w:rsidRPr="007E1246">
              <w:t xml:space="preserve">around corporate events, </w:t>
            </w:r>
            <w:proofErr w:type="gramStart"/>
            <w:r w:rsidRPr="007E1246">
              <w:t>e.g.</w:t>
            </w:r>
            <w:proofErr w:type="gramEnd"/>
            <w:r w:rsidRPr="007E1246">
              <w:t xml:space="preserve"> M&amp;A, additional distributions, earnings announcements etc. </w:t>
            </w:r>
            <w:r w:rsidRPr="007E1246">
              <w:rPr>
                <w:rFonts w:cstheme="minorHAnsi"/>
              </w:rPr>
              <w:t xml:space="preserve">Around these dates, relatively high trading volumes can be attributed to only a few trades. Trading </w:t>
            </w:r>
            <w:r w:rsidRPr="007E1246">
              <w:t>and hedging using leverage and cost efficiency are often the main reasons participants choose stock futures.</w:t>
            </w:r>
          </w:p>
          <w:p w14:paraId="25E003FD" w14:textId="77777777" w:rsidR="002C640A" w:rsidRPr="007E1246" w:rsidRDefault="002C640A" w:rsidP="002C640A">
            <w:pPr>
              <w:tabs>
                <w:tab w:val="left" w:pos="1650"/>
              </w:tabs>
              <w:autoSpaceDE w:val="0"/>
              <w:autoSpaceDN w:val="0"/>
              <w:adjustRightInd w:val="0"/>
              <w:rPr>
                <w:rFonts w:cstheme="minorHAnsi"/>
              </w:rPr>
            </w:pPr>
          </w:p>
          <w:p w14:paraId="1E05D0C9" w14:textId="7A70AB85" w:rsidR="002C640A" w:rsidRPr="007E1246" w:rsidRDefault="002C640A" w:rsidP="002C640A">
            <w:pPr>
              <w:tabs>
                <w:tab w:val="left" w:pos="1650"/>
              </w:tabs>
              <w:autoSpaceDE w:val="0"/>
              <w:autoSpaceDN w:val="0"/>
              <w:adjustRightInd w:val="0"/>
              <w:rPr>
                <w:rFonts w:cstheme="minorHAnsi"/>
              </w:rPr>
            </w:pPr>
            <w:r w:rsidRPr="007E1246">
              <w:rPr>
                <w:rFonts w:cstheme="minorHAnsi"/>
              </w:rPr>
              <w:t xml:space="preserve">Yet, despite only a few trades are being concluded per year in individual stock futures, the methodology for setting LIS-thresholds only focuses on the </w:t>
            </w:r>
            <w:proofErr w:type="spellStart"/>
            <w:r w:rsidRPr="007E1246">
              <w:rPr>
                <w:rFonts w:cstheme="minorHAnsi"/>
              </w:rPr>
              <w:t>ADNA</w:t>
            </w:r>
            <w:proofErr w:type="spellEnd"/>
            <w:r w:rsidRPr="007E1246">
              <w:rPr>
                <w:rFonts w:cstheme="minorHAnsi"/>
              </w:rPr>
              <w:t xml:space="preserve"> as guiding number for the LIS-threshold determination. This leads to a situation, where stock futures with sometimes only a few trades per year are equipped with the highest available LIS-threshold for stock futures. </w:t>
            </w:r>
            <w:r>
              <w:rPr>
                <w:rFonts w:cstheme="minorHAnsi"/>
              </w:rPr>
              <w:t>BME</w:t>
            </w:r>
            <w:r w:rsidRPr="007E1246">
              <w:rPr>
                <w:rFonts w:cstheme="minorHAnsi"/>
              </w:rPr>
              <w:t xml:space="preserve"> therefore believes that the </w:t>
            </w:r>
            <w:proofErr w:type="spellStart"/>
            <w:r w:rsidRPr="007E1246">
              <w:rPr>
                <w:rFonts w:cstheme="minorHAnsi"/>
              </w:rPr>
              <w:t>ADNA</w:t>
            </w:r>
            <w:proofErr w:type="spellEnd"/>
            <w:r w:rsidRPr="007E1246">
              <w:rPr>
                <w:rFonts w:cstheme="minorHAnsi"/>
              </w:rPr>
              <w:t xml:space="preserve">, as measure of trade magnitude, does not appropriately reflect the liquidity situation of stock futures. </w:t>
            </w:r>
          </w:p>
          <w:p w14:paraId="60277A9F" w14:textId="77777777" w:rsidR="002C640A" w:rsidRPr="007E1246" w:rsidRDefault="002C640A" w:rsidP="002C640A">
            <w:pPr>
              <w:tabs>
                <w:tab w:val="left" w:pos="1650"/>
              </w:tabs>
              <w:autoSpaceDE w:val="0"/>
              <w:autoSpaceDN w:val="0"/>
              <w:adjustRightInd w:val="0"/>
              <w:rPr>
                <w:rFonts w:cstheme="minorHAnsi"/>
              </w:rPr>
            </w:pPr>
          </w:p>
          <w:p w14:paraId="65980A2A" w14:textId="54B188B6" w:rsidR="002C640A" w:rsidRPr="007E1246" w:rsidRDefault="002C640A" w:rsidP="002C640A">
            <w:pPr>
              <w:tabs>
                <w:tab w:val="left" w:pos="1650"/>
              </w:tabs>
              <w:autoSpaceDE w:val="0"/>
              <w:autoSpaceDN w:val="0"/>
              <w:adjustRightInd w:val="0"/>
              <w:rPr>
                <w:rFonts w:cstheme="minorHAnsi"/>
              </w:rPr>
            </w:pPr>
            <w:r w:rsidRPr="007E1246">
              <w:rPr>
                <w:rFonts w:cstheme="minorHAnsi"/>
              </w:rPr>
              <w:t xml:space="preserve">As a result, RTS 2 applies LIS-thresholds to stock futures that are explicitly high, disturbing the off-book block-trading driven market of stock futures. Due to the high LIS-thresholds, smaller market participants, intending to make precise adjustments to their small portfolios but also market markers that aim to accurately hedge their options exposure are driven out of the stock futures market, since order-book liquidity is virtually not existent for stock futures and off-book thresholds are too high for their trading needs. As these participants are still required to address their individual risk exposures, most of these smaller participants either </w:t>
            </w:r>
            <w:proofErr w:type="gramStart"/>
            <w:r w:rsidRPr="007E1246">
              <w:rPr>
                <w:rFonts w:cstheme="minorHAnsi"/>
              </w:rPr>
              <w:t>have to</w:t>
            </w:r>
            <w:proofErr w:type="gramEnd"/>
            <w:r w:rsidRPr="007E1246">
              <w:rPr>
                <w:rFonts w:cstheme="minorHAnsi"/>
              </w:rPr>
              <w:t xml:space="preserve"> leave their risks unaddressed or need to turn to OTC-markets, where they are served bespoke solutions offered by banks. Against this background, </w:t>
            </w:r>
            <w:r>
              <w:rPr>
                <w:rFonts w:cstheme="minorHAnsi"/>
              </w:rPr>
              <w:t>BME</w:t>
            </w:r>
            <w:r w:rsidRPr="007E1246">
              <w:rPr>
                <w:rFonts w:cstheme="minorHAnsi"/>
              </w:rPr>
              <w:t xml:space="preserve"> members have observed declining volumes in stock futures since the introduction of the transparency regime in 2018.</w:t>
            </w:r>
          </w:p>
          <w:p w14:paraId="14CAD663" w14:textId="77777777" w:rsidR="002C640A" w:rsidRPr="007E1246" w:rsidRDefault="002C640A" w:rsidP="002C640A">
            <w:pPr>
              <w:tabs>
                <w:tab w:val="left" w:pos="1650"/>
              </w:tabs>
              <w:autoSpaceDE w:val="0"/>
              <w:autoSpaceDN w:val="0"/>
              <w:adjustRightInd w:val="0"/>
              <w:rPr>
                <w:rFonts w:cstheme="minorHAnsi"/>
              </w:rPr>
            </w:pPr>
          </w:p>
          <w:p w14:paraId="448F415F" w14:textId="77777777" w:rsidR="002C640A" w:rsidRPr="007E1246" w:rsidRDefault="002C640A" w:rsidP="002C640A">
            <w:pPr>
              <w:tabs>
                <w:tab w:val="left" w:pos="1650"/>
              </w:tabs>
              <w:autoSpaceDE w:val="0"/>
              <w:autoSpaceDN w:val="0"/>
              <w:adjustRightInd w:val="0"/>
              <w:rPr>
                <w:rFonts w:cstheme="minorHAnsi"/>
              </w:rPr>
            </w:pPr>
            <w:r w:rsidRPr="007E1246">
              <w:rPr>
                <w:rFonts w:cstheme="minorHAnsi"/>
              </w:rPr>
              <w:t xml:space="preserve">We, therefore, suggest amending the liquidity measure for stock futures. We believe that a measure of trade frequency to determine the liquidity of stock futures, alongside the current measure of magnitude, </w:t>
            </w:r>
            <w:proofErr w:type="gramStart"/>
            <w:r w:rsidRPr="007E1246">
              <w:rPr>
                <w:rFonts w:cstheme="minorHAnsi"/>
              </w:rPr>
              <w:t>i.e.</w:t>
            </w:r>
            <w:proofErr w:type="gramEnd"/>
            <w:r w:rsidRPr="007E1246">
              <w:rPr>
                <w:rFonts w:cstheme="minorHAnsi"/>
              </w:rPr>
              <w:t xml:space="preserve"> the </w:t>
            </w:r>
            <w:proofErr w:type="spellStart"/>
            <w:r w:rsidRPr="007E1246">
              <w:rPr>
                <w:rFonts w:cstheme="minorHAnsi"/>
              </w:rPr>
              <w:t>ADNA</w:t>
            </w:r>
            <w:proofErr w:type="spellEnd"/>
            <w:r w:rsidRPr="007E1246">
              <w:rPr>
                <w:rFonts w:cstheme="minorHAnsi"/>
              </w:rPr>
              <w:t xml:space="preserve">, would reflect the trading activities in stock futures more accurately. Hence, we propose to enhance the </w:t>
            </w:r>
            <w:proofErr w:type="spellStart"/>
            <w:r w:rsidRPr="007E1246">
              <w:rPr>
                <w:rFonts w:cstheme="minorHAnsi"/>
              </w:rPr>
              <w:t>ADNA</w:t>
            </w:r>
            <w:proofErr w:type="spellEnd"/>
            <w:r w:rsidRPr="007E1246">
              <w:rPr>
                <w:rFonts w:cstheme="minorHAnsi"/>
              </w:rPr>
              <w:t xml:space="preserve"> with a minimum number of trades per day across all exchanges for stock futures. Such a minimum number of trades per year across all exchanges as additional measure to determine the liquidity situation and to ultimately set the applicable LIS-thresholds of stock futures as more in line with the actual market structure.</w:t>
            </w:r>
          </w:p>
          <w:p w14:paraId="46CBB633" w14:textId="77777777" w:rsidR="002C640A" w:rsidRPr="007E1246" w:rsidRDefault="002C640A" w:rsidP="002C640A">
            <w:pPr>
              <w:tabs>
                <w:tab w:val="left" w:pos="1650"/>
              </w:tabs>
              <w:autoSpaceDE w:val="0"/>
              <w:autoSpaceDN w:val="0"/>
              <w:adjustRightInd w:val="0"/>
              <w:rPr>
                <w:rFonts w:cstheme="minorHAnsi"/>
              </w:rPr>
            </w:pPr>
          </w:p>
          <w:p w14:paraId="10199075" w14:textId="77777777" w:rsidR="002C640A" w:rsidRPr="007E1246" w:rsidRDefault="002C640A" w:rsidP="002C640A">
            <w:pPr>
              <w:tabs>
                <w:tab w:val="left" w:pos="1650"/>
              </w:tabs>
              <w:autoSpaceDE w:val="0"/>
              <w:autoSpaceDN w:val="0"/>
              <w:adjustRightInd w:val="0"/>
              <w:rPr>
                <w:rFonts w:cstheme="minorHAnsi"/>
              </w:rPr>
            </w:pPr>
            <w:r w:rsidRPr="007E1246">
              <w:rPr>
                <w:rFonts w:cstheme="minorHAnsi"/>
              </w:rPr>
              <w:t xml:space="preserve">This would mean that only if a stock future exceeds (or falls below) the current levels of </w:t>
            </w:r>
            <w:proofErr w:type="spellStart"/>
            <w:r w:rsidRPr="007E1246">
              <w:rPr>
                <w:rFonts w:cstheme="minorHAnsi"/>
              </w:rPr>
              <w:t>ADNA</w:t>
            </w:r>
            <w:proofErr w:type="spellEnd"/>
            <w:r w:rsidRPr="007E1246">
              <w:rPr>
                <w:rFonts w:cstheme="minorHAnsi"/>
              </w:rPr>
              <w:t xml:space="preserve"> as provided by Table 6.2. Annex II RTS 2 and the to be determined minimum number of trades per day across all exchanges it can be classified into the next higher (or lower) LIS-category for stock futures. As starting point, a minimum number of trades per day across all exchanges of 5 would be appropriate, meaning only if a stock future exceeds an </w:t>
            </w:r>
            <w:proofErr w:type="spellStart"/>
            <w:r w:rsidRPr="007E1246">
              <w:rPr>
                <w:rFonts w:cstheme="minorHAnsi"/>
              </w:rPr>
              <w:t>ADNA</w:t>
            </w:r>
            <w:proofErr w:type="spellEnd"/>
            <w:r w:rsidRPr="007E1246">
              <w:rPr>
                <w:rFonts w:cstheme="minorHAnsi"/>
              </w:rPr>
              <w:t xml:space="preserve"> of 25,000 EUR and a minimum number of trades per day across all exchanges of 5, it can be categorised into the next higher LIS-threshold category.  </w:t>
            </w:r>
          </w:p>
          <w:p w14:paraId="3FC78862" w14:textId="77777777" w:rsidR="002C640A" w:rsidRPr="007E1246" w:rsidRDefault="002C640A" w:rsidP="002C640A">
            <w:pPr>
              <w:tabs>
                <w:tab w:val="left" w:pos="3540"/>
              </w:tabs>
              <w:autoSpaceDE w:val="0"/>
              <w:autoSpaceDN w:val="0"/>
              <w:adjustRightInd w:val="0"/>
              <w:rPr>
                <w:rFonts w:cstheme="minorHAnsi"/>
              </w:rPr>
            </w:pPr>
          </w:p>
          <w:p w14:paraId="64C7F410" w14:textId="44B845BA" w:rsidR="002C640A" w:rsidRPr="007E1246" w:rsidRDefault="002C640A" w:rsidP="002C640A">
            <w:pPr>
              <w:tabs>
                <w:tab w:val="left" w:pos="1650"/>
              </w:tabs>
              <w:autoSpaceDE w:val="0"/>
              <w:autoSpaceDN w:val="0"/>
              <w:adjustRightInd w:val="0"/>
              <w:rPr>
                <w:rFonts w:cstheme="minorHAnsi"/>
              </w:rPr>
            </w:pPr>
            <w:r w:rsidRPr="007E1246">
              <w:rPr>
                <w:rFonts w:cstheme="minorHAnsi"/>
              </w:rPr>
              <w:t xml:space="preserve">Ultimately, </w:t>
            </w:r>
            <w:r>
              <w:rPr>
                <w:rFonts w:cstheme="minorHAnsi"/>
              </w:rPr>
              <w:t>BME</w:t>
            </w:r>
            <w:r w:rsidRPr="007E1246">
              <w:rPr>
                <w:rFonts w:cstheme="minorHAnsi"/>
              </w:rPr>
              <w:t xml:space="preserve"> believes that the number of trades per year as guiding measure for the LIS-threshold determination will lead to more accurate LIS-thresholds and therefore help to shift volumes from OTC markets back to stock futures executed on transparent regulated markets.</w:t>
            </w:r>
          </w:p>
          <w:p w14:paraId="65EAE932" w14:textId="77777777" w:rsidR="002C640A" w:rsidRPr="007E1246" w:rsidRDefault="002C640A" w:rsidP="002C640A">
            <w:pPr>
              <w:tabs>
                <w:tab w:val="left" w:pos="1650"/>
              </w:tabs>
              <w:autoSpaceDE w:val="0"/>
              <w:autoSpaceDN w:val="0"/>
              <w:adjustRightInd w:val="0"/>
              <w:rPr>
                <w:rFonts w:cstheme="minorHAnsi"/>
              </w:rPr>
            </w:pPr>
          </w:p>
          <w:p w14:paraId="000105C6" w14:textId="77777777" w:rsidR="002C640A" w:rsidRPr="007E1246" w:rsidRDefault="002C640A" w:rsidP="002C640A">
            <w:pPr>
              <w:tabs>
                <w:tab w:val="left" w:pos="1650"/>
              </w:tabs>
              <w:autoSpaceDE w:val="0"/>
              <w:autoSpaceDN w:val="0"/>
              <w:adjustRightInd w:val="0"/>
              <w:rPr>
                <w:rFonts w:cstheme="minorHAnsi"/>
                <w:b/>
                <w:bCs/>
                <w:u w:val="single"/>
              </w:rPr>
            </w:pPr>
            <w:r w:rsidRPr="007E1246">
              <w:rPr>
                <w:rFonts w:cstheme="minorHAnsi"/>
                <w:b/>
                <w:bCs/>
                <w:u w:val="single"/>
              </w:rPr>
              <w:t xml:space="preserve">(2) Methodology for Interest Rate Derivatives </w:t>
            </w:r>
          </w:p>
          <w:p w14:paraId="424731E7" w14:textId="77777777" w:rsidR="002C640A" w:rsidRPr="007E1246" w:rsidRDefault="002C640A" w:rsidP="002C640A">
            <w:pPr>
              <w:autoSpaceDE w:val="0"/>
              <w:autoSpaceDN w:val="0"/>
              <w:adjustRightInd w:val="0"/>
              <w:rPr>
                <w:rFonts w:cstheme="minorHAnsi"/>
                <w:b/>
                <w:bCs/>
              </w:rPr>
            </w:pPr>
          </w:p>
          <w:p w14:paraId="405254DE" w14:textId="77777777" w:rsidR="002C640A" w:rsidRPr="007E1246" w:rsidRDefault="002C640A" w:rsidP="002C640A">
            <w:pPr>
              <w:autoSpaceDE w:val="0"/>
              <w:autoSpaceDN w:val="0"/>
              <w:adjustRightInd w:val="0"/>
              <w:rPr>
                <w:rFonts w:cstheme="minorHAnsi"/>
                <w:b/>
                <w:bCs/>
              </w:rPr>
            </w:pPr>
            <w:r w:rsidRPr="007E1246">
              <w:rPr>
                <w:rFonts w:cstheme="minorHAnsi"/>
                <w:b/>
                <w:bCs/>
              </w:rPr>
              <w:t>Bond Options</w:t>
            </w:r>
          </w:p>
          <w:p w14:paraId="318EAA35" w14:textId="77777777" w:rsidR="002C640A" w:rsidRPr="007E1246" w:rsidRDefault="002C640A" w:rsidP="002C640A">
            <w:pPr>
              <w:autoSpaceDE w:val="0"/>
              <w:autoSpaceDN w:val="0"/>
              <w:adjustRightInd w:val="0"/>
              <w:rPr>
                <w:rFonts w:cstheme="minorHAnsi"/>
              </w:rPr>
            </w:pPr>
          </w:p>
          <w:p w14:paraId="492479C3" w14:textId="77777777" w:rsidR="002C640A" w:rsidRPr="007E1246" w:rsidRDefault="002C640A" w:rsidP="002C640A">
            <w:pPr>
              <w:autoSpaceDE w:val="0"/>
              <w:autoSpaceDN w:val="0"/>
              <w:adjustRightInd w:val="0"/>
              <w:rPr>
                <w:rFonts w:cstheme="minorHAnsi"/>
              </w:rPr>
            </w:pPr>
            <w:r w:rsidRPr="007E1246">
              <w:rPr>
                <w:rFonts w:cstheme="minorHAnsi"/>
              </w:rPr>
              <w:t xml:space="preserve">ESMA correctly acknowledges in the consultation paper that trading in European exchange-traded fixed income options (or bond options in the RTS 2 terminology), such as, for example, Options on Euro-Schatz Futures, Options on Euro-Bund Futures or Options on </w:t>
            </w:r>
            <w:proofErr w:type="spellStart"/>
            <w:r w:rsidRPr="007E1246">
              <w:rPr>
                <w:rFonts w:cstheme="minorHAnsi"/>
              </w:rPr>
              <w:t>Buxl</w:t>
            </w:r>
            <w:proofErr w:type="spellEnd"/>
            <w:r w:rsidRPr="007E1246">
              <w:rPr>
                <w:rFonts w:cstheme="minorHAnsi"/>
              </w:rPr>
              <w:t>-Futures, is mostly conducted in large trade sizes. There are essentially two reasons, why trading in bond options is characterised by large trade sizes:</w:t>
            </w:r>
          </w:p>
          <w:p w14:paraId="176004C2" w14:textId="77777777" w:rsidR="002C640A" w:rsidRPr="007E1246" w:rsidRDefault="002C640A" w:rsidP="002C640A">
            <w:pPr>
              <w:autoSpaceDE w:val="0"/>
              <w:autoSpaceDN w:val="0"/>
              <w:adjustRightInd w:val="0"/>
              <w:rPr>
                <w:rFonts w:cstheme="minorHAnsi"/>
              </w:rPr>
            </w:pPr>
          </w:p>
          <w:p w14:paraId="59A354ED" w14:textId="77777777" w:rsidR="002C640A" w:rsidRPr="007E1246" w:rsidRDefault="002C640A" w:rsidP="002C640A">
            <w:pPr>
              <w:autoSpaceDE w:val="0"/>
              <w:autoSpaceDN w:val="0"/>
              <w:adjustRightInd w:val="0"/>
              <w:rPr>
                <w:rFonts w:cstheme="minorHAnsi"/>
              </w:rPr>
            </w:pPr>
            <w:r w:rsidRPr="007E1246">
              <w:rPr>
                <w:rFonts w:cstheme="minorHAnsi"/>
              </w:rPr>
              <w:t>(1) Trading in bond options is driven by institutional investors, who employ these products to hedge against or take directional positions to address yield movements of the underlying fictitious bond yield (please find more information regarding the underlying of bond options in our response to Q33).</w:t>
            </w:r>
            <w:r w:rsidRPr="007E1246">
              <w:t xml:space="preserve"> </w:t>
            </w:r>
            <w:r w:rsidRPr="007E1246">
              <w:rPr>
                <w:rFonts w:cstheme="minorHAnsi"/>
              </w:rPr>
              <w:t>Due to the professional nature of investors who have large portfolios to hedge and trade, trade sizes are generally large in bond options.</w:t>
            </w:r>
          </w:p>
          <w:p w14:paraId="69FDE8C1" w14:textId="77777777" w:rsidR="002C640A" w:rsidRPr="007E1246" w:rsidRDefault="002C640A" w:rsidP="002C640A">
            <w:pPr>
              <w:autoSpaceDE w:val="0"/>
              <w:autoSpaceDN w:val="0"/>
              <w:adjustRightInd w:val="0"/>
              <w:rPr>
                <w:rFonts w:cstheme="minorHAnsi"/>
              </w:rPr>
            </w:pPr>
          </w:p>
          <w:p w14:paraId="4CD71A17" w14:textId="77777777" w:rsidR="002C640A" w:rsidRPr="007E1246" w:rsidRDefault="002C640A" w:rsidP="002C640A">
            <w:pPr>
              <w:autoSpaceDE w:val="0"/>
              <w:autoSpaceDN w:val="0"/>
              <w:adjustRightInd w:val="0"/>
            </w:pPr>
            <w:r w:rsidRPr="007E1246">
              <w:rPr>
                <w:rFonts w:cstheme="minorHAnsi"/>
              </w:rPr>
              <w:t xml:space="preserve">(2) </w:t>
            </w:r>
            <w:r w:rsidRPr="007E1246">
              <w:t>Bond futures and options on bond futures normally have varying tenors from 2 to 30 years with respect to the underlying cash bonds. Short-dated bond derivatives show the lowest sensitivities to changes in bond yields while longer-dated bond derivatives have higher sensitivities. Far greater sizes are therefore required in low duration products to achieve the same economic payoff for a given change in yield. This results in larger trade sizes for fixed income futures and options on underlying’s with a lower duration. Low duration products require higher trade sizes to achieve the same economic pay-off.</w:t>
            </w:r>
          </w:p>
          <w:p w14:paraId="7310C65C" w14:textId="77777777" w:rsidR="002C640A" w:rsidRPr="007E1246" w:rsidRDefault="002C640A" w:rsidP="002C640A">
            <w:pPr>
              <w:autoSpaceDE w:val="0"/>
              <w:autoSpaceDN w:val="0"/>
              <w:adjustRightInd w:val="0"/>
            </w:pPr>
          </w:p>
          <w:p w14:paraId="6596A7BD" w14:textId="77777777" w:rsidR="002C640A" w:rsidRPr="007E1246" w:rsidRDefault="002C640A" w:rsidP="002C640A">
            <w:pPr>
              <w:autoSpaceDE w:val="0"/>
              <w:autoSpaceDN w:val="0"/>
              <w:adjustRightInd w:val="0"/>
            </w:pPr>
            <w:r w:rsidRPr="007E1246">
              <w:t>Against this background, the current 70</w:t>
            </w:r>
            <w:r w:rsidRPr="007E1246">
              <w:rPr>
                <w:vertAlign w:val="superscript"/>
              </w:rPr>
              <w:t>th</w:t>
            </w:r>
            <w:r w:rsidRPr="007E1246">
              <w:t xml:space="preserve"> trade percentile-oriented methodology for the LIS-threshold determination for bond options leads to a situation where especially those bond options with lower durations and thus larger trade sizes, for example options on Euro-Schatz Futures, are equipped with extraordinarily high LIS-thresholds. On the other hand, bond options in with longer durations, such as options on Euro-Bund Futures, which generally have lower trade sizes and thus also a relatively liquid order-book, are attached with relatively low LIS-thresholds.  </w:t>
            </w:r>
          </w:p>
          <w:p w14:paraId="5FADE24A" w14:textId="77777777" w:rsidR="002C640A" w:rsidRPr="007E1246" w:rsidRDefault="002C640A" w:rsidP="002C640A">
            <w:pPr>
              <w:autoSpaceDE w:val="0"/>
              <w:autoSpaceDN w:val="0"/>
              <w:adjustRightInd w:val="0"/>
            </w:pPr>
          </w:p>
          <w:p w14:paraId="2CCF088D" w14:textId="77777777" w:rsidR="002C640A" w:rsidRPr="007E1246" w:rsidRDefault="002C640A" w:rsidP="002C640A">
            <w:pPr>
              <w:autoSpaceDE w:val="0"/>
              <w:autoSpaceDN w:val="0"/>
              <w:adjustRightInd w:val="0"/>
            </w:pPr>
            <w:r w:rsidRPr="007E1246">
              <w:t>The methodology therefore in particular negatively impacts the market structure and the trading dynamics in products with longer durations. For example, trade sizes in options on Euro-Schatz Schatz futures further increased after ESMA mandated a LIS threshold that equates 1,250 contracts (prior to 2018 the exchange had set the block trade size at 300 contracts). Fewer market makers serviced investors at less favourable prices for greater size creating a negative feedback loop in which investors refrain from trading and the median trade sizes further increased.</w:t>
            </w:r>
          </w:p>
          <w:p w14:paraId="1D87D0A2" w14:textId="77777777" w:rsidR="002C640A" w:rsidRPr="007E1246" w:rsidRDefault="002C640A" w:rsidP="002C640A">
            <w:pPr>
              <w:autoSpaceDE w:val="0"/>
              <w:autoSpaceDN w:val="0"/>
              <w:adjustRightInd w:val="0"/>
            </w:pPr>
          </w:p>
          <w:p w14:paraId="7E5B8E4C" w14:textId="78204286" w:rsidR="002C640A" w:rsidRPr="007E1246" w:rsidRDefault="002C640A" w:rsidP="002C640A">
            <w:pPr>
              <w:autoSpaceDE w:val="0"/>
              <w:autoSpaceDN w:val="0"/>
              <w:adjustRightInd w:val="0"/>
            </w:pPr>
            <w:r>
              <w:t>BME</w:t>
            </w:r>
            <w:r w:rsidRPr="007E1246">
              <w:t xml:space="preserve"> therefore considers the uniform methodology of assessing the LIS-thresholds based on the trade percentile as not adequate in bond options as the sizes traded at market depend heavily on the duration and sensitivity of a given point of the yield curve. As a result, bond options with an already liquid order-book situation receive relatively low LIS-thresholds and vice versa, which is not in line with the intention of the transparency regime for derivatives to bring more trading activities to the order-book. We therefore strongly recommend scaling the 70</w:t>
            </w:r>
            <w:r w:rsidRPr="007E1246">
              <w:rPr>
                <w:vertAlign w:val="superscript"/>
              </w:rPr>
              <w:t>th</w:t>
            </w:r>
            <w:r w:rsidRPr="007E1246">
              <w:t xml:space="preserve"> trade percentile down for products with lower durations to reverse the negative volume and liquidity impact on the market.</w:t>
            </w:r>
          </w:p>
          <w:p w14:paraId="196EE356" w14:textId="77777777" w:rsidR="002C640A" w:rsidRPr="007E1246" w:rsidRDefault="002C640A" w:rsidP="002C640A">
            <w:pPr>
              <w:autoSpaceDE w:val="0"/>
              <w:autoSpaceDN w:val="0"/>
              <w:adjustRightInd w:val="0"/>
            </w:pPr>
          </w:p>
          <w:p w14:paraId="4E14191B" w14:textId="54996637" w:rsidR="002C640A" w:rsidRPr="007E1246" w:rsidRDefault="002C640A" w:rsidP="002C640A">
            <w:pPr>
              <w:autoSpaceDE w:val="0"/>
              <w:autoSpaceDN w:val="0"/>
              <w:adjustRightInd w:val="0"/>
              <w:rPr>
                <w:b/>
                <w:bCs/>
              </w:rPr>
            </w:pPr>
            <w:r w:rsidRPr="007E1246">
              <w:rPr>
                <w:b/>
                <w:bCs/>
              </w:rPr>
              <w:t xml:space="preserve">Depending on the tenor of the underlying, </w:t>
            </w:r>
            <w:r>
              <w:rPr>
                <w:b/>
                <w:bCs/>
              </w:rPr>
              <w:t>BME</w:t>
            </w:r>
            <w:r w:rsidRPr="007E1246">
              <w:rPr>
                <w:b/>
                <w:bCs/>
              </w:rPr>
              <w:t xml:space="preserve"> proposes to scale the trade-percentile for the LIS-threshold determination as follows:</w:t>
            </w:r>
          </w:p>
          <w:p w14:paraId="741409DB" w14:textId="77777777" w:rsidR="002C640A" w:rsidRPr="007E1246" w:rsidRDefault="002C640A" w:rsidP="002C640A">
            <w:pPr>
              <w:autoSpaceDE w:val="0"/>
              <w:autoSpaceDN w:val="0"/>
              <w:adjustRightInd w:val="0"/>
            </w:pPr>
          </w:p>
          <w:tbl>
            <w:tblPr>
              <w:tblStyle w:val="Tablaconcuadrcula"/>
              <w:tblW w:w="0" w:type="auto"/>
              <w:tblInd w:w="1746" w:type="dxa"/>
              <w:tblLook w:val="04A0" w:firstRow="1" w:lastRow="0" w:firstColumn="1" w:lastColumn="0" w:noHBand="0" w:noVBand="1"/>
            </w:tblPr>
            <w:tblGrid>
              <w:gridCol w:w="2889"/>
              <w:gridCol w:w="2930"/>
            </w:tblGrid>
            <w:tr w:rsidR="002C640A" w:rsidRPr="007E1246" w14:paraId="32BB49E0" w14:textId="77777777" w:rsidTr="002C640A">
              <w:tc>
                <w:tcPr>
                  <w:tcW w:w="2889" w:type="dxa"/>
                </w:tcPr>
                <w:p w14:paraId="3FCB09B9" w14:textId="77777777" w:rsidR="002C640A" w:rsidRPr="007E1246" w:rsidRDefault="002C640A" w:rsidP="002C640A">
                  <w:pPr>
                    <w:pStyle w:val="Prrafodelista"/>
                    <w:rPr>
                      <w:rFonts w:asciiTheme="minorHAnsi" w:hAnsiTheme="minorHAnsi" w:cstheme="minorHAnsi"/>
                      <w:i/>
                      <w:iCs/>
                    </w:rPr>
                  </w:pPr>
                  <w:r w:rsidRPr="007E1246">
                    <w:rPr>
                      <w:rFonts w:asciiTheme="minorHAnsi" w:hAnsiTheme="minorHAnsi" w:cstheme="minorHAnsi"/>
                      <w:i/>
                      <w:iCs/>
                    </w:rPr>
                    <w:t>Tenor of underlying</w:t>
                  </w:r>
                </w:p>
              </w:tc>
              <w:tc>
                <w:tcPr>
                  <w:tcW w:w="2930" w:type="dxa"/>
                </w:tcPr>
                <w:p w14:paraId="6B40DF16" w14:textId="77777777" w:rsidR="002C640A" w:rsidRPr="007E1246" w:rsidRDefault="002C640A" w:rsidP="002C640A">
                  <w:pPr>
                    <w:pStyle w:val="Prrafodelista"/>
                    <w:rPr>
                      <w:rFonts w:asciiTheme="minorHAnsi" w:hAnsiTheme="minorHAnsi" w:cstheme="minorHAnsi"/>
                      <w:i/>
                      <w:iCs/>
                    </w:rPr>
                  </w:pPr>
                  <w:r w:rsidRPr="007E1246">
                    <w:rPr>
                      <w:rFonts w:asciiTheme="minorHAnsi" w:hAnsiTheme="minorHAnsi" w:cstheme="minorHAnsi"/>
                      <w:i/>
                      <w:iCs/>
                    </w:rPr>
                    <w:t>Percentile to apply for LIS determination</w:t>
                  </w:r>
                </w:p>
              </w:tc>
            </w:tr>
            <w:tr w:rsidR="002C640A" w:rsidRPr="007E1246" w14:paraId="5DC0992E" w14:textId="77777777" w:rsidTr="002C640A">
              <w:tc>
                <w:tcPr>
                  <w:tcW w:w="2889" w:type="dxa"/>
                </w:tcPr>
                <w:p w14:paraId="560DEC04" w14:textId="77777777" w:rsidR="002C640A" w:rsidRPr="007E1246" w:rsidRDefault="002C640A" w:rsidP="002C640A">
                  <w:pPr>
                    <w:pStyle w:val="Prrafodelista"/>
                    <w:rPr>
                      <w:rFonts w:asciiTheme="minorHAnsi" w:hAnsiTheme="minorHAnsi" w:cstheme="minorHAnsi"/>
                      <w:i/>
                      <w:iCs/>
                    </w:rPr>
                  </w:pPr>
                  <w:r w:rsidRPr="007E1246">
                    <w:rPr>
                      <w:rFonts w:asciiTheme="minorHAnsi" w:hAnsiTheme="minorHAnsi" w:cstheme="minorHAnsi"/>
                      <w:i/>
                      <w:iCs/>
                    </w:rPr>
                    <w:t xml:space="preserve">2 years </w:t>
                  </w:r>
                </w:p>
              </w:tc>
              <w:tc>
                <w:tcPr>
                  <w:tcW w:w="2930" w:type="dxa"/>
                </w:tcPr>
                <w:p w14:paraId="6F2446E4" w14:textId="77777777" w:rsidR="002C640A" w:rsidRPr="007E1246" w:rsidRDefault="002C640A" w:rsidP="002C640A">
                  <w:pPr>
                    <w:pStyle w:val="Prrafodelista"/>
                    <w:rPr>
                      <w:rFonts w:asciiTheme="minorHAnsi" w:hAnsiTheme="minorHAnsi" w:cstheme="minorHAnsi"/>
                      <w:i/>
                      <w:iCs/>
                    </w:rPr>
                  </w:pPr>
                  <w:r w:rsidRPr="007E1246">
                    <w:rPr>
                      <w:rFonts w:asciiTheme="minorHAnsi" w:hAnsiTheme="minorHAnsi" w:cstheme="minorHAnsi"/>
                      <w:i/>
                      <w:iCs/>
                    </w:rPr>
                    <w:t>30</w:t>
                  </w:r>
                </w:p>
              </w:tc>
            </w:tr>
            <w:tr w:rsidR="002C640A" w:rsidRPr="007E1246" w14:paraId="18F5830E" w14:textId="77777777" w:rsidTr="002C640A">
              <w:tc>
                <w:tcPr>
                  <w:tcW w:w="2889" w:type="dxa"/>
                </w:tcPr>
                <w:p w14:paraId="40C15965" w14:textId="77777777" w:rsidR="002C640A" w:rsidRPr="007E1246" w:rsidRDefault="002C640A" w:rsidP="002C640A">
                  <w:pPr>
                    <w:pStyle w:val="Prrafodelista"/>
                    <w:rPr>
                      <w:rFonts w:asciiTheme="minorHAnsi" w:hAnsiTheme="minorHAnsi" w:cstheme="minorHAnsi"/>
                      <w:i/>
                      <w:iCs/>
                    </w:rPr>
                  </w:pPr>
                  <w:r w:rsidRPr="007E1246">
                    <w:rPr>
                      <w:rFonts w:asciiTheme="minorHAnsi" w:hAnsiTheme="minorHAnsi" w:cstheme="minorHAnsi"/>
                      <w:i/>
                      <w:iCs/>
                    </w:rPr>
                    <w:t>5 years</w:t>
                  </w:r>
                </w:p>
              </w:tc>
              <w:tc>
                <w:tcPr>
                  <w:tcW w:w="2930" w:type="dxa"/>
                </w:tcPr>
                <w:p w14:paraId="548F4FCE" w14:textId="77777777" w:rsidR="002C640A" w:rsidRPr="007E1246" w:rsidRDefault="002C640A" w:rsidP="002C640A">
                  <w:pPr>
                    <w:pStyle w:val="Prrafodelista"/>
                    <w:rPr>
                      <w:rFonts w:asciiTheme="minorHAnsi" w:hAnsiTheme="minorHAnsi" w:cstheme="minorHAnsi"/>
                      <w:i/>
                      <w:iCs/>
                    </w:rPr>
                  </w:pPr>
                  <w:r w:rsidRPr="007E1246">
                    <w:rPr>
                      <w:rFonts w:asciiTheme="minorHAnsi" w:hAnsiTheme="minorHAnsi" w:cstheme="minorHAnsi"/>
                      <w:i/>
                      <w:iCs/>
                    </w:rPr>
                    <w:t>50</w:t>
                  </w:r>
                </w:p>
              </w:tc>
            </w:tr>
            <w:tr w:rsidR="002C640A" w:rsidRPr="007E1246" w14:paraId="6FB03D3D" w14:textId="77777777" w:rsidTr="002C640A">
              <w:trPr>
                <w:trHeight w:val="85"/>
              </w:trPr>
              <w:tc>
                <w:tcPr>
                  <w:tcW w:w="2889" w:type="dxa"/>
                </w:tcPr>
                <w:p w14:paraId="1DB1752C" w14:textId="77777777" w:rsidR="002C640A" w:rsidRPr="007E1246" w:rsidRDefault="002C640A" w:rsidP="002C640A">
                  <w:pPr>
                    <w:pStyle w:val="Prrafodelista"/>
                    <w:rPr>
                      <w:rFonts w:asciiTheme="minorHAnsi" w:hAnsiTheme="minorHAnsi" w:cstheme="minorHAnsi"/>
                      <w:i/>
                      <w:iCs/>
                    </w:rPr>
                  </w:pPr>
                  <w:r w:rsidRPr="007E1246">
                    <w:rPr>
                      <w:rFonts w:asciiTheme="minorHAnsi" w:hAnsiTheme="minorHAnsi" w:cstheme="minorHAnsi"/>
                      <w:i/>
                      <w:iCs/>
                    </w:rPr>
                    <w:t>10 years and greater</w:t>
                  </w:r>
                </w:p>
              </w:tc>
              <w:tc>
                <w:tcPr>
                  <w:tcW w:w="2930" w:type="dxa"/>
                </w:tcPr>
                <w:p w14:paraId="3BE8DE98" w14:textId="77777777" w:rsidR="002C640A" w:rsidRPr="007E1246" w:rsidRDefault="002C640A" w:rsidP="002C640A">
                  <w:pPr>
                    <w:pStyle w:val="Prrafodelista"/>
                    <w:rPr>
                      <w:rFonts w:asciiTheme="minorHAnsi" w:hAnsiTheme="minorHAnsi" w:cstheme="minorHAnsi"/>
                      <w:i/>
                      <w:iCs/>
                    </w:rPr>
                  </w:pPr>
                  <w:r w:rsidRPr="007E1246">
                    <w:rPr>
                      <w:rFonts w:asciiTheme="minorHAnsi" w:hAnsiTheme="minorHAnsi" w:cstheme="minorHAnsi"/>
                      <w:i/>
                      <w:iCs/>
                    </w:rPr>
                    <w:t>70</w:t>
                  </w:r>
                </w:p>
              </w:tc>
            </w:tr>
          </w:tbl>
          <w:p w14:paraId="572A4D10" w14:textId="77777777" w:rsidR="002C640A" w:rsidRPr="007E1246" w:rsidRDefault="002C640A" w:rsidP="002C640A">
            <w:pPr>
              <w:autoSpaceDE w:val="0"/>
              <w:autoSpaceDN w:val="0"/>
              <w:adjustRightInd w:val="0"/>
            </w:pPr>
          </w:p>
          <w:p w14:paraId="0CDB3B0D" w14:textId="77777777" w:rsidR="002C640A" w:rsidRDefault="002C640A" w:rsidP="002C640A">
            <w:pPr>
              <w:autoSpaceDE w:val="0"/>
              <w:autoSpaceDN w:val="0"/>
              <w:adjustRightInd w:val="0"/>
              <w:spacing w:after="120"/>
            </w:pPr>
            <w:r w:rsidRPr="007E1246">
              <w:t xml:space="preserve">Lastly, for fixed income instruments we support deletion of the </w:t>
            </w:r>
            <w:proofErr w:type="spellStart"/>
            <w:r w:rsidRPr="007E1246">
              <w:t>SSTI</w:t>
            </w:r>
            <w:proofErr w:type="spellEnd"/>
            <w:r w:rsidRPr="007E1246">
              <w:t xml:space="preserve"> waiver and </w:t>
            </w:r>
            <w:proofErr w:type="spellStart"/>
            <w:r w:rsidRPr="007E1246">
              <w:t>SSTI</w:t>
            </w:r>
            <w:proofErr w:type="spellEnd"/>
            <w:r w:rsidRPr="007E1246">
              <w:t xml:space="preserve"> deferral and the lowering the LIS thresholds. With </w:t>
            </w:r>
            <w:proofErr w:type="gramStart"/>
            <w:r w:rsidRPr="007E1246">
              <w:t>particular reference</w:t>
            </w:r>
            <w:proofErr w:type="gramEnd"/>
            <w:r w:rsidRPr="007E1246">
              <w:t xml:space="preserve"> to bonds markets, we believe that it is necessary to consider the size of the single order, regardless of the liquidity of the instrument, to assess the liquidity status. Different sizes should be established by asset class (e.g., </w:t>
            </w:r>
            <w:proofErr w:type="spellStart"/>
            <w:r w:rsidRPr="007E1246">
              <w:t>govies</w:t>
            </w:r>
            <w:proofErr w:type="spellEnd"/>
            <w:r w:rsidRPr="007E1246">
              <w:t>, supra, corporate ...), below which there must be full transparency. We suggest ESMA to set the levels to ensure sufficient pre-trade transparency for the various asset classes and order sizes without having a negative impact on market liquidity.</w:t>
            </w:r>
          </w:p>
          <w:p w14:paraId="51752C33" w14:textId="77777777" w:rsidR="002C640A" w:rsidRDefault="002C640A" w:rsidP="002C640A">
            <w:pPr>
              <w:spacing w:after="120"/>
            </w:pPr>
            <w:r>
              <w:t xml:space="preserve">In addition to the proposals to improve the current methodology for the threshold calculation, we would like to address </w:t>
            </w:r>
            <w:proofErr w:type="spellStart"/>
            <w:r>
              <w:t>ESMA’s</w:t>
            </w:r>
            <w:proofErr w:type="spellEnd"/>
            <w:r>
              <w:t xml:space="preserve"> understanding about the applicability of aggregation of orders to reach the large in scale thresholds. According to </w:t>
            </w:r>
            <w:proofErr w:type="spellStart"/>
            <w:r>
              <w:t>ESMA’s</w:t>
            </w:r>
            <w:proofErr w:type="spellEnd"/>
            <w:r>
              <w:t xml:space="preserve"> view, orders cannot be aggregated by trading venues to meet the LIS thresholds, as Article 3 RTS 2 specifies that an order is only LIS when it is above the LIS thresholds at point of order entry.</w:t>
            </w:r>
          </w:p>
          <w:p w14:paraId="172D8F80" w14:textId="77777777" w:rsidR="002C640A" w:rsidRDefault="002C640A" w:rsidP="002C640A">
            <w:pPr>
              <w:spacing w:after="120"/>
            </w:pPr>
            <w:r>
              <w:t xml:space="preserve">On the other side, however, brokers </w:t>
            </w:r>
            <w:proofErr w:type="gramStart"/>
            <w:r>
              <w:t>are allowed to</w:t>
            </w:r>
            <w:proofErr w:type="gramEnd"/>
            <w:r>
              <w:t xml:space="preserve"> aggregate client orders outside of trading venues to meet the LIS-threshold, execute this as a single block trade on exchange, split the block trade after execution in pieces below the LIS-threshold and distribute the resulting splits to several members / clients in a post trade event.</w:t>
            </w:r>
          </w:p>
          <w:p w14:paraId="49E6D55A" w14:textId="706E2111" w:rsidR="002C640A" w:rsidRDefault="002C640A" w:rsidP="002C640A">
            <w:pPr>
              <w:spacing w:after="120"/>
            </w:pPr>
            <w:r>
              <w:t xml:space="preserve">One of the main goals of the transparency regime introduced with the MiFID II / MiFIR legislation is to move transaction flow into lit trading facilities to increase transparency of price discovery and execution </w:t>
            </w:r>
            <w:proofErr w:type="gramStart"/>
            <w:r>
              <w:t>in order to</w:t>
            </w:r>
            <w:proofErr w:type="gramEnd"/>
            <w:r>
              <w:t xml:space="preserve"> support robustness or financial markets. Against this background, BME considers the current provisions on aggregation as a deviation from this goal as they allow order aggregation and thereby also price formation to take place outside regulated traded venues. This prevents the migration of large in scale flow into lit on-exchange price discovery and execution mechanisms, which will further manifest the information asymmetry between central limit orderbooks and large-in-scale negotiations, ultimately limiting the growth potential for lit on-exchange mechanisms designed to support the goal of the transparency regime introduced with the MiFID II / MiFIR legislation. </w:t>
            </w:r>
          </w:p>
          <w:p w14:paraId="3793ABD9" w14:textId="77777777" w:rsidR="002C640A" w:rsidRPr="007E1246" w:rsidRDefault="002C640A" w:rsidP="002C640A">
            <w:pPr>
              <w:spacing w:after="120"/>
            </w:pPr>
            <w:r w:rsidRPr="0073080D">
              <w:t xml:space="preserve">We suggest amending Article 3 of RTS 2 to indicate that trading venues may allow trading members to use their systems to aggregate the liquidity provisioning side of a trade to reach LIS limits </w:t>
            </w:r>
            <w:proofErr w:type="gramStart"/>
            <w:r w:rsidRPr="0073080D">
              <w:t>in order to</w:t>
            </w:r>
            <w:proofErr w:type="gramEnd"/>
            <w:r w:rsidRPr="0073080D">
              <w:t xml:space="preserve"> serve a demand for liquidity. This demand for liquidity should neither represent an active part of the venue nor adversely impact the liquidity of the orderbook.</w:t>
            </w:r>
          </w:p>
        </w:tc>
      </w:tr>
    </w:tbl>
    <w:p w14:paraId="4A4BD902" w14:textId="78C3940B" w:rsidR="000A609F" w:rsidRDefault="000A609F" w:rsidP="000A609F"/>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41C68F88" w14:textId="7FB25C8F" w:rsidR="002C640A" w:rsidRPr="007E1246" w:rsidRDefault="002C640A" w:rsidP="002C640A">
      <w:pPr>
        <w:tabs>
          <w:tab w:val="left" w:pos="1515"/>
        </w:tabs>
      </w:pPr>
      <w:permStart w:id="419637817" w:edGrp="everyone"/>
      <w:r w:rsidRPr="007E1246">
        <w:t xml:space="preserve">Yes, </w:t>
      </w:r>
      <w:r>
        <w:t>BME</w:t>
      </w:r>
      <w:r w:rsidRPr="007E1246">
        <w:t xml:space="preserve"> agrees with the proposed changes regarding the date of application of the transparency calculations. Monday is an ideal effective date from a system perspective. Allowing trading venues to implement technical changes over the weekend helps them ensure the smooth functioning of their systems. It also leaves more time for the verification of the changed configuration. </w:t>
      </w:r>
    </w:p>
    <w:p w14:paraId="797D3882" w14:textId="2E9DE9DF" w:rsidR="002C640A" w:rsidRPr="007E1246" w:rsidRDefault="002C640A" w:rsidP="002C640A">
      <w:pPr>
        <w:rPr>
          <w:rFonts w:cstheme="minorHAnsi"/>
          <w:szCs w:val="28"/>
        </w:rPr>
      </w:pPr>
      <w:r w:rsidRPr="007E1246">
        <w:rPr>
          <w:rFonts w:cstheme="minorHAnsi"/>
          <w:szCs w:val="28"/>
        </w:rPr>
        <w:t xml:space="preserve">However, </w:t>
      </w:r>
      <w:r>
        <w:rPr>
          <w:rFonts w:cstheme="minorHAnsi"/>
          <w:szCs w:val="28"/>
        </w:rPr>
        <w:t>BME</w:t>
      </w:r>
      <w:r w:rsidRPr="007E1246">
        <w:rPr>
          <w:rFonts w:cstheme="minorHAnsi"/>
          <w:szCs w:val="28"/>
        </w:rPr>
        <w:t xml:space="preserve"> does not consider the first Monday of June as appropriate application date because of the following reasons:</w:t>
      </w:r>
    </w:p>
    <w:p w14:paraId="53EDC6D7" w14:textId="77777777" w:rsidR="002C640A" w:rsidRPr="007E1246" w:rsidRDefault="002C640A" w:rsidP="002C640A">
      <w:pPr>
        <w:pStyle w:val="Prrafodelista"/>
        <w:numPr>
          <w:ilvl w:val="0"/>
          <w:numId w:val="40"/>
        </w:numPr>
        <w:spacing w:after="80"/>
        <w:ind w:left="306" w:hanging="306"/>
        <w:jc w:val="both"/>
        <w:outlineLvl w:val="0"/>
        <w:rPr>
          <w:b/>
          <w:bCs/>
        </w:rPr>
      </w:pPr>
      <w:r w:rsidRPr="007E1246">
        <w:rPr>
          <w:bCs/>
        </w:rPr>
        <w:t xml:space="preserve">The first week of any month is often preceded by the weekend following the expiries of commodity derivative contracts. During the weekend the exchange and clearing house are focusing their resources ensuring that this life cycle event is completed </w:t>
      </w:r>
      <w:proofErr w:type="gramStart"/>
      <w:r w:rsidRPr="007E1246">
        <w:rPr>
          <w:bCs/>
        </w:rPr>
        <w:t>correctly;</w:t>
      </w:r>
      <w:proofErr w:type="gramEnd"/>
    </w:p>
    <w:p w14:paraId="63F20A6F" w14:textId="77777777" w:rsidR="002C640A" w:rsidRPr="007E1246" w:rsidRDefault="002C640A" w:rsidP="002C640A">
      <w:pPr>
        <w:pStyle w:val="Prrafodelista"/>
        <w:numPr>
          <w:ilvl w:val="0"/>
          <w:numId w:val="40"/>
        </w:numPr>
        <w:spacing w:after="80"/>
        <w:ind w:left="306" w:hanging="306"/>
        <w:jc w:val="both"/>
        <w:outlineLvl w:val="0"/>
        <w:rPr>
          <w:b/>
          <w:bCs/>
        </w:rPr>
      </w:pPr>
      <w:r w:rsidRPr="007E1246">
        <w:rPr>
          <w:bCs/>
        </w:rPr>
        <w:t>In the past, new transparency calculation sometimes coincided with the use of a different data template from ESMA. If this occurs, there is simply too little time between April 30 and the first Monday of June to work through the impact of the changes to the data template and implement the updated transparency calculation at the same time. A period of 5-6 weeks seems more suitable to ensure that the deadline is met, and the changes are implemented in an orderly manner.</w:t>
      </w:r>
    </w:p>
    <w:p w14:paraId="5787267B" w14:textId="77777777" w:rsidR="002C640A" w:rsidRPr="007E1246" w:rsidRDefault="002C640A" w:rsidP="002C640A">
      <w:pPr>
        <w:rPr>
          <w:rFonts w:cstheme="minorHAnsi"/>
          <w:szCs w:val="28"/>
        </w:rPr>
      </w:pPr>
      <w:r w:rsidRPr="007E1246">
        <w:rPr>
          <w:rFonts w:cstheme="minorHAnsi"/>
          <w:szCs w:val="28"/>
        </w:rPr>
        <w:t>We, therefore, believe that a change of trading parameters before the expiry week bears the risk of creating uncertainties amongst market participants and ultimately might destabilise the functioning of financial markets. Furthermore, it is important to highlight that different contracts have different expiry weeks and that these different timelines need to be taken into consideration so as not to create disruptions.</w:t>
      </w:r>
    </w:p>
    <w:p w14:paraId="1C95BD8C" w14:textId="76DC1492" w:rsidR="000A609F" w:rsidRDefault="002C640A" w:rsidP="002C640A">
      <w:r w:rsidRPr="007E1246">
        <w:rPr>
          <w:rFonts w:cstheme="minorHAnsi"/>
          <w:szCs w:val="28"/>
        </w:rPr>
        <w:t>To prevent the potentially detrimental effects described above, we urgently request ESMA to move the effective date of the updated transparency calculations for non-equity instruments across all EU trading venues to the second Monday following the different contracts’ expiry weeks in June.</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6B88096B" w:rsidR="000A609F" w:rsidRDefault="002C640A" w:rsidP="000A609F">
      <w:permStart w:id="1984312142" w:edGrp="everyone"/>
      <w:r>
        <w:t>BME</w:t>
      </w:r>
      <w:r w:rsidRPr="007E1246">
        <w:t xml:space="preserve"> agrees with </w:t>
      </w:r>
      <w:proofErr w:type="spellStart"/>
      <w:r w:rsidRPr="007E1246">
        <w:t>ESMA’s</w:t>
      </w:r>
      <w:proofErr w:type="spellEnd"/>
      <w:r w:rsidRPr="007E1246">
        <w:t xml:space="preserve"> proposal to transfer the Q&amp;A provisions on minimum size of orders held in an order management facility to Art. 4 RTS 2.  </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41E60C7D" w:rsidR="000A609F" w:rsidRDefault="002C640A" w:rsidP="000A609F">
      <w:permStart w:id="731848676" w:edGrp="everyone"/>
      <w:r w:rsidRPr="007E1246">
        <w:t xml:space="preserve">ESMA proposes to amend Art. 12 RTS 2 such that redundancies in the legislative text are removed. The amendments entail no practical changes for non-equities. </w:t>
      </w:r>
      <w:r>
        <w:t>BME</w:t>
      </w:r>
      <w:r w:rsidRPr="007E1246">
        <w:t xml:space="preserve"> therefore agrees with the proposed changes to Art. 12 RTS 2.</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70248C1A" w14:textId="68FB301F" w:rsidR="002C640A" w:rsidRPr="007E1246" w:rsidRDefault="002C640A" w:rsidP="002C640A">
      <w:pPr>
        <w:spacing w:after="120"/>
      </w:pPr>
      <w:permStart w:id="322120573" w:edGrp="everyone"/>
      <w:r w:rsidRPr="007E1246">
        <w:t xml:space="preserve">As an introductory remark, </w:t>
      </w:r>
      <w:r>
        <w:t>BME</w:t>
      </w:r>
      <w:r w:rsidRPr="007E1246">
        <w:t xml:space="preserve"> believes that it is crucial that the liquidity assessment and the LIS threshold calculation should be based on order book data alone. To determine whether a market is liquid enough to accommodate a LIS threshold it is important to assess liquidity parameters such as the </w:t>
      </w:r>
      <w:proofErr w:type="spellStart"/>
      <w:r w:rsidRPr="007E1246">
        <w:t>ADNT</w:t>
      </w:r>
      <w:proofErr w:type="spellEnd"/>
      <w:r w:rsidRPr="007E1246">
        <w:t xml:space="preserve"> </w:t>
      </w:r>
      <w:proofErr w:type="gramStart"/>
      <w:r w:rsidRPr="007E1246">
        <w:t>on the basis of</w:t>
      </w:r>
      <w:proofErr w:type="gramEnd"/>
      <w:r w:rsidRPr="007E1246">
        <w:t xml:space="preserve"> the order book data alone. </w:t>
      </w:r>
    </w:p>
    <w:p w14:paraId="451FBE5A" w14:textId="77777777" w:rsidR="002C640A" w:rsidRPr="007E1246" w:rsidRDefault="002C640A" w:rsidP="002C640A">
      <w:pPr>
        <w:spacing w:after="120"/>
        <w:rPr>
          <w:b/>
          <w:bCs/>
        </w:rPr>
      </w:pPr>
      <w:r w:rsidRPr="007E1246">
        <w:rPr>
          <w:b/>
          <w:bCs/>
        </w:rPr>
        <w:t>Proposal Commodity Derivatives 1: [Metals] Determine that all metal sub-asset classes do not have a liquid market.</w:t>
      </w:r>
    </w:p>
    <w:p w14:paraId="6DD654BD" w14:textId="77777777" w:rsidR="002C640A" w:rsidRPr="007E1246" w:rsidRDefault="002C640A" w:rsidP="002C640A">
      <w:pPr>
        <w:spacing w:after="120"/>
      </w:pPr>
      <w:r w:rsidRPr="007E1246">
        <w:t>Yes, we agree and support the proposal.</w:t>
      </w:r>
    </w:p>
    <w:p w14:paraId="527DD2E4" w14:textId="77777777" w:rsidR="002C640A" w:rsidRPr="007E1246" w:rsidRDefault="002C640A" w:rsidP="002C640A">
      <w:pPr>
        <w:spacing w:after="120"/>
      </w:pPr>
    </w:p>
    <w:p w14:paraId="401054F6" w14:textId="77777777" w:rsidR="002C640A" w:rsidRPr="007E1246" w:rsidRDefault="002C640A" w:rsidP="002C640A">
      <w:pPr>
        <w:spacing w:after="120"/>
        <w:rPr>
          <w:b/>
          <w:bCs/>
        </w:rPr>
      </w:pPr>
      <w:r w:rsidRPr="007E1246">
        <w:rPr>
          <w:b/>
          <w:bCs/>
        </w:rPr>
        <w:t>Proposal Commodity Derivatives 2: [</w:t>
      </w:r>
      <w:proofErr w:type="spellStart"/>
      <w:r w:rsidRPr="007E1246">
        <w:rPr>
          <w:b/>
          <w:bCs/>
        </w:rPr>
        <w:t>ADNT</w:t>
      </w:r>
      <w:proofErr w:type="spellEnd"/>
      <w:r w:rsidRPr="007E1246">
        <w:rPr>
          <w:b/>
          <w:bCs/>
        </w:rPr>
        <w:t>] Maintain the criterion “average daily number of trades” (do not switch to “median daily number of trades”)</w:t>
      </w:r>
    </w:p>
    <w:p w14:paraId="4D983CEE" w14:textId="77777777" w:rsidR="002C640A" w:rsidRPr="007E1246" w:rsidRDefault="002C640A" w:rsidP="002C640A">
      <w:pPr>
        <w:spacing w:after="120"/>
      </w:pPr>
      <w:r w:rsidRPr="007E1246">
        <w:t xml:space="preserve">We agree with </w:t>
      </w:r>
      <w:proofErr w:type="spellStart"/>
      <w:r w:rsidRPr="007E1246">
        <w:t>ESMA’s</w:t>
      </w:r>
      <w:proofErr w:type="spellEnd"/>
      <w:r w:rsidRPr="007E1246">
        <w:t xml:space="preserve"> proposal to maintain the current criterion “average daily number of trades” as the current </w:t>
      </w:r>
      <w:proofErr w:type="spellStart"/>
      <w:r w:rsidRPr="007E1246">
        <w:t>ADNT</w:t>
      </w:r>
      <w:proofErr w:type="spellEnd"/>
      <w:r w:rsidRPr="007E1246">
        <w:t xml:space="preserve"> system works and reflect the proportionality principle.</w:t>
      </w:r>
    </w:p>
    <w:p w14:paraId="64664EF3" w14:textId="77777777" w:rsidR="002C640A" w:rsidRPr="007E1246" w:rsidRDefault="002C640A" w:rsidP="002C640A">
      <w:pPr>
        <w:spacing w:after="120"/>
      </w:pPr>
      <w:r w:rsidRPr="007E1246">
        <w:t xml:space="preserve">We have, however, some concerns regarding the suggestion to bundle pre-arranged and screen trades. The average daily number of trades should be focused on the number of trades being executed on screen. </w:t>
      </w:r>
    </w:p>
    <w:p w14:paraId="43EFADF9" w14:textId="77777777" w:rsidR="002C640A" w:rsidRPr="007E1246" w:rsidRDefault="002C640A" w:rsidP="002C640A">
      <w:pPr>
        <w:spacing w:after="120"/>
      </w:pPr>
    </w:p>
    <w:p w14:paraId="5CF2004C" w14:textId="77777777" w:rsidR="002C640A" w:rsidRPr="007E1246" w:rsidRDefault="002C640A" w:rsidP="002C640A">
      <w:pPr>
        <w:spacing w:after="120"/>
        <w:rPr>
          <w:b/>
          <w:bCs/>
        </w:rPr>
      </w:pPr>
      <w:r w:rsidRPr="007E1246">
        <w:rPr>
          <w:b/>
          <w:bCs/>
        </w:rPr>
        <w:t>Proposal Commodity Derivatives 3: [</w:t>
      </w:r>
      <w:proofErr w:type="spellStart"/>
      <w:r w:rsidRPr="007E1246">
        <w:rPr>
          <w:b/>
          <w:bCs/>
        </w:rPr>
        <w:t>ADNT</w:t>
      </w:r>
      <w:proofErr w:type="spellEnd"/>
      <w:r w:rsidRPr="007E1246">
        <w:rPr>
          <w:b/>
          <w:bCs/>
        </w:rPr>
        <w:t xml:space="preserve">] Increase the parameter of the </w:t>
      </w:r>
      <w:proofErr w:type="spellStart"/>
      <w:r w:rsidRPr="007E1246">
        <w:rPr>
          <w:b/>
          <w:bCs/>
        </w:rPr>
        <w:t>ADNT</w:t>
      </w:r>
      <w:proofErr w:type="spellEnd"/>
      <w:r w:rsidRPr="007E1246">
        <w:rPr>
          <w:b/>
          <w:bCs/>
        </w:rPr>
        <w:t xml:space="preserve"> to 50 trades per day for all commodity, C10, EA and DEA sub-classes.</w:t>
      </w:r>
    </w:p>
    <w:p w14:paraId="4B025174" w14:textId="77777777" w:rsidR="002C640A" w:rsidRPr="007E1246" w:rsidRDefault="002C640A" w:rsidP="002C640A">
      <w:pPr>
        <w:spacing w:after="120"/>
      </w:pPr>
      <w:r w:rsidRPr="007E1246">
        <w:t xml:space="preserve">No, we would prefer an increase up to 100 trades for the </w:t>
      </w:r>
      <w:proofErr w:type="spellStart"/>
      <w:r w:rsidRPr="007E1246">
        <w:t>ADNT</w:t>
      </w:r>
      <w:proofErr w:type="spellEnd"/>
      <w:r w:rsidRPr="007E1246">
        <w:t>. Given that trading is rarely uniformly distributed throughout the day, a higher threshold is a better basis for determining liquidity and, thus, an indication of the ability to find a counterparty in a relatively short period of time within a given trading day. Moreover, we should take account of the fact that trades are aggregated across venues.</w:t>
      </w:r>
    </w:p>
    <w:p w14:paraId="32FBB3EC" w14:textId="77777777" w:rsidR="002C640A" w:rsidRPr="007E1246" w:rsidRDefault="002C640A" w:rsidP="002C640A">
      <w:pPr>
        <w:spacing w:after="120"/>
      </w:pPr>
    </w:p>
    <w:p w14:paraId="7D3223F8" w14:textId="77777777" w:rsidR="002C640A" w:rsidRPr="007E1246" w:rsidRDefault="002C640A" w:rsidP="002C640A">
      <w:pPr>
        <w:autoSpaceDE w:val="0"/>
        <w:autoSpaceDN w:val="0"/>
        <w:adjustRightInd w:val="0"/>
        <w:spacing w:after="120"/>
        <w:rPr>
          <w:rFonts w:eastAsiaTheme="minorHAnsi" w:cs="Arial"/>
          <w:b/>
          <w:bCs/>
          <w:color w:val="000000"/>
        </w:rPr>
      </w:pPr>
      <w:r w:rsidRPr="007E1246">
        <w:rPr>
          <w:rFonts w:eastAsiaTheme="minorHAnsi" w:cs="Arial"/>
          <w:b/>
          <w:bCs/>
          <w:color w:val="000000"/>
        </w:rPr>
        <w:t>Proposal Commodity Derivatives 4: [</w:t>
      </w:r>
      <w:proofErr w:type="spellStart"/>
      <w:r w:rsidRPr="007E1246">
        <w:rPr>
          <w:rFonts w:eastAsiaTheme="minorHAnsi" w:cs="Arial"/>
          <w:b/>
          <w:bCs/>
          <w:color w:val="000000"/>
        </w:rPr>
        <w:t>ADNA</w:t>
      </w:r>
      <w:proofErr w:type="spellEnd"/>
      <w:r w:rsidRPr="007E1246">
        <w:rPr>
          <w:rFonts w:eastAsiaTheme="minorHAnsi" w:cs="Arial"/>
          <w:b/>
          <w:bCs/>
          <w:color w:val="000000"/>
        </w:rPr>
        <w:t xml:space="preserve">] Replace the criterion “average daily notional amount” with the criterion “standard trade size” calculated as the most frequently traded size (mode) and set the parameter of the </w:t>
      </w:r>
      <w:proofErr w:type="spellStart"/>
      <w:r w:rsidRPr="007E1246">
        <w:rPr>
          <w:rFonts w:eastAsiaTheme="minorHAnsi" w:cs="Arial"/>
          <w:b/>
          <w:bCs/>
          <w:color w:val="000000"/>
        </w:rPr>
        <w:t>STS_mode</w:t>
      </w:r>
      <w:proofErr w:type="spellEnd"/>
      <w:r w:rsidRPr="007E1246">
        <w:rPr>
          <w:rFonts w:eastAsiaTheme="minorHAnsi" w:cs="Arial"/>
          <w:b/>
          <w:bCs/>
          <w:color w:val="000000"/>
        </w:rPr>
        <w:t xml:space="preserve"> at 5 lots for futures: any class for which the most frequently traded size is lower than or equal to 5 lots would be deemed liquid (provided the other quantitative liquidity criterion is also fulfilled). </w:t>
      </w:r>
    </w:p>
    <w:p w14:paraId="079AECFD" w14:textId="77777777" w:rsidR="002C640A" w:rsidRPr="007E1246" w:rsidRDefault="002C640A" w:rsidP="002C640A">
      <w:pPr>
        <w:autoSpaceDE w:val="0"/>
        <w:autoSpaceDN w:val="0"/>
        <w:adjustRightInd w:val="0"/>
        <w:spacing w:after="120"/>
        <w:rPr>
          <w:rFonts w:eastAsiaTheme="minorHAnsi" w:cs="Arial"/>
          <w:color w:val="000000"/>
        </w:rPr>
      </w:pPr>
      <w:r w:rsidRPr="007E1246">
        <w:rPr>
          <w:rFonts w:eastAsiaTheme="minorHAnsi" w:cs="Arial"/>
          <w:color w:val="000000"/>
        </w:rPr>
        <w:t xml:space="preserve">We appreciate the introduction of the new </w:t>
      </w:r>
      <w:proofErr w:type="spellStart"/>
      <w:r w:rsidRPr="007E1246">
        <w:rPr>
          <w:rFonts w:eastAsiaTheme="minorHAnsi" w:cs="Arial"/>
          <w:color w:val="000000"/>
        </w:rPr>
        <w:t>STS_mode</w:t>
      </w:r>
      <w:proofErr w:type="spellEnd"/>
      <w:r w:rsidRPr="007E1246">
        <w:rPr>
          <w:rFonts w:eastAsiaTheme="minorHAnsi" w:cs="Arial"/>
          <w:color w:val="000000"/>
        </w:rPr>
        <w:t xml:space="preserve"> criterion, as it is in some cases slightly more accurate than its predecessor </w:t>
      </w:r>
      <w:proofErr w:type="spellStart"/>
      <w:r w:rsidRPr="007E1246">
        <w:rPr>
          <w:rFonts w:eastAsiaTheme="minorHAnsi" w:cs="Arial"/>
          <w:color w:val="000000"/>
        </w:rPr>
        <w:t>ADNA</w:t>
      </w:r>
      <w:proofErr w:type="spellEnd"/>
      <w:r w:rsidRPr="007E1246">
        <w:rPr>
          <w:rFonts w:eastAsiaTheme="minorHAnsi" w:cs="Arial"/>
          <w:color w:val="000000"/>
        </w:rPr>
        <w:t xml:space="preserve">. The </w:t>
      </w:r>
      <w:proofErr w:type="spellStart"/>
      <w:r w:rsidRPr="007E1246">
        <w:rPr>
          <w:rFonts w:eastAsiaTheme="minorHAnsi" w:cs="Arial"/>
          <w:color w:val="000000"/>
        </w:rPr>
        <w:t>STS_mode</w:t>
      </w:r>
      <w:proofErr w:type="spellEnd"/>
      <w:r w:rsidRPr="007E1246">
        <w:rPr>
          <w:rFonts w:eastAsiaTheme="minorHAnsi" w:cs="Arial"/>
          <w:color w:val="000000"/>
        </w:rPr>
        <w:t xml:space="preserve"> does not, however, solve or reflect what should determine if a contract is liquid or not. </w:t>
      </w:r>
    </w:p>
    <w:p w14:paraId="5D825E2E" w14:textId="77777777" w:rsidR="002C640A" w:rsidRPr="007E1246" w:rsidRDefault="002C640A" w:rsidP="002C640A">
      <w:pPr>
        <w:autoSpaceDE w:val="0"/>
        <w:autoSpaceDN w:val="0"/>
        <w:adjustRightInd w:val="0"/>
        <w:spacing w:after="120"/>
        <w:rPr>
          <w:rFonts w:eastAsiaTheme="minorHAnsi" w:cs="Arial"/>
          <w:color w:val="000000"/>
        </w:rPr>
      </w:pPr>
      <w:r w:rsidRPr="007E1246">
        <w:rPr>
          <w:rFonts w:eastAsiaTheme="minorHAnsi" w:cs="Arial"/>
          <w:color w:val="000000"/>
        </w:rPr>
        <w:t xml:space="preserve">Firstly, the </w:t>
      </w:r>
      <w:proofErr w:type="spellStart"/>
      <w:r w:rsidRPr="007E1246">
        <w:rPr>
          <w:rFonts w:eastAsiaTheme="minorHAnsi" w:cs="Arial"/>
          <w:color w:val="000000"/>
        </w:rPr>
        <w:t>STS_mode</w:t>
      </w:r>
      <w:proofErr w:type="spellEnd"/>
      <w:r w:rsidRPr="007E1246">
        <w:rPr>
          <w:rFonts w:eastAsiaTheme="minorHAnsi" w:cs="Arial"/>
          <w:color w:val="000000"/>
        </w:rPr>
        <w:t xml:space="preserve"> does not </w:t>
      </w:r>
      <w:proofErr w:type="gramStart"/>
      <w:r w:rsidRPr="007E1246">
        <w:rPr>
          <w:rFonts w:eastAsiaTheme="minorHAnsi" w:cs="Arial"/>
          <w:color w:val="000000"/>
        </w:rPr>
        <w:t>take into account</w:t>
      </w:r>
      <w:proofErr w:type="gramEnd"/>
      <w:r w:rsidRPr="007E1246">
        <w:rPr>
          <w:rFonts w:eastAsiaTheme="minorHAnsi" w:cs="Arial"/>
          <w:color w:val="000000"/>
        </w:rPr>
        <w:t xml:space="preserve"> the number of “units” in each lot when arguing that any class for which the most frequently traded size is lower than or equal to 5 lot would be deemed liquid. As an example, an average monthly contract has 720 MWh per 1 lot. A yearly contract has an average of 8,760 MWh per 1 lot (i.e., 12 times the monthly). In theory, when trading 1 year contract, the market participant is trading 12 x monthly contracts, equalling 12 “monthly” lots. The criterion is hence dependent on the technical contract setup, and does not reflect the liquidity in the contract, especially for contract with </w:t>
      </w:r>
      <w:proofErr w:type="gramStart"/>
      <w:r w:rsidRPr="007E1246">
        <w:rPr>
          <w:rFonts w:eastAsiaTheme="minorHAnsi" w:cs="Arial"/>
          <w:color w:val="000000"/>
        </w:rPr>
        <w:t>a large number of</w:t>
      </w:r>
      <w:proofErr w:type="gramEnd"/>
      <w:r w:rsidRPr="007E1246">
        <w:rPr>
          <w:rFonts w:eastAsiaTheme="minorHAnsi" w:cs="Arial"/>
          <w:color w:val="000000"/>
        </w:rPr>
        <w:t xml:space="preserve"> “units”, in this case MWh embedded in 1 lot.</w:t>
      </w:r>
    </w:p>
    <w:p w14:paraId="6D63F45B" w14:textId="77777777" w:rsidR="002C640A" w:rsidRPr="007E1246" w:rsidRDefault="002C640A" w:rsidP="002C640A">
      <w:pPr>
        <w:autoSpaceDE w:val="0"/>
        <w:autoSpaceDN w:val="0"/>
        <w:adjustRightInd w:val="0"/>
        <w:spacing w:after="120"/>
        <w:rPr>
          <w:rFonts w:eastAsiaTheme="minorHAnsi" w:cs="Arial"/>
          <w:color w:val="000000"/>
        </w:rPr>
      </w:pPr>
      <w:r w:rsidRPr="007E1246">
        <w:rPr>
          <w:rFonts w:eastAsiaTheme="minorHAnsi" w:cs="Arial"/>
          <w:color w:val="000000"/>
        </w:rPr>
        <w:t>Secondly, the trading pattern for a monthly contract and a year contract also differs significantly, as a trader looking to hedge long term would gradually build his/her book with yearly contracts as a foundation (small percentage of his exposure), and gradually trade more coming the next quarter and months. This can easily be reflected in the open interest building up in the short end of the curve, versus the long.</w:t>
      </w:r>
    </w:p>
    <w:p w14:paraId="2EA24B9C" w14:textId="77777777" w:rsidR="002C640A" w:rsidRPr="007E1246" w:rsidRDefault="002C640A" w:rsidP="002C640A">
      <w:pPr>
        <w:autoSpaceDE w:val="0"/>
        <w:autoSpaceDN w:val="0"/>
        <w:adjustRightInd w:val="0"/>
        <w:spacing w:after="120"/>
        <w:rPr>
          <w:rFonts w:eastAsiaTheme="minorHAnsi" w:cs="Arial"/>
          <w:color w:val="000000"/>
        </w:rPr>
      </w:pPr>
      <w:r w:rsidRPr="007E1246">
        <w:rPr>
          <w:rFonts w:eastAsiaTheme="minorHAnsi" w:cs="Arial"/>
          <w:color w:val="000000"/>
        </w:rPr>
        <w:t xml:space="preserve">Lastly, when looking at the proportion of what has historically been traded (in lots) on screen versus pre-arranged, it varies a lot – and that it is especially dependent on the number of “units” in the contract trade (e.g., month, quarter, year). The smaller the number of “units” in the contract the trades are relatively larger on screen than the contract with </w:t>
      </w:r>
      <w:proofErr w:type="gramStart"/>
      <w:r w:rsidRPr="007E1246">
        <w:rPr>
          <w:rFonts w:eastAsiaTheme="minorHAnsi" w:cs="Arial"/>
          <w:color w:val="000000"/>
        </w:rPr>
        <w:t>a large number of</w:t>
      </w:r>
      <w:proofErr w:type="gramEnd"/>
      <w:r w:rsidRPr="007E1246">
        <w:rPr>
          <w:rFonts w:eastAsiaTheme="minorHAnsi" w:cs="Arial"/>
          <w:color w:val="000000"/>
        </w:rPr>
        <w:t xml:space="preserve"> units, which in our opinion is only logical – especially if you compare a monthly contract to a yearly contract. The </w:t>
      </w:r>
      <w:proofErr w:type="spellStart"/>
      <w:r w:rsidRPr="007E1246">
        <w:rPr>
          <w:rFonts w:eastAsiaTheme="minorHAnsi" w:cs="Arial"/>
          <w:color w:val="000000"/>
        </w:rPr>
        <w:t>STS_MODE</w:t>
      </w:r>
      <w:proofErr w:type="spellEnd"/>
      <w:r w:rsidRPr="007E1246">
        <w:rPr>
          <w:rFonts w:eastAsiaTheme="minorHAnsi" w:cs="Arial"/>
          <w:color w:val="000000"/>
        </w:rPr>
        <w:t xml:space="preserve"> fails to demonstrate liquidity in this respect.</w:t>
      </w:r>
    </w:p>
    <w:p w14:paraId="233B5F96" w14:textId="77777777" w:rsidR="002C640A" w:rsidRPr="007E1246" w:rsidRDefault="002C640A" w:rsidP="002C640A">
      <w:pPr>
        <w:autoSpaceDE w:val="0"/>
        <w:autoSpaceDN w:val="0"/>
        <w:adjustRightInd w:val="0"/>
        <w:spacing w:after="120"/>
        <w:rPr>
          <w:rFonts w:eastAsiaTheme="minorHAnsi" w:cs="Arial"/>
          <w:color w:val="000000"/>
        </w:rPr>
      </w:pPr>
      <w:proofErr w:type="gramStart"/>
      <w:r w:rsidRPr="007E1246">
        <w:rPr>
          <w:rFonts w:eastAsiaTheme="minorHAnsi" w:cs="Arial"/>
          <w:color w:val="000000"/>
        </w:rPr>
        <w:t>This being said, we</w:t>
      </w:r>
      <w:proofErr w:type="gramEnd"/>
      <w:r w:rsidRPr="007E1246">
        <w:rPr>
          <w:rFonts w:eastAsiaTheme="minorHAnsi" w:cs="Arial"/>
          <w:color w:val="000000"/>
        </w:rPr>
        <w:t xml:space="preserve"> do believe that the </w:t>
      </w:r>
      <w:proofErr w:type="spellStart"/>
      <w:r w:rsidRPr="007E1246">
        <w:rPr>
          <w:rFonts w:eastAsiaTheme="minorHAnsi" w:cs="Arial"/>
          <w:color w:val="000000"/>
        </w:rPr>
        <w:t>STS_mode</w:t>
      </w:r>
      <w:proofErr w:type="spellEnd"/>
      <w:r w:rsidRPr="007E1246">
        <w:rPr>
          <w:rFonts w:eastAsiaTheme="minorHAnsi" w:cs="Arial"/>
          <w:color w:val="000000"/>
        </w:rPr>
        <w:t xml:space="preserve"> criterion fixes a vital flaw of the current </w:t>
      </w:r>
      <w:proofErr w:type="spellStart"/>
      <w:r w:rsidRPr="007E1246">
        <w:rPr>
          <w:rFonts w:eastAsiaTheme="minorHAnsi" w:cs="Arial"/>
          <w:color w:val="000000"/>
        </w:rPr>
        <w:t>ADNA</w:t>
      </w:r>
      <w:proofErr w:type="spellEnd"/>
      <w:r w:rsidRPr="007E1246">
        <w:rPr>
          <w:rFonts w:eastAsiaTheme="minorHAnsi" w:cs="Arial"/>
          <w:color w:val="000000"/>
        </w:rPr>
        <w:t xml:space="preserve"> criterion as the </w:t>
      </w:r>
      <w:proofErr w:type="spellStart"/>
      <w:r w:rsidRPr="007E1246">
        <w:rPr>
          <w:rFonts w:eastAsiaTheme="minorHAnsi" w:cs="Arial"/>
          <w:color w:val="000000"/>
        </w:rPr>
        <w:t>ADNA</w:t>
      </w:r>
      <w:proofErr w:type="spellEnd"/>
      <w:r w:rsidRPr="007E1246">
        <w:rPr>
          <w:rFonts w:eastAsiaTheme="minorHAnsi" w:cs="Arial"/>
          <w:color w:val="000000"/>
        </w:rPr>
        <w:t xml:space="preserve"> does not allow distinguishing between (1) a market with on average few trades of large sizes (potentially illiquid); and (2) a market with on average numerous trades of small sizes (potentially liquid). </w:t>
      </w:r>
    </w:p>
    <w:p w14:paraId="37CED502" w14:textId="77777777" w:rsidR="002C640A" w:rsidRPr="007E1246" w:rsidRDefault="002C640A" w:rsidP="002C640A">
      <w:pPr>
        <w:autoSpaceDE w:val="0"/>
        <w:autoSpaceDN w:val="0"/>
        <w:adjustRightInd w:val="0"/>
        <w:spacing w:after="120"/>
      </w:pPr>
      <w:r w:rsidRPr="007E1246">
        <w:rPr>
          <w:rFonts w:eastAsiaTheme="minorHAnsi" w:cs="Arial"/>
          <w:color w:val="000000"/>
        </w:rPr>
        <w:t xml:space="preserve">We therefore believe that the </w:t>
      </w:r>
      <w:proofErr w:type="spellStart"/>
      <w:r w:rsidRPr="007E1246">
        <w:rPr>
          <w:rFonts w:eastAsiaTheme="minorHAnsi" w:cs="Arial"/>
          <w:color w:val="000000"/>
        </w:rPr>
        <w:t>STS_mode</w:t>
      </w:r>
      <w:proofErr w:type="spellEnd"/>
      <w:r w:rsidRPr="007E1246">
        <w:rPr>
          <w:rFonts w:eastAsiaTheme="minorHAnsi" w:cs="Arial"/>
          <w:color w:val="000000"/>
        </w:rPr>
        <w:t xml:space="preserve"> criterion should be used in combination with </w:t>
      </w:r>
      <w:proofErr w:type="spellStart"/>
      <w:r w:rsidRPr="007E1246">
        <w:rPr>
          <w:rFonts w:eastAsiaTheme="minorHAnsi" w:cs="Arial"/>
          <w:color w:val="000000"/>
        </w:rPr>
        <w:t>ADNA</w:t>
      </w:r>
      <w:proofErr w:type="spellEnd"/>
      <w:r w:rsidRPr="007E1246">
        <w:rPr>
          <w:rFonts w:eastAsiaTheme="minorHAnsi" w:cs="Arial"/>
          <w:color w:val="000000"/>
        </w:rPr>
        <w:t xml:space="preserve"> and </w:t>
      </w:r>
      <w:proofErr w:type="spellStart"/>
      <w:r w:rsidRPr="007E1246">
        <w:rPr>
          <w:rFonts w:eastAsiaTheme="minorHAnsi" w:cs="Arial"/>
          <w:color w:val="000000"/>
        </w:rPr>
        <w:t>ADNT</w:t>
      </w:r>
      <w:proofErr w:type="spellEnd"/>
      <w:r w:rsidRPr="007E1246">
        <w:rPr>
          <w:rFonts w:eastAsiaTheme="minorHAnsi" w:cs="Arial"/>
          <w:color w:val="000000"/>
        </w:rPr>
        <w:t>, bearing in mind that the average daily notional amount traded should no longer be a notional value but should be expressed in lots and therefore be called ADAL, “Average Daily Amount of Lots traded”.</w:t>
      </w:r>
      <w:r w:rsidRPr="007E1246">
        <w:t xml:space="preserve"> </w:t>
      </w:r>
    </w:p>
    <w:p w14:paraId="14CE8D90" w14:textId="77777777" w:rsidR="002C640A" w:rsidRPr="007E1246" w:rsidRDefault="002C640A" w:rsidP="002C640A">
      <w:pPr>
        <w:autoSpaceDE w:val="0"/>
        <w:autoSpaceDN w:val="0"/>
        <w:adjustRightInd w:val="0"/>
        <w:spacing w:after="120"/>
        <w:rPr>
          <w:rFonts w:eastAsiaTheme="minorHAnsi" w:cs="Arial"/>
          <w:color w:val="000000"/>
        </w:rPr>
      </w:pPr>
      <w:r w:rsidRPr="007E1246">
        <w:t xml:space="preserve">Adding the </w:t>
      </w:r>
      <w:proofErr w:type="spellStart"/>
      <w:r w:rsidRPr="007E1246">
        <w:t>STS_mode</w:t>
      </w:r>
      <w:proofErr w:type="spellEnd"/>
      <w:r w:rsidRPr="007E1246">
        <w:t xml:space="preserve"> criterion is especially important to ensure that options markets and commodity options markets are classified as illiquid. Almost no screen trading takes place in the existing options contracts, for example gas, </w:t>
      </w:r>
      <w:proofErr w:type="gramStart"/>
      <w:r w:rsidRPr="007E1246">
        <w:t>power</w:t>
      </w:r>
      <w:proofErr w:type="gramEnd"/>
      <w:r w:rsidRPr="007E1246">
        <w:t xml:space="preserve"> or emissions derivatives. Under </w:t>
      </w:r>
      <w:proofErr w:type="gramStart"/>
      <w:r w:rsidRPr="007E1246">
        <w:t>the majority of</w:t>
      </w:r>
      <w:proofErr w:type="gramEnd"/>
      <w:r w:rsidRPr="007E1246">
        <w:t xml:space="preserve"> methodologies discussed by ESMA in the consultation document, an extremely inappropriately high LIS threshold (ranging from 200 lots to 1000 lots) would apply to these options markets if they were deemed liquid by virtue of the amount of block transactions. This would have serious negative consequences for the orderly functioning of these markets. We finally would like to reiterate that the liquidity assessment should of course be performed </w:t>
      </w:r>
      <w:proofErr w:type="gramStart"/>
      <w:r w:rsidRPr="007E1246">
        <w:t>on the basis of</w:t>
      </w:r>
      <w:proofErr w:type="gramEnd"/>
      <w:r w:rsidRPr="007E1246">
        <w:t xml:space="preserve"> order book data alone.</w:t>
      </w:r>
    </w:p>
    <w:p w14:paraId="53198D00" w14:textId="77777777" w:rsidR="002C640A" w:rsidRPr="007E1246" w:rsidRDefault="002C640A" w:rsidP="002C640A">
      <w:pPr>
        <w:autoSpaceDE w:val="0"/>
        <w:autoSpaceDN w:val="0"/>
        <w:adjustRightInd w:val="0"/>
        <w:spacing w:after="120"/>
        <w:rPr>
          <w:rFonts w:eastAsiaTheme="minorHAnsi" w:cs="Arial"/>
          <w:color w:val="000000"/>
        </w:rPr>
      </w:pPr>
    </w:p>
    <w:p w14:paraId="164321FA" w14:textId="77777777" w:rsidR="002C640A" w:rsidRPr="007E1246" w:rsidRDefault="002C640A" w:rsidP="002C640A">
      <w:pPr>
        <w:spacing w:after="120"/>
        <w:rPr>
          <w:rFonts w:eastAsiaTheme="minorHAnsi" w:cs="Arial"/>
          <w:b/>
          <w:bCs/>
          <w:color w:val="000000"/>
        </w:rPr>
      </w:pPr>
      <w:r w:rsidRPr="007E1246">
        <w:rPr>
          <w:rFonts w:eastAsiaTheme="minorHAnsi" w:cs="Arial"/>
          <w:b/>
          <w:bCs/>
          <w:color w:val="000000"/>
        </w:rPr>
        <w:t>Proposal Commodity Derivatives 5: [</w:t>
      </w:r>
      <w:proofErr w:type="spellStart"/>
      <w:r w:rsidRPr="007E1246">
        <w:rPr>
          <w:rFonts w:eastAsiaTheme="minorHAnsi" w:cs="Arial"/>
          <w:b/>
          <w:bCs/>
          <w:color w:val="000000"/>
        </w:rPr>
        <w:t>ADNA</w:t>
      </w:r>
      <w:proofErr w:type="spellEnd"/>
      <w:r w:rsidRPr="007E1246">
        <w:rPr>
          <w:rFonts w:eastAsiaTheme="minorHAnsi" w:cs="Arial"/>
          <w:b/>
          <w:bCs/>
          <w:color w:val="000000"/>
        </w:rPr>
        <w:t xml:space="preserve">] Set the same parameter of the </w:t>
      </w:r>
      <w:proofErr w:type="spellStart"/>
      <w:r w:rsidRPr="007E1246">
        <w:rPr>
          <w:rFonts w:eastAsiaTheme="minorHAnsi" w:cs="Arial"/>
          <w:b/>
          <w:bCs/>
          <w:color w:val="000000"/>
        </w:rPr>
        <w:t>STS_mode</w:t>
      </w:r>
      <w:proofErr w:type="spellEnd"/>
      <w:r w:rsidRPr="007E1246">
        <w:rPr>
          <w:rFonts w:eastAsiaTheme="minorHAnsi" w:cs="Arial"/>
          <w:b/>
          <w:bCs/>
          <w:color w:val="000000"/>
        </w:rPr>
        <w:t xml:space="preserve"> for all contract types, including options (5 lots)</w:t>
      </w:r>
    </w:p>
    <w:p w14:paraId="287B39A8" w14:textId="5F60F733" w:rsidR="002C640A" w:rsidRPr="007E1246" w:rsidRDefault="002C640A" w:rsidP="002C640A">
      <w:pPr>
        <w:spacing w:after="120"/>
      </w:pPr>
      <w:r w:rsidRPr="007E1246">
        <w:t xml:space="preserve">As noted earlier, with several modifications to, amongst others, the liquidity determination, </w:t>
      </w:r>
      <w:r>
        <w:t>BME</w:t>
      </w:r>
      <w:r w:rsidRPr="007E1246">
        <w:t xml:space="preserve"> supports the percentile approach for establishing the LIS thresholds. Energy options contracts and certain spread trading strategies (</w:t>
      </w:r>
      <w:proofErr w:type="spellStart"/>
      <w:r w:rsidRPr="007E1246">
        <w:t>intercommodity</w:t>
      </w:r>
      <w:proofErr w:type="spellEnd"/>
      <w:r w:rsidRPr="007E1246">
        <w:t xml:space="preserve"> spreads), however, require special treatment under RTS 2, as they have different characteristics and would receive inappropriate LIS thresholds if a standard methodology would be applied.</w:t>
      </w:r>
    </w:p>
    <w:p w14:paraId="1A5FA099" w14:textId="0F067491" w:rsidR="002C640A" w:rsidRPr="007E1246" w:rsidRDefault="002C640A" w:rsidP="002C640A">
      <w:pPr>
        <w:spacing w:after="120"/>
      </w:pPr>
      <w:r w:rsidRPr="007E1246">
        <w:t xml:space="preserve">Whilst </w:t>
      </w:r>
      <w:r>
        <w:t>BME</w:t>
      </w:r>
      <w:r w:rsidRPr="007E1246">
        <w:t xml:space="preserve"> understands the rationale to have more granular view of the markets’ liquidity, we believe that there is no “one size fits all” approach </w:t>
      </w:r>
      <w:proofErr w:type="gramStart"/>
      <w:r w:rsidRPr="007E1246">
        <w:t>in order to</w:t>
      </w:r>
      <w:proofErr w:type="gramEnd"/>
      <w:r w:rsidRPr="007E1246">
        <w:t xml:space="preserve"> assess the liquidity of a particular commodity asset class. Commodity futures markets, notably nascent and new futures contract markets, have different types of users, and applying a standardised approach (</w:t>
      </w:r>
      <w:proofErr w:type="gramStart"/>
      <w:r w:rsidRPr="007E1246">
        <w:t>i.e.</w:t>
      </w:r>
      <w:proofErr w:type="gramEnd"/>
      <w:r w:rsidRPr="007E1246">
        <w:t xml:space="preserve"> the same parameter of the </w:t>
      </w:r>
      <w:proofErr w:type="spellStart"/>
      <w:r w:rsidRPr="007E1246">
        <w:t>STS_mode</w:t>
      </w:r>
      <w:proofErr w:type="spellEnd"/>
      <w:r w:rsidRPr="007E1246">
        <w:t xml:space="preserve"> for all contract types) would not meet all of the various different characteristics and specificities.</w:t>
      </w:r>
    </w:p>
    <w:p w14:paraId="61A0DAC2" w14:textId="77777777" w:rsidR="002C640A" w:rsidRPr="007E1246" w:rsidRDefault="002C640A" w:rsidP="002C640A">
      <w:pPr>
        <w:spacing w:after="120"/>
      </w:pPr>
    </w:p>
    <w:p w14:paraId="72F521C2" w14:textId="77777777" w:rsidR="002C640A" w:rsidRPr="007E1246" w:rsidRDefault="002C640A" w:rsidP="002C640A">
      <w:pPr>
        <w:spacing w:after="120"/>
        <w:rPr>
          <w:b/>
          <w:bCs/>
        </w:rPr>
      </w:pPr>
      <w:r w:rsidRPr="007E1246">
        <w:rPr>
          <w:b/>
          <w:bCs/>
        </w:rPr>
        <w:t>Proposal Commodity Derivatives 6: [LIS/</w:t>
      </w:r>
      <w:proofErr w:type="spellStart"/>
      <w:r w:rsidRPr="007E1246">
        <w:rPr>
          <w:b/>
          <w:bCs/>
        </w:rPr>
        <w:t>SSTI</w:t>
      </w:r>
      <w:proofErr w:type="spellEnd"/>
      <w:r w:rsidRPr="007E1246">
        <w:rPr>
          <w:b/>
          <w:bCs/>
        </w:rPr>
        <w:t xml:space="preserve">] LIS and </w:t>
      </w:r>
      <w:proofErr w:type="spellStart"/>
      <w:r w:rsidRPr="007E1246">
        <w:rPr>
          <w:b/>
          <w:bCs/>
        </w:rPr>
        <w:t>SSTI</w:t>
      </w:r>
      <w:proofErr w:type="spellEnd"/>
      <w:r w:rsidRPr="007E1246">
        <w:rPr>
          <w:b/>
          <w:bCs/>
        </w:rPr>
        <w:t xml:space="preserve"> thresholds are equal to a set percentage of the average daily volumes (in lots), rounded to the nearest 5 lots and bounded by a floor and a cap.</w:t>
      </w:r>
    </w:p>
    <w:p w14:paraId="411D1526" w14:textId="77777777" w:rsidR="002C640A" w:rsidRPr="002C640A" w:rsidRDefault="002C640A" w:rsidP="002C640A">
      <w:pPr>
        <w:spacing w:after="120"/>
      </w:pPr>
      <w:r w:rsidRPr="002C640A">
        <w:t xml:space="preserve">The introduction of </w:t>
      </w:r>
      <w:proofErr w:type="spellStart"/>
      <w:r w:rsidRPr="002C640A">
        <w:t>ADVL</w:t>
      </w:r>
      <w:proofErr w:type="spellEnd"/>
      <w:r w:rsidRPr="002C640A">
        <w:t xml:space="preserve"> as a benchmark to set the LIS and </w:t>
      </w:r>
      <w:proofErr w:type="spellStart"/>
      <w:r w:rsidRPr="002C640A">
        <w:t>SSTI</w:t>
      </w:r>
      <w:proofErr w:type="spellEnd"/>
      <w:r w:rsidRPr="002C640A">
        <w:t xml:space="preserve"> thresholds does not make sense in many ways. Again, it fails to address the number of “units” in the contract being traded. By introducing a floor at 5 lots makes in this case little sense as well, as the former remark makes the methodology fail.</w:t>
      </w:r>
    </w:p>
    <w:p w14:paraId="13C12E72" w14:textId="77777777" w:rsidR="002C640A" w:rsidRPr="002C640A" w:rsidRDefault="002C640A" w:rsidP="002C640A">
      <w:pPr>
        <w:spacing w:after="120"/>
      </w:pPr>
      <w:r w:rsidRPr="002C640A">
        <w:t xml:space="preserve">As an example, the Nordic Electricity futures would wrongfully suffer from this methodology. If we </w:t>
      </w:r>
      <w:proofErr w:type="gramStart"/>
      <w:r w:rsidRPr="002C640A">
        <w:t>take a look</w:t>
      </w:r>
      <w:proofErr w:type="gramEnd"/>
      <w:r w:rsidRPr="002C640A">
        <w:t xml:space="preserve"> at the Nordic Baseload Yearly Futures in maturity bucket 3 number, the contract, based on 2020 figures, ESMA has calculated the following:</w:t>
      </w:r>
    </w:p>
    <w:p w14:paraId="751F8482" w14:textId="77777777" w:rsidR="002C640A" w:rsidRPr="002C640A" w:rsidRDefault="002C640A" w:rsidP="002C640A">
      <w:pPr>
        <w:spacing w:after="120"/>
      </w:pPr>
      <w:proofErr w:type="spellStart"/>
      <w:r w:rsidRPr="002C640A">
        <w:t>ADNT</w:t>
      </w:r>
      <w:proofErr w:type="spellEnd"/>
      <w:r w:rsidRPr="002C640A">
        <w:t xml:space="preserve"> = 58 trades (liquid per criterion 2)</w:t>
      </w:r>
    </w:p>
    <w:p w14:paraId="552B58CD" w14:textId="77777777" w:rsidR="002C640A" w:rsidRPr="002C640A" w:rsidRDefault="002C640A" w:rsidP="002C640A">
      <w:pPr>
        <w:spacing w:after="120"/>
      </w:pPr>
      <w:proofErr w:type="spellStart"/>
      <w:r w:rsidRPr="002C640A">
        <w:t>ADVL</w:t>
      </w:r>
      <w:proofErr w:type="spellEnd"/>
      <w:r w:rsidRPr="002C640A">
        <w:t xml:space="preserve"> = 119 lots</w:t>
      </w:r>
    </w:p>
    <w:p w14:paraId="7AFA87C3" w14:textId="77777777" w:rsidR="002C640A" w:rsidRPr="002C640A" w:rsidRDefault="002C640A" w:rsidP="002C640A">
      <w:pPr>
        <w:spacing w:after="120"/>
      </w:pPr>
      <w:proofErr w:type="spellStart"/>
      <w:r w:rsidRPr="002C640A">
        <w:t>STS_MODE</w:t>
      </w:r>
      <w:proofErr w:type="spellEnd"/>
      <w:r w:rsidRPr="002C640A">
        <w:t xml:space="preserve"> = 1 lot (liquid per criterion 1)</w:t>
      </w:r>
    </w:p>
    <w:p w14:paraId="78373521" w14:textId="77777777" w:rsidR="002C640A" w:rsidRPr="002C640A" w:rsidRDefault="002C640A" w:rsidP="002C640A">
      <w:pPr>
        <w:spacing w:after="120"/>
      </w:pPr>
      <w:r w:rsidRPr="002C640A">
        <w:t xml:space="preserve">% of </w:t>
      </w:r>
      <w:proofErr w:type="spellStart"/>
      <w:r w:rsidRPr="002C640A">
        <w:t>ADVL</w:t>
      </w:r>
      <w:proofErr w:type="spellEnd"/>
      <w:r w:rsidRPr="002C640A">
        <w:t>, pre-trade LIS = 5.95 lot = 5 lots rounded down to the nearest 5 lot.</w:t>
      </w:r>
    </w:p>
    <w:p w14:paraId="78FE2567" w14:textId="77777777" w:rsidR="002C640A" w:rsidRPr="002C640A" w:rsidRDefault="002C640A" w:rsidP="002C640A">
      <w:pPr>
        <w:spacing w:after="120"/>
      </w:pPr>
      <w:r w:rsidRPr="002C640A">
        <w:t xml:space="preserve">When taking a look at the actual distribution of the trade, </w:t>
      </w:r>
      <w:proofErr w:type="gramStart"/>
      <w:r w:rsidRPr="002C640A">
        <w:t>i.e.</w:t>
      </w:r>
      <w:proofErr w:type="gramEnd"/>
      <w:r w:rsidRPr="002C640A">
        <w:t xml:space="preserve"> the percentage of trades traded in the different lot sizes (1,2,3 etc.), we see the following;</w:t>
      </w:r>
    </w:p>
    <w:p w14:paraId="48EDC858" w14:textId="77777777" w:rsidR="002C640A" w:rsidRPr="002C640A" w:rsidRDefault="002C640A" w:rsidP="002C640A">
      <w:pPr>
        <w:spacing w:after="120"/>
      </w:pPr>
      <w:r w:rsidRPr="002C640A">
        <w:t>1 lots trade = 53% off all trades (79% screen, 21% pre-arranged)</w:t>
      </w:r>
    </w:p>
    <w:p w14:paraId="652BAF68" w14:textId="77777777" w:rsidR="002C640A" w:rsidRPr="002C640A" w:rsidRDefault="002C640A" w:rsidP="002C640A">
      <w:pPr>
        <w:spacing w:after="120"/>
      </w:pPr>
      <w:r w:rsidRPr="002C640A">
        <w:t>2 lots trade = 25% off all trades (56% screen, 44% pre-arranged)</w:t>
      </w:r>
    </w:p>
    <w:p w14:paraId="57F52802" w14:textId="77777777" w:rsidR="002C640A" w:rsidRPr="002C640A" w:rsidRDefault="002C640A" w:rsidP="002C640A">
      <w:pPr>
        <w:spacing w:after="120"/>
      </w:pPr>
      <w:r w:rsidRPr="002C640A">
        <w:t>Accumulated 1 and 2 lots = 78% off all trades</w:t>
      </w:r>
    </w:p>
    <w:p w14:paraId="730CBEE6" w14:textId="77777777" w:rsidR="002C640A" w:rsidRPr="002C640A" w:rsidRDefault="002C640A" w:rsidP="002C640A">
      <w:pPr>
        <w:spacing w:after="120"/>
      </w:pPr>
      <w:r w:rsidRPr="002C640A">
        <w:t>3 lots trade = 9% off all trades (49% screen, 51% pre-arranged)</w:t>
      </w:r>
    </w:p>
    <w:p w14:paraId="4B046627" w14:textId="77777777" w:rsidR="002C640A" w:rsidRPr="002C640A" w:rsidRDefault="002C640A" w:rsidP="002C640A">
      <w:pPr>
        <w:spacing w:after="120"/>
      </w:pPr>
      <w:r w:rsidRPr="002C640A">
        <w:t>Accumulated 1-3 lots = 87% off all trades</w:t>
      </w:r>
    </w:p>
    <w:p w14:paraId="02CFD5E4" w14:textId="77777777" w:rsidR="002C640A" w:rsidRPr="002C640A" w:rsidRDefault="002C640A" w:rsidP="002C640A">
      <w:pPr>
        <w:spacing w:after="120"/>
      </w:pPr>
      <w:r w:rsidRPr="002C640A">
        <w:t>4 lots trade = 3% of all trades (44% screen, 56% pre-arranged)</w:t>
      </w:r>
    </w:p>
    <w:p w14:paraId="7A4D38A2" w14:textId="77777777" w:rsidR="002C640A" w:rsidRPr="002C640A" w:rsidRDefault="002C640A" w:rsidP="002C640A">
      <w:pPr>
        <w:spacing w:after="120"/>
      </w:pPr>
      <w:r w:rsidRPr="002C640A">
        <w:t>Accumulated 1-4 lots = 90% off all trades</w:t>
      </w:r>
    </w:p>
    <w:p w14:paraId="7F829084" w14:textId="77777777" w:rsidR="002C640A" w:rsidRPr="002C640A" w:rsidRDefault="002C640A" w:rsidP="002C640A">
      <w:pPr>
        <w:spacing w:after="120"/>
      </w:pPr>
      <w:r w:rsidRPr="002C640A">
        <w:t>5 lots trade = 7% off all trades (24% screen, 76% pre-arranged).</w:t>
      </w:r>
    </w:p>
    <w:p w14:paraId="4EEF1DD9" w14:textId="77777777" w:rsidR="002C640A" w:rsidRPr="002C640A" w:rsidRDefault="002C640A" w:rsidP="002C640A">
      <w:pPr>
        <w:spacing w:after="120"/>
      </w:pPr>
      <w:r w:rsidRPr="002C640A">
        <w:t>Accumulated 1-5 lots = 97% off all trades.</w:t>
      </w:r>
    </w:p>
    <w:p w14:paraId="4658FE73" w14:textId="77777777" w:rsidR="002C640A" w:rsidRPr="002C640A" w:rsidRDefault="002C640A" w:rsidP="002C640A">
      <w:pPr>
        <w:spacing w:after="120"/>
      </w:pPr>
      <w:r w:rsidRPr="002C640A">
        <w:t xml:space="preserve">By this, it becomes clear to us that the methodology of setting a pre-trade LIS based on 5% of the </w:t>
      </w:r>
      <w:proofErr w:type="spellStart"/>
      <w:r w:rsidRPr="002C640A">
        <w:t>ADVL</w:t>
      </w:r>
      <w:proofErr w:type="spellEnd"/>
      <w:r w:rsidRPr="002C640A">
        <w:t xml:space="preserve"> does not reflect a logical pre-trade LIS value. With reference to our previous comments about the flaws of the methodology, the fact that the number of “units” – in this case MWh is not taken into account, eradicates the logic behind having a fixed floor at 5 lots as pre-trade LIS, in conjunction with the </w:t>
      </w:r>
      <w:proofErr w:type="spellStart"/>
      <w:r w:rsidRPr="002C640A">
        <w:t>STS_mode</w:t>
      </w:r>
      <w:proofErr w:type="spellEnd"/>
      <w:r w:rsidRPr="002C640A">
        <w:t>.</w:t>
      </w:r>
    </w:p>
    <w:p w14:paraId="5F265BD7" w14:textId="77777777" w:rsidR="002C640A" w:rsidRPr="002C640A" w:rsidRDefault="002C640A" w:rsidP="002C640A">
      <w:pPr>
        <w:spacing w:after="120"/>
      </w:pPr>
      <w:r w:rsidRPr="002C640A">
        <w:t>Having considered several alternative methodologies, we have concluded that the current percentile approach might be the least flawed methodology. However, the percentile approach should not be increased to 95 but remain at 70.</w:t>
      </w:r>
    </w:p>
    <w:p w14:paraId="5D9E2DAE" w14:textId="77777777" w:rsidR="002C640A" w:rsidRPr="002C640A" w:rsidRDefault="002C640A" w:rsidP="002C640A">
      <w:pPr>
        <w:spacing w:after="120"/>
      </w:pPr>
      <w:r w:rsidRPr="002C640A">
        <w:t>We came to this conclusion regarding the percentile approach because we believe that many of its weaknesses are now removed or possible to remove:</w:t>
      </w:r>
    </w:p>
    <w:p w14:paraId="184B5F9A" w14:textId="77777777" w:rsidR="002C640A" w:rsidRPr="002C640A" w:rsidRDefault="002C640A" w:rsidP="002C640A">
      <w:pPr>
        <w:spacing w:after="120"/>
      </w:pPr>
      <w:r w:rsidRPr="002C640A">
        <w:t xml:space="preserve">The counterintuitive effects are reduced by adding the STS criterion to the liquidity assessment as well as by increasing the </w:t>
      </w:r>
      <w:proofErr w:type="spellStart"/>
      <w:r w:rsidRPr="002C640A">
        <w:t>ADNT</w:t>
      </w:r>
      <w:proofErr w:type="spellEnd"/>
      <w:r w:rsidRPr="002C640A">
        <w:t xml:space="preserve"> from 50 to 100.</w:t>
      </w:r>
    </w:p>
    <w:p w14:paraId="1E9F664C" w14:textId="77777777" w:rsidR="002C640A" w:rsidRPr="002C640A" w:rsidRDefault="002C640A" w:rsidP="002C640A">
      <w:pPr>
        <w:spacing w:after="120"/>
      </w:pPr>
      <w:r w:rsidRPr="002C640A">
        <w:t>The LIS thresholds can be converted into lots.</w:t>
      </w:r>
    </w:p>
    <w:p w14:paraId="642432CC" w14:textId="77777777" w:rsidR="002C640A" w:rsidRPr="002C640A" w:rsidRDefault="002C640A" w:rsidP="002C640A">
      <w:pPr>
        <w:spacing w:after="120"/>
      </w:pPr>
      <w:r w:rsidRPr="002C640A">
        <w:t>The minimum floor, for which we see no justification, can be removed.</w:t>
      </w:r>
    </w:p>
    <w:p w14:paraId="5BBD96FF" w14:textId="77777777" w:rsidR="002C640A" w:rsidRPr="002C640A" w:rsidRDefault="002C640A" w:rsidP="002C640A">
      <w:pPr>
        <w:spacing w:after="120"/>
      </w:pPr>
      <w:r w:rsidRPr="002C640A">
        <w:t>The round rules can easily be set at a more granular level.</w:t>
      </w:r>
    </w:p>
    <w:p w14:paraId="13569B24" w14:textId="77777777" w:rsidR="002C640A" w:rsidRPr="002C640A" w:rsidRDefault="002C640A" w:rsidP="002C640A">
      <w:pPr>
        <w:spacing w:after="120"/>
      </w:pPr>
      <w:r w:rsidRPr="002C640A">
        <w:t>Hence, we believe that, when the above measures are taken, the current 70 percentile approach would be the most suitable way forward.</w:t>
      </w:r>
    </w:p>
    <w:p w14:paraId="7C8A7A22" w14:textId="77777777" w:rsidR="002C640A" w:rsidRPr="007E1246" w:rsidRDefault="002C640A" w:rsidP="002C640A">
      <w:pPr>
        <w:pStyle w:val="NormalWeb"/>
        <w:spacing w:beforeAutospacing="0" w:after="120" w:afterAutospacing="0"/>
        <w:rPr>
          <w:rFonts w:ascii="Trebuchet MS" w:hAnsi="Trebuchet MS"/>
          <w:sz w:val="22"/>
        </w:rPr>
      </w:pPr>
    </w:p>
    <w:p w14:paraId="677C642F" w14:textId="77777777" w:rsidR="002C640A" w:rsidRPr="007E1246" w:rsidRDefault="002C640A" w:rsidP="002C640A">
      <w:pPr>
        <w:spacing w:after="120"/>
        <w:rPr>
          <w:b/>
          <w:bCs/>
        </w:rPr>
      </w:pPr>
      <w:r w:rsidRPr="007E1246">
        <w:rPr>
          <w:b/>
          <w:bCs/>
        </w:rPr>
        <w:t>Proposal Commodity Derivatives 7: [Units or Lots] Set the liquidity framework in lots (</w:t>
      </w:r>
      <w:proofErr w:type="spellStart"/>
      <w:r w:rsidRPr="007E1246">
        <w:rPr>
          <w:b/>
          <w:bCs/>
        </w:rPr>
        <w:t>STS_mode</w:t>
      </w:r>
      <w:proofErr w:type="spellEnd"/>
      <w:r w:rsidRPr="007E1246">
        <w:rPr>
          <w:b/>
          <w:bCs/>
        </w:rPr>
        <w:t xml:space="preserve"> parameter set in lots, volumes reported to ESMA in lots, LIS and </w:t>
      </w:r>
      <w:proofErr w:type="spellStart"/>
      <w:r w:rsidRPr="007E1246">
        <w:rPr>
          <w:b/>
          <w:bCs/>
        </w:rPr>
        <w:t>SSTI</w:t>
      </w:r>
      <w:proofErr w:type="spellEnd"/>
      <w:r w:rsidRPr="007E1246">
        <w:rPr>
          <w:b/>
          <w:bCs/>
        </w:rPr>
        <w:t xml:space="preserve"> thresholds published in lots) accompanied by Level 3 measures to address the risk of downward revisions of the lot sizes.</w:t>
      </w:r>
    </w:p>
    <w:p w14:paraId="2A1C4667" w14:textId="77777777" w:rsidR="002C640A" w:rsidRPr="007E1246" w:rsidRDefault="002C640A" w:rsidP="002C640A">
      <w:pPr>
        <w:spacing w:after="120"/>
      </w:pPr>
      <w:r w:rsidRPr="007E1246">
        <w:t>See response above.</w:t>
      </w:r>
    </w:p>
    <w:p w14:paraId="19C5A367" w14:textId="77777777" w:rsidR="002C640A" w:rsidRPr="007E1246" w:rsidRDefault="002C640A" w:rsidP="002C640A">
      <w:pPr>
        <w:spacing w:after="120"/>
        <w:rPr>
          <w:b/>
          <w:bCs/>
        </w:rPr>
      </w:pPr>
      <w:r w:rsidRPr="007E1246">
        <w:rPr>
          <w:b/>
          <w:bCs/>
        </w:rPr>
        <w:t xml:space="preserve">Proposal Commodity Derivatives 8: [Reporting to </w:t>
      </w:r>
      <w:proofErr w:type="spellStart"/>
      <w:r w:rsidRPr="007E1246">
        <w:rPr>
          <w:b/>
          <w:bCs/>
        </w:rPr>
        <w:t>FITRS</w:t>
      </w:r>
      <w:proofErr w:type="spellEnd"/>
      <w:r w:rsidRPr="007E1246">
        <w:rPr>
          <w:b/>
          <w:bCs/>
        </w:rPr>
        <w:t xml:space="preserve">] number of transactions shall be reported to </w:t>
      </w:r>
      <w:proofErr w:type="spellStart"/>
      <w:r w:rsidRPr="007E1246">
        <w:rPr>
          <w:b/>
          <w:bCs/>
        </w:rPr>
        <w:t>FITRS</w:t>
      </w:r>
      <w:proofErr w:type="spellEnd"/>
      <w:r w:rsidRPr="007E1246">
        <w:rPr>
          <w:b/>
          <w:bCs/>
        </w:rPr>
        <w:t xml:space="preserve"> per trade-size bins which are defined in the new Annex V of RTS 2. Total volumes in lots and total volumes in underlying units shall also be reported to </w:t>
      </w:r>
      <w:proofErr w:type="spellStart"/>
      <w:r w:rsidRPr="007E1246">
        <w:rPr>
          <w:b/>
          <w:bCs/>
        </w:rPr>
        <w:t>FITRS</w:t>
      </w:r>
      <w:proofErr w:type="spellEnd"/>
      <w:r w:rsidRPr="007E1246">
        <w:rPr>
          <w:b/>
          <w:bCs/>
        </w:rPr>
        <w:t xml:space="preserve"> as specified in the new Annex V of RTS 2.</w:t>
      </w:r>
    </w:p>
    <w:p w14:paraId="4E1A72EB" w14:textId="2741A12B" w:rsidR="002C640A" w:rsidRPr="002C640A" w:rsidRDefault="002C640A" w:rsidP="002C640A">
      <w:pPr>
        <w:pStyle w:val="NormalWeb"/>
        <w:spacing w:beforeAutospacing="0" w:after="120" w:afterAutospacing="0"/>
        <w:rPr>
          <w:rFonts w:ascii="Arial" w:hAnsi="Arial"/>
          <w:sz w:val="20"/>
          <w:lang w:val="en-GB" w:eastAsia="de-DE"/>
        </w:rPr>
      </w:pPr>
      <w:r w:rsidRPr="002C640A">
        <w:rPr>
          <w:rFonts w:ascii="Arial" w:hAnsi="Arial"/>
          <w:sz w:val="20"/>
          <w:lang w:val="en-GB" w:eastAsia="de-DE"/>
        </w:rPr>
        <w:t xml:space="preserve">Yes, BME would agree. </w:t>
      </w:r>
    </w:p>
    <w:p w14:paraId="67B78CAB" w14:textId="77777777" w:rsidR="002C640A" w:rsidRPr="007E1246" w:rsidRDefault="002C640A" w:rsidP="002C640A">
      <w:pPr>
        <w:spacing w:after="120"/>
      </w:pPr>
    </w:p>
    <w:p w14:paraId="079C5A29" w14:textId="77777777" w:rsidR="002C640A" w:rsidRPr="007E1246" w:rsidRDefault="002C640A" w:rsidP="002C640A">
      <w:pPr>
        <w:spacing w:after="120"/>
      </w:pPr>
      <w:r w:rsidRPr="007E1246">
        <w:rPr>
          <w:b/>
          <w:bCs/>
        </w:rPr>
        <w:t>Proposal Commodity Derivatives 9: [data scope] The transparency calculations continue to be performed with all data (on-venue, SI and OTC).</w:t>
      </w:r>
    </w:p>
    <w:p w14:paraId="0776F04F" w14:textId="143B88CD" w:rsidR="000A609F" w:rsidRDefault="002C640A" w:rsidP="002C640A">
      <w:r w:rsidRPr="007E1246">
        <w:t>Please see the introductory remark to this question. We believe that both the liquidity assessment as well as the LIS threshold calculation should be performed on order book data alone.</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53EC2C5A" w14:textId="77777777" w:rsidR="000A609F" w:rsidRDefault="000A609F" w:rsidP="000A609F">
      <w:permStart w:id="2054638963" w:edGrp="everyone"/>
      <w:r>
        <w:t>TYPE YOUR TEXT HERE</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596ED05C" w14:textId="77777777" w:rsidR="002C640A" w:rsidRPr="007E1246" w:rsidRDefault="002C640A" w:rsidP="002C640A">
      <w:permStart w:id="1260810222" w:edGrp="everyone"/>
      <w:r w:rsidRPr="007E1246">
        <w:t xml:space="preserve">ESMA proposes to replace the term “Notional </w:t>
      </w:r>
      <w:proofErr w:type="gramStart"/>
      <w:r w:rsidRPr="007E1246">
        <w:t>amount</w:t>
      </w:r>
      <w:proofErr w:type="gramEnd"/>
      <w:r w:rsidRPr="007E1246">
        <w:t xml:space="preserve"> of traded contracts” in Table 4 of Annex II of RTS 2 with the definitions of the notional amount provided by Article 3a(1)(a) for futures and Article 3a(1)(b) for options of Delegated Regulation (EU) No 148/2013 (3).</w:t>
      </w:r>
    </w:p>
    <w:p w14:paraId="0B3C5056" w14:textId="77777777" w:rsidR="002C640A" w:rsidRPr="007E1246" w:rsidRDefault="002C640A" w:rsidP="002C640A">
      <w:r w:rsidRPr="007E1246">
        <w:t xml:space="preserve">In Article 3a(1)(a) the notional </w:t>
      </w:r>
      <w:proofErr w:type="gramStart"/>
      <w:r w:rsidRPr="007E1246">
        <w:t>amount</w:t>
      </w:r>
      <w:proofErr w:type="gramEnd"/>
      <w:r w:rsidRPr="007E1246">
        <w:t xml:space="preserve"> of futures is defined as </w:t>
      </w:r>
      <w:r w:rsidRPr="007E1246">
        <w:rPr>
          <w:i/>
          <w:iCs/>
        </w:rPr>
        <w:t>“(…) the reference amount from which contractual payments are determined in derivative markets”.</w:t>
      </w:r>
      <w:r w:rsidRPr="007E1246">
        <w:t xml:space="preserve"> According to our understanding, this definition encompasses the multiplication of the current market price with the tick value of the respective future contract as method to obtain the notional volume for futures.</w:t>
      </w:r>
    </w:p>
    <w:p w14:paraId="200D05EF" w14:textId="23E2B0D6" w:rsidR="000A609F" w:rsidRDefault="002C640A" w:rsidP="002C640A">
      <w:r w:rsidRPr="007E1246">
        <w:t xml:space="preserve">Based on this understanding, we agree with </w:t>
      </w:r>
      <w:proofErr w:type="spellStart"/>
      <w:r w:rsidRPr="007E1246">
        <w:t>ESMA’s</w:t>
      </w:r>
      <w:proofErr w:type="spellEnd"/>
      <w:r w:rsidRPr="007E1246">
        <w:t xml:space="preserve"> proposal.</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674552F1" w14:textId="77777777" w:rsidR="002C640A" w:rsidRPr="007E1246" w:rsidRDefault="002C640A" w:rsidP="002C640A">
      <w:permStart w:id="186528103" w:edGrp="everyone"/>
      <w:r w:rsidRPr="007E1246">
        <w:t>For options on bond futures, such as, for example, Options on Euro-</w:t>
      </w:r>
      <w:proofErr w:type="spellStart"/>
      <w:r w:rsidRPr="007E1246">
        <w:t>Bobl</w:t>
      </w:r>
      <w:proofErr w:type="spellEnd"/>
      <w:r w:rsidRPr="007E1246">
        <w:t xml:space="preserve"> Futures, Options on Euro-Bund Futures, Options on Euro-</w:t>
      </w:r>
      <w:proofErr w:type="spellStart"/>
      <w:r w:rsidRPr="007E1246">
        <w:t>Buxl</w:t>
      </w:r>
      <w:proofErr w:type="spellEnd"/>
      <w:r w:rsidRPr="007E1246">
        <w:t xml:space="preserve"> Futures or Options on Euro-Schatz Futures, the </w:t>
      </w:r>
      <w:proofErr w:type="spellStart"/>
      <w:r w:rsidRPr="007E1246">
        <w:t>ISIN</w:t>
      </w:r>
      <w:proofErr w:type="spellEnd"/>
      <w:r w:rsidRPr="007E1246">
        <w:t xml:space="preserve"> code of the ultimate underlying bond cannot be provided. The reason is that these options have as underlying a bond future. These bond futures however are specified as futures on a fictitious underlying government bond with a given term range and a fixed coupon. This means that upon delivery of such futures, a bond from a basket of existing government bonds, that qualify for delivery based on their issuance size and maturity, can be chosen. The individual bonds within the basket may vary significantly as to their coupons and residual time to maturity. When it comes to the physical delivery of a futures position, the seller of the futures must decide which government bond from the basket will be chosen to fulfil the delivery obligation. As the direct underlying is fictitious and bond futures are not referring to a unique underlying, a </w:t>
      </w:r>
      <w:proofErr w:type="spellStart"/>
      <w:r w:rsidRPr="007E1246">
        <w:t>ISIN</w:t>
      </w:r>
      <w:proofErr w:type="spellEnd"/>
      <w:r w:rsidRPr="007E1246">
        <w:t xml:space="preserve"> code of the ultimate underlying bond cannot be provided to field 22.</w:t>
      </w:r>
    </w:p>
    <w:p w14:paraId="698BE7C0" w14:textId="77777777" w:rsidR="002C640A" w:rsidRPr="007E1246" w:rsidRDefault="002C640A" w:rsidP="002C640A">
      <w:r w:rsidRPr="007E1246">
        <w:t xml:space="preserve">Against this background, if field 22 could only be filled with </w:t>
      </w:r>
      <w:proofErr w:type="spellStart"/>
      <w:r w:rsidRPr="007E1246">
        <w:t>ISINs</w:t>
      </w:r>
      <w:proofErr w:type="spellEnd"/>
      <w:r w:rsidRPr="007E1246">
        <w:t xml:space="preserve"> of bonds, this would therefore create uncertainties and confusion with regards to the underlying of options on bond futures. Ultimately, this would also lead to potentially false transparency calculations for options on bond futures as the </w:t>
      </w:r>
      <w:proofErr w:type="spellStart"/>
      <w:r w:rsidRPr="007E1246">
        <w:t>underlyings</w:t>
      </w:r>
      <w:proofErr w:type="spellEnd"/>
      <w:r w:rsidRPr="007E1246">
        <w:t xml:space="preserve"> for these products would not be recognised by field 22. </w:t>
      </w:r>
    </w:p>
    <w:p w14:paraId="3746A8C9" w14:textId="059C6BDF" w:rsidR="002C640A" w:rsidRPr="007E1246" w:rsidRDefault="002C640A" w:rsidP="002C640A">
      <w:r w:rsidRPr="007E1246">
        <w:t xml:space="preserve">To improve the accuracy of the transparency calculations, </w:t>
      </w:r>
      <w:r>
        <w:t>BME</w:t>
      </w:r>
      <w:r w:rsidRPr="007E1246">
        <w:t xml:space="preserve"> instead proposes to amend field 22 of Table 2 Annex IV such that this field can also be populated with the </w:t>
      </w:r>
      <w:proofErr w:type="spellStart"/>
      <w:r w:rsidRPr="007E1246">
        <w:t>ISIN</w:t>
      </w:r>
      <w:proofErr w:type="spellEnd"/>
      <w:r w:rsidRPr="007E1246">
        <w:t xml:space="preserve"> of bond </w:t>
      </w:r>
      <w:proofErr w:type="gramStart"/>
      <w:r w:rsidRPr="007E1246">
        <w:t>futures, if</w:t>
      </w:r>
      <w:proofErr w:type="gramEnd"/>
      <w:r w:rsidRPr="007E1246">
        <w:t xml:space="preserve"> they serve as underlying for options on bond futures.</w:t>
      </w:r>
    </w:p>
    <w:p w14:paraId="2CC60069" w14:textId="77777777" w:rsidR="002C640A" w:rsidRPr="007E1246" w:rsidRDefault="002C640A" w:rsidP="002C640A">
      <w:pPr>
        <w:rPr>
          <w:rFonts w:ascii="Calibri" w:eastAsiaTheme="minorEastAsia" w:hAnsi="Calibri"/>
        </w:rPr>
      </w:pPr>
      <w:r w:rsidRPr="007E1246">
        <w:t xml:space="preserve">We disagree with the proposed specification of field names and sequential order in Section 3.3.1.1 for RTS 1 and Section 4.3.1.1 for RTS 2 Annex II Table 2 for the post-trade transparency publication. The market data feeds developed by trading venues are designed to optimise the publication of real-time data for the benefit of data subscribers. </w:t>
      </w:r>
    </w:p>
    <w:p w14:paraId="13CD3757" w14:textId="066B2A45" w:rsidR="000A609F" w:rsidRDefault="002C640A" w:rsidP="002C640A">
      <w:r w:rsidRPr="007E1246">
        <w:t xml:space="preserve">Instead ESMA could require trading venues and </w:t>
      </w:r>
      <w:proofErr w:type="spellStart"/>
      <w:r w:rsidRPr="007E1246">
        <w:t>APAs</w:t>
      </w:r>
      <w:proofErr w:type="spellEnd"/>
      <w:r w:rsidRPr="007E1246">
        <w:t xml:space="preserve"> to provide data subscribers with a mapping table that allows data subscribers to map the data publication to the RTS 1 and RTS 2 post-trade publication fields. </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3A02A862" w14:textId="149BD34D" w:rsidR="002C640A" w:rsidRPr="007E1246" w:rsidRDefault="002C640A" w:rsidP="002C640A">
      <w:permStart w:id="1737048103" w:edGrp="everyone"/>
      <w:r>
        <w:t>BME</w:t>
      </w:r>
      <w:r w:rsidRPr="007E1246">
        <w:t xml:space="preserve"> supports </w:t>
      </w:r>
      <w:proofErr w:type="spellStart"/>
      <w:r w:rsidRPr="007E1246">
        <w:t>ESMA’s</w:t>
      </w:r>
      <w:proofErr w:type="spellEnd"/>
      <w:r w:rsidRPr="007E1246">
        <w:t xml:space="preserve"> proposal to include a clarification of the reference data required for the segmentation </w:t>
      </w:r>
    </w:p>
    <w:p w14:paraId="13029664" w14:textId="57904360" w:rsidR="002C640A" w:rsidRPr="007E1246" w:rsidRDefault="002C640A" w:rsidP="002C640A">
      <w:proofErr w:type="gramStart"/>
      <w:r w:rsidRPr="007E1246">
        <w:t>With regard to</w:t>
      </w:r>
      <w:proofErr w:type="gramEnd"/>
      <w:r w:rsidRPr="007E1246">
        <w:t xml:space="preserve"> the segmentation criteria for bond options proposed in table 5.1, </w:t>
      </w:r>
      <w:r>
        <w:t>BME</w:t>
      </w:r>
      <w:r w:rsidRPr="007E1246">
        <w:t xml:space="preserve"> does not agree with removing bond futures/forwards as underlying in segmentation criterion 1. As outlined in our response to Q33, options on bond futures generally have bond futures as underlying, which cannot be linked to a specific bond. Therefore, any segmentation of options on bond futures along underlying bonds will be not feasible. </w:t>
      </w:r>
    </w:p>
    <w:p w14:paraId="6550252F" w14:textId="454C273A" w:rsidR="002C640A" w:rsidRPr="007E1246" w:rsidRDefault="002C640A" w:rsidP="002C640A">
      <w:r w:rsidRPr="007E1246">
        <w:t xml:space="preserve">Hence, </w:t>
      </w:r>
      <w:r>
        <w:t>BME</w:t>
      </w:r>
      <w:r w:rsidRPr="007E1246">
        <w:t xml:space="preserve"> strongly recommends to not remove bond futures/forwards from the segmentation criteria 1 for bond options. Instead, in line with our response to Q34 it is suggested to recognise bond futures as underlying for options on bond futures in field 22, which would allow to keep bond futures/forwards as segmentation criteria for options on bond futures. </w:t>
      </w:r>
    </w:p>
    <w:p w14:paraId="7B991849" w14:textId="4EAF7861" w:rsidR="000A609F" w:rsidRDefault="002C640A" w:rsidP="002C640A">
      <w:r w:rsidRPr="007E1246">
        <w:rPr>
          <w:sz w:val="22"/>
          <w:szCs w:val="22"/>
        </w:rPr>
        <w:t>Furthermore, we would like to flag that, in the context of data reporting, RTS 2 – Field 9 – Bond type, table 2.2 of Annex III briefly explains the difference between the different types of bonds (</w:t>
      </w:r>
      <w:proofErr w:type="gramStart"/>
      <w:r w:rsidRPr="007E1246">
        <w:rPr>
          <w:sz w:val="22"/>
          <w:szCs w:val="22"/>
        </w:rPr>
        <w:t>i.e.</w:t>
      </w:r>
      <w:proofErr w:type="gramEnd"/>
      <w:r w:rsidRPr="007E1246">
        <w:rPr>
          <w:sz w:val="22"/>
          <w:szCs w:val="22"/>
        </w:rPr>
        <w:t xml:space="preserve"> Sovereign Bond type, other Public etc). However, there have been some issues with </w:t>
      </w:r>
      <w:proofErr w:type="spellStart"/>
      <w:r w:rsidRPr="007E1246">
        <w:rPr>
          <w:sz w:val="22"/>
          <w:szCs w:val="22"/>
        </w:rPr>
        <w:t>ISINS</w:t>
      </w:r>
      <w:proofErr w:type="spellEnd"/>
      <w:r w:rsidRPr="007E1246">
        <w:rPr>
          <w:sz w:val="22"/>
          <w:szCs w:val="22"/>
        </w:rPr>
        <w:t>, as there is no clear mapping table with this information (for example based on CFI Code or other references). Due to this lack of harmonisation, trading venues have often different understanding and identification of bond type.</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67BD7D20" w14:textId="77777777" w:rsidR="002C640A" w:rsidRPr="007E1246" w:rsidRDefault="002C640A" w:rsidP="002C640A">
      <w:permStart w:id="1176645916" w:edGrp="everyone"/>
      <w:r w:rsidRPr="007E1246">
        <w:t>[</w:t>
      </w:r>
      <w:r w:rsidRPr="007E1246">
        <w:rPr>
          <w:b/>
          <w:bCs/>
        </w:rPr>
        <w:t>SC_Commo_1: Settlement location should be a segmentation criterion for gas (in addition to electricity</w:t>
      </w:r>
      <w:proofErr w:type="gramStart"/>
      <w:r w:rsidRPr="007E1246">
        <w:rPr>
          <w:b/>
          <w:bCs/>
        </w:rPr>
        <w:t>), and</w:t>
      </w:r>
      <w:proofErr w:type="gramEnd"/>
      <w:r w:rsidRPr="007E1246">
        <w:rPr>
          <w:b/>
          <w:bCs/>
        </w:rPr>
        <w:t xml:space="preserve"> reported with an </w:t>
      </w:r>
      <w:proofErr w:type="spellStart"/>
      <w:r w:rsidRPr="007E1246">
        <w:rPr>
          <w:b/>
          <w:bCs/>
        </w:rPr>
        <w:t>EIC</w:t>
      </w:r>
      <w:proofErr w:type="spellEnd"/>
      <w:r w:rsidRPr="007E1246">
        <w:rPr>
          <w:b/>
          <w:bCs/>
        </w:rPr>
        <w:t xml:space="preserve"> code.</w:t>
      </w:r>
      <w:r w:rsidRPr="007E1246">
        <w:t xml:space="preserve"> </w:t>
      </w:r>
    </w:p>
    <w:p w14:paraId="6B7621F1" w14:textId="50E11E86" w:rsidR="002C640A" w:rsidRPr="007E1246" w:rsidRDefault="002C640A" w:rsidP="002C640A">
      <w:r w:rsidRPr="007E1246">
        <w:t xml:space="preserve">Yes, </w:t>
      </w:r>
      <w:r>
        <w:t>BME</w:t>
      </w:r>
      <w:r w:rsidRPr="007E1246">
        <w:t xml:space="preserve"> agrees. </w:t>
      </w:r>
    </w:p>
    <w:p w14:paraId="2E011B47" w14:textId="77777777" w:rsidR="002C640A" w:rsidRPr="007E1246" w:rsidRDefault="002C640A" w:rsidP="002C640A"/>
    <w:p w14:paraId="7B804F07" w14:textId="77777777" w:rsidR="002C640A" w:rsidRPr="007E1246" w:rsidRDefault="002C640A" w:rsidP="002C640A">
      <w:r w:rsidRPr="007E1246">
        <w:rPr>
          <w:b/>
          <w:bCs/>
        </w:rPr>
        <w:t>SC_Commo_2: Settlement location should not be a segmentation criterion for energy other than gas and electricity (unless a standard is provided by stakeholders.</w:t>
      </w:r>
      <w:r w:rsidRPr="007E1246">
        <w:t xml:space="preserve"> </w:t>
      </w:r>
    </w:p>
    <w:p w14:paraId="0464B064" w14:textId="3D8ACA3C" w:rsidR="002C640A" w:rsidRPr="007E1246" w:rsidRDefault="002C640A" w:rsidP="002C640A">
      <w:r w:rsidRPr="007E1246">
        <w:t xml:space="preserve">Yes, </w:t>
      </w:r>
      <w:r>
        <w:t>BME</w:t>
      </w:r>
      <w:r w:rsidRPr="007E1246">
        <w:t xml:space="preserve"> agrees.</w:t>
      </w:r>
    </w:p>
    <w:p w14:paraId="25CF8EB9" w14:textId="77777777" w:rsidR="002C640A" w:rsidRPr="007E1246" w:rsidRDefault="002C640A" w:rsidP="002C640A"/>
    <w:p w14:paraId="26A310FF" w14:textId="77777777" w:rsidR="002C640A" w:rsidRPr="007E1246" w:rsidRDefault="002C640A" w:rsidP="002C640A">
      <w:r w:rsidRPr="007E1246">
        <w:rPr>
          <w:b/>
          <w:bCs/>
        </w:rPr>
        <w:t>SC_Commo_3: Add the duration of the delivery period as a new segmentation criterion for electricity and natural gas contracts</w:t>
      </w:r>
      <w:r w:rsidRPr="007E1246">
        <w:t xml:space="preserve">: </w:t>
      </w:r>
    </w:p>
    <w:p w14:paraId="58CFCC8B" w14:textId="77777777" w:rsidR="002C640A" w:rsidRPr="007E1246" w:rsidRDefault="002C640A" w:rsidP="002C640A">
      <w:r w:rsidRPr="007E1246">
        <w:t xml:space="preserve">We strongly support adding the duration of the delivery period as a new segmentation criterion for the reasons laid down in the consultation paper. </w:t>
      </w:r>
    </w:p>
    <w:p w14:paraId="36E6DC65" w14:textId="77777777" w:rsidR="002C640A" w:rsidRPr="007E1246" w:rsidRDefault="002C640A" w:rsidP="002C640A"/>
    <w:p w14:paraId="51A1D7BF" w14:textId="77777777" w:rsidR="002C640A" w:rsidRPr="007E1246" w:rsidRDefault="002C640A" w:rsidP="002C640A">
      <w:r w:rsidRPr="007E1246">
        <w:rPr>
          <w:b/>
          <w:bCs/>
        </w:rPr>
        <w:t>SC_Commo_4: Align wording of the list of energy types with RTS 23 (</w:t>
      </w:r>
      <w:proofErr w:type="gramStart"/>
      <w:r w:rsidRPr="007E1246">
        <w:rPr>
          <w:b/>
          <w:bCs/>
        </w:rPr>
        <w:t>in particular add</w:t>
      </w:r>
      <w:proofErr w:type="gramEnd"/>
      <w:r w:rsidRPr="007E1246">
        <w:rPr>
          <w:b/>
          <w:bCs/>
        </w:rPr>
        <w:t xml:space="preserve"> renewable energy):</w:t>
      </w:r>
      <w:r w:rsidRPr="007E1246">
        <w:t xml:space="preserve"> </w:t>
      </w:r>
    </w:p>
    <w:p w14:paraId="48DE980C" w14:textId="3C96C4D6" w:rsidR="002C640A" w:rsidRPr="007E1246" w:rsidRDefault="002C640A" w:rsidP="002C640A">
      <w:r w:rsidRPr="007E1246">
        <w:t xml:space="preserve">Yes, </w:t>
      </w:r>
      <w:r>
        <w:t>BME</w:t>
      </w:r>
      <w:r w:rsidRPr="007E1246">
        <w:t xml:space="preserve"> agrees. </w:t>
      </w:r>
    </w:p>
    <w:p w14:paraId="1E7BE026" w14:textId="77777777" w:rsidR="002C640A" w:rsidRPr="007E1246" w:rsidRDefault="002C640A" w:rsidP="002C640A">
      <w:pPr>
        <w:rPr>
          <w:b/>
          <w:bCs/>
        </w:rPr>
      </w:pPr>
    </w:p>
    <w:p w14:paraId="1152D8D7" w14:textId="77777777" w:rsidR="002C640A" w:rsidRPr="007E1246" w:rsidRDefault="002C640A" w:rsidP="002C640A">
      <w:r w:rsidRPr="007E1246">
        <w:rPr>
          <w:b/>
          <w:bCs/>
        </w:rPr>
        <w:t>SC_Commo_5: For energy sub-asset classes, delete the segmentation criterion “load type”:</w:t>
      </w:r>
      <w:r w:rsidRPr="007E1246">
        <w:t xml:space="preserve"> </w:t>
      </w:r>
    </w:p>
    <w:p w14:paraId="32556B13" w14:textId="107D2F1E" w:rsidR="002C640A" w:rsidRPr="007E1246" w:rsidRDefault="002C640A" w:rsidP="002C640A">
      <w:r w:rsidRPr="007E1246">
        <w:t xml:space="preserve">Yes, </w:t>
      </w:r>
      <w:r>
        <w:t>BME</w:t>
      </w:r>
      <w:r w:rsidRPr="007E1246">
        <w:t xml:space="preserve"> agrees. </w:t>
      </w:r>
    </w:p>
    <w:p w14:paraId="11F98FDF" w14:textId="77777777" w:rsidR="002C640A" w:rsidRPr="007E1246" w:rsidRDefault="002C640A" w:rsidP="002C640A"/>
    <w:p w14:paraId="2E111AEE" w14:textId="77777777" w:rsidR="002C640A" w:rsidRPr="007E1246" w:rsidRDefault="002C640A" w:rsidP="002C640A">
      <w:r w:rsidRPr="007E1246">
        <w:rPr>
          <w:b/>
          <w:bCs/>
        </w:rPr>
        <w:t>SC_Commo_6: For energy sub asset-classes, the segmentation criterion “underlying energy” should not apply to natural gas</w:t>
      </w:r>
      <w:r w:rsidRPr="007E1246">
        <w:t xml:space="preserve">: </w:t>
      </w:r>
    </w:p>
    <w:p w14:paraId="6142E9C9" w14:textId="2A21D843" w:rsidR="002C640A" w:rsidRPr="007E1246" w:rsidRDefault="00CF4810" w:rsidP="002C640A">
      <w:r>
        <w:t>BME</w:t>
      </w:r>
      <w:r w:rsidR="002C640A" w:rsidRPr="007E1246">
        <w:t xml:space="preserve"> disagrees that “underlying energy” should not apply to natural gas. It is important that a distinction can be made between for example LNG, </w:t>
      </w:r>
      <w:proofErr w:type="gramStart"/>
      <w:r w:rsidR="002C640A" w:rsidRPr="007E1246">
        <w:t>hydrogen</w:t>
      </w:r>
      <w:proofErr w:type="gramEnd"/>
      <w:r w:rsidR="002C640A" w:rsidRPr="007E1246">
        <w:t xml:space="preserve"> and natural gas. </w:t>
      </w:r>
    </w:p>
    <w:p w14:paraId="5F0FAF3E" w14:textId="77777777" w:rsidR="002C640A" w:rsidRPr="007E1246" w:rsidRDefault="002C640A" w:rsidP="002C640A"/>
    <w:p w14:paraId="77C2B496" w14:textId="77777777" w:rsidR="002C640A" w:rsidRPr="007E1246" w:rsidRDefault="002C640A" w:rsidP="002C640A">
      <w:r w:rsidRPr="007E1246">
        <w:rPr>
          <w:b/>
          <w:bCs/>
        </w:rPr>
        <w:t>SC_Commo_7: For commodity swaps, align the segmentation criterion “settlement type” with RTS 23</w:t>
      </w:r>
      <w:r w:rsidRPr="007E1246">
        <w:t xml:space="preserve">: </w:t>
      </w:r>
    </w:p>
    <w:p w14:paraId="0396E13F" w14:textId="77777777" w:rsidR="002C640A" w:rsidRPr="007E1246" w:rsidRDefault="002C640A" w:rsidP="002C640A">
      <w:r w:rsidRPr="007E1246">
        <w:t>No comments.</w:t>
      </w:r>
    </w:p>
    <w:p w14:paraId="4E4BE003" w14:textId="77777777" w:rsidR="002C640A" w:rsidRPr="007E1246" w:rsidRDefault="002C640A" w:rsidP="002C640A"/>
    <w:p w14:paraId="4FDDC0C9" w14:textId="77777777" w:rsidR="002C640A" w:rsidRPr="007E1246" w:rsidRDefault="002C640A" w:rsidP="002C640A">
      <w:r w:rsidRPr="007E1246">
        <w:rPr>
          <w:b/>
          <w:bCs/>
        </w:rPr>
        <w:t>SC_Commo_8: For agricultural sub asset- classes, split the segmentation criterion “underlying agricultural commodity” in two</w:t>
      </w:r>
      <w:r w:rsidRPr="007E1246">
        <w:t xml:space="preserve">: </w:t>
      </w:r>
    </w:p>
    <w:p w14:paraId="0939B5DD" w14:textId="073EC8FB" w:rsidR="002C640A" w:rsidRPr="007E1246" w:rsidRDefault="00CF4810" w:rsidP="002C640A">
      <w:r>
        <w:t>BME</w:t>
      </w:r>
      <w:r w:rsidR="002C640A" w:rsidRPr="007E1246">
        <w:t xml:space="preserve"> agrees with splitting segmentation criterion 1 in two.</w:t>
      </w:r>
    </w:p>
    <w:p w14:paraId="0602A6C5" w14:textId="77777777" w:rsidR="002C640A" w:rsidRPr="007E1246" w:rsidRDefault="002C640A" w:rsidP="002C640A"/>
    <w:p w14:paraId="2EC491FC" w14:textId="77777777" w:rsidR="002C640A" w:rsidRPr="007E1246" w:rsidRDefault="002C640A" w:rsidP="002C640A">
      <w:proofErr w:type="spellStart"/>
      <w:r w:rsidRPr="007E1246">
        <w:rPr>
          <w:b/>
          <w:bCs/>
        </w:rPr>
        <w:t>SC_Commo</w:t>
      </w:r>
      <w:proofErr w:type="spellEnd"/>
      <w:r w:rsidRPr="007E1246">
        <w:rPr>
          <w:b/>
          <w:bCs/>
        </w:rPr>
        <w:t xml:space="preserve"> 9: For freight derivatives, amend the values listed after segmentation criterion “contract type” and delete the contract type </w:t>
      </w:r>
      <w:proofErr w:type="spellStart"/>
      <w:r w:rsidRPr="007E1246">
        <w:rPr>
          <w:b/>
          <w:bCs/>
        </w:rPr>
        <w:t>FFA</w:t>
      </w:r>
      <w:proofErr w:type="spellEnd"/>
      <w:r w:rsidRPr="007E1246">
        <w:rPr>
          <w:b/>
          <w:bCs/>
        </w:rPr>
        <w:t xml:space="preserve"> from the reference data table</w:t>
      </w:r>
      <w:r w:rsidRPr="007E1246">
        <w:t xml:space="preserve">: </w:t>
      </w:r>
    </w:p>
    <w:p w14:paraId="46212FC9" w14:textId="675938DA" w:rsidR="002C640A" w:rsidRPr="007E1246" w:rsidRDefault="00CF4810" w:rsidP="002C640A">
      <w:r>
        <w:t>BME</w:t>
      </w:r>
      <w:r w:rsidR="002C640A" w:rsidRPr="007E1246">
        <w:t xml:space="preserve"> agrees with deleting the contract type </w:t>
      </w:r>
      <w:proofErr w:type="spellStart"/>
      <w:r w:rsidR="002C640A" w:rsidRPr="007E1246">
        <w:t>FFA</w:t>
      </w:r>
      <w:proofErr w:type="spellEnd"/>
      <w:r w:rsidR="002C640A" w:rsidRPr="007E1246">
        <w:t xml:space="preserve"> as futures and </w:t>
      </w:r>
      <w:proofErr w:type="spellStart"/>
      <w:r w:rsidR="002C640A" w:rsidRPr="007E1246">
        <w:t>FFAs</w:t>
      </w:r>
      <w:proofErr w:type="spellEnd"/>
      <w:r w:rsidR="002C640A" w:rsidRPr="007E1246">
        <w:t xml:space="preserve"> are used interchangeably. </w:t>
      </w:r>
    </w:p>
    <w:p w14:paraId="0233178D" w14:textId="77777777" w:rsidR="002C640A" w:rsidRPr="007E1246" w:rsidRDefault="002C640A" w:rsidP="002C640A"/>
    <w:p w14:paraId="7D1B346A" w14:textId="77777777" w:rsidR="002C640A" w:rsidRPr="007E1246" w:rsidRDefault="002C640A" w:rsidP="002C640A">
      <w:pPr>
        <w:rPr>
          <w:b/>
          <w:bCs/>
        </w:rPr>
      </w:pPr>
      <w:r w:rsidRPr="007E1246">
        <w:rPr>
          <w:b/>
          <w:bCs/>
        </w:rPr>
        <w:t xml:space="preserve">SC_Commo_10: Define reporting standards for RTS2#12 “specification of the size related to the freight sub- type” and RTS2#13 “specific route or time charter average”: </w:t>
      </w:r>
    </w:p>
    <w:p w14:paraId="5AE9237B" w14:textId="06E67410" w:rsidR="000A609F" w:rsidRDefault="00CF4810" w:rsidP="002C640A">
      <w:r>
        <w:t>BME</w:t>
      </w:r>
      <w:r w:rsidR="002C640A" w:rsidRPr="007E1246">
        <w:t xml:space="preserve"> agrees that containerships should be considered as a further sub product of dry freight. </w:t>
      </w:r>
      <w:r>
        <w:t>BME</w:t>
      </w:r>
      <w:r w:rsidR="002C640A" w:rsidRPr="007E1246">
        <w:t xml:space="preserve"> also agrees with having fix lists for the segmentation criterion 4 (specification of the size related to the freight sub-type) and the segmentation criterion 5 (specific route or time charter average). However, both should include a field called “other” to ensure that when new sizes of ships emerge, as well as new routes, they can be categorised properly. Particularly routes are subject to a lot of change, hence it would certainly benefit from such a category. Furthermore, </w:t>
      </w:r>
      <w:r>
        <w:t>BME</w:t>
      </w:r>
      <w:r w:rsidR="002C640A" w:rsidRPr="007E1246">
        <w:t xml:space="preserve"> noted there is only a list of routes or time charters for wet freight. We would recommend to ESMA to also have a list detailing the different routes and time charters for fry freight.</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205D0051" w:rsidR="000A609F" w:rsidRDefault="00CF4810" w:rsidP="000A609F">
      <w:permStart w:id="1542740676" w:edGrp="everyone"/>
      <w:r w:rsidRPr="007E1246">
        <w:t xml:space="preserve">ESMA proposes to add the total volume and the notation of the total volume to the quantitative data to be provided by trading venues for the transparency calculations. However, ESMA provides no reasoning as to why these numbers would be required for the transparency calculations. </w:t>
      </w:r>
      <w:r>
        <w:t>BME</w:t>
      </w:r>
      <w:r w:rsidRPr="007E1246">
        <w:t xml:space="preserve"> considers the already provided quantitative data for the transparency calculations as of high quality and sufficient to conduct the transparency calculations. Against this background, extending the quantitative data for the transparency calculations appears unjustified and of no added value. </w:t>
      </w:r>
      <w:r>
        <w:t>BME</w:t>
      </w:r>
      <w:r w:rsidRPr="007E1246">
        <w:t xml:space="preserve"> therefore does not agree with adding the total volume and the notation of the total volume to the quantitative data to be provided by trading venues for the transparency calculations.</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7739F762" w:rsidR="000A609F" w:rsidRDefault="00CF4810" w:rsidP="000A609F">
      <w:permStart w:id="404452169" w:edGrp="everyone"/>
      <w:r w:rsidRPr="00CF4810">
        <w:t xml:space="preserve">We do not agree with </w:t>
      </w:r>
      <w:proofErr w:type="spellStart"/>
      <w:r w:rsidRPr="00CF4810">
        <w:t>ESMA’s</w:t>
      </w:r>
      <w:proofErr w:type="spellEnd"/>
      <w:r w:rsidRPr="00CF4810">
        <w:t xml:space="preserve"> proposal to delete the </w:t>
      </w:r>
      <w:proofErr w:type="spellStart"/>
      <w:r w:rsidRPr="00CF4810">
        <w:t>ACTX</w:t>
      </w:r>
      <w:proofErr w:type="spellEnd"/>
      <w:r w:rsidRPr="00CF4810">
        <w:t xml:space="preserve"> flag. As per RTS 2, the </w:t>
      </w:r>
      <w:proofErr w:type="spellStart"/>
      <w:r w:rsidRPr="00CF4810">
        <w:t>ACTX</w:t>
      </w:r>
      <w:proofErr w:type="spellEnd"/>
      <w:r w:rsidRPr="00CF4810">
        <w:t xml:space="preserve"> flag applies to “transactions where an investment firm has brought together two clients' orders with the purchase and the sale conducted as one transaction and involving the same volume and price.” The </w:t>
      </w:r>
      <w:proofErr w:type="spellStart"/>
      <w:r w:rsidRPr="00CF4810">
        <w:t>ACTX</w:t>
      </w:r>
      <w:proofErr w:type="spellEnd"/>
      <w:r w:rsidRPr="00CF4810">
        <w:t xml:space="preserve"> flag therefore does not apply to transactions executed on a trading venue. Instead, the </w:t>
      </w:r>
      <w:proofErr w:type="spellStart"/>
      <w:r w:rsidRPr="00CF4810">
        <w:t>ACTX</w:t>
      </w:r>
      <w:proofErr w:type="spellEnd"/>
      <w:r w:rsidRPr="00CF4810">
        <w:t xml:space="preserve"> flag </w:t>
      </w:r>
      <w:proofErr w:type="gramStart"/>
      <w:r w:rsidRPr="00CF4810">
        <w:t>reveals, if</w:t>
      </w:r>
      <w:proofErr w:type="gramEnd"/>
      <w:r w:rsidRPr="00CF4810">
        <w:t xml:space="preserve"> a transaction was arranged and executed OTC. As the </w:t>
      </w:r>
      <w:proofErr w:type="spellStart"/>
      <w:r w:rsidRPr="00CF4810">
        <w:t>ACTX</w:t>
      </w:r>
      <w:proofErr w:type="spellEnd"/>
      <w:r w:rsidRPr="00CF4810">
        <w:t xml:space="preserve"> flag is the only flag for post-trade transparency purposes that allows to identify OTC trading activities, removing this flag would deprive market participants from information of the true level of transactions in these markets. Since OTC markets are already opaque markets, further reducing their levels of post-trade transparency does not appear appropriate and contrary to the goal of RTS 2 to increase the overall transparency in non-equity markets. Hence, we would welcome ESMA to reconsider its proposal and to not remove the </w:t>
      </w:r>
      <w:proofErr w:type="spellStart"/>
      <w:r w:rsidRPr="00CF4810">
        <w:t>ACTX</w:t>
      </w:r>
      <w:proofErr w:type="spellEnd"/>
      <w:r w:rsidRPr="00CF4810">
        <w:t xml:space="preserve"> flag from the list of flags for the purpose of post-trade transparency.</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743A6558" w14:textId="77777777" w:rsidR="00CF4810" w:rsidRDefault="00CF4810" w:rsidP="00CF4810">
      <w:permStart w:id="649619710" w:edGrp="everyone"/>
      <w:r>
        <w:t xml:space="preserve">ESMA proposes to merge the currently existing non-equity deferrals flags, </w:t>
      </w:r>
      <w:proofErr w:type="gramStart"/>
      <w:r>
        <w:t>i.e.</w:t>
      </w:r>
      <w:proofErr w:type="gramEnd"/>
      <w:r>
        <w:t xml:space="preserve"> the LIS deferral (‘LRGS’), the illiquid deferral (‘</w:t>
      </w:r>
      <w:proofErr w:type="spellStart"/>
      <w:r>
        <w:t>ILQD</w:t>
      </w:r>
      <w:proofErr w:type="spellEnd"/>
      <w:r>
        <w:t xml:space="preserve">’) and the </w:t>
      </w:r>
      <w:proofErr w:type="spellStart"/>
      <w:r>
        <w:t>SSTI</w:t>
      </w:r>
      <w:proofErr w:type="spellEnd"/>
      <w:r>
        <w:t xml:space="preserve"> deferral (‘SIZE’), into one general deferral flag (‘</w:t>
      </w:r>
      <w:proofErr w:type="spellStart"/>
      <w:r>
        <w:t>DEFR</w:t>
      </w:r>
      <w:proofErr w:type="spellEnd"/>
      <w:r>
        <w:t xml:space="preserve">’), as ESMA has observed that these flags are often used inconsistently and are also applied to flag transactions benefitting from a waiver. </w:t>
      </w:r>
    </w:p>
    <w:p w14:paraId="3F5F505B" w14:textId="7F4ECC7D" w:rsidR="000A609F" w:rsidRDefault="00CF4810" w:rsidP="00CF4810">
      <w:r>
        <w:t xml:space="preserve">We do not agree with ESMA that these inconsistencies should be addressed via a new general deferral flag. A removal of the currently existing non-equity deferral flags will deprive market participants from valuable post-trade information. As these flags indicate, which deferral applies to a respective non-equity instrument, market participants can draw conclusions on the applicable LIS-threshold and how this threshold may develop. For example, a LIS-threshold is determined differently for products benefitting from a LIS-deferral compared to an illiquid deferral. Having this information, market participants can form expectations about the future transparency threshold development more easily. Rather than removing these deferrals flags, we therefore suggest enforcing compliance with the current flag regime more strictly </w:t>
      </w:r>
      <w:proofErr w:type="gramStart"/>
      <w:r>
        <w:t>in order to</w:t>
      </w:r>
      <w:proofErr w:type="gramEnd"/>
      <w:r>
        <w:t xml:space="preserve"> improve post-trade transparency data while maintaining the benefits of the status quo.</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07E4B82A" w:rsidR="000A609F" w:rsidRDefault="00CF4810" w:rsidP="000A609F">
      <w:permStart w:id="132125109" w:edGrp="everyone"/>
      <w:r>
        <w:t>BME</w:t>
      </w:r>
      <w:r w:rsidRPr="00CF4810">
        <w:t xml:space="preserve"> believes that, for the sake of overall coherence, as a “PORT” flag is introduced for equities, this should also be applicable to non-equities.</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532D4F71" w14:textId="77777777" w:rsidR="00CF4810" w:rsidRDefault="00CF4810" w:rsidP="00CF4810">
      <w:permStart w:id="42420518" w:edGrp="everyone"/>
      <w:r>
        <w:t>ESMA suggests introducing a new flag ‘</w:t>
      </w:r>
      <w:proofErr w:type="spellStart"/>
      <w:r>
        <w:t>WAIV</w:t>
      </w:r>
      <w:proofErr w:type="spellEnd"/>
      <w:r>
        <w:t xml:space="preserve">’ to mark non-equity transactions benefitting from LIS, </w:t>
      </w:r>
      <w:proofErr w:type="spellStart"/>
      <w:r>
        <w:t>SSTI</w:t>
      </w:r>
      <w:proofErr w:type="spellEnd"/>
      <w:r>
        <w:t xml:space="preserve"> or illiquid waivers to avoid cases where the ‘LRGS’ or ‘</w:t>
      </w:r>
      <w:proofErr w:type="spellStart"/>
      <w:r>
        <w:t>ILQD</w:t>
      </w:r>
      <w:proofErr w:type="spellEnd"/>
      <w:r>
        <w:t xml:space="preserve">’ deferral flags are used to indicate that a transaction benefitted from a waiver. </w:t>
      </w:r>
    </w:p>
    <w:p w14:paraId="0F42692E" w14:textId="5E1B7AE0" w:rsidR="000A609F" w:rsidRDefault="00CF4810" w:rsidP="00CF4810">
      <w:r>
        <w:t xml:space="preserve">We do not deem such a new flag as necessary. </w:t>
      </w:r>
      <w:proofErr w:type="gramStart"/>
      <w:r>
        <w:t>First of all</w:t>
      </w:r>
      <w:proofErr w:type="gramEnd"/>
      <w:r>
        <w:t xml:space="preserve">, in line with our response to Q38, we hold the view that rather than introducing new flags, ESMA should focus on enforcing compliance with the currently existing flags. Second, a flag to mark non-equity transactions benefitting from LIS, </w:t>
      </w:r>
      <w:proofErr w:type="spellStart"/>
      <w:r>
        <w:t>SSTI</w:t>
      </w:r>
      <w:proofErr w:type="spellEnd"/>
      <w:r>
        <w:t xml:space="preserve"> or illiquid waivers does not provide any added value to market participants. Exchanges employ the LIS and the illiquid waiver to waive the pre-trade transparency requirements for their off-book trading models. When concluding transactions off-book, market participants are therefore already aware of the fact that these transactions must benefit from a waiver, otherwise an off-book transaction would not be possible. Attaching an additional ‘</w:t>
      </w:r>
      <w:proofErr w:type="spellStart"/>
      <w:r>
        <w:t>WAIV</w:t>
      </w:r>
      <w:proofErr w:type="spellEnd"/>
      <w:r>
        <w:t>’ flag to off-book transactions would thus only be redundant information. Against this background, BME does not agree with ESMA about introducing a general waiver flag for non-equity transactions benefitting from a waiver.</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1907DCE3" w14:textId="77777777" w:rsidR="00CF4810" w:rsidRDefault="00CF4810" w:rsidP="00CF4810">
      <w:permStart w:id="1907828334" w:edGrp="everyone"/>
      <w:r>
        <w:t xml:space="preserve">ESMA proposes to introduce a flag for pre-arranged transactions formalised on trading venues to allow </w:t>
      </w:r>
      <w:proofErr w:type="spellStart"/>
      <w:r>
        <w:t>NCAs</w:t>
      </w:r>
      <w:proofErr w:type="spellEnd"/>
      <w:r>
        <w:t xml:space="preserve"> and market participants to identify these transactions. In the consultation paper, ESMA acknowledges that MiFIR does not provide specific provisions for pre-arranged transactions for non-equity instruments. It is therefore referred to the response to Q11 on negotiated trades in the ESMA Q&amp;A on transparency issues, where it is clarified that for non-equity instruments that are not subject to the trading obligation for derivatives, pre-arranged transactions are only possible under the LIS-waiver, the illiquid waiver, the package order waiver or the </w:t>
      </w:r>
      <w:proofErr w:type="spellStart"/>
      <w:r>
        <w:t>EFP</w:t>
      </w:r>
      <w:proofErr w:type="spellEnd"/>
      <w:r>
        <w:t xml:space="preserve"> waiver.</w:t>
      </w:r>
    </w:p>
    <w:p w14:paraId="5DB1B53F" w14:textId="77777777" w:rsidR="00CF4810" w:rsidRDefault="00CF4810" w:rsidP="00CF4810">
      <w:r>
        <w:t>As mentioned in our response to Q40, exchanges employ these waivers to enable their off-book trading models. Off-book trading models generally allow market participants to execute pre-arranged transaction within the environment of an exchange. Off-book transactions are therefore the equivalent of pre-arranged transactions formalised on trading venues.</w:t>
      </w:r>
    </w:p>
    <w:p w14:paraId="0583285A" w14:textId="77777777" w:rsidR="00CF4810" w:rsidRDefault="00CF4810" w:rsidP="00CF4810">
      <w:r>
        <w:t xml:space="preserve">The market data feeds of exchanges already allow market participants and </w:t>
      </w:r>
      <w:proofErr w:type="spellStart"/>
      <w:r>
        <w:t>NCAs</w:t>
      </w:r>
      <w:proofErr w:type="spellEnd"/>
      <w:r>
        <w:t xml:space="preserve"> to identify off-book transactions, </w:t>
      </w:r>
      <w:proofErr w:type="gramStart"/>
      <w:r>
        <w:t>i.e.</w:t>
      </w:r>
      <w:proofErr w:type="gramEnd"/>
      <w:r>
        <w:t xml:space="preserve"> pre-arranged transactions formalised on trading venues. These feeds provide valuable, often real-time information on transactions concluded at an exchange, including whether a transaction was formalised in the order-book or via off-book models. Exchanges even provide publicly accessible guidelines to help extract such information from the market data feed.  </w:t>
      </w:r>
    </w:p>
    <w:p w14:paraId="4EE4326F" w14:textId="13AFBED8" w:rsidR="000A609F" w:rsidRDefault="00CF4810" w:rsidP="00CF4810">
      <w:r>
        <w:t xml:space="preserve">Hence, we do not agree with </w:t>
      </w:r>
      <w:proofErr w:type="spellStart"/>
      <w:r>
        <w:t>ESMA’s</w:t>
      </w:r>
      <w:proofErr w:type="spellEnd"/>
      <w:r>
        <w:t xml:space="preserve"> proposal to introduce a flag for pre-arranged non-equity transactions as market participants and </w:t>
      </w:r>
      <w:proofErr w:type="spellStart"/>
      <w:r>
        <w:t>NCAs</w:t>
      </w:r>
      <w:proofErr w:type="spellEnd"/>
      <w:r>
        <w:t xml:space="preserve"> can already identify such pre-arranged transactions formalised on trading venues, even in real-time.</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55DA9D66" w14:textId="47126284" w:rsidR="00447178" w:rsidRPr="00447178" w:rsidRDefault="00447178" w:rsidP="00447178">
      <w:pPr>
        <w:jc w:val="both"/>
        <w:rPr>
          <w:rFonts w:cs="Arial"/>
        </w:rPr>
      </w:pPr>
      <w:permStart w:id="1238650876" w:edGrp="everyone"/>
      <w:r w:rsidRPr="00447178">
        <w:rPr>
          <w:rFonts w:cs="Arial"/>
        </w:rPr>
        <w:t xml:space="preserve">We assume the final RTS 1 </w:t>
      </w:r>
      <w:proofErr w:type="gramStart"/>
      <w:r w:rsidRPr="00447178">
        <w:rPr>
          <w:rFonts w:cs="Arial"/>
        </w:rPr>
        <w:t>provisions</w:t>
      </w:r>
      <w:proofErr w:type="gramEnd"/>
      <w:r w:rsidRPr="00447178">
        <w:rPr>
          <w:rFonts w:cs="Arial"/>
        </w:rPr>
        <w:t xml:space="preserve"> will be available by late Q1 2022. ESMA recommendations will trigger substantial IT engineering efforts. The industry can only start the impact analysis, specifications updates, and engineering work once the final provisions get published. The system complexity of exchanges requires that any technical or operational changes are planned months beforehand. For this reason, </w:t>
      </w:r>
      <w:r w:rsidR="006401FE" w:rsidRPr="00DA1123">
        <w:rPr>
          <w:rFonts w:cs="Arial"/>
        </w:rPr>
        <w:t>we</w:t>
      </w:r>
      <w:r w:rsidR="006401FE">
        <w:rPr>
          <w:rFonts w:cs="Arial"/>
        </w:rPr>
        <w:t xml:space="preserve"> </w:t>
      </w:r>
      <w:r w:rsidRPr="00447178">
        <w:rPr>
          <w:rFonts w:cs="Arial"/>
        </w:rPr>
        <w:t>have technical release cycles in place to plan, test and implement technical changes appropriately and securely, also in alignment with market participants, who often are required to also update their systems following technical changes of exchanges. It is critical that exchanges have sufficient time to follow these steps. Otherwise, the system stability can be at risk in the worst case. The suggested entry into force date by 2023 looks therefore over-ambitious. We would consider a 12 to 18 months implementation period as the minimum.</w:t>
      </w:r>
    </w:p>
    <w:p w14:paraId="3ED52C1E" w14:textId="77777777" w:rsidR="00447178" w:rsidRPr="00447178" w:rsidRDefault="00447178" w:rsidP="00447178">
      <w:pPr>
        <w:jc w:val="both"/>
        <w:rPr>
          <w:rFonts w:cs="Arial"/>
        </w:rPr>
      </w:pPr>
      <w:r w:rsidRPr="00447178">
        <w:rPr>
          <w:rFonts w:cs="Arial"/>
        </w:rPr>
        <w:t>We ask that sufficient time is provided to trading venues to update their FIRDS and FITRS submissions. Sufficient time should also be provided for any updates to the trading venue pre- and post-trade transparency publication systems, especially since existing data subscribers will also have to update their systems to consume new fields, field values, and field formats.</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091243E3" w14:textId="5D7C28F2" w:rsidR="00447178" w:rsidRDefault="00082D8A" w:rsidP="00995FA7">
      <w:pPr>
        <w:jc w:val="both"/>
        <w:rPr>
          <w:rFonts w:cs="Arial"/>
        </w:rPr>
      </w:pPr>
      <w:permStart w:id="989536485" w:edGrp="everyone"/>
      <w:r w:rsidRPr="00DC5961">
        <w:rPr>
          <w:rFonts w:cs="Arial"/>
        </w:rPr>
        <w:t>BME</w:t>
      </w:r>
      <w:r w:rsidR="00447178" w:rsidRPr="00DC5961">
        <w:rPr>
          <w:rFonts w:cs="Arial"/>
        </w:rPr>
        <w:t xml:space="preserve"> </w:t>
      </w:r>
      <w:r w:rsidR="00447178" w:rsidRPr="00447178">
        <w:rPr>
          <w:rFonts w:cs="Arial"/>
        </w:rPr>
        <w:t>believes that the high-level assessment would benefit from including the industry view and adding a quantitative costs element.</w:t>
      </w:r>
    </w:p>
    <w:permEnd w:id="989536485"/>
    <w:p w14:paraId="0AD7AB8C" w14:textId="1216A059"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ECB20" w14:textId="77777777" w:rsidR="002C640A" w:rsidRDefault="002C640A">
      <w:r>
        <w:separator/>
      </w:r>
    </w:p>
    <w:p w14:paraId="4C734F1D" w14:textId="77777777" w:rsidR="002C640A" w:rsidRDefault="002C640A"/>
  </w:endnote>
  <w:endnote w:type="continuationSeparator" w:id="0">
    <w:p w14:paraId="147182C2" w14:textId="77777777" w:rsidR="002C640A" w:rsidRDefault="002C640A">
      <w:r>
        <w:continuationSeparator/>
      </w:r>
    </w:p>
    <w:p w14:paraId="61B1FB74" w14:textId="77777777" w:rsidR="002C640A" w:rsidRDefault="002C640A"/>
  </w:endnote>
  <w:endnote w:type="continuationNotice" w:id="1">
    <w:p w14:paraId="5718D603" w14:textId="77777777" w:rsidR="002C640A" w:rsidRDefault="002C6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7C85" w14:textId="77777777" w:rsidR="002C640A" w:rsidRDefault="002C64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C640A" w:rsidRPr="00616B9B" w14:paraId="313FAE1A" w14:textId="77777777" w:rsidTr="00315E96">
      <w:trPr>
        <w:trHeight w:val="284"/>
      </w:trPr>
      <w:tc>
        <w:tcPr>
          <w:tcW w:w="8460" w:type="dxa"/>
        </w:tcPr>
        <w:p w14:paraId="0BEF8BC6" w14:textId="77777777" w:rsidR="002C640A" w:rsidRPr="00315E96" w:rsidRDefault="002C640A" w:rsidP="00315E96">
          <w:pPr>
            <w:pStyle w:val="00Footer"/>
            <w:rPr>
              <w:lang w:val="fr-FR"/>
            </w:rPr>
          </w:pPr>
        </w:p>
      </w:tc>
      <w:tc>
        <w:tcPr>
          <w:tcW w:w="952" w:type="dxa"/>
        </w:tcPr>
        <w:p w14:paraId="7FD1DE07" w14:textId="77777777" w:rsidR="002C640A" w:rsidRPr="00616B9B" w:rsidRDefault="002C640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C640A" w:rsidRDefault="002C64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2C640A" w:rsidRDefault="002C640A" w:rsidP="00B61CD3">
    <w:pPr>
      <w:pStyle w:val="Piedepgina"/>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2C640A" w:rsidRDefault="002C64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D1923" w14:textId="77777777" w:rsidR="002C640A" w:rsidRDefault="002C640A">
      <w:r>
        <w:separator/>
      </w:r>
    </w:p>
    <w:p w14:paraId="2CBA45E8" w14:textId="77777777" w:rsidR="002C640A" w:rsidRDefault="002C640A"/>
  </w:footnote>
  <w:footnote w:type="continuationSeparator" w:id="0">
    <w:p w14:paraId="29FA95D5" w14:textId="77777777" w:rsidR="002C640A" w:rsidRDefault="002C640A">
      <w:r>
        <w:continuationSeparator/>
      </w:r>
    </w:p>
    <w:p w14:paraId="0D52E147" w14:textId="77777777" w:rsidR="002C640A" w:rsidRDefault="002C640A"/>
  </w:footnote>
  <w:footnote w:type="continuationNotice" w:id="1">
    <w:p w14:paraId="6F3C9634" w14:textId="77777777" w:rsidR="002C640A" w:rsidRDefault="002C640A"/>
  </w:footnote>
  <w:footnote w:id="2">
    <w:p w14:paraId="709E457F" w14:textId="29DA4826" w:rsidR="002C640A" w:rsidRPr="00071740" w:rsidRDefault="002C640A" w:rsidP="002C640A">
      <w:pPr>
        <w:pStyle w:val="Textonotapie"/>
        <w:rPr>
          <w:lang w:val="en-US"/>
        </w:rPr>
      </w:pPr>
      <w:r>
        <w:rPr>
          <w:rStyle w:val="Refdenotaalpie"/>
        </w:rPr>
        <w:footnoteRef/>
      </w:r>
      <w:r w:rsidRPr="00071740">
        <w:rPr>
          <w:lang w:val="en-US"/>
        </w:rPr>
        <w:t xml:space="preserve"> </w:t>
      </w:r>
      <w:r>
        <w:rPr>
          <w:lang w:val="en-US"/>
        </w:rPr>
        <w:t>BME</w:t>
      </w:r>
      <w:r w:rsidRPr="00071740">
        <w:rPr>
          <w:lang w:val="en-US"/>
        </w:rPr>
        <w:t xml:space="preserve"> is aware that ESMA proposes to amend the measure of volume. However, even under the new definition of the measure of volume the described dynamics would still apply.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3211C" w14:textId="77777777" w:rsidR="002C640A" w:rsidRDefault="002C64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2C640A" w:rsidRDefault="002C640A">
    <w:pPr>
      <w:pStyle w:val="Encabezado"/>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2C640A" w:rsidRDefault="002C640A" w:rsidP="00013CCE">
    <w:pPr>
      <w:pStyle w:val="Encabezado"/>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2C640A" w:rsidRDefault="002C640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C640A" w:rsidRPr="002F4496" w14:paraId="60C7474C" w14:textId="77777777" w:rsidTr="000C06C9">
      <w:trPr>
        <w:trHeight w:val="284"/>
      </w:trPr>
      <w:tc>
        <w:tcPr>
          <w:tcW w:w="8460" w:type="dxa"/>
        </w:tcPr>
        <w:p w14:paraId="54B7E7F0" w14:textId="77777777" w:rsidR="002C640A" w:rsidRPr="000C3B6D" w:rsidRDefault="002C640A" w:rsidP="000C06C9">
          <w:pPr>
            <w:pStyle w:val="00Footer"/>
            <w:rPr>
              <w:lang w:val="fr-FR"/>
            </w:rPr>
          </w:pPr>
        </w:p>
      </w:tc>
      <w:tc>
        <w:tcPr>
          <w:tcW w:w="952" w:type="dxa"/>
        </w:tcPr>
        <w:p w14:paraId="2E49D042" w14:textId="77777777" w:rsidR="002C640A" w:rsidRPr="00146B34" w:rsidRDefault="002C640A" w:rsidP="000C06C9">
          <w:pPr>
            <w:pStyle w:val="00aPagenumber"/>
            <w:rPr>
              <w:lang w:val="fr-FR"/>
            </w:rPr>
          </w:pPr>
        </w:p>
      </w:tc>
    </w:tr>
  </w:tbl>
  <w:p w14:paraId="580707D9" w14:textId="77777777" w:rsidR="002C640A" w:rsidRPr="00DB46C3" w:rsidRDefault="002C640A">
    <w:pPr>
      <w:rPr>
        <w:lang w:val="fr-FR"/>
      </w:rPr>
    </w:pPr>
  </w:p>
  <w:p w14:paraId="20C4F67C" w14:textId="77777777" w:rsidR="002C640A" w:rsidRPr="002F4496" w:rsidRDefault="002C640A">
    <w:pPr>
      <w:pStyle w:val="Encabezado"/>
      <w:rPr>
        <w:lang w:val="fr-FR"/>
      </w:rPr>
    </w:pPr>
  </w:p>
  <w:p w14:paraId="3F30C70B" w14:textId="77777777" w:rsidR="002C640A" w:rsidRPr="002F4496" w:rsidRDefault="002C640A" w:rsidP="000C06C9">
    <w:pPr>
      <w:pStyle w:val="Encabezado"/>
      <w:tabs>
        <w:tab w:val="clear" w:pos="4536"/>
        <w:tab w:val="clear" w:pos="9072"/>
        <w:tab w:val="left" w:pos="8227"/>
      </w:tabs>
      <w:rPr>
        <w:lang w:val="fr-FR"/>
      </w:rPr>
    </w:pPr>
  </w:p>
  <w:p w14:paraId="4D50BC39" w14:textId="77777777" w:rsidR="002C640A" w:rsidRPr="002F4496" w:rsidRDefault="002C640A" w:rsidP="00583885">
    <w:pPr>
      <w:pStyle w:val="Encabezado"/>
      <w:jc w:val="right"/>
      <w:rPr>
        <w:lang w:val="fr-FR"/>
      </w:rPr>
    </w:pPr>
  </w:p>
  <w:p w14:paraId="2D51BEA2" w14:textId="77777777" w:rsidR="002C640A" w:rsidRPr="002F4496" w:rsidRDefault="002C640A">
    <w:pPr>
      <w:pStyle w:val="Encabezado"/>
      <w:rPr>
        <w:lang w:val="fr-FR"/>
      </w:rPr>
    </w:pPr>
  </w:p>
  <w:p w14:paraId="340B2438" w14:textId="77777777" w:rsidR="002C640A" w:rsidRPr="002F4496" w:rsidRDefault="002C640A">
    <w:pPr>
      <w:pStyle w:val="Encabezado"/>
      <w:rPr>
        <w:lang w:val="fr-FR"/>
      </w:rPr>
    </w:pPr>
  </w:p>
  <w:p w14:paraId="2A794A3E" w14:textId="77777777" w:rsidR="002C640A" w:rsidRPr="002F4496" w:rsidRDefault="002C640A">
    <w:pPr>
      <w:pStyle w:val="Encabezado"/>
      <w:rPr>
        <w:lang w:val="fr-FR"/>
      </w:rPr>
    </w:pPr>
  </w:p>
  <w:p w14:paraId="0A21F475" w14:textId="77777777" w:rsidR="002C640A" w:rsidRPr="002F4496" w:rsidRDefault="002C640A">
    <w:pPr>
      <w:pStyle w:val="Encabezado"/>
      <w:rPr>
        <w:highlight w:val="yellow"/>
        <w:lang w:val="fr-FR"/>
      </w:rPr>
    </w:pPr>
  </w:p>
  <w:p w14:paraId="53ABEE5D" w14:textId="77777777" w:rsidR="002C640A" w:rsidRDefault="002C640A">
    <w:pPr>
      <w:pStyle w:val="Encabezado"/>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0D3D00"/>
    <w:multiLevelType w:val="hybridMultilevel"/>
    <w:tmpl w:val="C65C5B0C"/>
    <w:lvl w:ilvl="0" w:tplc="3A2AB7A4">
      <w:numFmt w:val="bullet"/>
      <w:lvlText w:val="•"/>
      <w:lvlJc w:val="left"/>
      <w:pPr>
        <w:ind w:left="1428" w:hanging="360"/>
      </w:pPr>
      <w:rPr>
        <w:rFonts w:ascii="Trebuchet MS" w:eastAsia="Times New Roman" w:hAnsi="Trebuchet MS"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7997F9A"/>
    <w:multiLevelType w:val="hybridMultilevel"/>
    <w:tmpl w:val="271E0EC8"/>
    <w:lvl w:ilvl="0" w:tplc="20000003">
      <w:start w:val="1"/>
      <w:numFmt w:val="bullet"/>
      <w:lvlText w:val="o"/>
      <w:lvlJc w:val="left"/>
      <w:pPr>
        <w:ind w:left="360" w:hanging="360"/>
      </w:pPr>
      <w:rPr>
        <w:rFonts w:ascii="Courier New" w:hAnsi="Courier New" w:cs="Courier New" w:hint="default"/>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471770"/>
    <w:multiLevelType w:val="hybridMultilevel"/>
    <w:tmpl w:val="A016EF6E"/>
    <w:lvl w:ilvl="0" w:tplc="20000003">
      <w:start w:val="1"/>
      <w:numFmt w:val="bullet"/>
      <w:lvlText w:val="o"/>
      <w:lvlJc w:val="left"/>
      <w:pPr>
        <w:ind w:left="360" w:hanging="360"/>
      </w:pPr>
      <w:rPr>
        <w:rFonts w:ascii="Courier New" w:hAnsi="Courier New" w:cs="Courier New" w:hint="default"/>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8E33E4D"/>
    <w:multiLevelType w:val="hybridMultilevel"/>
    <w:tmpl w:val="8F7024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80F46"/>
    <w:multiLevelType w:val="hybridMultilevel"/>
    <w:tmpl w:val="5F2C7582"/>
    <w:lvl w:ilvl="0" w:tplc="7A188E1A">
      <w:numFmt w:val="bullet"/>
      <w:lvlText w:val="-"/>
      <w:lvlJc w:val="left"/>
      <w:pPr>
        <w:ind w:left="705" w:hanging="705"/>
      </w:pPr>
      <w:rPr>
        <w:rFonts w:ascii="Trebuchet MS" w:eastAsia="Trebuchet MS" w:hAnsi="Trebuchet MS"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3"/>
  </w:num>
  <w:num w:numId="5">
    <w:abstractNumId w:val="25"/>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2"/>
  </w:num>
  <w:num w:numId="15">
    <w:abstractNumId w:val="10"/>
  </w:num>
  <w:num w:numId="16">
    <w:abstractNumId w:val="1"/>
  </w:num>
  <w:num w:numId="17">
    <w:abstractNumId w:val="13"/>
  </w:num>
  <w:num w:numId="18">
    <w:abstractNumId w:val="14"/>
  </w:num>
  <w:num w:numId="19">
    <w:abstractNumId w:val="16"/>
  </w:num>
  <w:num w:numId="20">
    <w:abstractNumId w:val="27"/>
  </w:num>
  <w:num w:numId="21">
    <w:abstractNumId w:val="39"/>
  </w:num>
  <w:num w:numId="22">
    <w:abstractNumId w:val="24"/>
  </w:num>
  <w:num w:numId="23">
    <w:abstractNumId w:val="8"/>
  </w:num>
  <w:num w:numId="24">
    <w:abstractNumId w:val="31"/>
  </w:num>
  <w:num w:numId="25">
    <w:abstractNumId w:val="30"/>
  </w:num>
  <w:num w:numId="26">
    <w:abstractNumId w:val="19"/>
  </w:num>
  <w:num w:numId="27">
    <w:abstractNumId w:val="35"/>
  </w:num>
  <w:num w:numId="28">
    <w:abstractNumId w:val="41"/>
  </w:num>
  <w:num w:numId="29">
    <w:abstractNumId w:val="6"/>
  </w:num>
  <w:num w:numId="30">
    <w:abstractNumId w:val="2"/>
  </w:num>
  <w:num w:numId="31">
    <w:abstractNumId w:val="21"/>
  </w:num>
  <w:num w:numId="32">
    <w:abstractNumId w:val="20"/>
  </w:num>
  <w:num w:numId="33">
    <w:abstractNumId w:val="37"/>
  </w:num>
  <w:num w:numId="34">
    <w:abstractNumId w:val="36"/>
  </w:num>
  <w:num w:numId="35">
    <w:abstractNumId w:val="4"/>
  </w:num>
  <w:num w:numId="36">
    <w:abstractNumId w:val="38"/>
  </w:num>
  <w:num w:numId="37">
    <w:abstractNumId w:val="20"/>
    <w:lvlOverride w:ilvl="0">
      <w:startOverride w:val="1"/>
    </w:lvlOverride>
  </w:num>
  <w:num w:numId="38">
    <w:abstractNumId w:val="20"/>
  </w:num>
  <w:num w:numId="39">
    <w:abstractNumId w:val="9"/>
  </w:num>
  <w:num w:numId="40">
    <w:abstractNumId w:val="33"/>
  </w:num>
  <w:num w:numId="41">
    <w:abstractNumId w:val="26"/>
  </w:num>
  <w:num w:numId="42">
    <w:abstractNumId w:val="1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573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A55"/>
    <w:rsid w:val="00006C2B"/>
    <w:rsid w:val="00007014"/>
    <w:rsid w:val="00007968"/>
    <w:rsid w:val="0001067A"/>
    <w:rsid w:val="00011262"/>
    <w:rsid w:val="00013CCE"/>
    <w:rsid w:val="000140D5"/>
    <w:rsid w:val="0001410B"/>
    <w:rsid w:val="000141D6"/>
    <w:rsid w:val="00014A95"/>
    <w:rsid w:val="00015B5E"/>
    <w:rsid w:val="00015F1D"/>
    <w:rsid w:val="00016CAC"/>
    <w:rsid w:val="0001774B"/>
    <w:rsid w:val="00020D0F"/>
    <w:rsid w:val="00021008"/>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4768A"/>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6621"/>
    <w:rsid w:val="00077C67"/>
    <w:rsid w:val="00080976"/>
    <w:rsid w:val="00081CEB"/>
    <w:rsid w:val="00081E60"/>
    <w:rsid w:val="00082D8A"/>
    <w:rsid w:val="00082D8E"/>
    <w:rsid w:val="00082E31"/>
    <w:rsid w:val="00083AA3"/>
    <w:rsid w:val="00085947"/>
    <w:rsid w:val="00085CDA"/>
    <w:rsid w:val="000868FE"/>
    <w:rsid w:val="00086C6B"/>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61A8"/>
    <w:rsid w:val="000C701D"/>
    <w:rsid w:val="000C7C4A"/>
    <w:rsid w:val="000D17AA"/>
    <w:rsid w:val="000D2D0B"/>
    <w:rsid w:val="000D4660"/>
    <w:rsid w:val="000D6D23"/>
    <w:rsid w:val="000D705D"/>
    <w:rsid w:val="000D71F1"/>
    <w:rsid w:val="000D7EB9"/>
    <w:rsid w:val="000E0223"/>
    <w:rsid w:val="000E0CF3"/>
    <w:rsid w:val="000E18A8"/>
    <w:rsid w:val="000E1998"/>
    <w:rsid w:val="000E1AEC"/>
    <w:rsid w:val="000E3937"/>
    <w:rsid w:val="000E427D"/>
    <w:rsid w:val="000E4926"/>
    <w:rsid w:val="000E49B7"/>
    <w:rsid w:val="000E5F7F"/>
    <w:rsid w:val="000E7086"/>
    <w:rsid w:val="000E78C1"/>
    <w:rsid w:val="000E7C65"/>
    <w:rsid w:val="000F04D2"/>
    <w:rsid w:val="000F55B7"/>
    <w:rsid w:val="000F604F"/>
    <w:rsid w:val="000F7399"/>
    <w:rsid w:val="000F7637"/>
    <w:rsid w:val="0010107B"/>
    <w:rsid w:val="00101BF1"/>
    <w:rsid w:val="001027F1"/>
    <w:rsid w:val="00104F2E"/>
    <w:rsid w:val="001072DD"/>
    <w:rsid w:val="00110D7A"/>
    <w:rsid w:val="00111464"/>
    <w:rsid w:val="0011153E"/>
    <w:rsid w:val="0011167D"/>
    <w:rsid w:val="00112892"/>
    <w:rsid w:val="001129F9"/>
    <w:rsid w:val="00112E48"/>
    <w:rsid w:val="001130EA"/>
    <w:rsid w:val="0011380A"/>
    <w:rsid w:val="001138E8"/>
    <w:rsid w:val="00114259"/>
    <w:rsid w:val="00115C77"/>
    <w:rsid w:val="001168B2"/>
    <w:rsid w:val="001171F2"/>
    <w:rsid w:val="00117C20"/>
    <w:rsid w:val="00120F0E"/>
    <w:rsid w:val="00121A5D"/>
    <w:rsid w:val="00121BED"/>
    <w:rsid w:val="001224D9"/>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5B1A"/>
    <w:rsid w:val="00146A0B"/>
    <w:rsid w:val="0014761E"/>
    <w:rsid w:val="0015095B"/>
    <w:rsid w:val="00151907"/>
    <w:rsid w:val="001544C8"/>
    <w:rsid w:val="00155FAB"/>
    <w:rsid w:val="001567A1"/>
    <w:rsid w:val="00156857"/>
    <w:rsid w:val="00156A2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363B"/>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03B5"/>
    <w:rsid w:val="001B1355"/>
    <w:rsid w:val="001B2FC9"/>
    <w:rsid w:val="001B3138"/>
    <w:rsid w:val="001B4E4B"/>
    <w:rsid w:val="001B50AC"/>
    <w:rsid w:val="001B5E05"/>
    <w:rsid w:val="001B6065"/>
    <w:rsid w:val="001B6D68"/>
    <w:rsid w:val="001B6F2E"/>
    <w:rsid w:val="001C0344"/>
    <w:rsid w:val="001C0F2A"/>
    <w:rsid w:val="001C188E"/>
    <w:rsid w:val="001C1A59"/>
    <w:rsid w:val="001C270F"/>
    <w:rsid w:val="001C4365"/>
    <w:rsid w:val="001C4679"/>
    <w:rsid w:val="001C47B7"/>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3300"/>
    <w:rsid w:val="001E3A88"/>
    <w:rsid w:val="001E407D"/>
    <w:rsid w:val="001E40FB"/>
    <w:rsid w:val="001E66EC"/>
    <w:rsid w:val="001E68C5"/>
    <w:rsid w:val="001F0F63"/>
    <w:rsid w:val="001F223A"/>
    <w:rsid w:val="001F3996"/>
    <w:rsid w:val="001F44A4"/>
    <w:rsid w:val="001F579D"/>
    <w:rsid w:val="001F65EF"/>
    <w:rsid w:val="001F697B"/>
    <w:rsid w:val="002005A6"/>
    <w:rsid w:val="00200609"/>
    <w:rsid w:val="00204CBC"/>
    <w:rsid w:val="002051F1"/>
    <w:rsid w:val="002067BA"/>
    <w:rsid w:val="0021058D"/>
    <w:rsid w:val="00211E2F"/>
    <w:rsid w:val="00211E9E"/>
    <w:rsid w:val="00213BAC"/>
    <w:rsid w:val="00214FB4"/>
    <w:rsid w:val="0021592D"/>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0FD3"/>
    <w:rsid w:val="00251EA9"/>
    <w:rsid w:val="00252843"/>
    <w:rsid w:val="00253F45"/>
    <w:rsid w:val="002543F8"/>
    <w:rsid w:val="002551A4"/>
    <w:rsid w:val="002559F3"/>
    <w:rsid w:val="00256DFE"/>
    <w:rsid w:val="00261D56"/>
    <w:rsid w:val="00261FD3"/>
    <w:rsid w:val="00263505"/>
    <w:rsid w:val="00264077"/>
    <w:rsid w:val="00265DF3"/>
    <w:rsid w:val="00266B9A"/>
    <w:rsid w:val="00267551"/>
    <w:rsid w:val="00270E54"/>
    <w:rsid w:val="00273633"/>
    <w:rsid w:val="00273681"/>
    <w:rsid w:val="002744FC"/>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6F88"/>
    <w:rsid w:val="00287BBB"/>
    <w:rsid w:val="00287E3B"/>
    <w:rsid w:val="00290638"/>
    <w:rsid w:val="00291763"/>
    <w:rsid w:val="00291D80"/>
    <w:rsid w:val="00292008"/>
    <w:rsid w:val="00292E82"/>
    <w:rsid w:val="00293156"/>
    <w:rsid w:val="002937F4"/>
    <w:rsid w:val="00293BE7"/>
    <w:rsid w:val="00293D78"/>
    <w:rsid w:val="0029454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3708"/>
    <w:rsid w:val="002C53AA"/>
    <w:rsid w:val="002C5B2D"/>
    <w:rsid w:val="002C640A"/>
    <w:rsid w:val="002C6AF9"/>
    <w:rsid w:val="002C7DFC"/>
    <w:rsid w:val="002D08B8"/>
    <w:rsid w:val="002D14F3"/>
    <w:rsid w:val="002D16E4"/>
    <w:rsid w:val="002D2FEF"/>
    <w:rsid w:val="002D36C2"/>
    <w:rsid w:val="002D3FCB"/>
    <w:rsid w:val="002D4FEF"/>
    <w:rsid w:val="002D502D"/>
    <w:rsid w:val="002D5C99"/>
    <w:rsid w:val="002D63F5"/>
    <w:rsid w:val="002D6E1A"/>
    <w:rsid w:val="002E036D"/>
    <w:rsid w:val="002E1517"/>
    <w:rsid w:val="002E1760"/>
    <w:rsid w:val="002E1B22"/>
    <w:rsid w:val="002E387F"/>
    <w:rsid w:val="002E5695"/>
    <w:rsid w:val="002E76FC"/>
    <w:rsid w:val="002E7F4B"/>
    <w:rsid w:val="002F0C91"/>
    <w:rsid w:val="002F0E3E"/>
    <w:rsid w:val="002F1030"/>
    <w:rsid w:val="002F1683"/>
    <w:rsid w:val="002F1B19"/>
    <w:rsid w:val="002F1FBF"/>
    <w:rsid w:val="002F4139"/>
    <w:rsid w:val="002F5A44"/>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0CC"/>
    <w:rsid w:val="00325F48"/>
    <w:rsid w:val="0033194F"/>
    <w:rsid w:val="00332304"/>
    <w:rsid w:val="00332406"/>
    <w:rsid w:val="00332D8D"/>
    <w:rsid w:val="00335E30"/>
    <w:rsid w:val="00336B56"/>
    <w:rsid w:val="00341B25"/>
    <w:rsid w:val="00341EC0"/>
    <w:rsid w:val="0034240C"/>
    <w:rsid w:val="00343083"/>
    <w:rsid w:val="00343344"/>
    <w:rsid w:val="00344496"/>
    <w:rsid w:val="00344626"/>
    <w:rsid w:val="00345968"/>
    <w:rsid w:val="00347667"/>
    <w:rsid w:val="00350485"/>
    <w:rsid w:val="003507E2"/>
    <w:rsid w:val="003522B2"/>
    <w:rsid w:val="0035455E"/>
    <w:rsid w:val="00354A6F"/>
    <w:rsid w:val="00354B48"/>
    <w:rsid w:val="00355789"/>
    <w:rsid w:val="00357A78"/>
    <w:rsid w:val="003609B6"/>
    <w:rsid w:val="00361119"/>
    <w:rsid w:val="003649BE"/>
    <w:rsid w:val="0036538D"/>
    <w:rsid w:val="00365D12"/>
    <w:rsid w:val="00366E20"/>
    <w:rsid w:val="0037018D"/>
    <w:rsid w:val="00372299"/>
    <w:rsid w:val="00372F02"/>
    <w:rsid w:val="00373729"/>
    <w:rsid w:val="00373C91"/>
    <w:rsid w:val="003748F0"/>
    <w:rsid w:val="003755C6"/>
    <w:rsid w:val="00375AEF"/>
    <w:rsid w:val="00375FBC"/>
    <w:rsid w:val="00376367"/>
    <w:rsid w:val="00376B02"/>
    <w:rsid w:val="0037733A"/>
    <w:rsid w:val="003776DC"/>
    <w:rsid w:val="003779C1"/>
    <w:rsid w:val="003801E9"/>
    <w:rsid w:val="00380FEC"/>
    <w:rsid w:val="00381226"/>
    <w:rsid w:val="003817D5"/>
    <w:rsid w:val="00381B1B"/>
    <w:rsid w:val="00381FF6"/>
    <w:rsid w:val="00383D7D"/>
    <w:rsid w:val="0038488C"/>
    <w:rsid w:val="00384CCE"/>
    <w:rsid w:val="003865E5"/>
    <w:rsid w:val="003926C1"/>
    <w:rsid w:val="00392900"/>
    <w:rsid w:val="00393357"/>
    <w:rsid w:val="00395E7B"/>
    <w:rsid w:val="00395F4C"/>
    <w:rsid w:val="003A51C5"/>
    <w:rsid w:val="003A5DAC"/>
    <w:rsid w:val="003A6591"/>
    <w:rsid w:val="003A6E9A"/>
    <w:rsid w:val="003B08C8"/>
    <w:rsid w:val="003B12C1"/>
    <w:rsid w:val="003B13B3"/>
    <w:rsid w:val="003B2567"/>
    <w:rsid w:val="003B381A"/>
    <w:rsid w:val="003B4976"/>
    <w:rsid w:val="003B4B3F"/>
    <w:rsid w:val="003B6258"/>
    <w:rsid w:val="003B740F"/>
    <w:rsid w:val="003B7A99"/>
    <w:rsid w:val="003C0343"/>
    <w:rsid w:val="003C1C32"/>
    <w:rsid w:val="003C2760"/>
    <w:rsid w:val="003C40DA"/>
    <w:rsid w:val="003C42BA"/>
    <w:rsid w:val="003C462F"/>
    <w:rsid w:val="003C4A02"/>
    <w:rsid w:val="003C4F05"/>
    <w:rsid w:val="003C6191"/>
    <w:rsid w:val="003C6E49"/>
    <w:rsid w:val="003D0CBF"/>
    <w:rsid w:val="003D0DD6"/>
    <w:rsid w:val="003D3B70"/>
    <w:rsid w:val="003D4B73"/>
    <w:rsid w:val="003D503B"/>
    <w:rsid w:val="003D605E"/>
    <w:rsid w:val="003D61D1"/>
    <w:rsid w:val="003D6780"/>
    <w:rsid w:val="003D6FCB"/>
    <w:rsid w:val="003E0F84"/>
    <w:rsid w:val="003E1FF3"/>
    <w:rsid w:val="003E3920"/>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3AA5"/>
    <w:rsid w:val="004040FF"/>
    <w:rsid w:val="00404284"/>
    <w:rsid w:val="004042C4"/>
    <w:rsid w:val="00406E90"/>
    <w:rsid w:val="00410240"/>
    <w:rsid w:val="00410760"/>
    <w:rsid w:val="0041207A"/>
    <w:rsid w:val="00412253"/>
    <w:rsid w:val="004142ED"/>
    <w:rsid w:val="0041634D"/>
    <w:rsid w:val="00416ABC"/>
    <w:rsid w:val="00417EF7"/>
    <w:rsid w:val="004212A6"/>
    <w:rsid w:val="0042192D"/>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2E59"/>
    <w:rsid w:val="004332A4"/>
    <w:rsid w:val="0043453F"/>
    <w:rsid w:val="00434A74"/>
    <w:rsid w:val="00437929"/>
    <w:rsid w:val="00437A4A"/>
    <w:rsid w:val="00440541"/>
    <w:rsid w:val="00441268"/>
    <w:rsid w:val="0044162D"/>
    <w:rsid w:val="0044277A"/>
    <w:rsid w:val="004434EF"/>
    <w:rsid w:val="004456DC"/>
    <w:rsid w:val="00445D62"/>
    <w:rsid w:val="00447178"/>
    <w:rsid w:val="00447C15"/>
    <w:rsid w:val="00447FBE"/>
    <w:rsid w:val="0045035E"/>
    <w:rsid w:val="0045175A"/>
    <w:rsid w:val="00451ED9"/>
    <w:rsid w:val="00452180"/>
    <w:rsid w:val="00453072"/>
    <w:rsid w:val="004539F8"/>
    <w:rsid w:val="00453F26"/>
    <w:rsid w:val="0045503F"/>
    <w:rsid w:val="00455273"/>
    <w:rsid w:val="0045658C"/>
    <w:rsid w:val="00457CDB"/>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28E"/>
    <w:rsid w:val="004814BB"/>
    <w:rsid w:val="004815DA"/>
    <w:rsid w:val="00482458"/>
    <w:rsid w:val="004837ED"/>
    <w:rsid w:val="00483942"/>
    <w:rsid w:val="004843CE"/>
    <w:rsid w:val="00485142"/>
    <w:rsid w:val="004852A7"/>
    <w:rsid w:val="00486C17"/>
    <w:rsid w:val="00486DE2"/>
    <w:rsid w:val="00487117"/>
    <w:rsid w:val="004874AE"/>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CE9"/>
    <w:rsid w:val="004A357F"/>
    <w:rsid w:val="004A3DAD"/>
    <w:rsid w:val="004B0335"/>
    <w:rsid w:val="004B0F1C"/>
    <w:rsid w:val="004B1E61"/>
    <w:rsid w:val="004B21AB"/>
    <w:rsid w:val="004B59E0"/>
    <w:rsid w:val="004B5A18"/>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1F79"/>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0873"/>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021"/>
    <w:rsid w:val="00522B01"/>
    <w:rsid w:val="00522F44"/>
    <w:rsid w:val="005230E3"/>
    <w:rsid w:val="0052360A"/>
    <w:rsid w:val="005242BA"/>
    <w:rsid w:val="005243B8"/>
    <w:rsid w:val="005252DD"/>
    <w:rsid w:val="00526A16"/>
    <w:rsid w:val="00530A8D"/>
    <w:rsid w:val="00531C6D"/>
    <w:rsid w:val="00532EF4"/>
    <w:rsid w:val="005347CE"/>
    <w:rsid w:val="00535477"/>
    <w:rsid w:val="00535DEA"/>
    <w:rsid w:val="00535E1E"/>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5AB2"/>
    <w:rsid w:val="00557048"/>
    <w:rsid w:val="00557FB5"/>
    <w:rsid w:val="00561AED"/>
    <w:rsid w:val="005648A8"/>
    <w:rsid w:val="00564DE3"/>
    <w:rsid w:val="00564E44"/>
    <w:rsid w:val="00566C6A"/>
    <w:rsid w:val="00566CE5"/>
    <w:rsid w:val="00566CFD"/>
    <w:rsid w:val="00566D36"/>
    <w:rsid w:val="005732C3"/>
    <w:rsid w:val="00573569"/>
    <w:rsid w:val="00573871"/>
    <w:rsid w:val="0057389E"/>
    <w:rsid w:val="00575E50"/>
    <w:rsid w:val="005765C0"/>
    <w:rsid w:val="005778DE"/>
    <w:rsid w:val="00580B3F"/>
    <w:rsid w:val="005825F2"/>
    <w:rsid w:val="00582EFD"/>
    <w:rsid w:val="00582F7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356"/>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0FCD"/>
    <w:rsid w:val="005E10BF"/>
    <w:rsid w:val="005E1834"/>
    <w:rsid w:val="005E2EAF"/>
    <w:rsid w:val="005E4730"/>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19E9"/>
    <w:rsid w:val="0061263A"/>
    <w:rsid w:val="00612B6B"/>
    <w:rsid w:val="00612C41"/>
    <w:rsid w:val="00613E95"/>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3659"/>
    <w:rsid w:val="006341B5"/>
    <w:rsid w:val="006346C9"/>
    <w:rsid w:val="00634727"/>
    <w:rsid w:val="00634B64"/>
    <w:rsid w:val="0063578C"/>
    <w:rsid w:val="0063642C"/>
    <w:rsid w:val="0063681E"/>
    <w:rsid w:val="00636FF9"/>
    <w:rsid w:val="006401FE"/>
    <w:rsid w:val="00640DCD"/>
    <w:rsid w:val="00641DC3"/>
    <w:rsid w:val="00642972"/>
    <w:rsid w:val="00644F4D"/>
    <w:rsid w:val="006469B1"/>
    <w:rsid w:val="00646C0D"/>
    <w:rsid w:val="00646C30"/>
    <w:rsid w:val="006476F7"/>
    <w:rsid w:val="0064779E"/>
    <w:rsid w:val="006501FA"/>
    <w:rsid w:val="0065058B"/>
    <w:rsid w:val="006509B0"/>
    <w:rsid w:val="00651450"/>
    <w:rsid w:val="006521F3"/>
    <w:rsid w:val="006524D5"/>
    <w:rsid w:val="00652BBD"/>
    <w:rsid w:val="00653633"/>
    <w:rsid w:val="00653F69"/>
    <w:rsid w:val="00654936"/>
    <w:rsid w:val="00655485"/>
    <w:rsid w:val="006558B3"/>
    <w:rsid w:val="00656A9E"/>
    <w:rsid w:val="00660062"/>
    <w:rsid w:val="00660BF0"/>
    <w:rsid w:val="0066189C"/>
    <w:rsid w:val="006630CF"/>
    <w:rsid w:val="00663EFF"/>
    <w:rsid w:val="00664FFB"/>
    <w:rsid w:val="00666F74"/>
    <w:rsid w:val="00667FEA"/>
    <w:rsid w:val="006710D2"/>
    <w:rsid w:val="00671A8B"/>
    <w:rsid w:val="00671F53"/>
    <w:rsid w:val="006725A0"/>
    <w:rsid w:val="00673EA4"/>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0BE7"/>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001"/>
    <w:rsid w:val="006D2BFF"/>
    <w:rsid w:val="006D3737"/>
    <w:rsid w:val="006D399F"/>
    <w:rsid w:val="006D4F0C"/>
    <w:rsid w:val="006D5645"/>
    <w:rsid w:val="006E04CF"/>
    <w:rsid w:val="006E0C8A"/>
    <w:rsid w:val="006E1892"/>
    <w:rsid w:val="006E2A23"/>
    <w:rsid w:val="006E35E5"/>
    <w:rsid w:val="006E3C72"/>
    <w:rsid w:val="006E4F20"/>
    <w:rsid w:val="006E649A"/>
    <w:rsid w:val="006F08DC"/>
    <w:rsid w:val="006F0B62"/>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0657B"/>
    <w:rsid w:val="00710519"/>
    <w:rsid w:val="00710F6E"/>
    <w:rsid w:val="00711663"/>
    <w:rsid w:val="007116B4"/>
    <w:rsid w:val="00712580"/>
    <w:rsid w:val="00713365"/>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0A47"/>
    <w:rsid w:val="00752D4F"/>
    <w:rsid w:val="0075409F"/>
    <w:rsid w:val="0075525A"/>
    <w:rsid w:val="00755609"/>
    <w:rsid w:val="00755986"/>
    <w:rsid w:val="00755C86"/>
    <w:rsid w:val="00755E19"/>
    <w:rsid w:val="007569CF"/>
    <w:rsid w:val="00756BFF"/>
    <w:rsid w:val="00756D77"/>
    <w:rsid w:val="00760041"/>
    <w:rsid w:val="007605C7"/>
    <w:rsid w:val="00760B08"/>
    <w:rsid w:val="00760EDA"/>
    <w:rsid w:val="00761F4E"/>
    <w:rsid w:val="00762150"/>
    <w:rsid w:val="00762621"/>
    <w:rsid w:val="00763F36"/>
    <w:rsid w:val="007648A0"/>
    <w:rsid w:val="00766774"/>
    <w:rsid w:val="00766F4D"/>
    <w:rsid w:val="00770268"/>
    <w:rsid w:val="007706B9"/>
    <w:rsid w:val="007707ED"/>
    <w:rsid w:val="00771C3B"/>
    <w:rsid w:val="007726F9"/>
    <w:rsid w:val="00773B94"/>
    <w:rsid w:val="00773C65"/>
    <w:rsid w:val="00775937"/>
    <w:rsid w:val="00777046"/>
    <w:rsid w:val="007770DA"/>
    <w:rsid w:val="007805B9"/>
    <w:rsid w:val="00780C3A"/>
    <w:rsid w:val="007814DB"/>
    <w:rsid w:val="007834A1"/>
    <w:rsid w:val="007856AA"/>
    <w:rsid w:val="00786423"/>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1B2C"/>
    <w:rsid w:val="007A2140"/>
    <w:rsid w:val="007A23E2"/>
    <w:rsid w:val="007A31A5"/>
    <w:rsid w:val="007A411B"/>
    <w:rsid w:val="007A45E6"/>
    <w:rsid w:val="007A4B28"/>
    <w:rsid w:val="007A5C2C"/>
    <w:rsid w:val="007A7678"/>
    <w:rsid w:val="007B0CD8"/>
    <w:rsid w:val="007B0D6A"/>
    <w:rsid w:val="007B0DE0"/>
    <w:rsid w:val="007B21DE"/>
    <w:rsid w:val="007B2BB9"/>
    <w:rsid w:val="007B43E8"/>
    <w:rsid w:val="007B4740"/>
    <w:rsid w:val="007B502C"/>
    <w:rsid w:val="007B5F3B"/>
    <w:rsid w:val="007C02B0"/>
    <w:rsid w:val="007C063E"/>
    <w:rsid w:val="007C1901"/>
    <w:rsid w:val="007C292E"/>
    <w:rsid w:val="007C49C0"/>
    <w:rsid w:val="007C55C1"/>
    <w:rsid w:val="007C5738"/>
    <w:rsid w:val="007C5772"/>
    <w:rsid w:val="007C5AC3"/>
    <w:rsid w:val="007C7233"/>
    <w:rsid w:val="007D10EE"/>
    <w:rsid w:val="007D1193"/>
    <w:rsid w:val="007D21D5"/>
    <w:rsid w:val="007D3E8D"/>
    <w:rsid w:val="007D5915"/>
    <w:rsid w:val="007D59BE"/>
    <w:rsid w:val="007D5B4F"/>
    <w:rsid w:val="007D5C30"/>
    <w:rsid w:val="007E0660"/>
    <w:rsid w:val="007E1411"/>
    <w:rsid w:val="007E1882"/>
    <w:rsid w:val="007E1BB4"/>
    <w:rsid w:val="007E2077"/>
    <w:rsid w:val="007E3514"/>
    <w:rsid w:val="007E4AAA"/>
    <w:rsid w:val="007E4BD2"/>
    <w:rsid w:val="007E4C29"/>
    <w:rsid w:val="007E5E44"/>
    <w:rsid w:val="007E7B57"/>
    <w:rsid w:val="007F0DDA"/>
    <w:rsid w:val="007F17FA"/>
    <w:rsid w:val="007F1939"/>
    <w:rsid w:val="007F365C"/>
    <w:rsid w:val="007F5066"/>
    <w:rsid w:val="007F621C"/>
    <w:rsid w:val="007F7155"/>
    <w:rsid w:val="00800C28"/>
    <w:rsid w:val="0080117B"/>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1AC1"/>
    <w:rsid w:val="008229A3"/>
    <w:rsid w:val="00822DFB"/>
    <w:rsid w:val="00822F64"/>
    <w:rsid w:val="0082365D"/>
    <w:rsid w:val="008253A6"/>
    <w:rsid w:val="00825A6B"/>
    <w:rsid w:val="00825BBE"/>
    <w:rsid w:val="00825C50"/>
    <w:rsid w:val="00826577"/>
    <w:rsid w:val="00826CCC"/>
    <w:rsid w:val="00827439"/>
    <w:rsid w:val="00827C79"/>
    <w:rsid w:val="0083003F"/>
    <w:rsid w:val="00830976"/>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39F6"/>
    <w:rsid w:val="00844515"/>
    <w:rsid w:val="0084465A"/>
    <w:rsid w:val="00844DFF"/>
    <w:rsid w:val="00845D87"/>
    <w:rsid w:val="00846C3A"/>
    <w:rsid w:val="008477BF"/>
    <w:rsid w:val="008503DA"/>
    <w:rsid w:val="00850B68"/>
    <w:rsid w:val="00850E82"/>
    <w:rsid w:val="0085122D"/>
    <w:rsid w:val="008519E8"/>
    <w:rsid w:val="008519EC"/>
    <w:rsid w:val="008525FF"/>
    <w:rsid w:val="00852C03"/>
    <w:rsid w:val="00854036"/>
    <w:rsid w:val="0085590C"/>
    <w:rsid w:val="00856E0D"/>
    <w:rsid w:val="008575EB"/>
    <w:rsid w:val="00862DDD"/>
    <w:rsid w:val="0086326D"/>
    <w:rsid w:val="00863AE3"/>
    <w:rsid w:val="00863CC1"/>
    <w:rsid w:val="00865B01"/>
    <w:rsid w:val="00866D7A"/>
    <w:rsid w:val="00866EE3"/>
    <w:rsid w:val="008718E7"/>
    <w:rsid w:val="00871F04"/>
    <w:rsid w:val="008744A8"/>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3B3"/>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26EE"/>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0409"/>
    <w:rsid w:val="009105A9"/>
    <w:rsid w:val="00911B88"/>
    <w:rsid w:val="00913401"/>
    <w:rsid w:val="00913567"/>
    <w:rsid w:val="009137B6"/>
    <w:rsid w:val="00915EBA"/>
    <w:rsid w:val="00917093"/>
    <w:rsid w:val="0092030E"/>
    <w:rsid w:val="009217B1"/>
    <w:rsid w:val="00921A42"/>
    <w:rsid w:val="009223BB"/>
    <w:rsid w:val="00922491"/>
    <w:rsid w:val="00922E88"/>
    <w:rsid w:val="00923BCF"/>
    <w:rsid w:val="00925AEC"/>
    <w:rsid w:val="0092751A"/>
    <w:rsid w:val="009305C4"/>
    <w:rsid w:val="00931FAF"/>
    <w:rsid w:val="00932478"/>
    <w:rsid w:val="009360F6"/>
    <w:rsid w:val="009371DC"/>
    <w:rsid w:val="0093759D"/>
    <w:rsid w:val="00940239"/>
    <w:rsid w:val="00942BD6"/>
    <w:rsid w:val="00942DED"/>
    <w:rsid w:val="00944404"/>
    <w:rsid w:val="00944B13"/>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189D"/>
    <w:rsid w:val="00962CEF"/>
    <w:rsid w:val="00963766"/>
    <w:rsid w:val="00963FDF"/>
    <w:rsid w:val="00964C32"/>
    <w:rsid w:val="0096528F"/>
    <w:rsid w:val="009653F2"/>
    <w:rsid w:val="009661DF"/>
    <w:rsid w:val="009667BD"/>
    <w:rsid w:val="009670C9"/>
    <w:rsid w:val="00967CE2"/>
    <w:rsid w:val="0097036D"/>
    <w:rsid w:val="00971DA3"/>
    <w:rsid w:val="00972161"/>
    <w:rsid w:val="0097261B"/>
    <w:rsid w:val="00972F54"/>
    <w:rsid w:val="009734CB"/>
    <w:rsid w:val="00974881"/>
    <w:rsid w:val="00974A77"/>
    <w:rsid w:val="0097606C"/>
    <w:rsid w:val="009771D1"/>
    <w:rsid w:val="0097766E"/>
    <w:rsid w:val="0098012D"/>
    <w:rsid w:val="00980845"/>
    <w:rsid w:val="00981BD9"/>
    <w:rsid w:val="0098225F"/>
    <w:rsid w:val="009826C3"/>
    <w:rsid w:val="00983A3C"/>
    <w:rsid w:val="00983EFA"/>
    <w:rsid w:val="00984C15"/>
    <w:rsid w:val="00986AF7"/>
    <w:rsid w:val="00987829"/>
    <w:rsid w:val="0098789D"/>
    <w:rsid w:val="00987F7A"/>
    <w:rsid w:val="00991276"/>
    <w:rsid w:val="009923E7"/>
    <w:rsid w:val="00992697"/>
    <w:rsid w:val="00992ADB"/>
    <w:rsid w:val="00992D4E"/>
    <w:rsid w:val="00992E9B"/>
    <w:rsid w:val="009934BB"/>
    <w:rsid w:val="00994621"/>
    <w:rsid w:val="009947FF"/>
    <w:rsid w:val="0099544B"/>
    <w:rsid w:val="00995FA7"/>
    <w:rsid w:val="009A07A6"/>
    <w:rsid w:val="009A0D56"/>
    <w:rsid w:val="009A31B9"/>
    <w:rsid w:val="009A4D4F"/>
    <w:rsid w:val="009A53D8"/>
    <w:rsid w:val="009A597F"/>
    <w:rsid w:val="009A7B72"/>
    <w:rsid w:val="009A7F49"/>
    <w:rsid w:val="009B03C4"/>
    <w:rsid w:val="009B0AA2"/>
    <w:rsid w:val="009B1D02"/>
    <w:rsid w:val="009B4C8B"/>
    <w:rsid w:val="009B7133"/>
    <w:rsid w:val="009B7658"/>
    <w:rsid w:val="009B7CD1"/>
    <w:rsid w:val="009B7E22"/>
    <w:rsid w:val="009B7E78"/>
    <w:rsid w:val="009C10FE"/>
    <w:rsid w:val="009C13BC"/>
    <w:rsid w:val="009C1CA4"/>
    <w:rsid w:val="009C21E7"/>
    <w:rsid w:val="009C2532"/>
    <w:rsid w:val="009C2BA4"/>
    <w:rsid w:val="009C6091"/>
    <w:rsid w:val="009C634F"/>
    <w:rsid w:val="009C6AFC"/>
    <w:rsid w:val="009C740A"/>
    <w:rsid w:val="009D0219"/>
    <w:rsid w:val="009D0D55"/>
    <w:rsid w:val="009D2295"/>
    <w:rsid w:val="009D2511"/>
    <w:rsid w:val="009D3E7C"/>
    <w:rsid w:val="009D55CA"/>
    <w:rsid w:val="009D5EF0"/>
    <w:rsid w:val="009D6401"/>
    <w:rsid w:val="009D6B1F"/>
    <w:rsid w:val="009E0711"/>
    <w:rsid w:val="009E1917"/>
    <w:rsid w:val="009E3594"/>
    <w:rsid w:val="009E5CEE"/>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3F30"/>
    <w:rsid w:val="00A04685"/>
    <w:rsid w:val="00A04C57"/>
    <w:rsid w:val="00A06340"/>
    <w:rsid w:val="00A0684F"/>
    <w:rsid w:val="00A06867"/>
    <w:rsid w:val="00A10148"/>
    <w:rsid w:val="00A113FD"/>
    <w:rsid w:val="00A11A8B"/>
    <w:rsid w:val="00A11DDE"/>
    <w:rsid w:val="00A127A7"/>
    <w:rsid w:val="00A129F4"/>
    <w:rsid w:val="00A136F4"/>
    <w:rsid w:val="00A160D3"/>
    <w:rsid w:val="00A16DC9"/>
    <w:rsid w:val="00A20225"/>
    <w:rsid w:val="00A23A47"/>
    <w:rsid w:val="00A24269"/>
    <w:rsid w:val="00A243E4"/>
    <w:rsid w:val="00A24988"/>
    <w:rsid w:val="00A25392"/>
    <w:rsid w:val="00A25DF8"/>
    <w:rsid w:val="00A25ED4"/>
    <w:rsid w:val="00A263DF"/>
    <w:rsid w:val="00A26C5C"/>
    <w:rsid w:val="00A3026E"/>
    <w:rsid w:val="00A30BDE"/>
    <w:rsid w:val="00A3131C"/>
    <w:rsid w:val="00A31F14"/>
    <w:rsid w:val="00A324DC"/>
    <w:rsid w:val="00A32B5A"/>
    <w:rsid w:val="00A33057"/>
    <w:rsid w:val="00A33CCC"/>
    <w:rsid w:val="00A33ECB"/>
    <w:rsid w:val="00A34DE0"/>
    <w:rsid w:val="00A35728"/>
    <w:rsid w:val="00A368A8"/>
    <w:rsid w:val="00A36EE3"/>
    <w:rsid w:val="00A37435"/>
    <w:rsid w:val="00A400A8"/>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88A"/>
    <w:rsid w:val="00A63C96"/>
    <w:rsid w:val="00A65805"/>
    <w:rsid w:val="00A659D2"/>
    <w:rsid w:val="00A66BEE"/>
    <w:rsid w:val="00A671C9"/>
    <w:rsid w:val="00A67DFD"/>
    <w:rsid w:val="00A73623"/>
    <w:rsid w:val="00A74F9F"/>
    <w:rsid w:val="00A750B3"/>
    <w:rsid w:val="00A75559"/>
    <w:rsid w:val="00A75745"/>
    <w:rsid w:val="00A7623D"/>
    <w:rsid w:val="00A8217C"/>
    <w:rsid w:val="00A824A7"/>
    <w:rsid w:val="00A83644"/>
    <w:rsid w:val="00A83C07"/>
    <w:rsid w:val="00A83F40"/>
    <w:rsid w:val="00A84945"/>
    <w:rsid w:val="00A85543"/>
    <w:rsid w:val="00A8728B"/>
    <w:rsid w:val="00A91682"/>
    <w:rsid w:val="00A92125"/>
    <w:rsid w:val="00A92E4A"/>
    <w:rsid w:val="00A958CA"/>
    <w:rsid w:val="00A96378"/>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667"/>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6ED1"/>
    <w:rsid w:val="00AD783E"/>
    <w:rsid w:val="00AE1393"/>
    <w:rsid w:val="00AE19FA"/>
    <w:rsid w:val="00AE3BC6"/>
    <w:rsid w:val="00AE4D4F"/>
    <w:rsid w:val="00AE627C"/>
    <w:rsid w:val="00AE62B0"/>
    <w:rsid w:val="00AE68A2"/>
    <w:rsid w:val="00AF0029"/>
    <w:rsid w:val="00AF0354"/>
    <w:rsid w:val="00AF1236"/>
    <w:rsid w:val="00AF3C29"/>
    <w:rsid w:val="00AF4401"/>
    <w:rsid w:val="00AF4463"/>
    <w:rsid w:val="00AF53CB"/>
    <w:rsid w:val="00AF65C5"/>
    <w:rsid w:val="00AF6C48"/>
    <w:rsid w:val="00B03CE2"/>
    <w:rsid w:val="00B06544"/>
    <w:rsid w:val="00B105F2"/>
    <w:rsid w:val="00B10991"/>
    <w:rsid w:val="00B12128"/>
    <w:rsid w:val="00B12945"/>
    <w:rsid w:val="00B12C1E"/>
    <w:rsid w:val="00B13A6C"/>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2939"/>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2CD"/>
    <w:rsid w:val="00B619E4"/>
    <w:rsid w:val="00B61CD3"/>
    <w:rsid w:val="00B61D0B"/>
    <w:rsid w:val="00B6351C"/>
    <w:rsid w:val="00B6439A"/>
    <w:rsid w:val="00B6443B"/>
    <w:rsid w:val="00B6517B"/>
    <w:rsid w:val="00B65E71"/>
    <w:rsid w:val="00B65FC8"/>
    <w:rsid w:val="00B66C26"/>
    <w:rsid w:val="00B66DF4"/>
    <w:rsid w:val="00B67829"/>
    <w:rsid w:val="00B70005"/>
    <w:rsid w:val="00B71FB3"/>
    <w:rsid w:val="00B723B1"/>
    <w:rsid w:val="00B73492"/>
    <w:rsid w:val="00B74DFE"/>
    <w:rsid w:val="00B7512A"/>
    <w:rsid w:val="00B75D69"/>
    <w:rsid w:val="00B76548"/>
    <w:rsid w:val="00B76BED"/>
    <w:rsid w:val="00B77C06"/>
    <w:rsid w:val="00B806E6"/>
    <w:rsid w:val="00B82DC1"/>
    <w:rsid w:val="00B835D5"/>
    <w:rsid w:val="00B84028"/>
    <w:rsid w:val="00B84307"/>
    <w:rsid w:val="00B8430D"/>
    <w:rsid w:val="00B85661"/>
    <w:rsid w:val="00B85C8A"/>
    <w:rsid w:val="00B86FBD"/>
    <w:rsid w:val="00B90056"/>
    <w:rsid w:val="00B91B86"/>
    <w:rsid w:val="00B92308"/>
    <w:rsid w:val="00B927CA"/>
    <w:rsid w:val="00B928AE"/>
    <w:rsid w:val="00B92F41"/>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A75"/>
    <w:rsid w:val="00BA5828"/>
    <w:rsid w:val="00BA64B3"/>
    <w:rsid w:val="00BA754A"/>
    <w:rsid w:val="00BA7820"/>
    <w:rsid w:val="00BA794C"/>
    <w:rsid w:val="00BB07E8"/>
    <w:rsid w:val="00BB09FB"/>
    <w:rsid w:val="00BB238D"/>
    <w:rsid w:val="00BB37CC"/>
    <w:rsid w:val="00BB3CD3"/>
    <w:rsid w:val="00BB48C4"/>
    <w:rsid w:val="00BB6907"/>
    <w:rsid w:val="00BB7A20"/>
    <w:rsid w:val="00BC15B1"/>
    <w:rsid w:val="00BC1A66"/>
    <w:rsid w:val="00BC2578"/>
    <w:rsid w:val="00BC3C06"/>
    <w:rsid w:val="00BC4E8B"/>
    <w:rsid w:val="00BC5622"/>
    <w:rsid w:val="00BC6060"/>
    <w:rsid w:val="00BC6747"/>
    <w:rsid w:val="00BC6A9F"/>
    <w:rsid w:val="00BC7897"/>
    <w:rsid w:val="00BD06D7"/>
    <w:rsid w:val="00BD0F35"/>
    <w:rsid w:val="00BD38C0"/>
    <w:rsid w:val="00BD45A4"/>
    <w:rsid w:val="00BD4A5F"/>
    <w:rsid w:val="00BD59AA"/>
    <w:rsid w:val="00BD65E6"/>
    <w:rsid w:val="00BD6AF7"/>
    <w:rsid w:val="00BE19EF"/>
    <w:rsid w:val="00BE2991"/>
    <w:rsid w:val="00BE425B"/>
    <w:rsid w:val="00BE51BB"/>
    <w:rsid w:val="00BE5CF3"/>
    <w:rsid w:val="00BE714F"/>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1015"/>
    <w:rsid w:val="00C025B9"/>
    <w:rsid w:val="00C02630"/>
    <w:rsid w:val="00C038ED"/>
    <w:rsid w:val="00C044B4"/>
    <w:rsid w:val="00C05105"/>
    <w:rsid w:val="00C05A5D"/>
    <w:rsid w:val="00C0654A"/>
    <w:rsid w:val="00C06DE3"/>
    <w:rsid w:val="00C06F97"/>
    <w:rsid w:val="00C10BE6"/>
    <w:rsid w:val="00C11296"/>
    <w:rsid w:val="00C11905"/>
    <w:rsid w:val="00C1234A"/>
    <w:rsid w:val="00C12661"/>
    <w:rsid w:val="00C126E3"/>
    <w:rsid w:val="00C1275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4909"/>
    <w:rsid w:val="00C353A0"/>
    <w:rsid w:val="00C368D7"/>
    <w:rsid w:val="00C36FD1"/>
    <w:rsid w:val="00C371A5"/>
    <w:rsid w:val="00C400B0"/>
    <w:rsid w:val="00C409DE"/>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714"/>
    <w:rsid w:val="00C638C2"/>
    <w:rsid w:val="00C6427C"/>
    <w:rsid w:val="00C651D4"/>
    <w:rsid w:val="00C65411"/>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6C6"/>
    <w:rsid w:val="00C94D4C"/>
    <w:rsid w:val="00C96C1E"/>
    <w:rsid w:val="00C96CA4"/>
    <w:rsid w:val="00CA012C"/>
    <w:rsid w:val="00CA0AA6"/>
    <w:rsid w:val="00CA2897"/>
    <w:rsid w:val="00CA44F3"/>
    <w:rsid w:val="00CA582C"/>
    <w:rsid w:val="00CA6077"/>
    <w:rsid w:val="00CA715B"/>
    <w:rsid w:val="00CA7988"/>
    <w:rsid w:val="00CA7BA2"/>
    <w:rsid w:val="00CA7E87"/>
    <w:rsid w:val="00CB0B78"/>
    <w:rsid w:val="00CB12A5"/>
    <w:rsid w:val="00CB17FA"/>
    <w:rsid w:val="00CB23D8"/>
    <w:rsid w:val="00CB2ED9"/>
    <w:rsid w:val="00CB36A5"/>
    <w:rsid w:val="00CB56B4"/>
    <w:rsid w:val="00CB7286"/>
    <w:rsid w:val="00CB7947"/>
    <w:rsid w:val="00CC1783"/>
    <w:rsid w:val="00CC3B46"/>
    <w:rsid w:val="00CC3D8B"/>
    <w:rsid w:val="00CC4DFB"/>
    <w:rsid w:val="00CC4E27"/>
    <w:rsid w:val="00CC54EC"/>
    <w:rsid w:val="00CC54F0"/>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4810"/>
    <w:rsid w:val="00CF51C0"/>
    <w:rsid w:val="00CF5B2A"/>
    <w:rsid w:val="00CF5F57"/>
    <w:rsid w:val="00CF64A7"/>
    <w:rsid w:val="00CF6730"/>
    <w:rsid w:val="00CF70E5"/>
    <w:rsid w:val="00CF7CEC"/>
    <w:rsid w:val="00D00B0F"/>
    <w:rsid w:val="00D01166"/>
    <w:rsid w:val="00D01BF4"/>
    <w:rsid w:val="00D0272C"/>
    <w:rsid w:val="00D0367E"/>
    <w:rsid w:val="00D045CE"/>
    <w:rsid w:val="00D05082"/>
    <w:rsid w:val="00D06163"/>
    <w:rsid w:val="00D06937"/>
    <w:rsid w:val="00D07AFD"/>
    <w:rsid w:val="00D11749"/>
    <w:rsid w:val="00D12A7D"/>
    <w:rsid w:val="00D13AB0"/>
    <w:rsid w:val="00D1519E"/>
    <w:rsid w:val="00D152B7"/>
    <w:rsid w:val="00D1630F"/>
    <w:rsid w:val="00D16EDC"/>
    <w:rsid w:val="00D17FDE"/>
    <w:rsid w:val="00D201CB"/>
    <w:rsid w:val="00D226E0"/>
    <w:rsid w:val="00D22786"/>
    <w:rsid w:val="00D228B4"/>
    <w:rsid w:val="00D25AC4"/>
    <w:rsid w:val="00D305F6"/>
    <w:rsid w:val="00D30B25"/>
    <w:rsid w:val="00D3175A"/>
    <w:rsid w:val="00D31A00"/>
    <w:rsid w:val="00D31CDE"/>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0D30"/>
    <w:rsid w:val="00D511C6"/>
    <w:rsid w:val="00D5121D"/>
    <w:rsid w:val="00D5148B"/>
    <w:rsid w:val="00D516AC"/>
    <w:rsid w:val="00D521BB"/>
    <w:rsid w:val="00D52875"/>
    <w:rsid w:val="00D533A8"/>
    <w:rsid w:val="00D53941"/>
    <w:rsid w:val="00D54050"/>
    <w:rsid w:val="00D552D8"/>
    <w:rsid w:val="00D56AC0"/>
    <w:rsid w:val="00D6081B"/>
    <w:rsid w:val="00D60960"/>
    <w:rsid w:val="00D61188"/>
    <w:rsid w:val="00D6240A"/>
    <w:rsid w:val="00D63093"/>
    <w:rsid w:val="00D63599"/>
    <w:rsid w:val="00D63EBD"/>
    <w:rsid w:val="00D67101"/>
    <w:rsid w:val="00D71B45"/>
    <w:rsid w:val="00D71F8A"/>
    <w:rsid w:val="00D75603"/>
    <w:rsid w:val="00D75FEE"/>
    <w:rsid w:val="00D76933"/>
    <w:rsid w:val="00D76D88"/>
    <w:rsid w:val="00D7791D"/>
    <w:rsid w:val="00D77CC9"/>
    <w:rsid w:val="00D83D4B"/>
    <w:rsid w:val="00D83E34"/>
    <w:rsid w:val="00D871C6"/>
    <w:rsid w:val="00D87675"/>
    <w:rsid w:val="00D9025C"/>
    <w:rsid w:val="00D904C1"/>
    <w:rsid w:val="00D91010"/>
    <w:rsid w:val="00D9143D"/>
    <w:rsid w:val="00D920D1"/>
    <w:rsid w:val="00D96BDC"/>
    <w:rsid w:val="00D97018"/>
    <w:rsid w:val="00DA0FA7"/>
    <w:rsid w:val="00DA1123"/>
    <w:rsid w:val="00DA12B0"/>
    <w:rsid w:val="00DA2BA0"/>
    <w:rsid w:val="00DA39AD"/>
    <w:rsid w:val="00DA5B13"/>
    <w:rsid w:val="00DA62AA"/>
    <w:rsid w:val="00DA6917"/>
    <w:rsid w:val="00DA6926"/>
    <w:rsid w:val="00DB0965"/>
    <w:rsid w:val="00DB0E47"/>
    <w:rsid w:val="00DB2383"/>
    <w:rsid w:val="00DB2BDD"/>
    <w:rsid w:val="00DB3381"/>
    <w:rsid w:val="00DB4121"/>
    <w:rsid w:val="00DB46C3"/>
    <w:rsid w:val="00DB5742"/>
    <w:rsid w:val="00DB5EDF"/>
    <w:rsid w:val="00DB6C46"/>
    <w:rsid w:val="00DB72B8"/>
    <w:rsid w:val="00DC16AF"/>
    <w:rsid w:val="00DC2A9A"/>
    <w:rsid w:val="00DC2E2E"/>
    <w:rsid w:val="00DC4D68"/>
    <w:rsid w:val="00DC5961"/>
    <w:rsid w:val="00DC6463"/>
    <w:rsid w:val="00DC7822"/>
    <w:rsid w:val="00DC7AF1"/>
    <w:rsid w:val="00DD06EB"/>
    <w:rsid w:val="00DD2CDA"/>
    <w:rsid w:val="00DD2D92"/>
    <w:rsid w:val="00DD3026"/>
    <w:rsid w:val="00DD33DC"/>
    <w:rsid w:val="00DD3BB0"/>
    <w:rsid w:val="00DD61F5"/>
    <w:rsid w:val="00DD7418"/>
    <w:rsid w:val="00DE3A77"/>
    <w:rsid w:val="00DE64A6"/>
    <w:rsid w:val="00DE66EB"/>
    <w:rsid w:val="00DE7035"/>
    <w:rsid w:val="00DF12E3"/>
    <w:rsid w:val="00DF2A20"/>
    <w:rsid w:val="00DF3F1D"/>
    <w:rsid w:val="00DF595C"/>
    <w:rsid w:val="00DF5F2E"/>
    <w:rsid w:val="00DF6628"/>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0E2"/>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435"/>
    <w:rsid w:val="00E526DF"/>
    <w:rsid w:val="00E53C15"/>
    <w:rsid w:val="00E548CE"/>
    <w:rsid w:val="00E54EE6"/>
    <w:rsid w:val="00E56715"/>
    <w:rsid w:val="00E56C2C"/>
    <w:rsid w:val="00E57F8E"/>
    <w:rsid w:val="00E611C8"/>
    <w:rsid w:val="00E6344A"/>
    <w:rsid w:val="00E64E69"/>
    <w:rsid w:val="00E64FB7"/>
    <w:rsid w:val="00E669A1"/>
    <w:rsid w:val="00E679BA"/>
    <w:rsid w:val="00E70243"/>
    <w:rsid w:val="00E71ADA"/>
    <w:rsid w:val="00E72CC6"/>
    <w:rsid w:val="00E73D44"/>
    <w:rsid w:val="00E7494A"/>
    <w:rsid w:val="00E74BE2"/>
    <w:rsid w:val="00E74C66"/>
    <w:rsid w:val="00E75933"/>
    <w:rsid w:val="00E77A1B"/>
    <w:rsid w:val="00E808BE"/>
    <w:rsid w:val="00E81E36"/>
    <w:rsid w:val="00E81E40"/>
    <w:rsid w:val="00E82ECE"/>
    <w:rsid w:val="00E8713B"/>
    <w:rsid w:val="00E90774"/>
    <w:rsid w:val="00E90AE2"/>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5800"/>
    <w:rsid w:val="00EA7186"/>
    <w:rsid w:val="00EB018B"/>
    <w:rsid w:val="00EB06CF"/>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2A3"/>
    <w:rsid w:val="00ED049C"/>
    <w:rsid w:val="00ED07B7"/>
    <w:rsid w:val="00ED19D7"/>
    <w:rsid w:val="00ED1DA7"/>
    <w:rsid w:val="00ED2167"/>
    <w:rsid w:val="00ED351E"/>
    <w:rsid w:val="00ED4B27"/>
    <w:rsid w:val="00ED543C"/>
    <w:rsid w:val="00ED6BA4"/>
    <w:rsid w:val="00ED7DA7"/>
    <w:rsid w:val="00EE0598"/>
    <w:rsid w:val="00EE311C"/>
    <w:rsid w:val="00EE56FF"/>
    <w:rsid w:val="00EE5886"/>
    <w:rsid w:val="00EE5C76"/>
    <w:rsid w:val="00EE5FBF"/>
    <w:rsid w:val="00EE6472"/>
    <w:rsid w:val="00EE76F2"/>
    <w:rsid w:val="00EF0769"/>
    <w:rsid w:val="00EF0D7C"/>
    <w:rsid w:val="00EF314C"/>
    <w:rsid w:val="00EF383B"/>
    <w:rsid w:val="00EF40E2"/>
    <w:rsid w:val="00EF61C1"/>
    <w:rsid w:val="00EF6E68"/>
    <w:rsid w:val="00EF76DB"/>
    <w:rsid w:val="00F005FD"/>
    <w:rsid w:val="00F01648"/>
    <w:rsid w:val="00F016BE"/>
    <w:rsid w:val="00F02C04"/>
    <w:rsid w:val="00F03AF1"/>
    <w:rsid w:val="00F04BCD"/>
    <w:rsid w:val="00F05A8C"/>
    <w:rsid w:val="00F06211"/>
    <w:rsid w:val="00F107EF"/>
    <w:rsid w:val="00F10A54"/>
    <w:rsid w:val="00F123D0"/>
    <w:rsid w:val="00F13200"/>
    <w:rsid w:val="00F13411"/>
    <w:rsid w:val="00F143BA"/>
    <w:rsid w:val="00F14D98"/>
    <w:rsid w:val="00F15783"/>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3D0"/>
    <w:rsid w:val="00F30BC9"/>
    <w:rsid w:val="00F32462"/>
    <w:rsid w:val="00F32FF7"/>
    <w:rsid w:val="00F339D1"/>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40F"/>
    <w:rsid w:val="00F52B28"/>
    <w:rsid w:val="00F536BB"/>
    <w:rsid w:val="00F53755"/>
    <w:rsid w:val="00F53E59"/>
    <w:rsid w:val="00F5475B"/>
    <w:rsid w:val="00F574D0"/>
    <w:rsid w:val="00F6031F"/>
    <w:rsid w:val="00F61664"/>
    <w:rsid w:val="00F61B99"/>
    <w:rsid w:val="00F63AB0"/>
    <w:rsid w:val="00F64C45"/>
    <w:rsid w:val="00F6502B"/>
    <w:rsid w:val="00F6612A"/>
    <w:rsid w:val="00F66565"/>
    <w:rsid w:val="00F66724"/>
    <w:rsid w:val="00F67F04"/>
    <w:rsid w:val="00F70207"/>
    <w:rsid w:val="00F702CB"/>
    <w:rsid w:val="00F7114A"/>
    <w:rsid w:val="00F71AC2"/>
    <w:rsid w:val="00F739D4"/>
    <w:rsid w:val="00F75972"/>
    <w:rsid w:val="00F77D43"/>
    <w:rsid w:val="00F80953"/>
    <w:rsid w:val="00F80B5C"/>
    <w:rsid w:val="00F81312"/>
    <w:rsid w:val="00F81B90"/>
    <w:rsid w:val="00F81E6F"/>
    <w:rsid w:val="00F82FF3"/>
    <w:rsid w:val="00F8453C"/>
    <w:rsid w:val="00F84D4C"/>
    <w:rsid w:val="00F8657D"/>
    <w:rsid w:val="00F867A8"/>
    <w:rsid w:val="00F8730F"/>
    <w:rsid w:val="00F87897"/>
    <w:rsid w:val="00F87DA3"/>
    <w:rsid w:val="00F90004"/>
    <w:rsid w:val="00F90EF4"/>
    <w:rsid w:val="00F917BF"/>
    <w:rsid w:val="00F920B4"/>
    <w:rsid w:val="00F9260D"/>
    <w:rsid w:val="00F92727"/>
    <w:rsid w:val="00F93C7A"/>
    <w:rsid w:val="00F93CCF"/>
    <w:rsid w:val="00F94307"/>
    <w:rsid w:val="00F9580B"/>
    <w:rsid w:val="00F95F15"/>
    <w:rsid w:val="00F975CA"/>
    <w:rsid w:val="00FA0B60"/>
    <w:rsid w:val="00FA16EB"/>
    <w:rsid w:val="00FA23AA"/>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4261"/>
    <w:rsid w:val="00FD5EC4"/>
    <w:rsid w:val="00FD7858"/>
    <w:rsid w:val="00FD7A8D"/>
    <w:rsid w:val="00FE1330"/>
    <w:rsid w:val="00FE136D"/>
    <w:rsid w:val="00FE1CE5"/>
    <w:rsid w:val="00FE2832"/>
    <w:rsid w:val="00FE2D38"/>
    <w:rsid w:val="00FE3929"/>
    <w:rsid w:val="00FE3E32"/>
    <w:rsid w:val="00FE4B3E"/>
    <w:rsid w:val="00FF097B"/>
    <w:rsid w:val="00FF0B6E"/>
    <w:rsid w:val="00FF165F"/>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iPriority="99" w:unhideWhenUsed="1" w:qFormat="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qFormat="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Ttulo1">
    <w:name w:val="heading 1"/>
    <w:basedOn w:val="Normal"/>
    <w:next w:val="Normal"/>
    <w:link w:val="Ttulo1Car"/>
    <w:qFormat/>
    <w:locked/>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locked/>
    <w:rsid w:val="00886A60"/>
    <w:pPr>
      <w:keepNext/>
      <w:keepLines/>
      <w:spacing w:before="200" w:after="120"/>
      <w:outlineLvl w:val="1"/>
    </w:pPr>
    <w:rPr>
      <w:b/>
      <w:bCs/>
      <w:szCs w:val="26"/>
    </w:rPr>
  </w:style>
  <w:style w:type="paragraph" w:styleId="Ttulo3">
    <w:name w:val="heading 3"/>
    <w:basedOn w:val="Normal"/>
    <w:next w:val="Normal"/>
    <w:link w:val="Ttulo3Car"/>
    <w:qFormat/>
    <w:locked/>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uiPriority w:val="9"/>
    <w:qFormat/>
    <w:locked/>
    <w:rsid w:val="00E9344E"/>
    <w:pPr>
      <w:keepNext/>
      <w:keepLines/>
      <w:numPr>
        <w:numId w:val="13"/>
      </w:numPr>
      <w:spacing w:before="200"/>
      <w:jc w:val="both"/>
      <w:outlineLvl w:val="4"/>
    </w:pPr>
    <w:rPr>
      <w:b/>
    </w:rPr>
  </w:style>
  <w:style w:type="paragraph" w:styleId="Ttulo6">
    <w:name w:val="heading 6"/>
    <w:basedOn w:val="Normal"/>
    <w:next w:val="Normal"/>
    <w:link w:val="Ttulo6Car"/>
    <w:qFormat/>
    <w:locked/>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locked/>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locked/>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locked/>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locked/>
    <w:rsid w:val="005B64CB"/>
    <w:pPr>
      <w:tabs>
        <w:tab w:val="center" w:pos="4536"/>
        <w:tab w:val="right" w:pos="9072"/>
      </w:tabs>
    </w:pPr>
  </w:style>
  <w:style w:type="paragraph" w:styleId="Piedepgina">
    <w:name w:val="footer"/>
    <w:basedOn w:val="Normal"/>
    <w:link w:val="PiedepginaCar"/>
    <w:uiPriority w:val="99"/>
    <w:locked/>
    <w:rsid w:val="005B64CB"/>
    <w:pPr>
      <w:tabs>
        <w:tab w:val="center" w:pos="4536"/>
        <w:tab w:val="right" w:pos="9072"/>
      </w:tabs>
    </w:pPr>
  </w:style>
  <w:style w:type="table" w:styleId="Tablaconcuadrcula">
    <w:name w:val="Table Grid"/>
    <w:basedOn w:val="Tabla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merodepgina">
    <w:name w:val="page number"/>
    <w:basedOn w:val="Fuentedeprrafopredeter"/>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ipervnculo">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uiPriority w:val="99"/>
    <w:qFormat/>
    <w:locked/>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D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efdecomentario">
    <w:name w:val="annotation reference"/>
    <w:uiPriority w:val="99"/>
    <w:qFormat/>
    <w:locked/>
    <w:rsid w:val="004B1E61"/>
    <w:rPr>
      <w:sz w:val="16"/>
      <w:szCs w:val="16"/>
    </w:rPr>
  </w:style>
  <w:style w:type="paragraph" w:styleId="Textocomentario">
    <w:name w:val="annotation text"/>
    <w:basedOn w:val="Normal"/>
    <w:link w:val="TextocomentarioCar"/>
    <w:uiPriority w:val="99"/>
    <w:qFormat/>
    <w:locked/>
    <w:rsid w:val="004B1E61"/>
    <w:rPr>
      <w:szCs w:val="20"/>
    </w:rPr>
  </w:style>
  <w:style w:type="character" w:customStyle="1" w:styleId="TextocomentarioCar">
    <w:name w:val="Texto comentario Car"/>
    <w:link w:val="Textocomentario"/>
    <w:uiPriority w:val="99"/>
    <w:qFormat/>
    <w:rsid w:val="004B1E61"/>
    <w:rPr>
      <w:rFonts w:ascii="Georgia" w:hAnsi="Georgia"/>
      <w:lang w:eastAsia="de-DE"/>
    </w:rPr>
  </w:style>
  <w:style w:type="paragraph" w:styleId="Asuntodelcomentario">
    <w:name w:val="annotation subject"/>
    <w:basedOn w:val="Textocomentario"/>
    <w:next w:val="Textocomentario"/>
    <w:link w:val="AsuntodelcomentarioCar"/>
    <w:locked/>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locked/>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Paragraphe de liste"/>
    <w:basedOn w:val="Normal"/>
    <w:link w:val="PrrafodelistaCar"/>
    <w:uiPriority w:val="34"/>
    <w:qFormat/>
    <w:locked/>
    <w:rsid w:val="002A0C82"/>
    <w:pPr>
      <w:ind w:left="720"/>
      <w:contextualSpacing/>
    </w:pPr>
  </w:style>
  <w:style w:type="paragraph" w:styleId="TtuloTDC">
    <w:name w:val="TOC Heading"/>
    <w:basedOn w:val="Ttulo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nfasis">
    <w:name w:val="Emphasis"/>
    <w:uiPriority w:val="20"/>
    <w:qFormat/>
    <w:locked/>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escripci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qFormat/>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adeldocumento">
    <w:name w:val="Document Map"/>
    <w:basedOn w:val="Normal"/>
    <w:link w:val="MapadeldocumentoCar"/>
    <w:locked/>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lock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lock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Textoennegrita">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locked/>
    <w:rsid w:val="002D6E1A"/>
  </w:style>
  <w:style w:type="character" w:styleId="Hipervnculovisitado">
    <w:name w:val="FollowedHyperlink"/>
    <w:unhideWhenUsed/>
    <w:lock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lock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Paragraphe de liste Car"/>
    <w:link w:val="Prrafodelista"/>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locked/>
    <w:rsid w:val="002D6E1A"/>
    <w:rPr>
      <w:vertAlign w:val="superscript"/>
    </w:rPr>
  </w:style>
  <w:style w:type="character" w:styleId="Textodelmarcadordeposicin">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a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tulo5Car">
    <w:name w:val="Título 5 Car"/>
    <w:aliases w:val="Questions Car"/>
    <w:link w:val="Ttulo5"/>
    <w:uiPriority w:val="9"/>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tu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tulo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aconnmeros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locked/>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Fuentedeprrafopredeter"/>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07515082">
      <w:bodyDiv w:val="1"/>
      <w:marLeft w:val="0"/>
      <w:marRight w:val="0"/>
      <w:marTop w:val="0"/>
      <w:marBottom w:val="0"/>
      <w:divBdr>
        <w:top w:val="none" w:sz="0" w:space="0" w:color="auto"/>
        <w:left w:val="none" w:sz="0" w:space="0" w:color="auto"/>
        <w:bottom w:val="none" w:sz="0" w:space="0" w:color="auto"/>
        <w:right w:val="none" w:sz="0" w:space="0" w:color="auto"/>
      </w:divBdr>
    </w:div>
    <w:div w:id="41983230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05133038">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3669087">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8091728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15868035">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5.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12303</Words>
  <Characters>67444</Characters>
  <Application>Microsoft Office Word</Application>
  <DocSecurity>8</DocSecurity>
  <Lines>562</Lines>
  <Paragraphs>159</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79588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Pilar Martinez Martinez</cp:lastModifiedBy>
  <cp:revision>4</cp:revision>
  <cp:lastPrinted>2021-09-29T16:45:00Z</cp:lastPrinted>
  <dcterms:created xsi:type="dcterms:W3CDTF">2021-10-01T14:46:00Z</dcterms:created>
  <dcterms:modified xsi:type="dcterms:W3CDTF">2021-10-01T16:23:00Z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y fmtid="{D5CDD505-2E9C-101B-9397-08002B2CF9AE}" pid="10" name="MSIP_Label_a119c9c6-c312-493f-bc91-1871f81047af_Enabled">
    <vt:lpwstr>True</vt:lpwstr>
  </property>
  <property fmtid="{D5CDD505-2E9C-101B-9397-08002B2CF9AE}" pid="11" name="MSIP_Label_a119c9c6-c312-493f-bc91-1871f81047af_SiteId">
    <vt:lpwstr>faac5f16-6c6a-4379-bf59-205b22f007ec</vt:lpwstr>
  </property>
  <property fmtid="{D5CDD505-2E9C-101B-9397-08002B2CF9AE}" pid="12" name="MSIP_Label_a119c9c6-c312-493f-bc91-1871f81047af_Owner">
    <vt:lpwstr>tgisbert@grupobme.es</vt:lpwstr>
  </property>
  <property fmtid="{D5CDD505-2E9C-101B-9397-08002B2CF9AE}" pid="13" name="MSIP_Label_a119c9c6-c312-493f-bc91-1871f81047af_SetDate">
    <vt:lpwstr>2021-09-22T12:19:23.3380518Z</vt:lpwstr>
  </property>
  <property fmtid="{D5CDD505-2E9C-101B-9397-08002B2CF9AE}" pid="14" name="MSIP_Label_a119c9c6-c312-493f-bc91-1871f81047af_Name">
    <vt:lpwstr>Internal</vt:lpwstr>
  </property>
  <property fmtid="{D5CDD505-2E9C-101B-9397-08002B2CF9AE}" pid="15" name="MSIP_Label_a119c9c6-c312-493f-bc91-1871f81047af_Application">
    <vt:lpwstr>Microsoft Azure Information Protection</vt:lpwstr>
  </property>
  <property fmtid="{D5CDD505-2E9C-101B-9397-08002B2CF9AE}" pid="16" name="MSIP_Label_a119c9c6-c312-493f-bc91-1871f81047af_ActionId">
    <vt:lpwstr>57770b1c-bd44-44c9-a6a2-f4558459d3e9</vt:lpwstr>
  </property>
  <property fmtid="{D5CDD505-2E9C-101B-9397-08002B2CF9AE}" pid="17" name="MSIP_Label_a119c9c6-c312-493f-bc91-1871f81047af_Extended_MSFT_Method">
    <vt:lpwstr>Automatic</vt:lpwstr>
  </property>
  <property fmtid="{D5CDD505-2E9C-101B-9397-08002B2CF9AE}" pid="18" name="Sensitivity">
    <vt:lpwstr>Internal</vt:lpwstr>
  </property>
</Properties>
</file>