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400E6FA9" w:rsidR="00C2682A" w:rsidRPr="00AB6D88" w:rsidRDefault="00EB30A7" w:rsidP="00FA5524">
                <w:pPr>
                  <w:rPr>
                    <w:rStyle w:val="PlaceholderText"/>
                    <w:rFonts w:cs="Arial"/>
                  </w:rPr>
                </w:pPr>
                <w:r>
                  <w:rPr>
                    <w:rStyle w:val="PlaceholderText"/>
                    <w:rFonts w:cs="Arial"/>
                  </w:rPr>
                  <w:t>B</w:t>
                </w:r>
                <w:r>
                  <w:rPr>
                    <w:rStyle w:val="PlaceholderText"/>
                  </w:rPr>
                  <w:t>loomberg LP</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A8D61F4" w:rsidR="00C2682A" w:rsidRPr="00AB6D88" w:rsidRDefault="0048274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B30A7">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5F3C3869" w:rsidR="00C2682A" w:rsidRPr="00AB6D88" w:rsidRDefault="00EB30A7"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50485432" w:rsidR="00C2682A" w:rsidRPr="00AB6D88" w:rsidRDefault="00EB30A7"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22E78829" w14:textId="77777777" w:rsidR="00B600F1" w:rsidRPr="00CD49D6" w:rsidRDefault="00B600F1" w:rsidP="00B600F1">
      <w:pPr>
        <w:jc w:val="both"/>
        <w:rPr>
          <w:rFonts w:cs="Arial"/>
          <w:color w:val="000000"/>
          <w:sz w:val="24"/>
          <w:lang w:eastAsia="en-GB"/>
        </w:rPr>
      </w:pPr>
      <w:permStart w:id="1454525006" w:edGrp="everyone"/>
      <w:r>
        <w:t xml:space="preserve"> </w:t>
      </w:r>
      <w:r w:rsidRPr="00CD49D6">
        <w:rPr>
          <w:rFonts w:cs="Arial"/>
          <w:color w:val="000000"/>
          <w:sz w:val="24"/>
          <w:lang w:eastAsia="en-GB"/>
        </w:rPr>
        <w:t>As a general observation in our capacity as a data distributor, we suggest that to the extent that the functioning of RTS 1 and 2 is supported by ESMA’s FITRS system, the</w:t>
      </w:r>
      <w:r>
        <w:rPr>
          <w:rFonts w:cs="Arial"/>
          <w:color w:val="000000"/>
          <w:sz w:val="24"/>
          <w:lang w:eastAsia="en-GB"/>
        </w:rPr>
        <w:t>re are various aspects</w:t>
      </w:r>
      <w:r w:rsidRPr="00CD49D6">
        <w:rPr>
          <w:rFonts w:cs="Arial"/>
          <w:color w:val="000000"/>
          <w:sz w:val="24"/>
          <w:lang w:eastAsia="en-GB"/>
        </w:rPr>
        <w:t xml:space="preserve"> of this system </w:t>
      </w:r>
      <w:r>
        <w:rPr>
          <w:rFonts w:cs="Arial"/>
          <w:color w:val="000000"/>
          <w:sz w:val="24"/>
          <w:lang w:eastAsia="en-GB"/>
        </w:rPr>
        <w:t xml:space="preserve">that </w:t>
      </w:r>
      <w:r w:rsidRPr="00CD49D6">
        <w:rPr>
          <w:rFonts w:cs="Arial"/>
          <w:color w:val="000000"/>
          <w:sz w:val="24"/>
          <w:lang w:eastAsia="en-GB"/>
        </w:rPr>
        <w:t>are</w:t>
      </w:r>
      <w:r>
        <w:rPr>
          <w:rFonts w:cs="Arial"/>
          <w:color w:val="000000"/>
          <w:sz w:val="24"/>
          <w:lang w:eastAsia="en-GB"/>
        </w:rPr>
        <w:t xml:space="preserve"> </w:t>
      </w:r>
      <w:r w:rsidRPr="00CD49D6">
        <w:rPr>
          <w:rFonts w:cs="Arial"/>
          <w:color w:val="000000"/>
          <w:sz w:val="24"/>
          <w:lang w:eastAsia="en-GB"/>
        </w:rPr>
        <w:t xml:space="preserve">worthy of review. Whilst several data quality and data availability issues (and possible solutions) are raised in this consultation paper (we note particularly the discussion in sections 3.3.3.2, 4.3.3.1 and 4.3.1.4), we have observed the following </w:t>
      </w:r>
      <w:r>
        <w:rPr>
          <w:rFonts w:cs="Arial"/>
          <w:color w:val="000000"/>
          <w:sz w:val="24"/>
          <w:lang w:eastAsia="en-GB"/>
        </w:rPr>
        <w:t>areas for improvement</w:t>
      </w:r>
      <w:r w:rsidRPr="00CD49D6">
        <w:rPr>
          <w:rFonts w:cs="Arial"/>
          <w:color w:val="000000"/>
          <w:sz w:val="24"/>
          <w:lang w:eastAsia="en-GB"/>
        </w:rPr>
        <w:t xml:space="preserve"> in the FITRS system, which</w:t>
      </w:r>
      <w:r>
        <w:rPr>
          <w:rFonts w:cs="Arial"/>
          <w:color w:val="000000"/>
          <w:sz w:val="24"/>
          <w:lang w:eastAsia="en-GB"/>
        </w:rPr>
        <w:t xml:space="preserve"> currently</w:t>
      </w:r>
      <w:r w:rsidRPr="00CD49D6">
        <w:rPr>
          <w:rFonts w:cs="Arial"/>
          <w:color w:val="000000"/>
          <w:sz w:val="24"/>
          <w:lang w:eastAsia="en-GB"/>
        </w:rPr>
        <w:t xml:space="preserve"> cause considerable automation problems and operational challenges:</w:t>
      </w:r>
    </w:p>
    <w:p w14:paraId="275F43D2" w14:textId="77777777" w:rsidR="00B600F1" w:rsidRPr="001A10AE" w:rsidRDefault="00B600F1" w:rsidP="00B600F1">
      <w:pPr>
        <w:jc w:val="both"/>
        <w:rPr>
          <w:rFonts w:cstheme="minorHAnsi"/>
          <w:lang w:eastAsia="en-GB"/>
        </w:rPr>
      </w:pPr>
    </w:p>
    <w:p w14:paraId="0CB9883D" w14:textId="77777777" w:rsidR="00B600F1" w:rsidRPr="00CD49D6" w:rsidRDefault="00B600F1" w:rsidP="00B600F1">
      <w:pPr>
        <w:numPr>
          <w:ilvl w:val="0"/>
          <w:numId w:val="39"/>
        </w:numPr>
        <w:tabs>
          <w:tab w:val="num" w:pos="720"/>
        </w:tabs>
        <w:spacing w:line="276" w:lineRule="auto"/>
        <w:jc w:val="both"/>
        <w:rPr>
          <w:rFonts w:cs="Arial"/>
          <w:sz w:val="24"/>
          <w:lang w:eastAsia="en-GB"/>
        </w:rPr>
      </w:pPr>
      <w:r w:rsidRPr="00CD49D6">
        <w:rPr>
          <w:rFonts w:cs="Arial"/>
          <w:sz w:val="24"/>
          <w:lang w:eastAsia="en-GB"/>
        </w:rPr>
        <w:t>The absence of a calculation time in FITRS, which is needed so that market participants can clearly identify the relevant FITRS record to be applied (this data point is available on the website but not in the files</w:t>
      </w:r>
      <w:proofErr w:type="gramStart"/>
      <w:r w:rsidRPr="00CD49D6">
        <w:rPr>
          <w:rFonts w:cs="Arial"/>
          <w:sz w:val="24"/>
          <w:lang w:eastAsia="en-GB"/>
        </w:rPr>
        <w:t>);</w:t>
      </w:r>
      <w:proofErr w:type="gramEnd"/>
    </w:p>
    <w:p w14:paraId="44AC416F" w14:textId="77777777" w:rsidR="00B600F1" w:rsidRPr="00CD49D6" w:rsidRDefault="00B600F1" w:rsidP="00B600F1">
      <w:pPr>
        <w:numPr>
          <w:ilvl w:val="0"/>
          <w:numId w:val="39"/>
        </w:numPr>
        <w:tabs>
          <w:tab w:val="num" w:pos="720"/>
        </w:tabs>
        <w:spacing w:line="276" w:lineRule="auto"/>
        <w:jc w:val="both"/>
        <w:rPr>
          <w:rFonts w:cs="Arial"/>
          <w:sz w:val="24"/>
          <w:lang w:eastAsia="en-GB"/>
        </w:rPr>
      </w:pPr>
      <w:r w:rsidRPr="00CD49D6">
        <w:rPr>
          <w:rFonts w:cs="Arial"/>
          <w:sz w:val="24"/>
          <w:lang w:eastAsia="en-GB"/>
        </w:rPr>
        <w:t>The need for a mechanism to indicate that a record has been deleted from FITRS files (e.g. as is the case for FIRDS DLTINS files); and</w:t>
      </w:r>
    </w:p>
    <w:p w14:paraId="1F571EC9" w14:textId="77777777" w:rsidR="00B600F1" w:rsidRPr="00CD49D6" w:rsidRDefault="00B600F1" w:rsidP="00B600F1">
      <w:pPr>
        <w:numPr>
          <w:ilvl w:val="0"/>
          <w:numId w:val="39"/>
        </w:numPr>
        <w:tabs>
          <w:tab w:val="num" w:pos="720"/>
        </w:tabs>
        <w:spacing w:line="276" w:lineRule="auto"/>
        <w:jc w:val="both"/>
        <w:rPr>
          <w:rFonts w:cs="Arial"/>
          <w:sz w:val="24"/>
          <w:lang w:eastAsia="en-GB"/>
        </w:rPr>
      </w:pPr>
      <w:r w:rsidRPr="00CD49D6">
        <w:rPr>
          <w:rFonts w:cs="Arial"/>
          <w:sz w:val="24"/>
          <w:lang w:eastAsia="en-GB"/>
        </w:rPr>
        <w:t xml:space="preserve">The need for an ‘effective date’ so that firms consuming the machine-readable files programmatically can easily identify if a record is for immediate or future application. This is particularly important if ESMA intends to continue to perform ad-hoc, large-scale recalculations of transparency data and publish the results in FITRS unexpectedly with future application dates. For example, ESMA have previously conducted unexpected recalculations of annual equity records, sending the corrections via FITRS files on the day of the announcement, but with a future application date (usually a week afterwards). In such a scenario, the lack of an effective date in the XML files means that market participants </w:t>
      </w:r>
      <w:proofErr w:type="gramStart"/>
      <w:r w:rsidRPr="00CD49D6">
        <w:rPr>
          <w:rFonts w:cs="Arial"/>
          <w:sz w:val="24"/>
          <w:lang w:eastAsia="en-GB"/>
        </w:rPr>
        <w:t>have to</w:t>
      </w:r>
      <w:proofErr w:type="gramEnd"/>
      <w:r w:rsidRPr="00CD49D6">
        <w:rPr>
          <w:rFonts w:cs="Arial"/>
          <w:sz w:val="24"/>
          <w:lang w:eastAsia="en-GB"/>
        </w:rPr>
        <w:t xml:space="preserve"> take last-minute measures to manually block the updated records flowing through to their systems and being applied immediately. The inclusion of the effective date would allow market participants consuming the files programmatically to plan for this and to ensure that records with a future effective date would not be used ahead of time.</w:t>
      </w:r>
    </w:p>
    <w:p w14:paraId="6C44C83A" w14:textId="77777777" w:rsidR="00B600F1" w:rsidRPr="001A10AE" w:rsidRDefault="00B600F1" w:rsidP="00B600F1">
      <w:pPr>
        <w:jc w:val="both"/>
        <w:rPr>
          <w:rFonts w:cstheme="minorHAnsi"/>
          <w:bCs/>
          <w:color w:val="000000"/>
          <w:lang w:eastAsia="en-GB"/>
        </w:rPr>
      </w:pPr>
    </w:p>
    <w:p w14:paraId="25C256A7" w14:textId="77777777" w:rsidR="00B600F1" w:rsidRDefault="00B600F1" w:rsidP="00B600F1">
      <w:pPr>
        <w:jc w:val="both"/>
        <w:rPr>
          <w:rFonts w:cs="Arial"/>
          <w:color w:val="000000"/>
          <w:sz w:val="24"/>
          <w:lang w:eastAsia="en-GB"/>
        </w:rPr>
      </w:pPr>
      <w:r w:rsidRPr="00CD49D6">
        <w:rPr>
          <w:rFonts w:cs="Arial"/>
          <w:color w:val="000000"/>
          <w:sz w:val="24"/>
          <w:lang w:eastAsia="en-GB"/>
        </w:rPr>
        <w:t xml:space="preserve">The inclusion of asset class, sub-asset class and sub-class classifications at ISIN level in FITRS, as discussed in section 4.3.3.1, is a welcome development. However, given the extent of these changes, it is essential that adequate information regarding the new specifications, and most importantly, sample files, are available sufficiently in advance of the go-live date. It is also of key importance that the explicit date for implementation of the </w:t>
      </w:r>
      <w:r w:rsidRPr="00CD49D6">
        <w:rPr>
          <w:rFonts w:cs="Arial"/>
          <w:color w:val="000000"/>
          <w:sz w:val="24"/>
          <w:lang w:eastAsia="en-GB"/>
        </w:rPr>
        <w:lastRenderedPageBreak/>
        <w:t>new schema in production is provided well in advance.  The precise implementation date for the FITRS XML schema 1.2.0 is not yet available, nor is a sample file, despite the intended implementation date being Q4 of 2021. This does not leave adequate time for market participants to fully ready their systems.</w:t>
      </w:r>
    </w:p>
    <w:p w14:paraId="6A22288E" w14:textId="2B8308A1" w:rsidR="00F87897" w:rsidRDefault="00B600F1" w:rsidP="00F87897">
      <w:r>
        <w:t xml:space="preserve">  </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77777777" w:rsidR="000A609F" w:rsidRDefault="000A609F" w:rsidP="000A609F">
      <w:permStart w:id="336408232" w:edGrp="everyone"/>
      <w:r>
        <w:t>TYPE YOUR TEXT HERE</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CEC4BAF" w14:textId="77777777" w:rsidR="000A609F" w:rsidRDefault="000A609F" w:rsidP="000A609F">
      <w:permStart w:id="908748387" w:edGrp="everyone"/>
      <w:r>
        <w:t>TYPE YOUR TEXT HERE</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lastRenderedPageBreak/>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77777777" w:rsidR="000A609F" w:rsidRDefault="000A609F" w:rsidP="000A609F">
      <w:permStart w:id="693053983" w:edGrp="everyone"/>
      <w:r>
        <w:t>TYPE YOUR TEXT HERE</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39F4C1DB" w14:textId="77777777" w:rsidR="00EB30A7" w:rsidRDefault="00EB30A7" w:rsidP="00EB30A7">
      <w:pPr>
        <w:rPr>
          <w:rFonts w:cstheme="minorHAnsi"/>
          <w:b/>
          <w:color w:val="000000"/>
          <w:lang w:eastAsia="en-GB"/>
        </w:rPr>
      </w:pPr>
      <w:permStart w:id="683432005" w:edGrp="everyone"/>
      <w:r w:rsidRPr="00C369AC">
        <w:rPr>
          <w:rFonts w:cs="Arial"/>
          <w:b/>
          <w:bCs/>
          <w:sz w:val="24"/>
        </w:rPr>
        <w:t xml:space="preserve">Date of application of transparency calculations: </w:t>
      </w:r>
    </w:p>
    <w:p w14:paraId="7DBDCC4A" w14:textId="77777777" w:rsidR="00EB30A7" w:rsidRPr="00C369AC" w:rsidRDefault="00EB30A7" w:rsidP="00EB30A7">
      <w:pPr>
        <w:jc w:val="both"/>
        <w:rPr>
          <w:rFonts w:cs="Arial"/>
          <w:sz w:val="24"/>
        </w:rPr>
      </w:pPr>
      <w:r w:rsidRPr="00C369AC">
        <w:rPr>
          <w:rFonts w:cs="Arial"/>
          <w:bCs/>
          <w:color w:val="000000"/>
          <w:sz w:val="24"/>
          <w:lang w:eastAsia="en-GB"/>
        </w:rPr>
        <w:t>Whilst the</w:t>
      </w:r>
      <w:r w:rsidRPr="00C369AC">
        <w:rPr>
          <w:rFonts w:cs="Arial"/>
          <w:sz w:val="24"/>
        </w:rPr>
        <w:t xml:space="preserve"> proposal to amend the date of application of transparency calculations to ensure that updates are always processed over a weekend is pragmatic, the existing cycle of application dates is already embedded into market participants’ systems. As a result, this change will likely require non-negligible code changes for market participants that acquire and process FITRS records programmatically, and therefore the cost of adapting to this change could outweigh its possible benefits. </w:t>
      </w:r>
    </w:p>
    <w:p w14:paraId="75533C00" w14:textId="77777777" w:rsidR="00EB30A7" w:rsidRPr="00C369AC" w:rsidRDefault="00EB30A7" w:rsidP="00EB30A7">
      <w:pPr>
        <w:jc w:val="both"/>
        <w:rPr>
          <w:rFonts w:cs="Arial"/>
          <w:sz w:val="24"/>
        </w:rPr>
      </w:pPr>
      <w:r w:rsidRPr="00C369AC">
        <w:rPr>
          <w:rFonts w:cs="Arial"/>
          <w:sz w:val="24"/>
        </w:rPr>
        <w:br/>
        <w:t>In addition, moving away from a specific application date to a model whereby market participants need to identify the date that constitutes the first Monday of the month could create confusion when application dates coincide with bank holidays. As a result, if this proposal were adopted, it would be helpful for the schedule of application dates to be provided well in advance (ideally for more than one year into the future at a time), and for ESMA to clarify whether there would be any derogation from the proposed schedule due to bank holidays. We also suggest that the explicit application date be reiterated in the press release announcing the publication of the data.</w:t>
      </w:r>
    </w:p>
    <w:p w14:paraId="1531B56D" w14:textId="77777777" w:rsidR="00EB30A7" w:rsidRPr="00C369AC" w:rsidRDefault="00EB30A7" w:rsidP="00EB30A7">
      <w:pPr>
        <w:jc w:val="both"/>
        <w:rPr>
          <w:rFonts w:cs="Arial"/>
          <w:sz w:val="24"/>
        </w:rPr>
      </w:pPr>
    </w:p>
    <w:p w14:paraId="2F09DFF4" w14:textId="77777777" w:rsidR="00EB30A7" w:rsidRPr="00C369AC" w:rsidRDefault="00EB30A7" w:rsidP="00EB30A7">
      <w:pPr>
        <w:jc w:val="both"/>
        <w:rPr>
          <w:rFonts w:cs="Arial"/>
          <w:sz w:val="24"/>
        </w:rPr>
      </w:pPr>
      <w:r w:rsidRPr="00C369AC">
        <w:rPr>
          <w:rFonts w:cs="Arial"/>
          <w:sz w:val="24"/>
        </w:rPr>
        <w:t>Alternatively, the ‘effective date’ for FITRS records could be included in the XML schema, thus allowing market participants to clearly identify the application date for each given record and removing any uncertainty as to its implementation date.</w:t>
      </w:r>
    </w:p>
    <w:p w14:paraId="28E166D0" w14:textId="77777777" w:rsidR="00EB30A7" w:rsidRPr="00C369AC" w:rsidRDefault="00EB30A7" w:rsidP="00EB30A7">
      <w:pPr>
        <w:jc w:val="both"/>
        <w:rPr>
          <w:rFonts w:cs="Arial"/>
          <w:sz w:val="24"/>
        </w:rPr>
      </w:pPr>
    </w:p>
    <w:p w14:paraId="6A3204DD" w14:textId="77777777" w:rsidR="00EB30A7" w:rsidRPr="00C369AC" w:rsidRDefault="00EB30A7" w:rsidP="00EB30A7">
      <w:pPr>
        <w:rPr>
          <w:rFonts w:cs="Arial"/>
          <w:b/>
          <w:bCs/>
          <w:sz w:val="24"/>
        </w:rPr>
      </w:pPr>
      <w:r w:rsidRPr="00C369AC">
        <w:rPr>
          <w:rFonts w:cs="Arial"/>
          <w:b/>
          <w:bCs/>
          <w:sz w:val="24"/>
        </w:rPr>
        <w:t xml:space="preserve">Clarification on exchange rate: </w:t>
      </w:r>
    </w:p>
    <w:p w14:paraId="1BF1812E" w14:textId="77777777" w:rsidR="00EB30A7" w:rsidRPr="00C369AC" w:rsidRDefault="00EB30A7" w:rsidP="00EB30A7">
      <w:pPr>
        <w:rPr>
          <w:rFonts w:cs="Arial"/>
          <w:sz w:val="24"/>
        </w:rPr>
      </w:pPr>
      <w:r w:rsidRPr="00C369AC">
        <w:rPr>
          <w:rFonts w:cs="Arial"/>
          <w:sz w:val="24"/>
        </w:rPr>
        <w:t>We agree with the proposal to bring RTS 1 in line with RTS 2 and explicitly state the exchange rate to be used.</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lastRenderedPageBreak/>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77777777" w:rsidR="000A609F" w:rsidRDefault="000A609F" w:rsidP="000A609F">
      <w:permStart w:id="1353266664" w:edGrp="everyone"/>
      <w:r>
        <w:t>TYPE YOUR TEXT HERE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lastRenderedPageBreak/>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7777777" w:rsidR="000A609F" w:rsidRDefault="000A609F" w:rsidP="000A609F">
      <w:permStart w:id="2136082965" w:edGrp="everyone"/>
      <w:r>
        <w:t>TYPE YOUR TEXT HERE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7777777" w:rsidR="000E78C1" w:rsidRDefault="000E78C1" w:rsidP="000E78C1">
      <w:permStart w:id="1655654043" w:edGrp="everyone"/>
      <w:r>
        <w:t>TYPE YOUR TEXT HERE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77777777" w:rsidR="000A609F" w:rsidRDefault="000A609F" w:rsidP="000A609F">
      <w:permStart w:id="460739192" w:edGrp="everyone"/>
      <w:r>
        <w:t>TYPE YOUR TEXT HERE</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56E286" w14:textId="77777777" w:rsidR="000A609F" w:rsidRDefault="000A609F" w:rsidP="000A609F">
      <w:permStart w:id="1377646280" w:edGrp="everyone"/>
      <w:r>
        <w:t>TYPE YOUR TEXT HERE</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lastRenderedPageBreak/>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08EF3580" w14:textId="77777777" w:rsidR="00EB30A7" w:rsidRDefault="00EB30A7" w:rsidP="00EB30A7">
      <w:pPr>
        <w:rPr>
          <w:rFonts w:cs="Arial"/>
          <w:b/>
          <w:bCs/>
          <w:sz w:val="24"/>
        </w:rPr>
      </w:pPr>
      <w:permStart w:id="419637817" w:edGrp="everyone"/>
      <w:r w:rsidRPr="00C369AC">
        <w:rPr>
          <w:rFonts w:cs="Arial"/>
          <w:b/>
          <w:bCs/>
          <w:sz w:val="24"/>
        </w:rPr>
        <w:t>4.1.3.1 Date of application of transparency calculations</w:t>
      </w:r>
    </w:p>
    <w:p w14:paraId="5BE433C2" w14:textId="77777777" w:rsidR="00EB30A7" w:rsidRPr="00C369AC" w:rsidRDefault="00EB30A7" w:rsidP="00EB30A7">
      <w:pPr>
        <w:rPr>
          <w:rFonts w:cs="Arial"/>
          <w:b/>
          <w:bCs/>
          <w:sz w:val="24"/>
        </w:rPr>
      </w:pPr>
    </w:p>
    <w:p w14:paraId="5CA28586" w14:textId="77777777" w:rsidR="00EB30A7" w:rsidRPr="00C369AC" w:rsidRDefault="00EB30A7" w:rsidP="00EB30A7">
      <w:pPr>
        <w:jc w:val="both"/>
        <w:rPr>
          <w:rFonts w:cs="Arial"/>
          <w:bCs/>
          <w:color w:val="000000"/>
          <w:sz w:val="24"/>
          <w:lang w:eastAsia="en-GB"/>
        </w:rPr>
      </w:pPr>
      <w:r w:rsidRPr="00C369AC">
        <w:rPr>
          <w:rFonts w:cs="Arial"/>
          <w:bCs/>
          <w:color w:val="000000"/>
          <w:sz w:val="24"/>
          <w:lang w:eastAsia="en-GB"/>
        </w:rPr>
        <w:t xml:space="preserve">As stated in our response to question 10, whilst the proposal to amend the date of application of transparency calculations to ensure that updates are always processed over a weekend is pragmatic, the existing cycle of application dates is already embedded into market participants’ systems. As a result, this change will likely require non-negligible code changes for market participants that acquire and process FITRS records programmatically, and therefore the cost of adapting to this change could outweigh its possible benefits. </w:t>
      </w:r>
    </w:p>
    <w:p w14:paraId="61E93CAB" w14:textId="77777777" w:rsidR="00EB30A7" w:rsidRPr="00C369AC" w:rsidRDefault="00EB30A7" w:rsidP="00EB30A7">
      <w:pPr>
        <w:jc w:val="both"/>
        <w:rPr>
          <w:rFonts w:cs="Arial"/>
          <w:bCs/>
          <w:color w:val="000000"/>
          <w:sz w:val="24"/>
          <w:lang w:eastAsia="en-GB"/>
        </w:rPr>
      </w:pPr>
      <w:r w:rsidRPr="00C369AC">
        <w:rPr>
          <w:rFonts w:cs="Arial"/>
          <w:bCs/>
          <w:color w:val="000000"/>
          <w:sz w:val="24"/>
          <w:lang w:eastAsia="en-GB"/>
        </w:rPr>
        <w:br/>
        <w:t>In addition, moving away from a specific application date to a model whereby market participants need to identify the date that constitutes the first Monday of the month could create confusion when application dates coincide with bank holidays. As a result, if this proposal were adopted, it would be helpful for a schedule of application dates to be provided well in advance (ideally for more than one year into the future at a time), and for ESMA to clarify whether there would be any derogation from the proposed schedule due to bank holidays. We also suggest that the explicit application date be reiterated in the press release on the ESMA website announcing the publication of the data.</w:t>
      </w:r>
    </w:p>
    <w:p w14:paraId="4BC967E7" w14:textId="77777777" w:rsidR="00EB30A7" w:rsidRPr="00C369AC" w:rsidRDefault="00EB30A7" w:rsidP="00EB30A7">
      <w:pPr>
        <w:jc w:val="both"/>
        <w:rPr>
          <w:rFonts w:cs="Arial"/>
          <w:bCs/>
          <w:color w:val="000000"/>
          <w:sz w:val="24"/>
          <w:lang w:eastAsia="en-GB"/>
        </w:rPr>
      </w:pPr>
    </w:p>
    <w:p w14:paraId="08A3E575" w14:textId="77777777" w:rsidR="00EB30A7" w:rsidRPr="00C369AC" w:rsidRDefault="00EB30A7" w:rsidP="00EB30A7">
      <w:pPr>
        <w:jc w:val="both"/>
        <w:rPr>
          <w:rFonts w:cs="Arial"/>
          <w:bCs/>
          <w:color w:val="000000"/>
          <w:sz w:val="24"/>
          <w:lang w:eastAsia="en-GB"/>
        </w:rPr>
      </w:pPr>
      <w:r w:rsidRPr="00C369AC">
        <w:rPr>
          <w:rFonts w:cs="Arial"/>
          <w:bCs/>
          <w:color w:val="000000"/>
          <w:sz w:val="24"/>
          <w:lang w:eastAsia="en-GB"/>
        </w:rPr>
        <w:t>Alternatively, the ‘effective date’ for FITRS records could be included in the XML schema, thus allowing market participants to clearly identify the application date for each given record and removing any uncertainty as to its implementation date.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77777777" w:rsidR="000A609F" w:rsidRDefault="000A609F" w:rsidP="000A609F">
      <w:permStart w:id="1984312142" w:edGrp="everyone"/>
      <w:r>
        <w:t>TYPE YOUR TEXT HERE</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lastRenderedPageBreak/>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0776F04F" w14:textId="77777777" w:rsidR="000A609F" w:rsidRDefault="000A609F" w:rsidP="000A609F">
      <w:permStart w:id="322120573" w:edGrp="everyone"/>
      <w:r>
        <w:t>TYPE YOUR TEXT HERE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6BC70B4" w14:textId="77777777" w:rsidR="00EB30A7" w:rsidRPr="00C369AC" w:rsidRDefault="00EB30A7" w:rsidP="00EB30A7">
      <w:pPr>
        <w:jc w:val="both"/>
        <w:rPr>
          <w:rFonts w:cs="Arial"/>
          <w:bCs/>
          <w:color w:val="000000"/>
          <w:sz w:val="24"/>
          <w:lang w:eastAsia="en-GB"/>
        </w:rPr>
      </w:pPr>
      <w:permStart w:id="2054638963" w:edGrp="everyone"/>
      <w:r w:rsidRPr="00C369AC">
        <w:rPr>
          <w:rFonts w:cs="Arial"/>
          <w:bCs/>
          <w:color w:val="000000"/>
          <w:sz w:val="24"/>
          <w:lang w:eastAsia="en-GB"/>
        </w:rPr>
        <w:t xml:space="preserve">We note ESMA’s comments under section 4.3.1.4 dealing with instrument identification code type and instrument identification code.  While we agree that there are problems associated with inaccuracies and lack of standardisation in values associated with the reporting of underlying index names and codes (including invalid ISIN codes), we don’t think that this problem just applies in the case of equity derivatives. </w:t>
      </w:r>
    </w:p>
    <w:p w14:paraId="163C9BF5" w14:textId="77777777" w:rsidR="00EB30A7" w:rsidRPr="00C369AC" w:rsidRDefault="00EB30A7" w:rsidP="00EB30A7">
      <w:pPr>
        <w:jc w:val="both"/>
        <w:rPr>
          <w:rFonts w:cs="Arial"/>
          <w:bCs/>
          <w:color w:val="000000"/>
          <w:sz w:val="24"/>
          <w:lang w:eastAsia="en-GB"/>
        </w:rPr>
      </w:pPr>
    </w:p>
    <w:p w14:paraId="2E37D56E" w14:textId="77777777" w:rsidR="00EB30A7" w:rsidRPr="00C369AC" w:rsidRDefault="00EB30A7" w:rsidP="00EB30A7">
      <w:pPr>
        <w:jc w:val="both"/>
        <w:rPr>
          <w:rFonts w:cs="Arial"/>
          <w:bCs/>
          <w:color w:val="000000"/>
          <w:sz w:val="24"/>
          <w:lang w:eastAsia="en-GB"/>
        </w:rPr>
      </w:pPr>
      <w:r w:rsidRPr="00C369AC">
        <w:rPr>
          <w:rFonts w:cs="Arial"/>
          <w:bCs/>
          <w:color w:val="000000"/>
          <w:sz w:val="24"/>
          <w:lang w:eastAsia="en-GB"/>
        </w:rPr>
        <w:t xml:space="preserve">As we have noted in other consultation responses a remedy for this problem is for ESMA to consider other coding schemes which have a better and more accurate coverage of indices.  We therefore do not agree with the deletions made to table 2 relating to instrument identification codes. Instead we propose that where an ISIN is not available (particularly in the case of underlying indices) that ESMA accept another instrument identification scheme to supplement ISIN.  This would reduce the confusion arising from the use of often very similar index names and mean that </w:t>
      </w:r>
      <w:proofErr w:type="gramStart"/>
      <w:r w:rsidRPr="00C369AC">
        <w:rPr>
          <w:rFonts w:cs="Arial"/>
          <w:bCs/>
          <w:color w:val="000000"/>
          <w:sz w:val="24"/>
          <w:lang w:eastAsia="en-GB"/>
        </w:rPr>
        <w:t>the majority of</w:t>
      </w:r>
      <w:proofErr w:type="gramEnd"/>
      <w:r w:rsidRPr="00C369AC">
        <w:rPr>
          <w:rFonts w:cs="Arial"/>
          <w:bCs/>
          <w:color w:val="000000"/>
          <w:sz w:val="24"/>
          <w:lang w:eastAsia="en-GB"/>
        </w:rPr>
        <w:t xml:space="preserve"> indices could instead be identified unambiguously with a more accurate and comprehensive coding scheme than currently offered by the ISIN. </w:t>
      </w:r>
    </w:p>
    <w:p w14:paraId="2F03A51E" w14:textId="77777777" w:rsidR="00EB30A7" w:rsidRPr="00C369AC" w:rsidRDefault="00EB30A7" w:rsidP="00EB30A7">
      <w:pPr>
        <w:jc w:val="both"/>
        <w:rPr>
          <w:rFonts w:cs="Arial"/>
          <w:bCs/>
          <w:color w:val="000000"/>
          <w:sz w:val="24"/>
          <w:lang w:eastAsia="en-GB"/>
        </w:rPr>
      </w:pPr>
    </w:p>
    <w:p w14:paraId="39E246AB" w14:textId="77777777" w:rsidR="00EB30A7" w:rsidRPr="00C369AC" w:rsidRDefault="00EB30A7" w:rsidP="00EB30A7">
      <w:pPr>
        <w:jc w:val="both"/>
        <w:rPr>
          <w:rFonts w:cs="Arial"/>
          <w:bCs/>
          <w:color w:val="000000"/>
          <w:sz w:val="24"/>
          <w:lang w:eastAsia="en-GB"/>
        </w:rPr>
      </w:pPr>
      <w:r w:rsidRPr="00C369AC">
        <w:rPr>
          <w:rFonts w:cs="Arial"/>
          <w:bCs/>
          <w:color w:val="000000"/>
          <w:sz w:val="24"/>
          <w:lang w:eastAsia="en-GB"/>
        </w:rPr>
        <w:t xml:space="preserve">The open-standard Financial Instrument Global Identifier (FIGI), recently accepted by the US standards bodies as a valid open US standard for financial instruments, should be considered by ESMA as a solution. Many other regulator reporting systems accept more than one identification scheme. As an open standard, ESMA’s acceptance of the FIGI standard as an alternative would help to decrease regulatory reporting costs while increasing the accuracy of reported data. Bloomberg, which acts as Registration Authority for the standard, would be pleased to provide more information if this would be helpful. </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77777777" w:rsidR="000A609F" w:rsidRDefault="000A609F" w:rsidP="000A609F">
      <w:permStart w:id="1260810222" w:edGrp="everyone"/>
      <w:r>
        <w:t>TYPE YOUR TEXT HERE</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lastRenderedPageBreak/>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77777777" w:rsidR="000A609F" w:rsidRDefault="000A609F" w:rsidP="000A609F">
      <w:permStart w:id="1737048103" w:edGrp="everyone"/>
      <w:r>
        <w:t>TYPE YOUR TEXT HERE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0270AF1C" w14:textId="77777777" w:rsidR="00EB30A7" w:rsidRPr="00C369AC" w:rsidRDefault="00EB30A7" w:rsidP="00EB30A7">
      <w:pPr>
        <w:jc w:val="both"/>
        <w:rPr>
          <w:rFonts w:cs="Arial"/>
          <w:bCs/>
          <w:color w:val="000000"/>
          <w:sz w:val="24"/>
          <w:lang w:eastAsia="en-GB"/>
        </w:rPr>
      </w:pPr>
      <w:permStart w:id="1176645916" w:edGrp="everyone"/>
      <w:r w:rsidRPr="00C369AC">
        <w:rPr>
          <w:rFonts w:cs="Arial"/>
          <w:bCs/>
          <w:color w:val="000000"/>
          <w:sz w:val="24"/>
          <w:lang w:eastAsia="en-GB"/>
        </w:rPr>
        <w:t xml:space="preserve">In general, our observation as a data distributor is that since the existing RTS 2 segmentation criteria are already well embedded into market participants’ systems, any change to this data (the addition/removal of segmentations or a change in the naming convention) is likely to entail substantial amendments to market participants’ systems and business rules for the application of transparency records. As a result, any such changes should be accompanied by an ample implementation period to allow enough time for the necessary updates (at least a year).  </w:t>
      </w:r>
    </w:p>
    <w:p w14:paraId="37FA6CA9" w14:textId="77777777" w:rsidR="00EB30A7" w:rsidRDefault="00EB30A7" w:rsidP="00EB30A7">
      <w:pPr>
        <w:jc w:val="both"/>
        <w:rPr>
          <w:rFonts w:cs="Arial"/>
          <w:sz w:val="24"/>
          <w:u w:val="single"/>
        </w:rPr>
      </w:pPr>
      <w:r w:rsidRPr="001A10AE">
        <w:rPr>
          <w:rFonts w:cstheme="minorHAnsi"/>
          <w:lang w:eastAsia="en-GB"/>
        </w:rPr>
        <w:br/>
      </w:r>
      <w:proofErr w:type="spellStart"/>
      <w:r w:rsidRPr="00C369AC">
        <w:rPr>
          <w:rFonts w:cs="Arial"/>
          <w:sz w:val="24"/>
          <w:u w:val="single"/>
        </w:rPr>
        <w:t>SC_Commo</w:t>
      </w:r>
      <w:proofErr w:type="spellEnd"/>
      <w:r w:rsidRPr="00C369AC">
        <w:rPr>
          <w:rFonts w:cs="Arial"/>
          <w:sz w:val="24"/>
          <w:u w:val="single"/>
        </w:rPr>
        <w:t xml:space="preserve"> 8 (underlying agricultural commodity) 4.3.3. 3.7.7:</w:t>
      </w:r>
    </w:p>
    <w:p w14:paraId="1D275EAC" w14:textId="77777777" w:rsidR="00EB30A7" w:rsidRPr="00C369AC" w:rsidRDefault="00EB30A7" w:rsidP="00EB30A7">
      <w:pPr>
        <w:jc w:val="both"/>
        <w:rPr>
          <w:rFonts w:cs="Arial"/>
          <w:sz w:val="24"/>
          <w:u w:val="single"/>
          <w:lang w:eastAsia="en-GB"/>
        </w:rPr>
      </w:pPr>
    </w:p>
    <w:p w14:paraId="0A67BDB6" w14:textId="77777777" w:rsidR="00EB30A7" w:rsidRPr="00C369AC" w:rsidRDefault="00EB30A7" w:rsidP="00EB30A7">
      <w:pPr>
        <w:jc w:val="both"/>
        <w:rPr>
          <w:rFonts w:cs="Arial"/>
          <w:bCs/>
          <w:color w:val="000000"/>
          <w:sz w:val="24"/>
          <w:lang w:eastAsia="en-GB"/>
        </w:rPr>
      </w:pPr>
      <w:proofErr w:type="gramStart"/>
      <w:r w:rsidRPr="00C369AC">
        <w:rPr>
          <w:rFonts w:cs="Arial"/>
          <w:bCs/>
          <w:color w:val="000000"/>
          <w:sz w:val="24"/>
          <w:lang w:eastAsia="en-GB"/>
        </w:rPr>
        <w:t>In particular, we</w:t>
      </w:r>
      <w:proofErr w:type="gramEnd"/>
      <w:r w:rsidRPr="00C369AC">
        <w:rPr>
          <w:rFonts w:cs="Arial"/>
          <w:bCs/>
          <w:color w:val="000000"/>
          <w:sz w:val="24"/>
          <w:lang w:eastAsia="en-GB"/>
        </w:rPr>
        <w:t xml:space="preserve"> would suggest that the addition of a ‘segmentation 1a’ for agricultural commodity derivatives would be problematic. Whilst the intention in implementing this change is to ensure consistency within RTS 2, the creation of this additional “sub-segmentation” would create more work by becoming an anomaly in the RTS 2 taxonomy (i.e. the only sub-class with a segmentation 1a).</w:t>
      </w:r>
    </w:p>
    <w:p w14:paraId="48E59EB2" w14:textId="77777777" w:rsidR="00EB30A7" w:rsidRPr="00C369AC" w:rsidRDefault="00EB30A7" w:rsidP="00EB30A7">
      <w:pPr>
        <w:jc w:val="both"/>
        <w:rPr>
          <w:rFonts w:cs="Arial"/>
          <w:bCs/>
          <w:color w:val="000000"/>
          <w:sz w:val="24"/>
          <w:lang w:eastAsia="en-GB"/>
        </w:rPr>
      </w:pPr>
    </w:p>
    <w:p w14:paraId="2C05F99E" w14:textId="77777777" w:rsidR="00EB30A7" w:rsidRPr="00C369AC" w:rsidRDefault="00EB30A7" w:rsidP="00EB30A7">
      <w:pPr>
        <w:jc w:val="both"/>
        <w:rPr>
          <w:rFonts w:cs="Arial"/>
          <w:bCs/>
          <w:color w:val="000000"/>
          <w:sz w:val="24"/>
          <w:lang w:eastAsia="en-GB"/>
        </w:rPr>
      </w:pPr>
      <w:r w:rsidRPr="00C369AC">
        <w:rPr>
          <w:rFonts w:cs="Arial"/>
          <w:bCs/>
          <w:color w:val="000000"/>
          <w:sz w:val="24"/>
          <w:lang w:eastAsia="en-GB"/>
        </w:rPr>
        <w:t>Finally, given the challenges posed by fields allowing free-text returns, we would generally agree with the proposal to move away from free-text fields to a set list of accepted enumerations (where possible).</w:t>
      </w:r>
    </w:p>
    <w:p w14:paraId="7C45EBE6" w14:textId="77777777" w:rsidR="00EB30A7" w:rsidRDefault="00EB30A7" w:rsidP="00EB30A7">
      <w:pPr>
        <w:jc w:val="both"/>
        <w:rPr>
          <w:rFonts w:cstheme="minorHAnsi"/>
          <w:lang w:eastAsia="en-GB"/>
        </w:rPr>
      </w:pP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77777777" w:rsidR="000A609F" w:rsidRDefault="000A609F" w:rsidP="000A609F">
      <w:permStart w:id="1542740676" w:edGrp="everyone"/>
      <w:r>
        <w:t>TYPE YOUR TEXT HERE</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lastRenderedPageBreak/>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77777777" w:rsidR="000A609F" w:rsidRDefault="000A609F" w:rsidP="000A609F">
      <w:permStart w:id="132125109" w:edGrp="everyone"/>
      <w:r>
        <w:t>TYPE YOUR TEXT HERE</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7777777" w:rsidR="000A609F" w:rsidRDefault="000A609F" w:rsidP="000A609F">
      <w:permStart w:id="42420518" w:edGrp="everyone"/>
      <w:r>
        <w:t>TYPE YOUR TEXT HERE</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70514E41" w14:textId="77777777" w:rsidR="00EB30A7" w:rsidRPr="00C369AC" w:rsidRDefault="00EB30A7" w:rsidP="00EB30A7">
      <w:pPr>
        <w:jc w:val="both"/>
        <w:rPr>
          <w:rFonts w:cs="Arial"/>
          <w:bCs/>
          <w:color w:val="000000"/>
          <w:sz w:val="24"/>
          <w:lang w:eastAsia="en-GB"/>
        </w:rPr>
      </w:pPr>
      <w:permStart w:id="1238650876" w:edGrp="everyone"/>
      <w:r w:rsidRPr="00C369AC">
        <w:rPr>
          <w:rFonts w:cs="Arial"/>
          <w:bCs/>
          <w:color w:val="000000"/>
          <w:sz w:val="24"/>
          <w:lang w:eastAsia="en-GB"/>
        </w:rPr>
        <w:t>Given the extent of some of the proposed changes to the data fields and segmentations in RTS 2, our observation as a data distributor is that market participants would require significant lead time, at a minimum a year, to implement these amendments.</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9B2EE" w14:textId="77777777" w:rsidR="00267551" w:rsidRDefault="00267551">
      <w:r>
        <w:separator/>
      </w:r>
    </w:p>
    <w:p w14:paraId="6E224D18" w14:textId="77777777" w:rsidR="00267551" w:rsidRDefault="00267551"/>
  </w:endnote>
  <w:endnote w:type="continuationSeparator" w:id="0">
    <w:p w14:paraId="225E8136" w14:textId="77777777" w:rsidR="00267551" w:rsidRDefault="00267551">
      <w:r>
        <w:continuationSeparator/>
      </w:r>
    </w:p>
    <w:p w14:paraId="1E8FC218" w14:textId="77777777" w:rsidR="00267551" w:rsidRDefault="00267551"/>
  </w:endnote>
  <w:endnote w:type="continuationNotice" w:id="1">
    <w:p w14:paraId="3F12C7C7" w14:textId="77777777" w:rsidR="00267551" w:rsidRDefault="00267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F1764" w14:textId="77777777" w:rsidR="00267551" w:rsidRDefault="00267551">
      <w:r>
        <w:separator/>
      </w:r>
    </w:p>
    <w:p w14:paraId="69A13031" w14:textId="77777777" w:rsidR="00267551" w:rsidRDefault="00267551"/>
  </w:footnote>
  <w:footnote w:type="continuationSeparator" w:id="0">
    <w:p w14:paraId="3332860F" w14:textId="77777777" w:rsidR="00267551" w:rsidRDefault="00267551">
      <w:r>
        <w:continuationSeparator/>
      </w:r>
    </w:p>
    <w:p w14:paraId="344DB6CE" w14:textId="77777777" w:rsidR="00267551" w:rsidRDefault="00267551"/>
  </w:footnote>
  <w:footnote w:type="continuationNotice" w:id="1">
    <w:p w14:paraId="30BAA808" w14:textId="77777777" w:rsidR="00267551" w:rsidRDefault="00267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48A29A2"/>
    <w:multiLevelType w:val="hybridMultilevel"/>
    <w:tmpl w:val="B3CC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7"/>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 w:numId="39">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274D"/>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0F1"/>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0A7"/>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elements/1.1/"/>
    <ds:schemaRef ds:uri="20fbe147-bbda-4e53-b6b1-7e8bbff3fe19"/>
    <ds:schemaRef ds:uri="http://schemas.microsoft.com/office/2006/metadata/properties"/>
    <ds:schemaRef ds:uri="http://schemas.microsoft.com/office/infopath/2007/PartnerControl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6.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3467</Words>
  <Characters>19396</Characters>
  <Application>Microsoft Office Word</Application>
  <DocSecurity>8</DocSecurity>
  <Lines>161</Lines>
  <Paragraphs>45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22818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Benson, Christian</cp:lastModifiedBy>
  <cp:revision>2</cp:revision>
  <cp:lastPrinted>2015-02-18T11:01:00Z</cp:lastPrinted>
  <dcterms:created xsi:type="dcterms:W3CDTF">2021-10-01T13:49:00Z</dcterms:created>
  <dcterms:modified xsi:type="dcterms:W3CDTF">2021-10-01T13:49:00Z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