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215EB484" w14:textId="77777777" w:rsidR="00812ADD" w:rsidRPr="00E3664A" w:rsidRDefault="00812ADD" w:rsidP="00812ADD">
          <w:pPr>
            <w:spacing w:line="276" w:lineRule="auto"/>
            <w:rPr>
              <w:rFonts w:ascii="Arial" w:hAnsi="Arial" w:cs="Arial"/>
              <w:color w:val="FF0000"/>
            </w:rPr>
          </w:pPr>
        </w:p>
        <w:p w14:paraId="493FF5C2" w14:textId="77777777" w:rsidR="00812ADD" w:rsidRPr="00E3664A" w:rsidRDefault="00812ADD" w:rsidP="00812ADD">
          <w:pPr>
            <w:spacing w:after="120" w:line="276" w:lineRule="auto"/>
            <w:rPr>
              <w:rFonts w:ascii="Arial" w:hAnsi="Arial" w:cs="Arial"/>
            </w:rPr>
          </w:pPr>
        </w:p>
        <w:p w14:paraId="35C3EA18" w14:textId="77777777" w:rsidR="00812ADD" w:rsidRPr="00E3664A" w:rsidRDefault="00812ADD" w:rsidP="00812ADD">
          <w:pPr>
            <w:spacing w:line="276" w:lineRule="auto"/>
            <w:rPr>
              <w:rFonts w:ascii="Arial" w:hAnsi="Arial" w:cs="Arial"/>
            </w:rPr>
          </w:pPr>
        </w:p>
        <w:p w14:paraId="37F873A9" w14:textId="77777777" w:rsidR="00812ADD" w:rsidRPr="00E3664A" w:rsidRDefault="00812ADD" w:rsidP="00812ADD">
          <w:pPr>
            <w:spacing w:line="276" w:lineRule="auto"/>
            <w:rPr>
              <w:rFonts w:ascii="Arial" w:hAnsi="Arial" w:cs="Arial"/>
            </w:rPr>
          </w:pPr>
        </w:p>
        <w:p w14:paraId="5179E52C" w14:textId="77777777" w:rsidR="00812ADD" w:rsidRPr="00E3664A" w:rsidRDefault="00812ADD" w:rsidP="00812ADD">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812ADD" w:rsidRPr="00E3664A" w14:paraId="276077F6" w14:textId="77777777" w:rsidTr="00F55BD3">
            <w:trPr>
              <w:trHeight w:hRule="exact" w:val="1492"/>
            </w:trPr>
            <w:tc>
              <w:tcPr>
                <w:tcW w:w="10490" w:type="dxa"/>
                <w:vAlign w:val="bottom"/>
              </w:tcPr>
              <w:p w14:paraId="4C59AD76" w14:textId="77777777" w:rsidR="00812ADD" w:rsidRPr="00E3664A" w:rsidRDefault="00812ADD" w:rsidP="00F55BD3">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812ADD" w:rsidRPr="00E3664A" w14:paraId="475FBE84" w14:textId="77777777" w:rsidTr="00F55BD3">
            <w:trPr>
              <w:trHeight w:hRule="exact" w:val="747"/>
            </w:trPr>
            <w:tc>
              <w:tcPr>
                <w:tcW w:w="10490" w:type="dxa"/>
                <w:tcMar>
                  <w:top w:w="142" w:type="dxa"/>
                </w:tcMar>
              </w:tcPr>
              <w:p w14:paraId="3AE6E804" w14:textId="714B9131" w:rsidR="00812ADD" w:rsidRPr="00E3664A" w:rsidRDefault="00812ADD" w:rsidP="00F55BD3">
                <w:pPr>
                  <w:pStyle w:val="Heading2"/>
                  <w:numPr>
                    <w:ilvl w:val="0"/>
                    <w:numId w:val="0"/>
                  </w:numPr>
                  <w:spacing w:before="0"/>
                  <w:rPr>
                    <w:rFonts w:ascii="Arial" w:hAnsi="Arial" w:cs="Arial"/>
                  </w:rPr>
                </w:pPr>
                <w:bookmarkStart w:id="0" w:name="_Hlk38024836"/>
                <w:r w:rsidRPr="00812ADD">
                  <w:rPr>
                    <w:rFonts w:ascii="Arial" w:hAnsi="Arial" w:cs="Arial"/>
                    <w:lang w:eastAsia="en-US"/>
                  </w:rPr>
                  <w:t xml:space="preserve">Draft Guidelines on </w:t>
                </w:r>
                <w:bookmarkEnd w:id="0"/>
                <w:r w:rsidRPr="00812ADD">
                  <w:rPr>
                    <w:rFonts w:ascii="Arial" w:hAnsi="Arial" w:cs="Arial"/>
                    <w:lang w:eastAsia="en-US"/>
                  </w:rPr>
                  <w:t>CCP recovery plan scenarios</w:t>
                </w:r>
                <w:r w:rsidR="00FC4113">
                  <w:rPr>
                    <w:rFonts w:ascii="Arial" w:hAnsi="Arial" w:cs="Arial"/>
                    <w:lang w:eastAsia="en-US"/>
                  </w:rPr>
                  <w:t xml:space="preserve"> (Article 9(12) CCPRRR)</w:t>
                </w:r>
              </w:p>
            </w:tc>
          </w:tr>
        </w:tbl>
        <w:p w14:paraId="3F1C985B" w14:textId="77777777" w:rsidR="00812ADD" w:rsidRPr="00E3664A" w:rsidRDefault="00812ADD" w:rsidP="00812ADD">
          <w:pPr>
            <w:spacing w:line="276" w:lineRule="auto"/>
            <w:rPr>
              <w:rFonts w:ascii="Arial" w:hAnsi="Arial" w:cs="Arial"/>
            </w:rPr>
          </w:pPr>
        </w:p>
        <w:p w14:paraId="470DC30F" w14:textId="77777777" w:rsidR="00812ADD" w:rsidRPr="00E3664A" w:rsidRDefault="00812ADD" w:rsidP="00812ADD">
          <w:pPr>
            <w:spacing w:line="276" w:lineRule="auto"/>
            <w:rPr>
              <w:rFonts w:ascii="Arial" w:hAnsi="Arial" w:cs="Arial"/>
            </w:rPr>
            <w:sectPr w:rsidR="00812ADD"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7600F4C8"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p>
        <w:p w14:paraId="1DBB90CC" w14:textId="77777777" w:rsidR="00812ADD" w:rsidRPr="00E3664A" w:rsidRDefault="00812ADD" w:rsidP="00812ADD">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AEAA91" w14:textId="26B20EF8"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proofErr w:type="gramStart"/>
          <w:r w:rsidRPr="00E3664A">
            <w:rPr>
              <w:rFonts w:ascii="Arial" w:eastAsiaTheme="minorEastAsia" w:hAnsi="Arial" w:cs="Arial"/>
              <w:szCs w:val="20"/>
              <w:u w:val="dottedHeavy" w:color="BF8F00" w:themeColor="accent4" w:themeShade="BF"/>
            </w:rPr>
            <w:t>in particular on</w:t>
          </w:r>
          <w:proofErr w:type="gramEnd"/>
          <w:r w:rsidRPr="00E3664A">
            <w:rPr>
              <w:rFonts w:ascii="Arial" w:eastAsiaTheme="minorEastAsia" w:hAnsi="Arial" w:cs="Arial"/>
              <w:szCs w:val="20"/>
            </w:rPr>
            <w:t xml:space="preserve"> the specific questions summarised in Annex I</w:t>
          </w:r>
          <w:r w:rsidR="00ED6757">
            <w:rPr>
              <w:rFonts w:ascii="Arial" w:eastAsiaTheme="minorEastAsia" w:hAnsi="Arial" w:cs="Arial"/>
              <w:szCs w:val="20"/>
            </w:rPr>
            <w:t>II</w:t>
          </w:r>
          <w:r w:rsidRPr="00E3664A">
            <w:rPr>
              <w:rFonts w:ascii="Arial" w:eastAsiaTheme="minorEastAsia" w:hAnsi="Arial" w:cs="Arial"/>
              <w:szCs w:val="20"/>
            </w:rPr>
            <w:t>. Comments are most helpful if they:</w:t>
          </w:r>
        </w:p>
        <w:p w14:paraId="2AD248F4"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60458F08"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678D104D"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29B7577B" w14:textId="77777777" w:rsidR="00812ADD" w:rsidRPr="00E3664A" w:rsidRDefault="00812ADD" w:rsidP="00812ADD">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79A3C6AC"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624752">
            <w:rPr>
              <w:rFonts w:ascii="Arial" w:eastAsiaTheme="minorEastAsia" w:hAnsi="Arial" w:cs="Arial"/>
              <w:szCs w:val="20"/>
            </w:rPr>
            <w:t xml:space="preserve">by </w:t>
          </w:r>
          <w:r w:rsidRPr="00624752">
            <w:rPr>
              <w:rFonts w:ascii="Arial" w:eastAsiaTheme="minorEastAsia" w:hAnsi="Arial" w:cs="Arial"/>
              <w:b/>
              <w:szCs w:val="20"/>
            </w:rPr>
            <w:t>20 September 2021.</w:t>
          </w:r>
          <w:r w:rsidRPr="00E3664A">
            <w:rPr>
              <w:rFonts w:ascii="Arial" w:eastAsiaTheme="minorEastAsia" w:hAnsi="Arial" w:cs="Arial"/>
              <w:b/>
              <w:szCs w:val="20"/>
            </w:rPr>
            <w:t xml:space="preserve"> </w:t>
          </w:r>
        </w:p>
        <w:p w14:paraId="1B09AF25"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D90DF41"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19D19F07" w14:textId="77777777" w:rsidR="00812ADD" w:rsidRPr="00E3664A" w:rsidRDefault="00812ADD" w:rsidP="00812ADD">
          <w:pPr>
            <w:spacing w:after="250" w:line="276" w:lineRule="auto"/>
            <w:jc w:val="both"/>
            <w:rPr>
              <w:rFonts w:ascii="Arial" w:eastAsiaTheme="minorEastAsia" w:hAnsi="Arial" w:cs="Arial"/>
              <w:szCs w:val="20"/>
            </w:rPr>
          </w:pPr>
          <w:proofErr w:type="gramStart"/>
          <w:r w:rsidRPr="00E3664A">
            <w:rPr>
              <w:rFonts w:ascii="Arial" w:eastAsiaTheme="minorEastAsia" w:hAnsi="Arial" w:cs="Arial"/>
              <w:szCs w:val="20"/>
            </w:rPr>
            <w:t>In order to</w:t>
          </w:r>
          <w:proofErr w:type="gramEnd"/>
          <w:r w:rsidRPr="00E3664A">
            <w:rPr>
              <w:rFonts w:ascii="Arial" w:eastAsiaTheme="minorEastAsia" w:hAnsi="Arial" w:cs="Arial"/>
              <w:szCs w:val="20"/>
            </w:rPr>
            <w:t xml:space="preserve"> facilitate analysis of responses to the Consultation Paper, respondents are requested to follow the below steps when preparing and submitting their response:</w:t>
          </w:r>
        </w:p>
        <w:p w14:paraId="19CE7DE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1C1B149" w14:textId="3DCE5A5A"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SCN</w:t>
          </w:r>
          <w:r w:rsidRPr="00E3664A">
            <w:rPr>
              <w:rFonts w:ascii="Arial" w:eastAsiaTheme="minorEastAsia" w:hAnsi="Arial" w:cs="Arial"/>
              <w:szCs w:val="20"/>
              <w:lang w:eastAsia="en-US"/>
            </w:rPr>
            <w:t xml:space="preserve">_1&gt;. Your response to each question </w:t>
          </w:r>
          <w:proofErr w:type="gramStart"/>
          <w:r w:rsidRPr="00E3664A">
            <w:rPr>
              <w:rFonts w:ascii="Arial" w:eastAsiaTheme="minorEastAsia" w:hAnsi="Arial" w:cs="Arial"/>
              <w:szCs w:val="20"/>
              <w:lang w:eastAsia="en-US"/>
            </w:rPr>
            <w:t>has to</w:t>
          </w:r>
          <w:proofErr w:type="gramEnd"/>
          <w:r w:rsidRPr="00E3664A">
            <w:rPr>
              <w:rFonts w:ascii="Arial" w:eastAsiaTheme="minorEastAsia" w:hAnsi="Arial" w:cs="Arial"/>
              <w:szCs w:val="20"/>
              <w:lang w:eastAsia="en-US"/>
            </w:rPr>
            <w:t xml:space="preserve"> be framed by the two tags corresponding to the question.</w:t>
          </w:r>
        </w:p>
        <w:p w14:paraId="1EBAFC3D" w14:textId="77777777"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066B64EA" w14:textId="0D0AC8F8"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SCN</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SCN</w:t>
          </w:r>
          <w:r w:rsidRPr="00E3664A">
            <w:rPr>
              <w:rFonts w:ascii="Arial" w:eastAsiaTheme="minorEastAsia" w:hAnsi="Arial" w:cs="Arial"/>
              <w:szCs w:val="20"/>
              <w:lang w:eastAsia="en-US"/>
            </w:rPr>
            <w:t>_ABCD_RESPONSEFORM.</w:t>
          </w:r>
        </w:p>
        <w:p w14:paraId="610B13B0" w14:textId="2564F313" w:rsidR="00812ADD" w:rsidRPr="00E3664A" w:rsidRDefault="00812ADD" w:rsidP="00812ADD">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00ED6757" w:rsidRPr="00812ADD">
            <w:rPr>
              <w:rFonts w:ascii="Arial" w:hAnsi="Arial" w:cs="Arial"/>
              <w:lang w:eastAsia="en-US"/>
            </w:rPr>
            <w:t>on CCP recovery plan scenarios</w:t>
          </w:r>
          <w:r w:rsidR="00ED6757">
            <w:rPr>
              <w:rFonts w:ascii="Arial" w:eastAsiaTheme="minorEastAsia" w:hAnsi="Arial" w:cs="Arial"/>
              <w:szCs w:val="20"/>
              <w:lang w:eastAsia="en-US"/>
            </w:rPr>
            <w:t>”</w:t>
          </w:r>
          <w:r w:rsidRPr="00E3664A">
            <w:rPr>
              <w:rFonts w:ascii="Arial" w:eastAsiaTheme="minorEastAsia" w:hAnsi="Arial" w:cs="Arial"/>
              <w:szCs w:val="20"/>
              <w:lang w:eastAsia="en-US"/>
            </w:rPr>
            <w:t>).</w:t>
          </w:r>
        </w:p>
        <w:p w14:paraId="5787D93B" w14:textId="2CCDD900" w:rsidR="00812ADD" w:rsidRDefault="00812ADD" w:rsidP="00812ADD">
          <w:pPr>
            <w:spacing w:after="250" w:line="276" w:lineRule="auto"/>
            <w:jc w:val="both"/>
            <w:rPr>
              <w:rFonts w:ascii="Arial" w:eastAsiaTheme="minorEastAsia" w:hAnsi="Arial" w:cs="Arial"/>
              <w:szCs w:val="20"/>
            </w:rPr>
          </w:pPr>
        </w:p>
        <w:p w14:paraId="700A9835" w14:textId="617E26D5" w:rsidR="00ED6757" w:rsidRDefault="00ED6757" w:rsidP="00812ADD">
          <w:pPr>
            <w:spacing w:after="250" w:line="276" w:lineRule="auto"/>
            <w:jc w:val="both"/>
            <w:rPr>
              <w:rFonts w:ascii="Arial" w:eastAsiaTheme="minorEastAsia" w:hAnsi="Arial" w:cs="Arial"/>
              <w:szCs w:val="20"/>
            </w:rPr>
          </w:pPr>
        </w:p>
        <w:p w14:paraId="3FA4A3B4" w14:textId="77777777" w:rsidR="00ED6757" w:rsidRPr="00E3664A" w:rsidRDefault="00ED6757" w:rsidP="00812ADD">
          <w:pPr>
            <w:spacing w:after="250" w:line="276" w:lineRule="auto"/>
            <w:jc w:val="both"/>
            <w:rPr>
              <w:rFonts w:ascii="Arial" w:eastAsiaTheme="minorEastAsia" w:hAnsi="Arial" w:cs="Arial"/>
              <w:szCs w:val="20"/>
            </w:rPr>
          </w:pPr>
        </w:p>
        <w:p w14:paraId="11A5890D" w14:textId="77777777" w:rsidR="00812ADD" w:rsidRPr="00E3664A" w:rsidRDefault="00812ADD" w:rsidP="00812ADD">
          <w:pPr>
            <w:spacing w:after="250" w:line="276" w:lineRule="auto"/>
            <w:jc w:val="both"/>
            <w:rPr>
              <w:rFonts w:ascii="Arial" w:eastAsiaTheme="minorEastAsia" w:hAnsi="Arial" w:cs="Arial"/>
              <w:szCs w:val="20"/>
            </w:rPr>
          </w:pPr>
        </w:p>
        <w:p w14:paraId="168763C9"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630BC200"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1E6BBD" w14:textId="77777777" w:rsidR="00812ADD" w:rsidRPr="00E3664A" w:rsidRDefault="00812ADD" w:rsidP="00812ADD">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0B182787" w14:textId="77777777"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38B10ECE" w14:textId="75B674E0"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29EA0F0" w14:textId="73AEB93F" w:rsidR="00812ADD" w:rsidRPr="00E3664A" w:rsidRDefault="00FC4113" w:rsidP="00812ADD">
      <w:pPr>
        <w:spacing w:after="120" w:line="276" w:lineRule="auto"/>
        <w:rPr>
          <w:rFonts w:ascii="Arial" w:hAnsi="Arial" w:cs="Arial"/>
        </w:rPr>
      </w:pPr>
      <w:r w:rsidRPr="00FC4113">
        <w:rPr>
          <w:rFonts w:ascii="Arial" w:hAnsi="Arial" w:cs="Arial"/>
          <w:lang w:eastAsia="it-IT"/>
        </w:rPr>
        <w:t xml:space="preserve">All interested stakeholders are invited to respond to this consultation. </w:t>
      </w:r>
      <w:proofErr w:type="gramStart"/>
      <w:r w:rsidRPr="00FC4113">
        <w:rPr>
          <w:rFonts w:ascii="Arial" w:hAnsi="Arial" w:cs="Arial"/>
          <w:lang w:eastAsia="it-IT"/>
        </w:rPr>
        <w:t>In particular, this</w:t>
      </w:r>
      <w:proofErr w:type="gramEnd"/>
      <w:r w:rsidRPr="00FC4113">
        <w:rPr>
          <w:rFonts w:ascii="Arial" w:hAnsi="Arial" w:cs="Arial"/>
          <w:lang w:eastAsia="it-IT"/>
        </w:rPr>
        <w:t xml:space="preserve"> paper may be specifically of interest for EU central counterparties, clearing members and clients of clearing members.</w:t>
      </w:r>
    </w:p>
    <w:p w14:paraId="3A90D65A" w14:textId="77777777" w:rsidR="00812ADD" w:rsidRPr="00E3664A" w:rsidRDefault="00812ADD" w:rsidP="00812ADD">
      <w:pPr>
        <w:spacing w:after="120" w:line="276" w:lineRule="auto"/>
        <w:rPr>
          <w:rFonts w:ascii="Arial" w:hAnsi="Arial" w:cs="Arial"/>
        </w:rPr>
      </w:pPr>
    </w:p>
    <w:p w14:paraId="5657670D" w14:textId="2A290091" w:rsidR="00812ADD" w:rsidRPr="00ED6757" w:rsidRDefault="00812ADD" w:rsidP="00ED6757">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721931CA" w14:textId="77777777" w:rsidR="00812ADD" w:rsidRPr="00E3664A" w:rsidRDefault="00812ADD" w:rsidP="00812ADD">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812ADD" w:rsidRPr="00E3664A" w14:paraId="51D291AB" w14:textId="77777777" w:rsidTr="00F55BD3">
        <w:tc>
          <w:tcPr>
            <w:tcW w:w="3929" w:type="dxa"/>
            <w:shd w:val="clear" w:color="auto" w:fill="auto"/>
          </w:tcPr>
          <w:p w14:paraId="4B980AF1" w14:textId="77777777" w:rsidR="00812ADD" w:rsidRPr="00E3664A" w:rsidRDefault="00812ADD" w:rsidP="00F55BD3">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2E8A36F" w14:textId="3B7BD5ED" w:rsidR="00812ADD" w:rsidRPr="00E3664A" w:rsidRDefault="00CF27E9" w:rsidP="00F55BD3">
                <w:pPr>
                  <w:rPr>
                    <w:rFonts w:ascii="Arial" w:hAnsi="Arial" w:cs="Arial"/>
                    <w:color w:val="808080"/>
                    <w:sz w:val="20"/>
                    <w:lang w:eastAsia="de-DE"/>
                  </w:rPr>
                </w:pPr>
                <w:r>
                  <w:rPr>
                    <w:rFonts w:ascii="Arial" w:hAnsi="Arial" w:cs="Arial"/>
                    <w:color w:val="808080"/>
                    <w:sz w:val="20"/>
                    <w:lang w:eastAsia="de-DE"/>
                  </w:rPr>
                  <w:t>Futures Industry Association and International Swaps and Derivatives Association</w:t>
                </w:r>
              </w:p>
            </w:tc>
          </w:sdtContent>
        </w:sdt>
      </w:tr>
      <w:tr w:rsidR="00812ADD" w:rsidRPr="00E3664A" w14:paraId="6CA180C8" w14:textId="77777777" w:rsidTr="00F55BD3">
        <w:tc>
          <w:tcPr>
            <w:tcW w:w="3929" w:type="dxa"/>
            <w:shd w:val="clear" w:color="auto" w:fill="auto"/>
          </w:tcPr>
          <w:p w14:paraId="162B3DBE" w14:textId="77777777" w:rsidR="00812ADD" w:rsidRPr="00E3664A" w:rsidRDefault="00812ADD" w:rsidP="00F55BD3">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13EC55BA" w14:textId="33E97BEC" w:rsidR="00812ADD" w:rsidRPr="00E3664A" w:rsidRDefault="00EF1702" w:rsidP="00F55BD3">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F27E9">
                  <w:rPr>
                    <w:rFonts w:ascii="Arial" w:hAnsi="Arial" w:cs="Arial"/>
                    <w:sz w:val="20"/>
                    <w:lang w:eastAsia="de-DE"/>
                  </w:rPr>
                  <w:t>Other Financial service providers</w:t>
                </w:r>
              </w:sdtContent>
            </w:sdt>
          </w:p>
        </w:tc>
      </w:tr>
      <w:tr w:rsidR="00812ADD" w:rsidRPr="00E3664A" w14:paraId="7E8F224D" w14:textId="77777777" w:rsidTr="00F55BD3">
        <w:tc>
          <w:tcPr>
            <w:tcW w:w="3929" w:type="dxa"/>
            <w:shd w:val="clear" w:color="auto" w:fill="auto"/>
          </w:tcPr>
          <w:p w14:paraId="0AD66C0D" w14:textId="77777777" w:rsidR="00812ADD" w:rsidRPr="00E3664A" w:rsidRDefault="00812ADD" w:rsidP="00F55BD3">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5EFBD7B5" w14:textId="0A02D1D0" w:rsidR="00812ADD" w:rsidRPr="00E3664A" w:rsidRDefault="00CF27E9" w:rsidP="00F55BD3">
                <w:pPr>
                  <w:rPr>
                    <w:rFonts w:ascii="Arial" w:hAnsi="Arial" w:cs="Arial"/>
                    <w:sz w:val="20"/>
                    <w:lang w:eastAsia="de-DE"/>
                  </w:rPr>
                </w:pPr>
                <w:r>
                  <w:rPr>
                    <w:rFonts w:ascii="MS Gothic" w:eastAsia="MS Gothic" w:hAnsi="MS Gothic" w:cs="Arial" w:hint="eastAsia"/>
                    <w:sz w:val="20"/>
                    <w:lang w:eastAsia="de-DE"/>
                  </w:rPr>
                  <w:t>☒</w:t>
                </w:r>
              </w:p>
            </w:tc>
          </w:sdtContent>
        </w:sdt>
      </w:tr>
      <w:tr w:rsidR="00812ADD" w:rsidRPr="00E3664A" w14:paraId="0BE7978D" w14:textId="77777777" w:rsidTr="00F55BD3">
        <w:tc>
          <w:tcPr>
            <w:tcW w:w="3929" w:type="dxa"/>
            <w:shd w:val="clear" w:color="auto" w:fill="auto"/>
          </w:tcPr>
          <w:p w14:paraId="5423E539" w14:textId="77777777" w:rsidR="00812ADD" w:rsidRPr="00E3664A" w:rsidRDefault="00812ADD" w:rsidP="00F55BD3">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01DA24A" w14:textId="1BAB1278" w:rsidR="00812ADD" w:rsidRPr="00E3664A" w:rsidRDefault="00CF27E9" w:rsidP="00F55BD3">
                <w:pPr>
                  <w:rPr>
                    <w:rFonts w:ascii="Arial" w:hAnsi="Arial" w:cs="Arial"/>
                    <w:sz w:val="20"/>
                    <w:lang w:eastAsia="de-DE"/>
                  </w:rPr>
                </w:pPr>
                <w:r>
                  <w:rPr>
                    <w:rFonts w:ascii="Arial" w:hAnsi="Arial" w:cs="Arial"/>
                    <w:sz w:val="20"/>
                    <w:lang w:eastAsia="de-DE"/>
                  </w:rPr>
                  <w:t>Global</w:t>
                </w:r>
              </w:p>
            </w:tc>
          </w:sdtContent>
        </w:sdt>
      </w:tr>
    </w:tbl>
    <w:p w14:paraId="4EADA536" w14:textId="77777777" w:rsidR="00812ADD" w:rsidRPr="00E3664A" w:rsidRDefault="00812ADD" w:rsidP="00812ADD">
      <w:pPr>
        <w:spacing w:after="120" w:line="264" w:lineRule="auto"/>
        <w:jc w:val="both"/>
        <w:rPr>
          <w:rFonts w:ascii="Arial" w:eastAsiaTheme="minorEastAsia" w:hAnsi="Arial" w:cs="Arial"/>
          <w:szCs w:val="20"/>
        </w:rPr>
      </w:pPr>
    </w:p>
    <w:p w14:paraId="76A7D82E" w14:textId="77777777" w:rsidR="00812ADD" w:rsidRPr="00E3664A" w:rsidRDefault="00812ADD" w:rsidP="00812ADD">
      <w:pPr>
        <w:spacing w:after="120" w:line="264" w:lineRule="auto"/>
        <w:jc w:val="both"/>
        <w:rPr>
          <w:rFonts w:ascii="Arial" w:eastAsiaTheme="minorEastAsia" w:hAnsi="Arial" w:cs="Arial"/>
          <w:szCs w:val="20"/>
        </w:rPr>
      </w:pPr>
    </w:p>
    <w:p w14:paraId="201D49E2" w14:textId="77777777" w:rsidR="00812ADD" w:rsidRPr="00E3664A" w:rsidRDefault="00812ADD" w:rsidP="00812ADD">
      <w:pPr>
        <w:spacing w:after="120" w:line="264" w:lineRule="auto"/>
        <w:jc w:val="both"/>
        <w:rPr>
          <w:rFonts w:ascii="Arial" w:eastAsiaTheme="minorEastAsia" w:hAnsi="Arial" w:cs="Arial"/>
          <w:szCs w:val="20"/>
        </w:rPr>
      </w:pPr>
    </w:p>
    <w:p w14:paraId="1EA82F9B" w14:textId="77777777" w:rsidR="00812ADD" w:rsidRPr="00E3664A" w:rsidRDefault="00812ADD" w:rsidP="00812ADD">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3537123E" w14:textId="77777777" w:rsidR="00812ADD" w:rsidRPr="00E3664A" w:rsidRDefault="00812ADD" w:rsidP="00812ADD">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1CC3B290" w14:textId="512F610D" w:rsidR="00812ADD" w:rsidRPr="00E3664A" w:rsidRDefault="00812ADD" w:rsidP="00812ADD">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SCN</w:t>
      </w:r>
      <w:r w:rsidRPr="00E3664A">
        <w:rPr>
          <w:rFonts w:ascii="Arial" w:eastAsiaTheme="minorEastAsia" w:hAnsi="Arial" w:cs="Arial"/>
          <w:szCs w:val="20"/>
        </w:rPr>
        <w:t>_00&gt;</w:t>
      </w:r>
    </w:p>
    <w:p w14:paraId="4D112AE2" w14:textId="4CB26206" w:rsidR="004B7DC2" w:rsidRDefault="004B7DC2" w:rsidP="004B7DC2">
      <w:pPr>
        <w:spacing w:after="250" w:line="276" w:lineRule="auto"/>
        <w:jc w:val="both"/>
        <w:rPr>
          <w:rFonts w:ascii="Arial" w:eastAsiaTheme="minorEastAsia" w:hAnsi="Arial" w:cs="Arial"/>
          <w:szCs w:val="20"/>
        </w:rPr>
      </w:pPr>
      <w:r w:rsidRPr="002F7C95">
        <w:rPr>
          <w:rFonts w:ascii="Arial" w:eastAsiaTheme="minorEastAsia" w:hAnsi="Arial" w:cs="Arial"/>
          <w:szCs w:val="20"/>
        </w:rPr>
        <w:t xml:space="preserve">The Futures Industry Association (FIA) and the International Swaps and Derivatives Association (ISDA), </w:t>
      </w:r>
      <w:r>
        <w:rPr>
          <w:rFonts w:ascii="Arial" w:eastAsiaTheme="minorEastAsia" w:hAnsi="Arial" w:cs="Arial"/>
          <w:szCs w:val="20"/>
        </w:rPr>
        <w:t>together</w:t>
      </w:r>
      <w:r w:rsidRPr="002F7C95">
        <w:rPr>
          <w:rFonts w:ascii="Arial" w:eastAsiaTheme="minorEastAsia" w:hAnsi="Arial" w:cs="Arial"/>
          <w:szCs w:val="20"/>
        </w:rPr>
        <w:t xml:space="preserve"> the Associations, represent the largest number of </w:t>
      </w:r>
      <w:r>
        <w:rPr>
          <w:rFonts w:ascii="Arial" w:eastAsiaTheme="minorEastAsia" w:hAnsi="Arial" w:cs="Arial"/>
          <w:szCs w:val="20"/>
        </w:rPr>
        <w:t xml:space="preserve">global and national </w:t>
      </w:r>
      <w:r w:rsidRPr="002F7C95">
        <w:rPr>
          <w:rFonts w:ascii="Arial" w:eastAsiaTheme="minorEastAsia" w:hAnsi="Arial" w:cs="Arial"/>
          <w:szCs w:val="20"/>
        </w:rPr>
        <w:t xml:space="preserve">participants in clearing, </w:t>
      </w:r>
      <w:proofErr w:type="gramStart"/>
      <w:r w:rsidRPr="002F7C95">
        <w:rPr>
          <w:rFonts w:ascii="Arial" w:eastAsiaTheme="minorEastAsia" w:hAnsi="Arial" w:cs="Arial"/>
          <w:szCs w:val="20"/>
        </w:rPr>
        <w:t>banking</w:t>
      </w:r>
      <w:proofErr w:type="gramEnd"/>
      <w:r w:rsidRPr="002F7C95">
        <w:rPr>
          <w:rFonts w:ascii="Arial" w:eastAsiaTheme="minorEastAsia" w:hAnsi="Arial" w:cs="Arial"/>
          <w:szCs w:val="20"/>
        </w:rPr>
        <w:t xml:space="preserve"> and financial markets. The Associations appreciate this opportunity to comment on </w:t>
      </w:r>
      <w:r>
        <w:rPr>
          <w:rFonts w:ascii="Arial" w:eastAsiaTheme="minorEastAsia" w:hAnsi="Arial" w:cs="Arial"/>
          <w:szCs w:val="20"/>
        </w:rPr>
        <w:t>this consultation.</w:t>
      </w:r>
    </w:p>
    <w:p w14:paraId="09EBB822" w14:textId="47BE12FE" w:rsidR="00014E04" w:rsidRDefault="004B7DC2" w:rsidP="00014E04">
      <w:pPr>
        <w:spacing w:after="250" w:line="276" w:lineRule="auto"/>
        <w:jc w:val="both"/>
        <w:rPr>
          <w:rFonts w:ascii="Arial" w:eastAsiaTheme="minorEastAsia" w:hAnsi="Arial" w:cs="Arial"/>
          <w:szCs w:val="20"/>
        </w:rPr>
      </w:pPr>
      <w:r w:rsidRPr="00270D72">
        <w:rPr>
          <w:rFonts w:ascii="Arial" w:eastAsiaTheme="minorEastAsia" w:hAnsi="Arial" w:cs="Arial"/>
          <w:szCs w:val="20"/>
        </w:rPr>
        <w:t xml:space="preserve">This consultation response covers the positions of our members that are clearing members and their clients. The paper does not reflect the views of many CCPs, and many of the CCPs </w:t>
      </w:r>
      <w:proofErr w:type="gramStart"/>
      <w:r w:rsidRPr="00270D72">
        <w:rPr>
          <w:rFonts w:ascii="Arial" w:eastAsiaTheme="minorEastAsia" w:hAnsi="Arial" w:cs="Arial"/>
          <w:szCs w:val="20"/>
        </w:rPr>
        <w:t>are in disagreement</w:t>
      </w:r>
      <w:proofErr w:type="gramEnd"/>
      <w:r w:rsidRPr="00270D72">
        <w:rPr>
          <w:rFonts w:ascii="Arial" w:eastAsiaTheme="minorEastAsia" w:hAnsi="Arial" w:cs="Arial"/>
          <w:szCs w:val="20"/>
        </w:rPr>
        <w:t xml:space="preserve"> with the views expressed herein.</w:t>
      </w:r>
      <w:r w:rsidRPr="00454ECD" w:rsidDel="004B7DC2">
        <w:rPr>
          <w:rFonts w:ascii="Arial" w:eastAsiaTheme="minorEastAsia" w:hAnsi="Arial" w:cs="Arial"/>
          <w:szCs w:val="20"/>
        </w:rPr>
        <w:t xml:space="preserve"> </w:t>
      </w:r>
      <w:r w:rsidR="00CD3FCE" w:rsidRPr="009F0CBB">
        <w:rPr>
          <w:rFonts w:ascii="Arial" w:eastAsiaTheme="minorEastAsia" w:hAnsi="Arial" w:cs="Arial"/>
          <w:szCs w:val="20"/>
        </w:rPr>
        <w:t>[</w:t>
      </w:r>
    </w:p>
    <w:p w14:paraId="3182B0A8" w14:textId="77777777" w:rsidR="00014E04" w:rsidRPr="00CA26A9" w:rsidRDefault="00014E04" w:rsidP="00014E04">
      <w:pPr>
        <w:spacing w:after="250" w:line="276" w:lineRule="auto"/>
        <w:jc w:val="both"/>
        <w:rPr>
          <w:rFonts w:ascii="Arial" w:eastAsiaTheme="minorEastAsia" w:hAnsi="Arial" w:cs="Arial"/>
          <w:b/>
          <w:bCs/>
          <w:szCs w:val="20"/>
        </w:rPr>
      </w:pPr>
    </w:p>
    <w:p w14:paraId="3303B729" w14:textId="5DB63100" w:rsidR="00014E04" w:rsidRPr="00CA26A9" w:rsidRDefault="00014E04" w:rsidP="00014E04">
      <w:pPr>
        <w:spacing w:after="250" w:line="276" w:lineRule="auto"/>
        <w:jc w:val="both"/>
        <w:rPr>
          <w:rFonts w:ascii="Arial" w:eastAsiaTheme="minorEastAsia" w:hAnsi="Arial" w:cs="Arial"/>
          <w:b/>
          <w:bCs/>
          <w:szCs w:val="20"/>
        </w:rPr>
      </w:pPr>
      <w:r w:rsidRPr="00CA26A9">
        <w:rPr>
          <w:rFonts w:ascii="Arial" w:eastAsiaTheme="minorEastAsia" w:hAnsi="Arial" w:cs="Arial"/>
          <w:b/>
          <w:bCs/>
          <w:szCs w:val="20"/>
        </w:rPr>
        <w:t>About FIA</w:t>
      </w:r>
    </w:p>
    <w:p w14:paraId="30966C53" w14:textId="77777777" w:rsidR="00014E04" w:rsidRPr="00CE64E6" w:rsidRDefault="00014E04" w:rsidP="00014E04">
      <w:pPr>
        <w:spacing w:after="250" w:line="276" w:lineRule="auto"/>
        <w:jc w:val="both"/>
        <w:rPr>
          <w:rFonts w:ascii="Arial" w:eastAsiaTheme="minorEastAsia" w:hAnsi="Arial" w:cs="Arial"/>
          <w:szCs w:val="20"/>
        </w:rPr>
      </w:pPr>
      <w:r w:rsidRPr="00CE64E6">
        <w:rPr>
          <w:rFonts w:ascii="Arial" w:eastAsiaTheme="minorEastAsia" w:hAnsi="Arial" w:cs="Arial"/>
          <w:szCs w:val="20"/>
        </w:rPr>
        <w:t>FIA is the leading global trade organization for the futures, options and centrally cleared derivatives markets, with offices in Brussels, London, Singapore and Washington, D.C. Our membership includes clearing firms, exchanges, clearinghouses, trading firms and commodities specialists from about 50 countries as well as technology vendors, law firms and other professional service providers.</w:t>
      </w:r>
    </w:p>
    <w:p w14:paraId="15C66A1F" w14:textId="77777777" w:rsidR="00014E04" w:rsidRPr="00CE64E6" w:rsidRDefault="00014E04" w:rsidP="00014E04">
      <w:pPr>
        <w:spacing w:after="250" w:line="276" w:lineRule="auto"/>
        <w:jc w:val="both"/>
        <w:rPr>
          <w:rFonts w:ascii="Arial" w:eastAsiaTheme="minorEastAsia" w:hAnsi="Arial" w:cs="Arial"/>
          <w:szCs w:val="20"/>
        </w:rPr>
      </w:pPr>
      <w:r w:rsidRPr="00CE64E6">
        <w:rPr>
          <w:rFonts w:ascii="Arial" w:eastAsiaTheme="minorEastAsia" w:hAnsi="Arial" w:cs="Arial"/>
          <w:szCs w:val="20"/>
        </w:rPr>
        <w:t xml:space="preserve">Our mission: To support open, </w:t>
      </w:r>
      <w:proofErr w:type="gramStart"/>
      <w:r w:rsidRPr="00CE64E6">
        <w:rPr>
          <w:rFonts w:ascii="Arial" w:eastAsiaTheme="minorEastAsia" w:hAnsi="Arial" w:cs="Arial"/>
          <w:szCs w:val="20"/>
        </w:rPr>
        <w:t>transparent</w:t>
      </w:r>
      <w:proofErr w:type="gramEnd"/>
      <w:r w:rsidRPr="00CE64E6">
        <w:rPr>
          <w:rFonts w:ascii="Arial" w:eastAsiaTheme="minorEastAsia" w:hAnsi="Arial" w:cs="Arial"/>
          <w:szCs w:val="20"/>
        </w:rPr>
        <w:t xml:space="preserve"> and competitive markets, protect and enhance the integrity of the financial system, and promote high standards of professional conduct.</w:t>
      </w:r>
    </w:p>
    <w:p w14:paraId="77E1E30D" w14:textId="77777777" w:rsidR="00014E04" w:rsidRPr="00CA26A9" w:rsidRDefault="00014E04" w:rsidP="00014E04">
      <w:pPr>
        <w:spacing w:after="250" w:line="276" w:lineRule="auto"/>
        <w:jc w:val="both"/>
        <w:rPr>
          <w:rFonts w:ascii="Arial" w:eastAsiaTheme="minorEastAsia" w:hAnsi="Arial" w:cs="Arial"/>
          <w:szCs w:val="20"/>
        </w:rPr>
      </w:pPr>
    </w:p>
    <w:p w14:paraId="2FD067FA" w14:textId="77777777" w:rsidR="00014E04" w:rsidRPr="00CA26A9" w:rsidRDefault="00014E04" w:rsidP="00014E04">
      <w:pPr>
        <w:spacing w:after="250" w:line="276" w:lineRule="auto"/>
        <w:jc w:val="both"/>
        <w:rPr>
          <w:rFonts w:ascii="Arial" w:eastAsiaTheme="minorEastAsia" w:hAnsi="Arial" w:cs="Arial"/>
          <w:b/>
          <w:bCs/>
          <w:szCs w:val="20"/>
        </w:rPr>
      </w:pPr>
      <w:r w:rsidRPr="00CA26A9">
        <w:rPr>
          <w:rFonts w:ascii="Arial" w:eastAsiaTheme="minorEastAsia" w:hAnsi="Arial" w:cs="Arial"/>
          <w:b/>
          <w:bCs/>
          <w:szCs w:val="20"/>
        </w:rPr>
        <w:t>About ISDA</w:t>
      </w:r>
    </w:p>
    <w:p w14:paraId="6931BE34" w14:textId="77777777" w:rsidR="00014E04" w:rsidRPr="00246002" w:rsidRDefault="00014E04" w:rsidP="00014E04">
      <w:pPr>
        <w:spacing w:after="250" w:line="276" w:lineRule="auto"/>
        <w:jc w:val="both"/>
        <w:rPr>
          <w:rFonts w:ascii="Arial" w:eastAsiaTheme="minorEastAsia" w:hAnsi="Arial" w:cs="Arial"/>
          <w:szCs w:val="20"/>
        </w:rPr>
      </w:pPr>
      <w:r w:rsidRPr="00246002">
        <w:rPr>
          <w:rFonts w:ascii="Arial" w:eastAsiaTheme="minorEastAsia" w:hAnsi="Arial" w:cs="Arial"/>
          <w:szCs w:val="20"/>
        </w:rPr>
        <w:t xml:space="preserve">Since 1985, ISDA has worked to make the global derivatives markets safer and more efficient. Today, ISDA has over 960 member institutions from 78 countries. These members comprise a broad range of derivatives market participants, including corporations, investment </w:t>
      </w:r>
      <w:r w:rsidRPr="00246002">
        <w:rPr>
          <w:rFonts w:ascii="Arial" w:eastAsiaTheme="minorEastAsia" w:hAnsi="Arial" w:cs="Arial"/>
          <w:szCs w:val="20"/>
        </w:rPr>
        <w:lastRenderedPageBreak/>
        <w:t xml:space="preserve">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www.isda.org. Follow us on Twitter, LinkedIn, </w:t>
      </w:r>
      <w:proofErr w:type="gramStart"/>
      <w:r w:rsidRPr="00246002">
        <w:rPr>
          <w:rFonts w:ascii="Arial" w:eastAsiaTheme="minorEastAsia" w:hAnsi="Arial" w:cs="Arial"/>
          <w:szCs w:val="20"/>
        </w:rPr>
        <w:t>Facebook</w:t>
      </w:r>
      <w:proofErr w:type="gramEnd"/>
      <w:r w:rsidRPr="00246002">
        <w:rPr>
          <w:rFonts w:ascii="Arial" w:eastAsiaTheme="minorEastAsia" w:hAnsi="Arial" w:cs="Arial"/>
          <w:szCs w:val="20"/>
        </w:rPr>
        <w:t xml:space="preserve"> and YouTube.</w:t>
      </w:r>
    </w:p>
    <w:p w14:paraId="345ACFAC" w14:textId="77777777" w:rsidR="00014E04" w:rsidRPr="00CA26A9" w:rsidRDefault="00014E04" w:rsidP="00014E04">
      <w:pPr>
        <w:spacing w:after="250" w:line="276" w:lineRule="auto"/>
        <w:jc w:val="both"/>
        <w:rPr>
          <w:rFonts w:ascii="Arial" w:eastAsiaTheme="minorEastAsia" w:hAnsi="Arial" w:cs="Arial"/>
          <w:szCs w:val="20"/>
        </w:rPr>
      </w:pPr>
    </w:p>
    <w:p w14:paraId="1ADDB9DA" w14:textId="77777777" w:rsidR="00014E04" w:rsidRPr="00CA26A9" w:rsidRDefault="00014E04" w:rsidP="00014E04">
      <w:pPr>
        <w:spacing w:after="250" w:line="276" w:lineRule="auto"/>
        <w:jc w:val="both"/>
        <w:rPr>
          <w:rFonts w:ascii="Arial" w:eastAsiaTheme="minorEastAsia" w:hAnsi="Arial" w:cs="Arial"/>
          <w:szCs w:val="20"/>
        </w:rPr>
      </w:pPr>
    </w:p>
    <w:p w14:paraId="5C5E6F18" w14:textId="2093110E" w:rsidR="00CD3FCE" w:rsidRPr="009F0CBB" w:rsidRDefault="00CD3FCE" w:rsidP="00CA26A9">
      <w:pPr>
        <w:spacing w:after="250" w:line="276" w:lineRule="auto"/>
        <w:jc w:val="both"/>
        <w:rPr>
          <w:rFonts w:ascii="Arial" w:eastAsiaTheme="minorEastAsia" w:hAnsi="Arial" w:cs="Arial"/>
          <w:szCs w:val="20"/>
        </w:rPr>
      </w:pPr>
    </w:p>
    <w:p w14:paraId="6AFD46C5" w14:textId="3AC59D89" w:rsidR="00812ADD" w:rsidRPr="00CF27E9" w:rsidRDefault="00812ADD" w:rsidP="00812ADD">
      <w:pPr>
        <w:spacing w:after="250" w:line="276" w:lineRule="auto"/>
        <w:jc w:val="both"/>
        <w:rPr>
          <w:rFonts w:ascii="Arial" w:eastAsiaTheme="minorEastAsia" w:hAnsi="Arial" w:cs="Arial"/>
          <w:szCs w:val="20"/>
          <w:lang w:val="fr-BE"/>
        </w:rPr>
      </w:pPr>
      <w:r w:rsidRPr="00CF27E9">
        <w:rPr>
          <w:rFonts w:ascii="Arial" w:eastAsiaTheme="minorEastAsia" w:hAnsi="Arial" w:cs="Arial"/>
          <w:szCs w:val="20"/>
          <w:lang w:val="fr-BE"/>
        </w:rPr>
        <w:t>&lt;ESMA_COMMENT_SCN_00&gt;</w:t>
      </w:r>
    </w:p>
    <w:p w14:paraId="1190D6C6" w14:textId="77777777" w:rsidR="00812ADD" w:rsidRPr="00CF27E9" w:rsidRDefault="00812ADD" w:rsidP="00812ADD">
      <w:pPr>
        <w:spacing w:line="276" w:lineRule="auto"/>
        <w:rPr>
          <w:rFonts w:ascii="Arial" w:hAnsi="Arial" w:cs="Arial"/>
          <w:b/>
          <w:sz w:val="28"/>
          <w:szCs w:val="28"/>
          <w:lang w:val="fr-BE"/>
        </w:rPr>
      </w:pPr>
    </w:p>
    <w:p w14:paraId="7C8C3049" w14:textId="77777777" w:rsidR="00812ADD" w:rsidRPr="00CF27E9" w:rsidRDefault="00812ADD" w:rsidP="00812ADD">
      <w:pPr>
        <w:spacing w:line="276" w:lineRule="auto"/>
        <w:rPr>
          <w:rFonts w:ascii="Arial" w:hAnsi="Arial" w:cs="Arial"/>
          <w:b/>
          <w:sz w:val="28"/>
          <w:szCs w:val="28"/>
          <w:lang w:val="fr-BE"/>
        </w:rPr>
      </w:pPr>
    </w:p>
    <w:p w14:paraId="29254FDD" w14:textId="77777777" w:rsidR="00812ADD" w:rsidRPr="00CF27E9" w:rsidRDefault="00812ADD" w:rsidP="00812ADD">
      <w:pPr>
        <w:spacing w:line="276" w:lineRule="auto"/>
        <w:rPr>
          <w:rFonts w:ascii="Arial" w:hAnsi="Arial" w:cs="Arial"/>
          <w:b/>
          <w:sz w:val="28"/>
          <w:szCs w:val="28"/>
          <w:lang w:val="fr-BE"/>
        </w:rPr>
      </w:pPr>
    </w:p>
    <w:p w14:paraId="1775A821" w14:textId="77777777" w:rsidR="00812ADD" w:rsidRPr="00CF27E9" w:rsidRDefault="00812ADD" w:rsidP="00812ADD">
      <w:pPr>
        <w:spacing w:line="276" w:lineRule="auto"/>
        <w:rPr>
          <w:rFonts w:ascii="Arial" w:hAnsi="Arial" w:cs="Arial"/>
          <w:b/>
          <w:sz w:val="28"/>
          <w:szCs w:val="28"/>
          <w:lang w:val="fr-BE"/>
        </w:rPr>
      </w:pPr>
    </w:p>
    <w:p w14:paraId="17BFC179" w14:textId="77777777" w:rsidR="00812ADD" w:rsidRPr="00CF27E9" w:rsidRDefault="00812ADD" w:rsidP="00812ADD">
      <w:pPr>
        <w:spacing w:line="276" w:lineRule="auto"/>
        <w:rPr>
          <w:rFonts w:ascii="Arial" w:hAnsi="Arial" w:cs="Arial"/>
          <w:b/>
          <w:sz w:val="28"/>
          <w:szCs w:val="28"/>
          <w:lang w:val="fr-BE"/>
        </w:rPr>
      </w:pPr>
    </w:p>
    <w:p w14:paraId="326DFD60" w14:textId="77777777" w:rsidR="00812ADD" w:rsidRPr="00CF27E9" w:rsidRDefault="00812ADD" w:rsidP="00812ADD">
      <w:pPr>
        <w:spacing w:after="120" w:line="264" w:lineRule="auto"/>
        <w:rPr>
          <w:rFonts w:ascii="Arial" w:hAnsi="Arial" w:cs="Arial"/>
          <w:b/>
          <w:sz w:val="28"/>
          <w:szCs w:val="28"/>
          <w:lang w:val="fr-BE"/>
        </w:rPr>
      </w:pPr>
      <w:r w:rsidRPr="00CF27E9">
        <w:rPr>
          <w:rFonts w:ascii="Arial" w:hAnsi="Arial" w:cs="Arial"/>
          <w:b/>
          <w:sz w:val="28"/>
          <w:szCs w:val="28"/>
          <w:lang w:val="fr-BE"/>
        </w:rPr>
        <w:br w:type="page"/>
      </w:r>
    </w:p>
    <w:p w14:paraId="409E0B1D" w14:textId="77777777" w:rsidR="00812ADD" w:rsidRPr="00CF27E9" w:rsidRDefault="00812ADD" w:rsidP="00812ADD">
      <w:pPr>
        <w:spacing w:line="276" w:lineRule="auto"/>
        <w:rPr>
          <w:rFonts w:ascii="Arial" w:hAnsi="Arial" w:cs="Arial"/>
          <w:b/>
          <w:sz w:val="28"/>
          <w:szCs w:val="28"/>
          <w:lang w:val="fr-BE"/>
        </w:rPr>
      </w:pPr>
      <w:r w:rsidRPr="00CF27E9">
        <w:rPr>
          <w:rFonts w:ascii="Arial" w:hAnsi="Arial" w:cs="Arial"/>
          <w:b/>
          <w:sz w:val="28"/>
          <w:szCs w:val="28"/>
          <w:lang w:val="fr-BE"/>
        </w:rPr>
        <w:lastRenderedPageBreak/>
        <w:t xml:space="preserve">Questions </w:t>
      </w:r>
    </w:p>
    <w:p w14:paraId="0A1D3D11" w14:textId="3B1D52E3" w:rsidR="00812ADD" w:rsidRPr="00CF27E9" w:rsidRDefault="00812ADD" w:rsidP="00812ADD">
      <w:pPr>
        <w:spacing w:line="276" w:lineRule="auto"/>
        <w:rPr>
          <w:rFonts w:ascii="Arial" w:hAnsi="Arial" w:cs="Arial"/>
          <w:b/>
          <w:sz w:val="28"/>
          <w:szCs w:val="28"/>
          <w:lang w:val="fr-BE"/>
        </w:rPr>
      </w:pPr>
    </w:p>
    <w:p w14:paraId="6F018FF3" w14:textId="794C28BD" w:rsidR="003D70CA" w:rsidRPr="00CF27E9" w:rsidRDefault="003D70CA" w:rsidP="00812ADD">
      <w:pPr>
        <w:spacing w:line="276" w:lineRule="auto"/>
        <w:rPr>
          <w:rFonts w:ascii="Arial" w:hAnsi="Arial" w:cs="Arial"/>
          <w:b/>
          <w:sz w:val="24"/>
          <w:szCs w:val="24"/>
          <w:lang w:val="fr-BE"/>
        </w:rPr>
      </w:pPr>
      <w:r w:rsidRPr="00CF27E9">
        <w:rPr>
          <w:rFonts w:ascii="Arial" w:hAnsi="Arial" w:cs="Arial"/>
          <w:b/>
          <w:sz w:val="24"/>
          <w:szCs w:val="24"/>
          <w:lang w:val="fr-BE"/>
        </w:rPr>
        <w:t xml:space="preserve">Guideline 1 </w:t>
      </w:r>
      <w:proofErr w:type="gramStart"/>
      <w:r w:rsidRPr="00CF27E9">
        <w:rPr>
          <w:rFonts w:ascii="Arial" w:hAnsi="Arial" w:cs="Arial"/>
          <w:b/>
          <w:sz w:val="24"/>
          <w:szCs w:val="24"/>
          <w:lang w:val="fr-BE"/>
        </w:rPr>
        <w:t>Questions:</w:t>
      </w:r>
      <w:proofErr w:type="gramEnd"/>
    </w:p>
    <w:p w14:paraId="501D1A75" w14:textId="77777777" w:rsidR="003D70CA"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 xml:space="preserve">Do you agree that each CCP should include, in its recovery plan, at least one scenario for each of the seven types of scenarios? </w:t>
      </w:r>
    </w:p>
    <w:p w14:paraId="3F34173B" w14:textId="77777777" w:rsidR="003D70CA" w:rsidRPr="00FC4113" w:rsidRDefault="003D70CA" w:rsidP="00FC4113">
      <w:pPr>
        <w:pStyle w:val="Questionstyle"/>
        <w:numPr>
          <w:ilvl w:val="0"/>
          <w:numId w:val="0"/>
        </w:numPr>
        <w:rPr>
          <w:rFonts w:ascii="Arial" w:hAnsi="Arial" w:cs="Arial"/>
          <w:sz w:val="24"/>
          <w:szCs w:val="24"/>
        </w:rPr>
      </w:pPr>
    </w:p>
    <w:p w14:paraId="3DBCB831" w14:textId="078CCA28"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&lt;ESMA_QUESTION_SCN_01&gt;</w:t>
      </w:r>
    </w:p>
    <w:p w14:paraId="0BF3121C" w14:textId="07EE5053" w:rsidR="00812ADD" w:rsidRDefault="00F80636" w:rsidP="007A2F9A">
      <w:pPr>
        <w:rPr>
          <w:rFonts w:ascii="Arial" w:hAnsi="Arial" w:cs="Arial"/>
          <w:sz w:val="24"/>
          <w:szCs w:val="24"/>
        </w:rPr>
      </w:pPr>
      <w:r>
        <w:rPr>
          <w:rFonts w:ascii="Arial" w:hAnsi="Arial" w:cs="Arial"/>
          <w:sz w:val="24"/>
          <w:szCs w:val="24"/>
        </w:rPr>
        <w:t xml:space="preserve">We believe that the list of seven scenarios </w:t>
      </w:r>
      <w:r w:rsidR="00FA7BD1">
        <w:rPr>
          <w:rFonts w:ascii="Arial" w:hAnsi="Arial" w:cs="Arial"/>
          <w:sz w:val="24"/>
          <w:szCs w:val="24"/>
        </w:rPr>
        <w:t xml:space="preserve">represents </w:t>
      </w:r>
      <w:r>
        <w:rPr>
          <w:rFonts w:ascii="Arial" w:hAnsi="Arial" w:cs="Arial"/>
          <w:sz w:val="24"/>
          <w:szCs w:val="24"/>
        </w:rPr>
        <w:t>an abs</w:t>
      </w:r>
      <w:r w:rsidR="003838F4">
        <w:rPr>
          <w:rFonts w:ascii="Arial" w:hAnsi="Arial" w:cs="Arial"/>
          <w:sz w:val="24"/>
          <w:szCs w:val="24"/>
        </w:rPr>
        <w:t xml:space="preserve">olute minimum. ESMA </w:t>
      </w:r>
      <w:r w:rsidR="007A2F9A">
        <w:rPr>
          <w:rFonts w:ascii="Arial" w:hAnsi="Arial" w:cs="Arial"/>
          <w:sz w:val="24"/>
          <w:szCs w:val="24"/>
        </w:rPr>
        <w:t xml:space="preserve">already recognises this by </w:t>
      </w:r>
      <w:r w:rsidR="004C1F1A" w:rsidRPr="007A2F9A">
        <w:rPr>
          <w:rFonts w:ascii="Arial" w:hAnsi="Arial" w:cs="Arial"/>
          <w:sz w:val="24"/>
          <w:szCs w:val="24"/>
        </w:rPr>
        <w:t>proposi</w:t>
      </w:r>
      <w:r w:rsidR="004C1F1A">
        <w:rPr>
          <w:rFonts w:ascii="Arial" w:hAnsi="Arial" w:cs="Arial"/>
          <w:sz w:val="24"/>
          <w:szCs w:val="24"/>
        </w:rPr>
        <w:t>ng</w:t>
      </w:r>
      <w:r w:rsidR="007A2F9A" w:rsidRPr="007A2F9A">
        <w:rPr>
          <w:rFonts w:ascii="Arial" w:hAnsi="Arial" w:cs="Arial"/>
          <w:sz w:val="24"/>
          <w:szCs w:val="24"/>
        </w:rPr>
        <w:t xml:space="preserve"> that CCPs should assess whether it is necessary to create</w:t>
      </w:r>
      <w:r w:rsidR="004C1F1A">
        <w:rPr>
          <w:rFonts w:ascii="Arial" w:hAnsi="Arial" w:cs="Arial"/>
          <w:sz w:val="24"/>
          <w:szCs w:val="24"/>
        </w:rPr>
        <w:t xml:space="preserve"> </w:t>
      </w:r>
      <w:r w:rsidR="007A2F9A" w:rsidRPr="007A2F9A">
        <w:rPr>
          <w:rFonts w:ascii="Arial" w:hAnsi="Arial" w:cs="Arial"/>
          <w:sz w:val="24"/>
          <w:szCs w:val="24"/>
        </w:rPr>
        <w:t xml:space="preserve">additional scenarios to accommodate for further granularity due to the </w:t>
      </w:r>
      <w:r w:rsidR="004C1F1A" w:rsidRPr="007A2F9A">
        <w:rPr>
          <w:rFonts w:ascii="Arial" w:hAnsi="Arial" w:cs="Arial"/>
          <w:sz w:val="24"/>
          <w:szCs w:val="24"/>
        </w:rPr>
        <w:t>specifi</w:t>
      </w:r>
      <w:r w:rsidR="00723F60">
        <w:rPr>
          <w:rFonts w:ascii="Arial" w:hAnsi="Arial" w:cs="Arial"/>
          <w:sz w:val="24"/>
          <w:szCs w:val="24"/>
        </w:rPr>
        <w:t>c</w:t>
      </w:r>
      <w:r w:rsidR="00AF2203">
        <w:rPr>
          <w:rFonts w:ascii="Arial" w:hAnsi="Arial" w:cs="Arial"/>
          <w:sz w:val="24"/>
          <w:szCs w:val="24"/>
        </w:rPr>
        <w:t>i</w:t>
      </w:r>
      <w:r w:rsidR="00385262">
        <w:rPr>
          <w:rFonts w:ascii="Arial" w:hAnsi="Arial" w:cs="Arial"/>
          <w:sz w:val="24"/>
          <w:szCs w:val="24"/>
        </w:rPr>
        <w:t>ti</w:t>
      </w:r>
      <w:r w:rsidR="004C1F1A" w:rsidRPr="007A2F9A">
        <w:rPr>
          <w:rFonts w:ascii="Arial" w:hAnsi="Arial" w:cs="Arial"/>
          <w:sz w:val="24"/>
          <w:szCs w:val="24"/>
        </w:rPr>
        <w:t>es</w:t>
      </w:r>
      <w:r w:rsidR="007A2F9A" w:rsidRPr="007A2F9A">
        <w:rPr>
          <w:rFonts w:ascii="Arial" w:hAnsi="Arial" w:cs="Arial"/>
          <w:sz w:val="24"/>
          <w:szCs w:val="24"/>
        </w:rPr>
        <w:t xml:space="preserve"> of the</w:t>
      </w:r>
      <w:r w:rsidR="004C1F1A">
        <w:rPr>
          <w:rFonts w:ascii="Arial" w:hAnsi="Arial" w:cs="Arial"/>
          <w:sz w:val="24"/>
          <w:szCs w:val="24"/>
        </w:rPr>
        <w:t xml:space="preserve"> </w:t>
      </w:r>
      <w:r w:rsidR="007A2F9A" w:rsidRPr="007A2F9A">
        <w:rPr>
          <w:rFonts w:ascii="Arial" w:hAnsi="Arial" w:cs="Arial"/>
          <w:sz w:val="24"/>
          <w:szCs w:val="24"/>
        </w:rPr>
        <w:t>CCP beside the one scenario required for each type of scenario.</w:t>
      </w:r>
    </w:p>
    <w:p w14:paraId="070A7BA4" w14:textId="1D24BD97" w:rsidR="00812ADD" w:rsidRPr="00FC4113" w:rsidRDefault="00812ADD" w:rsidP="00812ADD">
      <w:pPr>
        <w:rPr>
          <w:rFonts w:ascii="Arial" w:hAnsi="Arial" w:cs="Arial"/>
          <w:sz w:val="24"/>
          <w:szCs w:val="24"/>
        </w:rPr>
      </w:pPr>
      <w:r w:rsidRPr="00FC4113">
        <w:rPr>
          <w:rFonts w:ascii="Arial" w:hAnsi="Arial" w:cs="Arial"/>
          <w:sz w:val="24"/>
          <w:szCs w:val="24"/>
        </w:rPr>
        <w:t>&lt;ESMA_QUESTION_SCN_01&gt;</w:t>
      </w:r>
    </w:p>
    <w:p w14:paraId="3835F049" w14:textId="77777777" w:rsidR="00812ADD" w:rsidRPr="00FC4113" w:rsidRDefault="00812ADD" w:rsidP="00812ADD">
      <w:pPr>
        <w:rPr>
          <w:rFonts w:ascii="Arial" w:hAnsi="Arial" w:cs="Arial"/>
          <w:sz w:val="24"/>
          <w:szCs w:val="24"/>
        </w:rPr>
      </w:pPr>
    </w:p>
    <w:p w14:paraId="084FF2B8" w14:textId="401BBA0C"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list of the types of scenarios? Would you propose any additional types of scenarios</w:t>
      </w:r>
      <w:r w:rsidRPr="00FC4113">
        <w:rPr>
          <w:rFonts w:ascii="Arial" w:hAnsi="Arial" w:cs="Arial"/>
          <w:sz w:val="24"/>
          <w:szCs w:val="24"/>
        </w:rPr>
        <w:t>?</w:t>
      </w:r>
    </w:p>
    <w:p w14:paraId="7E1F3A48" w14:textId="3B49A639"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04E553B4" w14:textId="076BF66B" w:rsidR="00C30050" w:rsidRDefault="00C30050" w:rsidP="00812ADD">
      <w:pPr>
        <w:rPr>
          <w:rFonts w:ascii="Arial" w:hAnsi="Arial" w:cs="Arial"/>
          <w:sz w:val="24"/>
          <w:szCs w:val="24"/>
        </w:rPr>
      </w:pPr>
      <w:r>
        <w:rPr>
          <w:rFonts w:ascii="Arial" w:hAnsi="Arial" w:cs="Arial"/>
          <w:sz w:val="24"/>
          <w:szCs w:val="24"/>
        </w:rPr>
        <w:t>We agree with the list of scenarios in principle as an absolute minimum.</w:t>
      </w:r>
    </w:p>
    <w:p w14:paraId="53D91EFE" w14:textId="1B05C98B" w:rsidR="00C30050" w:rsidRDefault="008D0CE5" w:rsidP="00812ADD">
      <w:pPr>
        <w:rPr>
          <w:rFonts w:ascii="Arial" w:hAnsi="Arial" w:cs="Arial"/>
          <w:sz w:val="24"/>
          <w:szCs w:val="24"/>
        </w:rPr>
      </w:pPr>
      <w:r>
        <w:rPr>
          <w:rFonts w:ascii="Arial" w:hAnsi="Arial" w:cs="Arial"/>
          <w:sz w:val="24"/>
          <w:szCs w:val="24"/>
        </w:rPr>
        <w:t xml:space="preserve">Some comments to the </w:t>
      </w:r>
      <w:r w:rsidR="007C27D8">
        <w:rPr>
          <w:rFonts w:ascii="Arial" w:hAnsi="Arial" w:cs="Arial"/>
          <w:sz w:val="24"/>
          <w:szCs w:val="24"/>
        </w:rPr>
        <w:t>proposed</w:t>
      </w:r>
      <w:r>
        <w:rPr>
          <w:rFonts w:ascii="Arial" w:hAnsi="Arial" w:cs="Arial"/>
          <w:sz w:val="24"/>
          <w:szCs w:val="24"/>
        </w:rPr>
        <w:t xml:space="preserve"> scenarios:</w:t>
      </w:r>
    </w:p>
    <w:p w14:paraId="55A27570" w14:textId="1D0AEE6D" w:rsidR="008D0CE5" w:rsidRPr="004F6910" w:rsidRDefault="007C27D8" w:rsidP="007C27D8">
      <w:pPr>
        <w:rPr>
          <w:rFonts w:ascii="Arial" w:hAnsi="Arial" w:cs="Arial"/>
          <w:sz w:val="24"/>
          <w:szCs w:val="24"/>
          <w:u w:val="single"/>
        </w:rPr>
      </w:pPr>
      <w:r w:rsidRPr="004F6910">
        <w:rPr>
          <w:rFonts w:ascii="Arial" w:hAnsi="Arial" w:cs="Arial"/>
          <w:sz w:val="24"/>
          <w:szCs w:val="24"/>
          <w:u w:val="single"/>
        </w:rPr>
        <w:t>Scenario 1: Default event causing financial losses that propagate through the CCP’s default waterfall with return to a matched book through voluntary, market</w:t>
      </w:r>
      <w:r w:rsidR="004F6910" w:rsidRPr="004F6910">
        <w:rPr>
          <w:rFonts w:ascii="Arial" w:hAnsi="Arial" w:cs="Arial"/>
          <w:sz w:val="24"/>
          <w:szCs w:val="24"/>
          <w:u w:val="single"/>
        </w:rPr>
        <w:t>-</w:t>
      </w:r>
      <w:r w:rsidRPr="004F6910">
        <w:rPr>
          <w:rFonts w:ascii="Arial" w:hAnsi="Arial" w:cs="Arial"/>
          <w:sz w:val="24"/>
          <w:szCs w:val="24"/>
          <w:u w:val="single"/>
        </w:rPr>
        <w:t>based tools</w:t>
      </w:r>
    </w:p>
    <w:p w14:paraId="1A8E7F2E" w14:textId="2EC699B8" w:rsidR="007C27D8" w:rsidRDefault="00E56987" w:rsidP="007C27D8">
      <w:pPr>
        <w:rPr>
          <w:rFonts w:ascii="Arial" w:hAnsi="Arial" w:cs="Arial"/>
          <w:sz w:val="24"/>
          <w:szCs w:val="24"/>
        </w:rPr>
      </w:pPr>
      <w:r>
        <w:rPr>
          <w:rFonts w:ascii="Arial" w:hAnsi="Arial" w:cs="Arial"/>
          <w:sz w:val="24"/>
          <w:szCs w:val="24"/>
        </w:rPr>
        <w:t xml:space="preserve">We note that for default scenarios, most CCPs have already recovery </w:t>
      </w:r>
      <w:r w:rsidR="00365980">
        <w:rPr>
          <w:rFonts w:ascii="Arial" w:hAnsi="Arial" w:cs="Arial"/>
          <w:sz w:val="24"/>
          <w:szCs w:val="24"/>
        </w:rPr>
        <w:t>measure</w:t>
      </w:r>
      <w:r w:rsidR="004F6910">
        <w:rPr>
          <w:rFonts w:ascii="Arial" w:hAnsi="Arial" w:cs="Arial"/>
          <w:sz w:val="24"/>
          <w:szCs w:val="24"/>
        </w:rPr>
        <w:t>s</w:t>
      </w:r>
      <w:r>
        <w:rPr>
          <w:rFonts w:ascii="Arial" w:hAnsi="Arial" w:cs="Arial"/>
          <w:sz w:val="24"/>
          <w:szCs w:val="24"/>
        </w:rPr>
        <w:t xml:space="preserve"> in their rulebook that are triggered automatically, </w:t>
      </w:r>
      <w:proofErr w:type="gramStart"/>
      <w:r>
        <w:rPr>
          <w:rFonts w:ascii="Arial" w:hAnsi="Arial" w:cs="Arial"/>
          <w:sz w:val="24"/>
          <w:szCs w:val="24"/>
        </w:rPr>
        <w:t>i.e.</w:t>
      </w:r>
      <w:proofErr w:type="gramEnd"/>
      <w:r>
        <w:rPr>
          <w:rFonts w:ascii="Arial" w:hAnsi="Arial" w:cs="Arial"/>
          <w:sz w:val="24"/>
          <w:szCs w:val="24"/>
        </w:rPr>
        <w:t xml:space="preserve"> without formal invocation of any recovery plan.</w:t>
      </w:r>
    </w:p>
    <w:p w14:paraId="53FF8385" w14:textId="77777777" w:rsidR="001C1CD9" w:rsidRDefault="001C1CD9" w:rsidP="007C27D8">
      <w:pPr>
        <w:rPr>
          <w:rFonts w:ascii="Arial" w:hAnsi="Arial" w:cs="Arial"/>
          <w:sz w:val="24"/>
          <w:szCs w:val="24"/>
        </w:rPr>
      </w:pPr>
    </w:p>
    <w:p w14:paraId="67B4DD4A" w14:textId="57B60184" w:rsidR="00D749DC" w:rsidRPr="005A2B44" w:rsidRDefault="00D749DC" w:rsidP="00D749DC">
      <w:pPr>
        <w:rPr>
          <w:rFonts w:ascii="Arial" w:hAnsi="Arial" w:cs="Arial"/>
          <w:sz w:val="24"/>
          <w:szCs w:val="24"/>
          <w:u w:val="single"/>
        </w:rPr>
      </w:pPr>
      <w:r w:rsidRPr="005A2B44">
        <w:rPr>
          <w:rFonts w:ascii="Arial" w:hAnsi="Arial" w:cs="Arial"/>
          <w:sz w:val="24"/>
          <w:szCs w:val="24"/>
          <w:u w:val="single"/>
        </w:rPr>
        <w:t xml:space="preserve">Scenario 2: Default event causing financial losses with a default management process that requires mandatory, rules-based arrangements </w:t>
      </w:r>
      <w:proofErr w:type="gramStart"/>
      <w:r w:rsidRPr="005A2B44">
        <w:rPr>
          <w:rFonts w:ascii="Arial" w:hAnsi="Arial" w:cs="Arial"/>
          <w:sz w:val="24"/>
          <w:szCs w:val="24"/>
          <w:u w:val="single"/>
        </w:rPr>
        <w:t>in order to</w:t>
      </w:r>
      <w:proofErr w:type="gramEnd"/>
      <w:r w:rsidRPr="005A2B44">
        <w:rPr>
          <w:rFonts w:ascii="Arial" w:hAnsi="Arial" w:cs="Arial"/>
          <w:sz w:val="24"/>
          <w:szCs w:val="24"/>
          <w:u w:val="single"/>
        </w:rPr>
        <w:t xml:space="preserve"> re-establish a matched book</w:t>
      </w:r>
    </w:p>
    <w:p w14:paraId="58CA72B0" w14:textId="1BA20E94" w:rsidR="00D749DC" w:rsidRDefault="005A2B44" w:rsidP="007C27D8">
      <w:pPr>
        <w:rPr>
          <w:rFonts w:ascii="Arial" w:hAnsi="Arial" w:cs="Arial"/>
          <w:sz w:val="24"/>
          <w:szCs w:val="24"/>
        </w:rPr>
      </w:pPr>
      <w:r>
        <w:rPr>
          <w:rFonts w:ascii="Arial" w:hAnsi="Arial" w:cs="Arial"/>
          <w:sz w:val="24"/>
          <w:szCs w:val="24"/>
        </w:rPr>
        <w:t xml:space="preserve">We </w:t>
      </w:r>
      <w:r w:rsidR="00142AAF">
        <w:rPr>
          <w:rFonts w:ascii="Arial" w:hAnsi="Arial" w:cs="Arial"/>
          <w:sz w:val="24"/>
          <w:szCs w:val="24"/>
        </w:rPr>
        <w:t xml:space="preserve">note </w:t>
      </w:r>
      <w:r>
        <w:rPr>
          <w:rFonts w:ascii="Arial" w:hAnsi="Arial" w:cs="Arial"/>
          <w:sz w:val="24"/>
          <w:szCs w:val="24"/>
        </w:rPr>
        <w:t xml:space="preserve">that </w:t>
      </w:r>
      <w:proofErr w:type="gramStart"/>
      <w:r w:rsidR="00142AAF">
        <w:rPr>
          <w:rFonts w:ascii="Arial" w:hAnsi="Arial" w:cs="Arial"/>
          <w:sz w:val="24"/>
          <w:szCs w:val="24"/>
        </w:rPr>
        <w:t xml:space="preserve">in order </w:t>
      </w:r>
      <w:r>
        <w:rPr>
          <w:rFonts w:ascii="Arial" w:hAnsi="Arial" w:cs="Arial"/>
          <w:sz w:val="24"/>
          <w:szCs w:val="24"/>
        </w:rPr>
        <w:t>for</w:t>
      </w:r>
      <w:proofErr w:type="gramEnd"/>
      <w:r>
        <w:rPr>
          <w:rFonts w:ascii="Arial" w:hAnsi="Arial" w:cs="Arial"/>
          <w:sz w:val="24"/>
          <w:szCs w:val="24"/>
        </w:rPr>
        <w:t xml:space="preserve"> recovery </w:t>
      </w:r>
      <w:r w:rsidR="002F65E1">
        <w:rPr>
          <w:rFonts w:ascii="Arial" w:hAnsi="Arial" w:cs="Arial"/>
          <w:sz w:val="24"/>
          <w:szCs w:val="24"/>
        </w:rPr>
        <w:t>measures</w:t>
      </w:r>
      <w:r>
        <w:rPr>
          <w:rFonts w:ascii="Arial" w:hAnsi="Arial" w:cs="Arial"/>
          <w:sz w:val="24"/>
          <w:szCs w:val="24"/>
        </w:rPr>
        <w:t xml:space="preserve"> to be required in this scenario there don’t have to be </w:t>
      </w:r>
      <w:r w:rsidR="002E7734">
        <w:rPr>
          <w:rFonts w:ascii="Arial" w:hAnsi="Arial" w:cs="Arial"/>
          <w:sz w:val="24"/>
          <w:szCs w:val="24"/>
        </w:rPr>
        <w:t xml:space="preserve">any </w:t>
      </w:r>
      <w:r>
        <w:rPr>
          <w:rFonts w:ascii="Arial" w:hAnsi="Arial" w:cs="Arial"/>
          <w:sz w:val="24"/>
          <w:szCs w:val="24"/>
        </w:rPr>
        <w:t xml:space="preserve">financial losses. </w:t>
      </w:r>
      <w:r w:rsidR="002F65E1">
        <w:rPr>
          <w:rFonts w:ascii="Arial" w:hAnsi="Arial" w:cs="Arial"/>
          <w:sz w:val="24"/>
          <w:szCs w:val="24"/>
        </w:rPr>
        <w:t xml:space="preserve">Subsequent auctions could have failed without </w:t>
      </w:r>
      <w:r w:rsidR="00FC5664">
        <w:rPr>
          <w:rFonts w:ascii="Arial" w:hAnsi="Arial" w:cs="Arial"/>
          <w:sz w:val="24"/>
          <w:szCs w:val="24"/>
        </w:rPr>
        <w:t xml:space="preserve">large market movements </w:t>
      </w:r>
      <w:r w:rsidR="002F65E1">
        <w:rPr>
          <w:rFonts w:ascii="Arial" w:hAnsi="Arial" w:cs="Arial"/>
          <w:sz w:val="24"/>
          <w:szCs w:val="24"/>
        </w:rPr>
        <w:t xml:space="preserve">and therefore </w:t>
      </w:r>
      <w:r w:rsidR="005E6E53">
        <w:rPr>
          <w:rFonts w:ascii="Arial" w:hAnsi="Arial" w:cs="Arial"/>
          <w:sz w:val="24"/>
          <w:szCs w:val="24"/>
        </w:rPr>
        <w:t xml:space="preserve">losses could be still within prefunded resources. While losses will eventually go up, in this scenario the </w:t>
      </w:r>
      <w:r w:rsidR="00806354">
        <w:rPr>
          <w:rFonts w:ascii="Arial" w:hAnsi="Arial" w:cs="Arial"/>
          <w:sz w:val="24"/>
          <w:szCs w:val="24"/>
        </w:rPr>
        <w:t xml:space="preserve">key issue </w:t>
      </w:r>
      <w:r w:rsidR="00AD786A">
        <w:rPr>
          <w:rFonts w:ascii="Arial" w:hAnsi="Arial" w:cs="Arial"/>
          <w:sz w:val="24"/>
          <w:szCs w:val="24"/>
        </w:rPr>
        <w:t xml:space="preserve">is the fact that the book cannot be </w:t>
      </w:r>
      <w:r w:rsidR="00806354">
        <w:rPr>
          <w:rFonts w:ascii="Arial" w:hAnsi="Arial" w:cs="Arial"/>
          <w:sz w:val="24"/>
          <w:szCs w:val="24"/>
        </w:rPr>
        <w:t>re-matched.</w:t>
      </w:r>
    </w:p>
    <w:p w14:paraId="2983854F" w14:textId="46E7EB71" w:rsidR="007C27D8" w:rsidRDefault="007C27D8" w:rsidP="007C27D8">
      <w:pPr>
        <w:rPr>
          <w:rFonts w:ascii="Arial" w:hAnsi="Arial" w:cs="Arial"/>
          <w:sz w:val="24"/>
          <w:szCs w:val="24"/>
        </w:rPr>
      </w:pPr>
    </w:p>
    <w:p w14:paraId="27ACFB58" w14:textId="00D316F3" w:rsidR="00877DB9" w:rsidRPr="00657CE5" w:rsidRDefault="00E728A4" w:rsidP="00877DB9">
      <w:pPr>
        <w:rPr>
          <w:rFonts w:ascii="Arial" w:hAnsi="Arial" w:cs="Arial"/>
          <w:sz w:val="24"/>
          <w:szCs w:val="24"/>
          <w:u w:val="single"/>
        </w:rPr>
      </w:pPr>
      <w:r>
        <w:rPr>
          <w:rFonts w:ascii="Arial" w:hAnsi="Arial" w:cs="Arial"/>
          <w:sz w:val="24"/>
          <w:szCs w:val="24"/>
          <w:u w:val="single"/>
        </w:rPr>
        <w:t>S</w:t>
      </w:r>
      <w:r w:rsidR="00877DB9">
        <w:rPr>
          <w:rFonts w:ascii="Arial" w:hAnsi="Arial" w:cs="Arial"/>
          <w:sz w:val="24"/>
          <w:szCs w:val="24"/>
          <w:u w:val="single"/>
        </w:rPr>
        <w:t xml:space="preserve">cenario 6: </w:t>
      </w:r>
      <w:r w:rsidR="00877DB9" w:rsidRPr="00833E36">
        <w:rPr>
          <w:rFonts w:ascii="Arial" w:hAnsi="Arial" w:cs="Arial"/>
          <w:sz w:val="24"/>
          <w:szCs w:val="24"/>
          <w:u w:val="single"/>
        </w:rPr>
        <w:t>Non-default event</w:t>
      </w:r>
      <w:r w:rsidR="00877DB9">
        <w:rPr>
          <w:rFonts w:ascii="Arial" w:hAnsi="Arial" w:cs="Arial"/>
          <w:sz w:val="24"/>
          <w:szCs w:val="24"/>
          <w:u w:val="single"/>
        </w:rPr>
        <w:t xml:space="preserve"> </w:t>
      </w:r>
      <w:r w:rsidR="00877DB9" w:rsidRPr="00833E36">
        <w:rPr>
          <w:rFonts w:ascii="Arial" w:hAnsi="Arial" w:cs="Arial"/>
          <w:sz w:val="24"/>
          <w:szCs w:val="24"/>
          <w:u w:val="single"/>
        </w:rPr>
        <w:t>causing a liquidity shortfall</w:t>
      </w:r>
    </w:p>
    <w:p w14:paraId="4001E9F6" w14:textId="36368B08" w:rsidR="00F04826" w:rsidRDefault="00F04826" w:rsidP="007C27D8">
      <w:pPr>
        <w:rPr>
          <w:rFonts w:ascii="Arial" w:hAnsi="Arial" w:cs="Arial"/>
          <w:sz w:val="24"/>
          <w:szCs w:val="24"/>
        </w:rPr>
      </w:pPr>
      <w:r>
        <w:rPr>
          <w:rFonts w:ascii="Arial" w:hAnsi="Arial" w:cs="Arial"/>
          <w:sz w:val="24"/>
          <w:szCs w:val="24"/>
        </w:rPr>
        <w:lastRenderedPageBreak/>
        <w:t>Especially fo</w:t>
      </w:r>
      <w:r w:rsidR="004A6AE5">
        <w:rPr>
          <w:rFonts w:ascii="Arial" w:hAnsi="Arial" w:cs="Arial"/>
          <w:sz w:val="24"/>
          <w:szCs w:val="24"/>
        </w:rPr>
        <w:t>r</w:t>
      </w:r>
      <w:r>
        <w:rPr>
          <w:rFonts w:ascii="Arial" w:hAnsi="Arial" w:cs="Arial"/>
          <w:sz w:val="24"/>
          <w:szCs w:val="24"/>
        </w:rPr>
        <w:t xml:space="preserve"> non-default loss </w:t>
      </w:r>
      <w:r w:rsidR="00EF1A2D">
        <w:rPr>
          <w:rFonts w:ascii="Arial" w:hAnsi="Arial" w:cs="Arial"/>
          <w:sz w:val="24"/>
          <w:szCs w:val="24"/>
        </w:rPr>
        <w:t>scenarios</w:t>
      </w:r>
      <w:r>
        <w:rPr>
          <w:rFonts w:ascii="Arial" w:hAnsi="Arial" w:cs="Arial"/>
          <w:sz w:val="24"/>
          <w:szCs w:val="24"/>
        </w:rPr>
        <w:t xml:space="preserve">, we </w:t>
      </w:r>
      <w:r w:rsidR="00DE33BE">
        <w:rPr>
          <w:rFonts w:ascii="Arial" w:hAnsi="Arial" w:cs="Arial"/>
          <w:sz w:val="24"/>
          <w:szCs w:val="24"/>
        </w:rPr>
        <w:t xml:space="preserve">believe that CCPs should address all risk factors defined in guidance 2, </w:t>
      </w:r>
      <w:r w:rsidR="00EF1A2D">
        <w:rPr>
          <w:rFonts w:ascii="Arial" w:hAnsi="Arial" w:cs="Arial"/>
          <w:sz w:val="24"/>
          <w:szCs w:val="24"/>
        </w:rPr>
        <w:t xml:space="preserve">by </w:t>
      </w:r>
      <w:r w:rsidR="006B7F42">
        <w:rPr>
          <w:rFonts w:ascii="Arial" w:hAnsi="Arial" w:cs="Arial"/>
          <w:sz w:val="24"/>
          <w:szCs w:val="24"/>
        </w:rPr>
        <w:t>either</w:t>
      </w:r>
      <w:r w:rsidR="00EF1A2D">
        <w:rPr>
          <w:rFonts w:ascii="Arial" w:hAnsi="Arial" w:cs="Arial"/>
          <w:sz w:val="24"/>
          <w:szCs w:val="24"/>
        </w:rPr>
        <w:t xml:space="preserve"> confirming the </w:t>
      </w:r>
      <w:r w:rsidR="00C264ED">
        <w:rPr>
          <w:rFonts w:ascii="Arial" w:hAnsi="Arial" w:cs="Arial"/>
          <w:sz w:val="24"/>
          <w:szCs w:val="24"/>
        </w:rPr>
        <w:t xml:space="preserve">risk factor / </w:t>
      </w:r>
      <w:r w:rsidR="00EF1A2D">
        <w:rPr>
          <w:rFonts w:ascii="Arial" w:hAnsi="Arial" w:cs="Arial"/>
          <w:sz w:val="24"/>
          <w:szCs w:val="24"/>
        </w:rPr>
        <w:t xml:space="preserve">scenario as not being relevant or </w:t>
      </w:r>
      <w:r w:rsidR="00C264ED">
        <w:rPr>
          <w:rFonts w:ascii="Arial" w:hAnsi="Arial" w:cs="Arial"/>
          <w:sz w:val="24"/>
          <w:szCs w:val="24"/>
        </w:rPr>
        <w:t xml:space="preserve">including the risk factor or scenario in their </w:t>
      </w:r>
      <w:r w:rsidR="00EF1A2D">
        <w:rPr>
          <w:rFonts w:ascii="Arial" w:hAnsi="Arial" w:cs="Arial"/>
          <w:sz w:val="24"/>
          <w:szCs w:val="24"/>
        </w:rPr>
        <w:t>recovery plan</w:t>
      </w:r>
      <w:r w:rsidR="00776C24">
        <w:rPr>
          <w:rFonts w:ascii="Arial" w:hAnsi="Arial" w:cs="Arial"/>
          <w:sz w:val="24"/>
          <w:szCs w:val="24"/>
        </w:rPr>
        <w:t>.</w:t>
      </w:r>
    </w:p>
    <w:p w14:paraId="624ACC2D" w14:textId="77777777" w:rsidR="00803B0F" w:rsidRPr="00FC4113" w:rsidRDefault="00803B0F" w:rsidP="007C27D8">
      <w:pPr>
        <w:rPr>
          <w:rFonts w:ascii="Arial" w:hAnsi="Arial" w:cs="Arial"/>
          <w:sz w:val="24"/>
          <w:szCs w:val="24"/>
        </w:rPr>
      </w:pPr>
    </w:p>
    <w:p w14:paraId="54C10ACA" w14:textId="62CA916E" w:rsidR="00812ADD" w:rsidRPr="00FC4113" w:rsidRDefault="00812ADD" w:rsidP="00812ADD">
      <w:pPr>
        <w:rPr>
          <w:rFonts w:ascii="Arial" w:hAnsi="Arial" w:cs="Arial"/>
          <w:sz w:val="24"/>
          <w:szCs w:val="24"/>
        </w:rPr>
      </w:pPr>
      <w:r w:rsidRPr="00FC4113">
        <w:rPr>
          <w:rFonts w:ascii="Arial" w:hAnsi="Arial" w:cs="Arial"/>
          <w:sz w:val="24"/>
          <w:szCs w:val="24"/>
        </w:rPr>
        <w:t>&lt;ESMA_QUESTION_SCN_02&gt;</w:t>
      </w:r>
    </w:p>
    <w:p w14:paraId="0CC7C80B" w14:textId="77777777" w:rsidR="00812ADD" w:rsidRPr="00FC4113" w:rsidRDefault="00812ADD" w:rsidP="00812ADD">
      <w:pPr>
        <w:rPr>
          <w:rFonts w:ascii="Arial" w:hAnsi="Arial" w:cs="Arial"/>
          <w:sz w:val="24"/>
          <w:szCs w:val="24"/>
        </w:rPr>
      </w:pPr>
    </w:p>
    <w:p w14:paraId="67520D9C" w14:textId="1EB9358B"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that CCPs should further assess, based on the factors provided, whether it is necessary to create additional scenarios for each type of scenario?</w:t>
      </w:r>
    </w:p>
    <w:p w14:paraId="51E0FBAD" w14:textId="1E72EE29" w:rsidR="00812ADD" w:rsidRPr="00FC4113" w:rsidRDefault="00812ADD" w:rsidP="00812ADD">
      <w:pPr>
        <w:rPr>
          <w:rFonts w:ascii="Arial" w:hAnsi="Arial" w:cs="Arial"/>
          <w:sz w:val="24"/>
          <w:szCs w:val="24"/>
        </w:rPr>
      </w:pPr>
      <w:bookmarkStart w:id="1" w:name="_Hlk76119363"/>
      <w:r w:rsidRPr="00FC4113">
        <w:rPr>
          <w:rFonts w:ascii="Arial" w:hAnsi="Arial" w:cs="Arial"/>
          <w:sz w:val="24"/>
          <w:szCs w:val="24"/>
        </w:rPr>
        <w:t>&lt;ESMA_QUESTION_SCN_03&gt;</w:t>
      </w:r>
    </w:p>
    <w:p w14:paraId="3F240C2A" w14:textId="5017B41E" w:rsidR="00812ADD" w:rsidRDefault="009B6057" w:rsidP="00812ADD">
      <w:pPr>
        <w:rPr>
          <w:rFonts w:ascii="Arial" w:hAnsi="Arial" w:cs="Arial"/>
          <w:sz w:val="24"/>
          <w:szCs w:val="24"/>
        </w:rPr>
      </w:pPr>
      <w:r>
        <w:rPr>
          <w:rFonts w:ascii="Arial" w:hAnsi="Arial" w:cs="Arial"/>
          <w:sz w:val="24"/>
          <w:szCs w:val="24"/>
        </w:rPr>
        <w:t xml:space="preserve">We absolutely agree that the CCP </w:t>
      </w:r>
      <w:r w:rsidRPr="009B6057">
        <w:rPr>
          <w:rFonts w:ascii="Arial" w:hAnsi="Arial" w:cs="Arial"/>
          <w:sz w:val="24"/>
          <w:szCs w:val="24"/>
        </w:rPr>
        <w:t>should further assess</w:t>
      </w:r>
      <w:r>
        <w:rPr>
          <w:rFonts w:ascii="Arial" w:hAnsi="Arial" w:cs="Arial"/>
          <w:sz w:val="24"/>
          <w:szCs w:val="24"/>
        </w:rPr>
        <w:t xml:space="preserve"> </w:t>
      </w:r>
      <w:r w:rsidRPr="009B6057">
        <w:rPr>
          <w:rFonts w:ascii="Arial" w:hAnsi="Arial" w:cs="Arial"/>
          <w:sz w:val="24"/>
          <w:szCs w:val="24"/>
        </w:rPr>
        <w:t>whether it is necessary to create additional scenarios for each type of scenario</w:t>
      </w:r>
      <w:r>
        <w:rPr>
          <w:rFonts w:ascii="Arial" w:hAnsi="Arial" w:cs="Arial"/>
          <w:sz w:val="24"/>
          <w:szCs w:val="24"/>
        </w:rPr>
        <w:t xml:space="preserve"> – both </w:t>
      </w:r>
      <w:r w:rsidR="000A407F">
        <w:rPr>
          <w:rFonts w:ascii="Arial" w:hAnsi="Arial" w:cs="Arial"/>
          <w:sz w:val="24"/>
          <w:szCs w:val="24"/>
        </w:rPr>
        <w:t>from</w:t>
      </w:r>
      <w:r>
        <w:rPr>
          <w:rFonts w:ascii="Arial" w:hAnsi="Arial" w:cs="Arial"/>
          <w:sz w:val="24"/>
          <w:szCs w:val="24"/>
        </w:rPr>
        <w:t xml:space="preserve"> factors provided by the guidelines </w:t>
      </w:r>
      <w:r w:rsidR="00FD3E5F">
        <w:rPr>
          <w:rFonts w:ascii="Arial" w:hAnsi="Arial" w:cs="Arial"/>
          <w:sz w:val="24"/>
          <w:szCs w:val="24"/>
        </w:rPr>
        <w:t>and</w:t>
      </w:r>
      <w:r>
        <w:rPr>
          <w:rFonts w:ascii="Arial" w:hAnsi="Arial" w:cs="Arial"/>
          <w:sz w:val="24"/>
          <w:szCs w:val="24"/>
        </w:rPr>
        <w:t xml:space="preserve"> from the CCP’s knowledge of its business.</w:t>
      </w:r>
    </w:p>
    <w:p w14:paraId="3BD9A2C2" w14:textId="1524E51E" w:rsidR="009B6057" w:rsidRPr="00FC4113" w:rsidRDefault="009B6057" w:rsidP="00812ADD">
      <w:pPr>
        <w:rPr>
          <w:rFonts w:ascii="Arial" w:hAnsi="Arial" w:cs="Arial"/>
          <w:sz w:val="24"/>
          <w:szCs w:val="24"/>
        </w:rPr>
      </w:pPr>
      <w:r>
        <w:rPr>
          <w:rFonts w:ascii="Arial" w:hAnsi="Arial" w:cs="Arial"/>
          <w:sz w:val="24"/>
          <w:szCs w:val="24"/>
        </w:rPr>
        <w:t xml:space="preserve">It would be also helpful for the CCP to address a more detailed list of </w:t>
      </w:r>
      <w:r w:rsidR="000A407F">
        <w:rPr>
          <w:rFonts w:ascii="Arial" w:hAnsi="Arial" w:cs="Arial"/>
          <w:sz w:val="24"/>
          <w:szCs w:val="24"/>
        </w:rPr>
        <w:t>scenarios</w:t>
      </w:r>
      <w:r>
        <w:rPr>
          <w:rFonts w:ascii="Arial" w:hAnsi="Arial" w:cs="Arial"/>
          <w:sz w:val="24"/>
          <w:szCs w:val="24"/>
        </w:rPr>
        <w:t xml:space="preserve"> (see question </w:t>
      </w:r>
      <w:r w:rsidR="000A407F">
        <w:rPr>
          <w:rFonts w:ascii="Arial" w:hAnsi="Arial" w:cs="Arial"/>
          <w:sz w:val="24"/>
          <w:szCs w:val="24"/>
        </w:rPr>
        <w:t>2).</w:t>
      </w:r>
    </w:p>
    <w:p w14:paraId="64F38BCF" w14:textId="4247DA95" w:rsidR="00812ADD" w:rsidRPr="00FC4113" w:rsidRDefault="00812ADD" w:rsidP="00812ADD">
      <w:pPr>
        <w:rPr>
          <w:rFonts w:ascii="Arial" w:hAnsi="Arial" w:cs="Arial"/>
          <w:sz w:val="24"/>
          <w:szCs w:val="24"/>
        </w:rPr>
      </w:pPr>
      <w:r w:rsidRPr="00FC4113">
        <w:rPr>
          <w:rFonts w:ascii="Arial" w:hAnsi="Arial" w:cs="Arial"/>
          <w:sz w:val="24"/>
          <w:szCs w:val="24"/>
        </w:rPr>
        <w:t>&lt;ESMA_QUESTION_SCN_03&gt;</w:t>
      </w:r>
    </w:p>
    <w:p w14:paraId="59994BBC" w14:textId="39854A8A" w:rsidR="003D70CA" w:rsidRPr="00FC4113" w:rsidRDefault="003D70CA" w:rsidP="00812ADD">
      <w:pPr>
        <w:rPr>
          <w:rFonts w:ascii="Arial" w:hAnsi="Arial" w:cs="Arial"/>
          <w:sz w:val="24"/>
          <w:szCs w:val="24"/>
        </w:rPr>
      </w:pPr>
    </w:p>
    <w:p w14:paraId="6E477B42" w14:textId="323DF056" w:rsidR="00812ADD" w:rsidRPr="00FC4113" w:rsidRDefault="003D70CA" w:rsidP="003F4AAB">
      <w:pPr>
        <w:spacing w:line="276" w:lineRule="auto"/>
        <w:rPr>
          <w:rFonts w:ascii="Arial" w:hAnsi="Arial" w:cs="Arial"/>
          <w:sz w:val="24"/>
          <w:szCs w:val="24"/>
        </w:rPr>
      </w:pPr>
      <w:r w:rsidRPr="00FC4113">
        <w:rPr>
          <w:rFonts w:ascii="Arial" w:hAnsi="Arial" w:cs="Arial"/>
          <w:b/>
          <w:sz w:val="24"/>
          <w:szCs w:val="24"/>
        </w:rPr>
        <w:t>Guideline 2 Question:</w:t>
      </w:r>
      <w:bookmarkEnd w:id="1"/>
    </w:p>
    <w:p w14:paraId="475084DE" w14:textId="4B9140CF"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3D70CA" w:rsidRPr="00FC4113">
        <w:rPr>
          <w:rFonts w:ascii="Arial" w:hAnsi="Arial" w:cs="Arial"/>
          <w:sz w:val="24"/>
          <w:szCs w:val="24"/>
        </w:rPr>
        <w:t>Do you agree with the proposed Guideline 2 and the list of relevant types and sources of risk that CCPs should cover when building their range of recovery plans scenarios?</w:t>
      </w:r>
    </w:p>
    <w:p w14:paraId="77061615" w14:textId="055D86E3" w:rsidR="00812ADD" w:rsidRPr="00FC4113" w:rsidRDefault="00812ADD" w:rsidP="00812ADD">
      <w:pPr>
        <w:rPr>
          <w:rFonts w:ascii="Arial" w:hAnsi="Arial" w:cs="Arial"/>
          <w:sz w:val="24"/>
          <w:szCs w:val="24"/>
        </w:rPr>
      </w:pPr>
      <w:r w:rsidRPr="00FC4113">
        <w:rPr>
          <w:rFonts w:ascii="Arial" w:hAnsi="Arial" w:cs="Arial"/>
          <w:sz w:val="24"/>
          <w:szCs w:val="24"/>
        </w:rPr>
        <w:t>&lt;ESMA_QUESTION_SCN_04&gt;</w:t>
      </w:r>
    </w:p>
    <w:p w14:paraId="74BE4F50" w14:textId="06D8CBF8" w:rsidR="0003131A" w:rsidRDefault="0003131A" w:rsidP="00812ADD">
      <w:pPr>
        <w:rPr>
          <w:rFonts w:ascii="Arial" w:hAnsi="Arial" w:cs="Arial"/>
          <w:sz w:val="24"/>
          <w:szCs w:val="24"/>
        </w:rPr>
      </w:pPr>
      <w:r>
        <w:rPr>
          <w:rFonts w:ascii="Arial" w:hAnsi="Arial" w:cs="Arial"/>
          <w:sz w:val="24"/>
          <w:szCs w:val="24"/>
        </w:rPr>
        <w:t xml:space="preserve">Yes, we agree with </w:t>
      </w:r>
      <w:r w:rsidR="008F3A16">
        <w:rPr>
          <w:rFonts w:ascii="Arial" w:hAnsi="Arial" w:cs="Arial"/>
          <w:sz w:val="24"/>
          <w:szCs w:val="24"/>
        </w:rPr>
        <w:t>proposed guideline</w:t>
      </w:r>
      <w:r w:rsidR="00AC6074">
        <w:rPr>
          <w:rFonts w:ascii="Arial" w:hAnsi="Arial" w:cs="Arial"/>
          <w:sz w:val="24"/>
          <w:szCs w:val="24"/>
        </w:rPr>
        <w:t xml:space="preserve"> 2</w:t>
      </w:r>
      <w:r>
        <w:rPr>
          <w:rFonts w:ascii="Arial" w:hAnsi="Arial" w:cs="Arial"/>
          <w:sz w:val="24"/>
          <w:szCs w:val="24"/>
        </w:rPr>
        <w:t>.</w:t>
      </w:r>
    </w:p>
    <w:p w14:paraId="3C11CC5C" w14:textId="4C43F846" w:rsidR="0003131A" w:rsidRDefault="003116E9" w:rsidP="00812ADD">
      <w:pPr>
        <w:rPr>
          <w:rFonts w:ascii="Arial" w:hAnsi="Arial" w:cs="Arial"/>
          <w:sz w:val="24"/>
          <w:szCs w:val="24"/>
        </w:rPr>
      </w:pPr>
      <w:r>
        <w:rPr>
          <w:rFonts w:ascii="Arial" w:hAnsi="Arial" w:cs="Arial"/>
          <w:sz w:val="24"/>
          <w:szCs w:val="24"/>
        </w:rPr>
        <w:t>H</w:t>
      </w:r>
      <w:r w:rsidR="0003131A">
        <w:rPr>
          <w:rFonts w:ascii="Arial" w:hAnsi="Arial" w:cs="Arial"/>
          <w:sz w:val="24"/>
          <w:szCs w:val="24"/>
        </w:rPr>
        <w:t>owever</w:t>
      </w:r>
      <w:r>
        <w:rPr>
          <w:rFonts w:ascii="Arial" w:hAnsi="Arial" w:cs="Arial"/>
          <w:sz w:val="24"/>
          <w:szCs w:val="24"/>
        </w:rPr>
        <w:t>, we</w:t>
      </w:r>
      <w:r w:rsidR="0003131A">
        <w:rPr>
          <w:rFonts w:ascii="Arial" w:hAnsi="Arial" w:cs="Arial"/>
          <w:sz w:val="24"/>
          <w:szCs w:val="24"/>
        </w:rPr>
        <w:t xml:space="preserve"> note that the CCP should not only look at plausible scenarios, as extreme but plausible scenarios should already </w:t>
      </w:r>
      <w:r>
        <w:rPr>
          <w:rFonts w:ascii="Arial" w:hAnsi="Arial" w:cs="Arial"/>
          <w:sz w:val="24"/>
          <w:szCs w:val="24"/>
        </w:rPr>
        <w:t xml:space="preserve">be </w:t>
      </w:r>
      <w:r w:rsidR="0003131A">
        <w:rPr>
          <w:rFonts w:ascii="Arial" w:hAnsi="Arial" w:cs="Arial"/>
          <w:sz w:val="24"/>
          <w:szCs w:val="24"/>
        </w:rPr>
        <w:t xml:space="preserve">part of </w:t>
      </w:r>
      <w:r>
        <w:rPr>
          <w:rFonts w:ascii="Arial" w:hAnsi="Arial" w:cs="Arial"/>
          <w:sz w:val="24"/>
          <w:szCs w:val="24"/>
        </w:rPr>
        <w:t xml:space="preserve">the </w:t>
      </w:r>
      <w:r w:rsidR="0003131A">
        <w:rPr>
          <w:rFonts w:ascii="Arial" w:hAnsi="Arial" w:cs="Arial"/>
          <w:sz w:val="24"/>
          <w:szCs w:val="24"/>
        </w:rPr>
        <w:t>stress testing</w:t>
      </w:r>
      <w:r>
        <w:rPr>
          <w:rFonts w:ascii="Arial" w:hAnsi="Arial" w:cs="Arial"/>
          <w:sz w:val="24"/>
          <w:szCs w:val="24"/>
        </w:rPr>
        <w:t xml:space="preserve"> approach</w:t>
      </w:r>
      <w:r w:rsidR="0003131A">
        <w:rPr>
          <w:rFonts w:ascii="Arial" w:hAnsi="Arial" w:cs="Arial"/>
          <w:sz w:val="24"/>
          <w:szCs w:val="24"/>
        </w:rPr>
        <w:t>.</w:t>
      </w:r>
    </w:p>
    <w:p w14:paraId="2EB634EC" w14:textId="4F2FE725" w:rsidR="00812ADD" w:rsidRPr="00FC4113" w:rsidRDefault="00812ADD" w:rsidP="00812ADD">
      <w:pPr>
        <w:rPr>
          <w:rFonts w:ascii="Arial" w:hAnsi="Arial" w:cs="Arial"/>
          <w:sz w:val="24"/>
          <w:szCs w:val="24"/>
        </w:rPr>
      </w:pPr>
      <w:r w:rsidRPr="00FC4113">
        <w:rPr>
          <w:rFonts w:ascii="Arial" w:hAnsi="Arial" w:cs="Arial"/>
          <w:sz w:val="24"/>
          <w:szCs w:val="24"/>
        </w:rPr>
        <w:t>&lt;ESMA_QUESTION_SCN_04&gt;</w:t>
      </w:r>
    </w:p>
    <w:p w14:paraId="7BC3542C" w14:textId="0F81251B" w:rsidR="0027691E" w:rsidRPr="00FC4113" w:rsidRDefault="0027691E" w:rsidP="00812ADD">
      <w:pPr>
        <w:rPr>
          <w:rFonts w:ascii="Arial" w:hAnsi="Arial" w:cs="Arial"/>
          <w:b/>
          <w:sz w:val="24"/>
          <w:szCs w:val="24"/>
        </w:rPr>
      </w:pPr>
    </w:p>
    <w:p w14:paraId="04C0C083" w14:textId="77777777" w:rsidR="0027691E" w:rsidRPr="00FC4113" w:rsidRDefault="0027691E" w:rsidP="00812ADD">
      <w:pPr>
        <w:rPr>
          <w:rFonts w:ascii="Arial" w:hAnsi="Arial" w:cs="Arial"/>
          <w:b/>
          <w:sz w:val="24"/>
          <w:szCs w:val="24"/>
        </w:rPr>
      </w:pPr>
    </w:p>
    <w:p w14:paraId="08B00F60" w14:textId="77777777" w:rsidR="0027691E" w:rsidRPr="00FC4113" w:rsidRDefault="0027691E" w:rsidP="00812ADD">
      <w:pPr>
        <w:rPr>
          <w:rFonts w:ascii="Arial" w:hAnsi="Arial" w:cs="Arial"/>
          <w:b/>
          <w:sz w:val="24"/>
          <w:szCs w:val="24"/>
        </w:rPr>
      </w:pPr>
    </w:p>
    <w:p w14:paraId="7E9A3AB7" w14:textId="77777777" w:rsidR="003F4AAB" w:rsidRPr="00FC4113" w:rsidRDefault="003F4AAB" w:rsidP="00812ADD">
      <w:pPr>
        <w:rPr>
          <w:rFonts w:ascii="Arial" w:hAnsi="Arial" w:cs="Arial"/>
          <w:b/>
          <w:sz w:val="24"/>
          <w:szCs w:val="24"/>
        </w:rPr>
      </w:pPr>
    </w:p>
    <w:p w14:paraId="68793FDE" w14:textId="0D39D482" w:rsidR="0027691E" w:rsidRPr="00FC4113" w:rsidRDefault="0027691E" w:rsidP="00812ADD">
      <w:pPr>
        <w:rPr>
          <w:rFonts w:ascii="Arial" w:hAnsi="Arial" w:cs="Arial"/>
          <w:b/>
          <w:sz w:val="24"/>
          <w:szCs w:val="24"/>
        </w:rPr>
      </w:pPr>
      <w:r w:rsidRPr="00FC4113">
        <w:rPr>
          <w:rFonts w:ascii="Arial" w:hAnsi="Arial" w:cs="Arial"/>
          <w:b/>
          <w:sz w:val="24"/>
          <w:szCs w:val="24"/>
        </w:rPr>
        <w:t xml:space="preserve">Guideline 3 Questions: </w:t>
      </w:r>
    </w:p>
    <w:p w14:paraId="1E8EE73E" w14:textId="4D24E368"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 xml:space="preserve">Do you agree with the proposed Guideline 3 and the principles for determining the magnitude of the recovery plan scenarios (with reference to the overall risk </w:t>
      </w:r>
      <w:r w:rsidR="0027691E" w:rsidRPr="00FC4113">
        <w:rPr>
          <w:rFonts w:ascii="Arial" w:hAnsi="Arial" w:cs="Arial"/>
          <w:sz w:val="24"/>
          <w:szCs w:val="24"/>
        </w:rPr>
        <w:lastRenderedPageBreak/>
        <w:t>management framework of the CCP as required by EMIR and the relevant RTSs)?</w:t>
      </w:r>
    </w:p>
    <w:p w14:paraId="6B4A0AA4" w14:textId="39A5F356" w:rsidR="00812ADD" w:rsidRPr="00FC4113" w:rsidRDefault="00812ADD" w:rsidP="00812ADD">
      <w:pPr>
        <w:rPr>
          <w:rFonts w:ascii="Arial" w:hAnsi="Arial" w:cs="Arial"/>
          <w:sz w:val="24"/>
          <w:szCs w:val="24"/>
        </w:rPr>
      </w:pPr>
      <w:r w:rsidRPr="00FC4113">
        <w:rPr>
          <w:rFonts w:ascii="Arial" w:hAnsi="Arial" w:cs="Arial"/>
          <w:sz w:val="24"/>
          <w:szCs w:val="24"/>
        </w:rPr>
        <w:t>&lt;ESMA_QUESTION_SCN_05&gt;</w:t>
      </w:r>
    </w:p>
    <w:p w14:paraId="5BC29D3C" w14:textId="66986214" w:rsidR="00550B55" w:rsidRDefault="00550B55" w:rsidP="00812ADD">
      <w:pPr>
        <w:rPr>
          <w:rFonts w:ascii="Arial" w:hAnsi="Arial" w:cs="Arial"/>
          <w:sz w:val="24"/>
          <w:szCs w:val="24"/>
        </w:rPr>
      </w:pPr>
      <w:r>
        <w:rPr>
          <w:rFonts w:ascii="Arial" w:hAnsi="Arial" w:cs="Arial"/>
          <w:sz w:val="24"/>
          <w:szCs w:val="24"/>
        </w:rPr>
        <w:t xml:space="preserve">While </w:t>
      </w:r>
      <w:r w:rsidR="008379D9">
        <w:rPr>
          <w:rFonts w:ascii="Arial" w:hAnsi="Arial" w:cs="Arial"/>
          <w:sz w:val="24"/>
          <w:szCs w:val="24"/>
        </w:rPr>
        <w:t xml:space="preserve">the estimation of severity of scenarios can </w:t>
      </w:r>
      <w:r>
        <w:rPr>
          <w:rFonts w:ascii="Arial" w:hAnsi="Arial" w:cs="Arial"/>
          <w:sz w:val="24"/>
          <w:szCs w:val="24"/>
        </w:rPr>
        <w:t xml:space="preserve">be helpful for </w:t>
      </w:r>
      <w:r w:rsidR="003116E9">
        <w:rPr>
          <w:rFonts w:ascii="Arial" w:hAnsi="Arial" w:cs="Arial"/>
          <w:sz w:val="24"/>
          <w:szCs w:val="24"/>
        </w:rPr>
        <w:t xml:space="preserve">the </w:t>
      </w:r>
      <w:r>
        <w:rPr>
          <w:rFonts w:ascii="Arial" w:hAnsi="Arial" w:cs="Arial"/>
          <w:sz w:val="24"/>
          <w:szCs w:val="24"/>
        </w:rPr>
        <w:t>sizing of resources</w:t>
      </w:r>
      <w:r w:rsidR="008379D9">
        <w:rPr>
          <w:rFonts w:ascii="Arial" w:hAnsi="Arial" w:cs="Arial"/>
          <w:sz w:val="24"/>
          <w:szCs w:val="24"/>
        </w:rPr>
        <w:t xml:space="preserve">, we believe that </w:t>
      </w:r>
      <w:r w:rsidR="00B9180B">
        <w:rPr>
          <w:rFonts w:ascii="Arial" w:hAnsi="Arial" w:cs="Arial"/>
          <w:sz w:val="24"/>
          <w:szCs w:val="24"/>
        </w:rPr>
        <w:t xml:space="preserve">the </w:t>
      </w:r>
      <w:r w:rsidR="004F5DFF">
        <w:rPr>
          <w:rFonts w:ascii="Arial" w:hAnsi="Arial" w:cs="Arial"/>
          <w:sz w:val="24"/>
          <w:szCs w:val="24"/>
        </w:rPr>
        <w:t>magnitude</w:t>
      </w:r>
      <w:r w:rsidR="00B9180B">
        <w:rPr>
          <w:rFonts w:ascii="Arial" w:hAnsi="Arial" w:cs="Arial"/>
          <w:sz w:val="24"/>
          <w:szCs w:val="24"/>
        </w:rPr>
        <w:t xml:space="preserve"> o</w:t>
      </w:r>
      <w:r w:rsidR="00FC48A6">
        <w:rPr>
          <w:rFonts w:ascii="Arial" w:hAnsi="Arial" w:cs="Arial"/>
          <w:sz w:val="24"/>
          <w:szCs w:val="24"/>
        </w:rPr>
        <w:t>f</w:t>
      </w:r>
      <w:r w:rsidR="00B9180B">
        <w:rPr>
          <w:rFonts w:ascii="Arial" w:hAnsi="Arial" w:cs="Arial"/>
          <w:sz w:val="24"/>
          <w:szCs w:val="24"/>
        </w:rPr>
        <w:t xml:space="preserve"> recovery </w:t>
      </w:r>
      <w:r w:rsidR="004F5DFF">
        <w:rPr>
          <w:rFonts w:ascii="Arial" w:hAnsi="Arial" w:cs="Arial"/>
          <w:sz w:val="24"/>
          <w:szCs w:val="24"/>
        </w:rPr>
        <w:t>scenarios</w:t>
      </w:r>
      <w:r w:rsidR="00B9180B">
        <w:rPr>
          <w:rFonts w:ascii="Arial" w:hAnsi="Arial" w:cs="Arial"/>
          <w:sz w:val="24"/>
          <w:szCs w:val="24"/>
        </w:rPr>
        <w:t xml:space="preserve"> is a secondary </w:t>
      </w:r>
      <w:r w:rsidR="004F5DFF">
        <w:rPr>
          <w:rFonts w:ascii="Arial" w:hAnsi="Arial" w:cs="Arial"/>
          <w:sz w:val="24"/>
          <w:szCs w:val="24"/>
        </w:rPr>
        <w:t>issue</w:t>
      </w:r>
      <w:r w:rsidR="00B9180B">
        <w:rPr>
          <w:rFonts w:ascii="Arial" w:hAnsi="Arial" w:cs="Arial"/>
          <w:sz w:val="24"/>
          <w:szCs w:val="24"/>
        </w:rPr>
        <w:t xml:space="preserve">: </w:t>
      </w:r>
      <w:proofErr w:type="gramStart"/>
      <w:r w:rsidR="00B9180B">
        <w:rPr>
          <w:rFonts w:ascii="Arial" w:hAnsi="Arial" w:cs="Arial"/>
          <w:sz w:val="24"/>
          <w:szCs w:val="24"/>
        </w:rPr>
        <w:t>By definition a</w:t>
      </w:r>
      <w:proofErr w:type="gramEnd"/>
      <w:r w:rsidR="00B9180B">
        <w:rPr>
          <w:rFonts w:ascii="Arial" w:hAnsi="Arial" w:cs="Arial"/>
          <w:sz w:val="24"/>
          <w:szCs w:val="24"/>
        </w:rPr>
        <w:t xml:space="preserve"> </w:t>
      </w:r>
      <w:r w:rsidR="004F5DFF">
        <w:rPr>
          <w:rFonts w:ascii="Arial" w:hAnsi="Arial" w:cs="Arial"/>
          <w:sz w:val="24"/>
          <w:szCs w:val="24"/>
        </w:rPr>
        <w:t>recovery</w:t>
      </w:r>
      <w:r w:rsidR="00B9180B">
        <w:rPr>
          <w:rFonts w:ascii="Arial" w:hAnsi="Arial" w:cs="Arial"/>
          <w:sz w:val="24"/>
          <w:szCs w:val="24"/>
        </w:rPr>
        <w:t xml:space="preserve"> scenario would be a </w:t>
      </w:r>
      <w:r w:rsidR="004F5DFF">
        <w:rPr>
          <w:rFonts w:ascii="Arial" w:hAnsi="Arial" w:cs="Arial"/>
          <w:sz w:val="24"/>
          <w:szCs w:val="24"/>
        </w:rPr>
        <w:t>scenario</w:t>
      </w:r>
      <w:r w:rsidR="00B9180B">
        <w:rPr>
          <w:rFonts w:ascii="Arial" w:hAnsi="Arial" w:cs="Arial"/>
          <w:sz w:val="24"/>
          <w:szCs w:val="24"/>
        </w:rPr>
        <w:t xml:space="preserve"> that either exceeds </w:t>
      </w:r>
      <w:r w:rsidR="004F5DFF">
        <w:rPr>
          <w:rFonts w:ascii="Arial" w:hAnsi="Arial" w:cs="Arial"/>
          <w:sz w:val="24"/>
          <w:szCs w:val="24"/>
        </w:rPr>
        <w:t xml:space="preserve">prefunded resources of the </w:t>
      </w:r>
      <w:r w:rsidR="00D000A1">
        <w:rPr>
          <w:rFonts w:ascii="Arial" w:hAnsi="Arial" w:cs="Arial"/>
          <w:sz w:val="24"/>
          <w:szCs w:val="24"/>
        </w:rPr>
        <w:t>CCP or</w:t>
      </w:r>
      <w:r w:rsidR="004F5DFF">
        <w:rPr>
          <w:rFonts w:ascii="Arial" w:hAnsi="Arial" w:cs="Arial"/>
          <w:sz w:val="24"/>
          <w:szCs w:val="24"/>
        </w:rPr>
        <w:t xml:space="preserve"> affects the CCP in another way that would </w:t>
      </w:r>
      <w:r w:rsidR="00D164DD">
        <w:rPr>
          <w:rFonts w:ascii="Arial" w:hAnsi="Arial" w:cs="Arial"/>
          <w:sz w:val="24"/>
          <w:szCs w:val="24"/>
        </w:rPr>
        <w:t>prevent</w:t>
      </w:r>
      <w:r w:rsidR="004F5DFF">
        <w:rPr>
          <w:rFonts w:ascii="Arial" w:hAnsi="Arial" w:cs="Arial"/>
          <w:sz w:val="24"/>
          <w:szCs w:val="24"/>
        </w:rPr>
        <w:t xml:space="preserve"> it from providing its critical services </w:t>
      </w:r>
      <w:r w:rsidR="00923225">
        <w:rPr>
          <w:rFonts w:ascii="Arial" w:hAnsi="Arial" w:cs="Arial"/>
          <w:sz w:val="24"/>
          <w:szCs w:val="24"/>
        </w:rPr>
        <w:t>for</w:t>
      </w:r>
      <w:r w:rsidR="004F5DFF">
        <w:rPr>
          <w:rFonts w:ascii="Arial" w:hAnsi="Arial" w:cs="Arial"/>
          <w:sz w:val="24"/>
          <w:szCs w:val="24"/>
        </w:rPr>
        <w:t xml:space="preserve"> the market.</w:t>
      </w:r>
    </w:p>
    <w:p w14:paraId="646136DB" w14:textId="582AC252" w:rsidR="00812ADD" w:rsidRPr="00FC4113" w:rsidRDefault="00812ADD" w:rsidP="00812ADD">
      <w:pPr>
        <w:rPr>
          <w:rFonts w:ascii="Arial" w:hAnsi="Arial" w:cs="Arial"/>
          <w:sz w:val="24"/>
          <w:szCs w:val="24"/>
        </w:rPr>
      </w:pPr>
      <w:r w:rsidRPr="00FC4113">
        <w:rPr>
          <w:rFonts w:ascii="Arial" w:hAnsi="Arial" w:cs="Arial"/>
          <w:sz w:val="24"/>
          <w:szCs w:val="24"/>
        </w:rPr>
        <w:t>&lt;ESMA_QUESTION_SCN_05&gt;</w:t>
      </w:r>
    </w:p>
    <w:p w14:paraId="00825384" w14:textId="77777777" w:rsidR="00812ADD" w:rsidRPr="00FC4113" w:rsidRDefault="00812ADD" w:rsidP="00812ADD">
      <w:pPr>
        <w:rPr>
          <w:rFonts w:ascii="Arial" w:hAnsi="Arial" w:cs="Arial"/>
          <w:sz w:val="24"/>
          <w:szCs w:val="24"/>
        </w:rPr>
      </w:pPr>
    </w:p>
    <w:p w14:paraId="22CAAE45" w14:textId="31570D04"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As regards operational risk, do you agree the recovery plan scenarios should include, if deemed relevant, scenarios in which all resiliency measures that form part of the policies and procedures required by Article 34 of EMIR are surpassed, leading to a failure in one or more critical functions of the CCP that exceed the legal requirement set out in article 17(6) of RTS 153/2013?</w:t>
      </w:r>
    </w:p>
    <w:p w14:paraId="548C5333" w14:textId="37E5F3EB"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0EA7470C" w14:textId="59998901" w:rsidR="00923225" w:rsidRPr="00FC4113" w:rsidRDefault="00D164DD" w:rsidP="00812ADD">
      <w:pPr>
        <w:rPr>
          <w:rFonts w:ascii="Arial" w:hAnsi="Arial" w:cs="Arial"/>
          <w:sz w:val="24"/>
          <w:szCs w:val="24"/>
        </w:rPr>
      </w:pPr>
      <w:r>
        <w:rPr>
          <w:rFonts w:ascii="Arial" w:hAnsi="Arial" w:cs="Arial"/>
          <w:sz w:val="24"/>
          <w:szCs w:val="24"/>
        </w:rPr>
        <w:t xml:space="preserve">In line with </w:t>
      </w:r>
      <w:r w:rsidR="00923225">
        <w:rPr>
          <w:rFonts w:ascii="Arial" w:hAnsi="Arial" w:cs="Arial"/>
          <w:sz w:val="24"/>
          <w:szCs w:val="24"/>
        </w:rPr>
        <w:t xml:space="preserve">our response to question 5, we believe that </w:t>
      </w:r>
      <w:r w:rsidR="005A6011">
        <w:rPr>
          <w:rFonts w:ascii="Arial" w:hAnsi="Arial" w:cs="Arial"/>
          <w:sz w:val="24"/>
          <w:szCs w:val="24"/>
        </w:rPr>
        <w:t xml:space="preserve">recovery scenarios </w:t>
      </w:r>
      <w:proofErr w:type="gramStart"/>
      <w:r w:rsidR="005A6011">
        <w:rPr>
          <w:rFonts w:ascii="Arial" w:hAnsi="Arial" w:cs="Arial"/>
          <w:sz w:val="24"/>
          <w:szCs w:val="24"/>
        </w:rPr>
        <w:t>by definition are</w:t>
      </w:r>
      <w:proofErr w:type="gramEnd"/>
      <w:r w:rsidR="005A6011">
        <w:rPr>
          <w:rFonts w:ascii="Arial" w:hAnsi="Arial" w:cs="Arial"/>
          <w:sz w:val="24"/>
          <w:szCs w:val="24"/>
        </w:rPr>
        <w:t xml:space="preserve"> scenarios that surpass the existing provision</w:t>
      </w:r>
      <w:r w:rsidR="00224613">
        <w:rPr>
          <w:rFonts w:ascii="Arial" w:hAnsi="Arial" w:cs="Arial"/>
          <w:sz w:val="24"/>
          <w:szCs w:val="24"/>
        </w:rPr>
        <w:t>s</w:t>
      </w:r>
      <w:r w:rsidR="005A6011">
        <w:rPr>
          <w:rFonts w:ascii="Arial" w:hAnsi="Arial" w:cs="Arial"/>
          <w:sz w:val="24"/>
          <w:szCs w:val="24"/>
        </w:rPr>
        <w:t xml:space="preserve">, </w:t>
      </w:r>
      <w:r w:rsidR="00224613">
        <w:rPr>
          <w:rFonts w:ascii="Arial" w:hAnsi="Arial" w:cs="Arial"/>
          <w:sz w:val="24"/>
          <w:szCs w:val="24"/>
        </w:rPr>
        <w:t xml:space="preserve">be they </w:t>
      </w:r>
      <w:r w:rsidR="005A6011">
        <w:rPr>
          <w:rFonts w:ascii="Arial" w:hAnsi="Arial" w:cs="Arial"/>
          <w:sz w:val="24"/>
          <w:szCs w:val="24"/>
        </w:rPr>
        <w:t>either financial or operatio</w:t>
      </w:r>
      <w:r w:rsidR="006B5F4D">
        <w:rPr>
          <w:rFonts w:ascii="Arial" w:hAnsi="Arial" w:cs="Arial"/>
          <w:sz w:val="24"/>
          <w:szCs w:val="24"/>
        </w:rPr>
        <w:t xml:space="preserve">nal. </w:t>
      </w:r>
      <w:r w:rsidR="005A6011">
        <w:rPr>
          <w:rFonts w:ascii="Arial" w:hAnsi="Arial" w:cs="Arial"/>
          <w:sz w:val="24"/>
          <w:szCs w:val="24"/>
        </w:rPr>
        <w:t>Therefore</w:t>
      </w:r>
      <w:r w:rsidR="00BE338F">
        <w:rPr>
          <w:rFonts w:ascii="Arial" w:hAnsi="Arial" w:cs="Arial"/>
          <w:sz w:val="24"/>
          <w:szCs w:val="24"/>
        </w:rPr>
        <w:t xml:space="preserve">, </w:t>
      </w:r>
      <w:r w:rsidR="005A6011">
        <w:rPr>
          <w:rFonts w:ascii="Arial" w:hAnsi="Arial" w:cs="Arial"/>
          <w:sz w:val="24"/>
          <w:szCs w:val="24"/>
        </w:rPr>
        <w:t xml:space="preserve">we </w:t>
      </w:r>
      <w:r w:rsidR="00BE338F">
        <w:rPr>
          <w:rFonts w:ascii="Arial" w:hAnsi="Arial" w:cs="Arial"/>
          <w:sz w:val="24"/>
          <w:szCs w:val="24"/>
        </w:rPr>
        <w:t>strongly</w:t>
      </w:r>
      <w:r w:rsidR="005A6011">
        <w:rPr>
          <w:rFonts w:ascii="Arial" w:hAnsi="Arial" w:cs="Arial"/>
          <w:sz w:val="24"/>
          <w:szCs w:val="24"/>
        </w:rPr>
        <w:t xml:space="preserve"> agree that </w:t>
      </w:r>
      <w:r w:rsidR="005A6011" w:rsidRPr="005A6011">
        <w:rPr>
          <w:rFonts w:ascii="Arial" w:hAnsi="Arial" w:cs="Arial"/>
          <w:sz w:val="24"/>
          <w:szCs w:val="24"/>
        </w:rPr>
        <w:t>the recovery plan scenarios should include, if deemed relevant, scenarios in which all resiliency measures that form part of the policies and procedures required by Article 34 of EMIR are surpassed, leading to a failure in one or more critical functions of the CCP that exceed the legal requirement set out in article 17(6) of RTS 153/2013</w:t>
      </w:r>
      <w:r w:rsidR="005A6011">
        <w:rPr>
          <w:rFonts w:ascii="Arial" w:hAnsi="Arial" w:cs="Arial"/>
          <w:sz w:val="24"/>
          <w:szCs w:val="24"/>
        </w:rPr>
        <w:t>.</w:t>
      </w:r>
      <w:r w:rsidR="00997C98">
        <w:rPr>
          <w:rFonts w:ascii="Arial" w:hAnsi="Arial" w:cs="Arial"/>
          <w:sz w:val="24"/>
          <w:szCs w:val="24"/>
        </w:rPr>
        <w:t xml:space="preserve"> </w:t>
      </w:r>
    </w:p>
    <w:p w14:paraId="668513F8" w14:textId="12E162D8" w:rsidR="00812ADD" w:rsidRPr="00FC4113" w:rsidRDefault="00812ADD" w:rsidP="00812ADD">
      <w:pPr>
        <w:rPr>
          <w:rFonts w:ascii="Arial" w:hAnsi="Arial" w:cs="Arial"/>
          <w:sz w:val="24"/>
          <w:szCs w:val="24"/>
        </w:rPr>
      </w:pPr>
      <w:r w:rsidRPr="00FC4113">
        <w:rPr>
          <w:rFonts w:ascii="Arial" w:hAnsi="Arial" w:cs="Arial"/>
          <w:sz w:val="24"/>
          <w:szCs w:val="24"/>
        </w:rPr>
        <w:t>&lt;ESMA_QUESTION_SCN_06&gt;</w:t>
      </w:r>
    </w:p>
    <w:p w14:paraId="1A5C06F5" w14:textId="739B24B9" w:rsidR="00812ADD" w:rsidRPr="00FC4113" w:rsidRDefault="00812ADD" w:rsidP="00812ADD">
      <w:pPr>
        <w:rPr>
          <w:rFonts w:ascii="Arial" w:hAnsi="Arial" w:cs="Arial"/>
          <w:sz w:val="24"/>
          <w:szCs w:val="24"/>
        </w:rPr>
      </w:pPr>
    </w:p>
    <w:p w14:paraId="394B0D73" w14:textId="7DCB8739" w:rsidR="0027691E" w:rsidRPr="00FC4113" w:rsidRDefault="0027691E" w:rsidP="00812ADD">
      <w:pPr>
        <w:rPr>
          <w:rFonts w:ascii="Arial" w:hAnsi="Arial" w:cs="Arial"/>
          <w:sz w:val="24"/>
          <w:szCs w:val="24"/>
        </w:rPr>
      </w:pPr>
      <w:r w:rsidRPr="00FC4113">
        <w:rPr>
          <w:rFonts w:ascii="Arial" w:hAnsi="Arial" w:cs="Arial"/>
          <w:b/>
          <w:sz w:val="24"/>
          <w:szCs w:val="24"/>
        </w:rPr>
        <w:t xml:space="preserve">Guideline 4 Question: </w:t>
      </w:r>
    </w:p>
    <w:p w14:paraId="5783B421" w14:textId="3A4CC930"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4 and the information to be included when describing the recovery plan scenarios?</w:t>
      </w:r>
    </w:p>
    <w:p w14:paraId="72A228A2" w14:textId="02FE623A" w:rsidR="00812ADD" w:rsidRPr="00FC4113" w:rsidRDefault="00812ADD" w:rsidP="00812ADD">
      <w:pPr>
        <w:rPr>
          <w:rFonts w:ascii="Arial" w:hAnsi="Arial" w:cs="Arial"/>
          <w:sz w:val="24"/>
          <w:szCs w:val="24"/>
        </w:rPr>
      </w:pPr>
      <w:bookmarkStart w:id="2" w:name="_Hlk76119475"/>
      <w:r w:rsidRPr="00FC4113">
        <w:rPr>
          <w:rFonts w:ascii="Arial" w:hAnsi="Arial" w:cs="Arial"/>
          <w:sz w:val="24"/>
          <w:szCs w:val="24"/>
        </w:rPr>
        <w:t>&lt;ESMA_QUESTION_SCN_07&gt;</w:t>
      </w:r>
    </w:p>
    <w:p w14:paraId="57A1E2DD" w14:textId="5A7A1062" w:rsidR="00686275" w:rsidRDefault="00686275" w:rsidP="00812ADD">
      <w:pPr>
        <w:rPr>
          <w:rFonts w:ascii="Arial" w:hAnsi="Arial" w:cs="Arial"/>
          <w:sz w:val="24"/>
          <w:szCs w:val="24"/>
        </w:rPr>
      </w:pPr>
      <w:r>
        <w:rPr>
          <w:rFonts w:ascii="Arial" w:hAnsi="Arial" w:cs="Arial"/>
          <w:sz w:val="24"/>
          <w:szCs w:val="24"/>
        </w:rPr>
        <w:t xml:space="preserve">We agree with </w:t>
      </w:r>
      <w:r w:rsidR="00B33E87">
        <w:rPr>
          <w:rFonts w:ascii="Arial" w:hAnsi="Arial" w:cs="Arial"/>
          <w:sz w:val="24"/>
          <w:szCs w:val="24"/>
        </w:rPr>
        <w:t xml:space="preserve">the </w:t>
      </w:r>
      <w:r w:rsidR="00553C37" w:rsidRPr="00553C37">
        <w:rPr>
          <w:rFonts w:ascii="Arial" w:hAnsi="Arial" w:cs="Arial"/>
          <w:sz w:val="24"/>
          <w:szCs w:val="24"/>
        </w:rPr>
        <w:t>information to be included when describing the recovery plan scenarios</w:t>
      </w:r>
      <w:r w:rsidR="00553C37">
        <w:rPr>
          <w:rFonts w:ascii="Arial" w:hAnsi="Arial" w:cs="Arial"/>
          <w:sz w:val="24"/>
          <w:szCs w:val="24"/>
        </w:rPr>
        <w:t>.</w:t>
      </w:r>
    </w:p>
    <w:p w14:paraId="17D378C3" w14:textId="2E1EBC8D" w:rsidR="00553C37" w:rsidRDefault="00553C37" w:rsidP="00812ADD">
      <w:pPr>
        <w:rPr>
          <w:rFonts w:ascii="Arial" w:hAnsi="Arial" w:cs="Arial"/>
          <w:sz w:val="24"/>
          <w:szCs w:val="24"/>
        </w:rPr>
      </w:pPr>
      <w:r>
        <w:rPr>
          <w:rFonts w:ascii="Arial" w:hAnsi="Arial" w:cs="Arial"/>
          <w:sz w:val="24"/>
          <w:szCs w:val="24"/>
        </w:rPr>
        <w:t>While not part of level 1</w:t>
      </w:r>
      <w:r w:rsidR="00BC6012">
        <w:rPr>
          <w:rFonts w:ascii="Arial" w:hAnsi="Arial" w:cs="Arial"/>
          <w:sz w:val="24"/>
          <w:szCs w:val="24"/>
        </w:rPr>
        <w:t xml:space="preserve"> of CCPRR</w:t>
      </w:r>
      <w:r>
        <w:rPr>
          <w:rFonts w:ascii="Arial" w:hAnsi="Arial" w:cs="Arial"/>
          <w:sz w:val="24"/>
          <w:szCs w:val="24"/>
        </w:rPr>
        <w:t>, we would also request that these recovery plans will be made public</w:t>
      </w:r>
      <w:r w:rsidR="00031CD7">
        <w:rPr>
          <w:rFonts w:ascii="Arial" w:hAnsi="Arial" w:cs="Arial"/>
          <w:sz w:val="24"/>
          <w:szCs w:val="24"/>
        </w:rPr>
        <w:t>ly available</w:t>
      </w:r>
      <w:r>
        <w:rPr>
          <w:rFonts w:ascii="Arial" w:hAnsi="Arial" w:cs="Arial"/>
          <w:sz w:val="24"/>
          <w:szCs w:val="24"/>
        </w:rPr>
        <w:t xml:space="preserve">, or accessible to clearing members, at least partially </w:t>
      </w:r>
      <w:r w:rsidR="00450695">
        <w:rPr>
          <w:rFonts w:ascii="Arial" w:hAnsi="Arial" w:cs="Arial"/>
          <w:sz w:val="24"/>
          <w:szCs w:val="24"/>
        </w:rPr>
        <w:t xml:space="preserve">(if the plans contain </w:t>
      </w:r>
      <w:r>
        <w:rPr>
          <w:rFonts w:ascii="Arial" w:hAnsi="Arial" w:cs="Arial"/>
          <w:sz w:val="24"/>
          <w:szCs w:val="24"/>
        </w:rPr>
        <w:t>confidential</w:t>
      </w:r>
      <w:r w:rsidR="00450695">
        <w:rPr>
          <w:rFonts w:ascii="Arial" w:hAnsi="Arial" w:cs="Arial"/>
          <w:sz w:val="24"/>
          <w:szCs w:val="24"/>
        </w:rPr>
        <w:t xml:space="preserve"> information)</w:t>
      </w:r>
      <w:r>
        <w:rPr>
          <w:rFonts w:ascii="Arial" w:hAnsi="Arial" w:cs="Arial"/>
          <w:sz w:val="24"/>
          <w:szCs w:val="24"/>
        </w:rPr>
        <w:t>.</w:t>
      </w:r>
    </w:p>
    <w:p w14:paraId="229111B2" w14:textId="0965674C" w:rsidR="00553C37" w:rsidRPr="00FC4113" w:rsidRDefault="00553C37" w:rsidP="00812ADD">
      <w:pPr>
        <w:rPr>
          <w:rFonts w:ascii="Arial" w:hAnsi="Arial" w:cs="Arial"/>
          <w:sz w:val="24"/>
          <w:szCs w:val="24"/>
        </w:rPr>
      </w:pPr>
      <w:r>
        <w:rPr>
          <w:rFonts w:ascii="Arial" w:hAnsi="Arial" w:cs="Arial"/>
          <w:sz w:val="24"/>
          <w:szCs w:val="24"/>
        </w:rPr>
        <w:t xml:space="preserve">If all </w:t>
      </w:r>
      <w:r w:rsidR="003574AF">
        <w:rPr>
          <w:rFonts w:ascii="Arial" w:hAnsi="Arial" w:cs="Arial"/>
          <w:sz w:val="24"/>
          <w:szCs w:val="24"/>
        </w:rPr>
        <w:t>participants</w:t>
      </w:r>
      <w:r>
        <w:rPr>
          <w:rFonts w:ascii="Arial" w:hAnsi="Arial" w:cs="Arial"/>
          <w:sz w:val="24"/>
          <w:szCs w:val="24"/>
        </w:rPr>
        <w:t xml:space="preserve"> </w:t>
      </w:r>
      <w:r w:rsidR="00F67D68">
        <w:rPr>
          <w:rFonts w:ascii="Arial" w:hAnsi="Arial" w:cs="Arial"/>
          <w:sz w:val="24"/>
          <w:szCs w:val="24"/>
        </w:rPr>
        <w:t xml:space="preserve">have transparency and are sufficiently </w:t>
      </w:r>
      <w:r w:rsidR="002162B6">
        <w:rPr>
          <w:rFonts w:ascii="Arial" w:hAnsi="Arial" w:cs="Arial"/>
          <w:sz w:val="24"/>
          <w:szCs w:val="24"/>
        </w:rPr>
        <w:t>prepared for</w:t>
      </w:r>
      <w:r>
        <w:rPr>
          <w:rFonts w:ascii="Arial" w:hAnsi="Arial" w:cs="Arial"/>
          <w:sz w:val="24"/>
          <w:szCs w:val="24"/>
        </w:rPr>
        <w:t xml:space="preserve"> a </w:t>
      </w:r>
      <w:r w:rsidR="003574AF">
        <w:rPr>
          <w:rFonts w:ascii="Arial" w:hAnsi="Arial" w:cs="Arial"/>
          <w:sz w:val="24"/>
          <w:szCs w:val="24"/>
        </w:rPr>
        <w:t>recovery</w:t>
      </w:r>
      <w:r>
        <w:rPr>
          <w:rFonts w:ascii="Arial" w:hAnsi="Arial" w:cs="Arial"/>
          <w:sz w:val="24"/>
          <w:szCs w:val="24"/>
        </w:rPr>
        <w:t xml:space="preserve"> situation, each participant can </w:t>
      </w:r>
      <w:r w:rsidR="00C10A15">
        <w:rPr>
          <w:rFonts w:ascii="Arial" w:hAnsi="Arial" w:cs="Arial"/>
          <w:sz w:val="24"/>
          <w:szCs w:val="24"/>
        </w:rPr>
        <w:t>and will manage towards the CCP</w:t>
      </w:r>
      <w:r w:rsidR="00B2106C">
        <w:rPr>
          <w:rFonts w:ascii="Arial" w:hAnsi="Arial" w:cs="Arial"/>
          <w:sz w:val="24"/>
          <w:szCs w:val="24"/>
        </w:rPr>
        <w:t xml:space="preserve">’s recovery </w:t>
      </w:r>
      <w:r w:rsidR="00C10A15">
        <w:rPr>
          <w:rFonts w:ascii="Arial" w:hAnsi="Arial" w:cs="Arial"/>
          <w:sz w:val="24"/>
          <w:szCs w:val="24"/>
        </w:rPr>
        <w:t xml:space="preserve">plan, instead of assuming worst-case scenarios how the recovery could work and </w:t>
      </w:r>
      <w:r w:rsidR="00812F05">
        <w:rPr>
          <w:rFonts w:ascii="Arial" w:hAnsi="Arial" w:cs="Arial"/>
          <w:sz w:val="24"/>
          <w:szCs w:val="24"/>
        </w:rPr>
        <w:lastRenderedPageBreak/>
        <w:t>subsequently managing</w:t>
      </w:r>
      <w:r w:rsidR="00C10A15">
        <w:rPr>
          <w:rFonts w:ascii="Arial" w:hAnsi="Arial" w:cs="Arial"/>
          <w:sz w:val="24"/>
          <w:szCs w:val="24"/>
        </w:rPr>
        <w:t xml:space="preserve"> </w:t>
      </w:r>
      <w:r w:rsidR="00177D53">
        <w:rPr>
          <w:rFonts w:ascii="Arial" w:hAnsi="Arial" w:cs="Arial"/>
          <w:sz w:val="24"/>
          <w:szCs w:val="24"/>
        </w:rPr>
        <w:t>based on</w:t>
      </w:r>
      <w:r w:rsidR="00C10A15">
        <w:rPr>
          <w:rFonts w:ascii="Arial" w:hAnsi="Arial" w:cs="Arial"/>
          <w:sz w:val="24"/>
          <w:szCs w:val="24"/>
        </w:rPr>
        <w:t xml:space="preserve"> these worst-case scenarios. The latter might likely </w:t>
      </w:r>
      <w:r w:rsidR="00CD77C0">
        <w:rPr>
          <w:rFonts w:ascii="Arial" w:hAnsi="Arial" w:cs="Arial"/>
          <w:sz w:val="24"/>
          <w:szCs w:val="24"/>
        </w:rPr>
        <w:t>lead to actions that are not helpfu</w:t>
      </w:r>
      <w:r w:rsidR="000419B2">
        <w:rPr>
          <w:rFonts w:ascii="Arial" w:hAnsi="Arial" w:cs="Arial"/>
          <w:sz w:val="24"/>
          <w:szCs w:val="24"/>
        </w:rPr>
        <w:t xml:space="preserve">l for the CCP’s efforts to manage </w:t>
      </w:r>
      <w:r w:rsidR="000C008F">
        <w:rPr>
          <w:rFonts w:ascii="Arial" w:hAnsi="Arial" w:cs="Arial"/>
          <w:sz w:val="24"/>
          <w:szCs w:val="24"/>
        </w:rPr>
        <w:t>the recovery situation.</w:t>
      </w:r>
    </w:p>
    <w:p w14:paraId="0D3FE8FA" w14:textId="4E6A1DE9" w:rsidR="00812ADD" w:rsidRPr="00FC4113" w:rsidRDefault="00812ADD" w:rsidP="00812ADD">
      <w:pPr>
        <w:rPr>
          <w:rFonts w:ascii="Arial" w:hAnsi="Arial" w:cs="Arial"/>
          <w:sz w:val="24"/>
          <w:szCs w:val="24"/>
        </w:rPr>
      </w:pPr>
      <w:r w:rsidRPr="00FC4113">
        <w:rPr>
          <w:rFonts w:ascii="Arial" w:hAnsi="Arial" w:cs="Arial"/>
          <w:sz w:val="24"/>
          <w:szCs w:val="24"/>
        </w:rPr>
        <w:t>&lt;ESMA_QUESTION_SCN_07&gt;</w:t>
      </w:r>
    </w:p>
    <w:p w14:paraId="279D2934" w14:textId="62E8E375" w:rsidR="0027691E" w:rsidRPr="00FC4113" w:rsidRDefault="0027691E" w:rsidP="00812ADD">
      <w:pPr>
        <w:rPr>
          <w:rFonts w:ascii="Arial" w:hAnsi="Arial" w:cs="Arial"/>
          <w:sz w:val="24"/>
          <w:szCs w:val="24"/>
        </w:rPr>
      </w:pPr>
    </w:p>
    <w:p w14:paraId="67D97704" w14:textId="040F8295" w:rsidR="00812ADD" w:rsidRPr="00FC4113" w:rsidRDefault="0027691E" w:rsidP="00812ADD">
      <w:pPr>
        <w:rPr>
          <w:rFonts w:ascii="Arial" w:hAnsi="Arial" w:cs="Arial"/>
          <w:sz w:val="24"/>
          <w:szCs w:val="24"/>
        </w:rPr>
      </w:pPr>
      <w:r w:rsidRPr="00FC4113">
        <w:rPr>
          <w:rFonts w:ascii="Arial" w:hAnsi="Arial" w:cs="Arial"/>
          <w:b/>
          <w:sz w:val="24"/>
          <w:szCs w:val="24"/>
        </w:rPr>
        <w:t xml:space="preserve">Guideline 5 Question: </w:t>
      </w:r>
      <w:bookmarkEnd w:id="2"/>
    </w:p>
    <w:p w14:paraId="4EF975A8" w14:textId="03617226"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27691E" w:rsidRPr="00FC4113">
        <w:rPr>
          <w:rFonts w:ascii="Arial" w:hAnsi="Arial" w:cs="Arial"/>
          <w:sz w:val="24"/>
          <w:szCs w:val="24"/>
        </w:rPr>
        <w:t>Do you agree with the proposed Guideline 5?</w:t>
      </w:r>
    </w:p>
    <w:p w14:paraId="532393DC" w14:textId="6F1D5FCA"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74D50BAD" w14:textId="4C54791B" w:rsidR="000C008F" w:rsidRPr="00FC4113" w:rsidRDefault="000C008F" w:rsidP="00812ADD">
      <w:pPr>
        <w:rPr>
          <w:rFonts w:ascii="Arial" w:eastAsia="Times New Roman" w:hAnsi="Arial" w:cs="Arial"/>
          <w:sz w:val="24"/>
          <w:szCs w:val="24"/>
          <w:lang w:eastAsia="en-GB"/>
        </w:rPr>
      </w:pPr>
      <w:r>
        <w:rPr>
          <w:rFonts w:ascii="Arial" w:eastAsia="Times New Roman" w:hAnsi="Arial" w:cs="Arial"/>
          <w:sz w:val="24"/>
          <w:szCs w:val="24"/>
          <w:lang w:eastAsia="en-GB"/>
        </w:rPr>
        <w:t>We do agree with this guideline.</w:t>
      </w:r>
    </w:p>
    <w:p w14:paraId="7E6D0C77" w14:textId="3018E49C"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&lt;ESMA_QUESTION_SCN_08&gt;</w:t>
      </w:r>
    </w:p>
    <w:p w14:paraId="4AA16DE5" w14:textId="77777777" w:rsidR="003F4AAB" w:rsidRPr="00FC4113" w:rsidRDefault="003F4AAB" w:rsidP="00812ADD">
      <w:pPr>
        <w:rPr>
          <w:rFonts w:ascii="Arial" w:hAnsi="Arial" w:cs="Arial"/>
          <w:b/>
          <w:sz w:val="24"/>
          <w:szCs w:val="24"/>
        </w:rPr>
      </w:pPr>
    </w:p>
    <w:p w14:paraId="1531B3ED" w14:textId="77777777" w:rsidR="003F4AAB" w:rsidRPr="00FC4113" w:rsidRDefault="003F4AAB" w:rsidP="00812ADD">
      <w:pPr>
        <w:rPr>
          <w:rFonts w:ascii="Arial" w:hAnsi="Arial" w:cs="Arial"/>
          <w:b/>
          <w:sz w:val="24"/>
          <w:szCs w:val="24"/>
        </w:rPr>
      </w:pPr>
    </w:p>
    <w:p w14:paraId="06AF970F" w14:textId="77777777" w:rsidR="003F4AAB" w:rsidRPr="00FC4113" w:rsidRDefault="003F4AAB" w:rsidP="00812ADD">
      <w:pPr>
        <w:rPr>
          <w:rFonts w:ascii="Arial" w:hAnsi="Arial" w:cs="Arial"/>
          <w:b/>
          <w:sz w:val="24"/>
          <w:szCs w:val="24"/>
        </w:rPr>
      </w:pPr>
    </w:p>
    <w:p w14:paraId="53A1811E" w14:textId="77777777" w:rsidR="003F4AAB" w:rsidRPr="00FC4113" w:rsidRDefault="003F4AAB" w:rsidP="00812ADD">
      <w:pPr>
        <w:rPr>
          <w:rFonts w:ascii="Arial" w:hAnsi="Arial" w:cs="Arial"/>
          <w:b/>
          <w:sz w:val="24"/>
          <w:szCs w:val="24"/>
        </w:rPr>
      </w:pPr>
    </w:p>
    <w:p w14:paraId="47F50EA0" w14:textId="4C64D739" w:rsidR="006C4524" w:rsidRPr="00FC4113" w:rsidRDefault="006C4524" w:rsidP="00812ADD">
      <w:pPr>
        <w:rPr>
          <w:rFonts w:ascii="Arial" w:hAnsi="Arial" w:cs="Arial"/>
          <w:b/>
          <w:sz w:val="24"/>
          <w:szCs w:val="24"/>
        </w:rPr>
      </w:pPr>
      <w:r w:rsidRPr="00FC4113">
        <w:rPr>
          <w:rFonts w:ascii="Arial" w:hAnsi="Arial" w:cs="Arial"/>
          <w:b/>
          <w:sz w:val="24"/>
          <w:szCs w:val="24"/>
        </w:rPr>
        <w:t xml:space="preserve">Cost and Benefit Analysis Questions: </w:t>
      </w:r>
    </w:p>
    <w:p w14:paraId="2584537C" w14:textId="76A08DB2" w:rsidR="00812ADD"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Do you agree with the Option 3, if not please explain? Have you identified other benefits and costs not mentioned above associated to the proposed approach (Option 3)?</w:t>
      </w:r>
    </w:p>
    <w:p w14:paraId="608395BC" w14:textId="14019497"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27532550" w14:textId="0D0CCE05" w:rsidR="00B2106C" w:rsidRPr="00FC4113" w:rsidRDefault="00025D55" w:rsidP="00812ADD">
      <w:pPr>
        <w:rPr>
          <w:rFonts w:ascii="Arial" w:eastAsia="Times New Roman" w:hAnsi="Arial" w:cs="Arial"/>
          <w:sz w:val="24"/>
          <w:szCs w:val="24"/>
          <w:lang w:eastAsia="en-GB"/>
        </w:rPr>
      </w:pPr>
      <w:r>
        <w:rPr>
          <w:rFonts w:ascii="Arial" w:eastAsia="Times New Roman" w:hAnsi="Arial" w:cs="Arial"/>
          <w:sz w:val="24"/>
          <w:szCs w:val="24"/>
          <w:lang w:eastAsia="en-GB"/>
        </w:rPr>
        <w:t>We agree with option 3.</w:t>
      </w:r>
    </w:p>
    <w:p w14:paraId="299DFF53" w14:textId="00C2E83C" w:rsidR="00812ADD" w:rsidRPr="00FC4113" w:rsidRDefault="00812ADD" w:rsidP="00812ADD">
      <w:pPr>
        <w:rPr>
          <w:rFonts w:ascii="Arial" w:eastAsia="Times New Roman" w:hAnsi="Arial" w:cs="Arial"/>
          <w:sz w:val="24"/>
          <w:szCs w:val="24"/>
          <w:lang w:eastAsia="en-GB"/>
        </w:rPr>
      </w:pPr>
      <w:r w:rsidRPr="00FC4113">
        <w:rPr>
          <w:rFonts w:ascii="Arial" w:eastAsia="Times New Roman" w:hAnsi="Arial" w:cs="Arial"/>
          <w:sz w:val="24"/>
          <w:szCs w:val="24"/>
          <w:lang w:eastAsia="en-GB"/>
        </w:rPr>
        <w:t>&lt;ESMA_QUESTION_SCN_09&gt;</w:t>
      </w:r>
    </w:p>
    <w:p w14:paraId="2D58E0A1" w14:textId="77777777" w:rsidR="00812ADD" w:rsidRPr="00FC4113" w:rsidRDefault="00812ADD" w:rsidP="00812ADD">
      <w:pPr>
        <w:rPr>
          <w:rFonts w:ascii="Arial" w:hAnsi="Arial" w:cs="Arial"/>
          <w:sz w:val="24"/>
          <w:szCs w:val="24"/>
        </w:rPr>
      </w:pPr>
    </w:p>
    <w:p w14:paraId="2D74169D" w14:textId="77777777" w:rsidR="006C4524" w:rsidRPr="00FC4113" w:rsidRDefault="00812ADD" w:rsidP="00FC4113">
      <w:pPr>
        <w:pStyle w:val="Questionstyle"/>
        <w:rPr>
          <w:rFonts w:ascii="Arial" w:hAnsi="Arial" w:cs="Arial"/>
          <w:sz w:val="24"/>
          <w:szCs w:val="24"/>
        </w:rPr>
      </w:pPr>
      <w:r w:rsidRPr="00FC4113">
        <w:rPr>
          <w:rFonts w:ascii="Arial" w:hAnsi="Arial" w:cs="Arial"/>
          <w:sz w:val="24"/>
          <w:szCs w:val="24"/>
        </w:rPr>
        <w:t xml:space="preserve">: </w:t>
      </w:r>
      <w:r w:rsidR="006C4524" w:rsidRPr="00FC4113">
        <w:rPr>
          <w:rFonts w:ascii="Arial" w:hAnsi="Arial" w:cs="Arial"/>
          <w:sz w:val="24"/>
          <w:szCs w:val="24"/>
        </w:rPr>
        <w:t>If you advocated for a different approach, how would it impact the cost and benefit assessment? Please provide details.</w:t>
      </w:r>
    </w:p>
    <w:p w14:paraId="36E91A7F" w14:textId="77777777" w:rsidR="006C4524" w:rsidRPr="00FC4113" w:rsidRDefault="006C4524" w:rsidP="00FC4113">
      <w:pPr>
        <w:pStyle w:val="Questionstyle"/>
        <w:numPr>
          <w:ilvl w:val="0"/>
          <w:numId w:val="0"/>
        </w:numPr>
        <w:rPr>
          <w:rFonts w:ascii="Arial" w:hAnsi="Arial" w:cs="Arial"/>
          <w:sz w:val="24"/>
          <w:szCs w:val="24"/>
        </w:rPr>
      </w:pPr>
    </w:p>
    <w:p w14:paraId="4BBDE658" w14:textId="5F68148C" w:rsidR="00812ADD" w:rsidRPr="00FC4113" w:rsidRDefault="00812ADD" w:rsidP="00FC4113">
      <w:pPr>
        <w:pStyle w:val="Questionstyle"/>
        <w:numPr>
          <w:ilvl w:val="0"/>
          <w:numId w:val="0"/>
        </w:numPr>
        <w:rPr>
          <w:rFonts w:ascii="Arial" w:hAnsi="Arial" w:cs="Arial"/>
          <w:sz w:val="24"/>
          <w:szCs w:val="24"/>
        </w:rPr>
      </w:pPr>
      <w:r w:rsidRPr="00FC4113">
        <w:rPr>
          <w:rFonts w:ascii="Arial" w:hAnsi="Arial" w:cs="Arial"/>
          <w:sz w:val="24"/>
          <w:szCs w:val="24"/>
        </w:rPr>
        <w:t>&lt;ESMA_QUESTION_SCN_10&gt;</w:t>
      </w:r>
    </w:p>
    <w:p w14:paraId="77B2C8FE" w14:textId="5C247172" w:rsidR="00B2106C" w:rsidRPr="00FC4113" w:rsidRDefault="00025D55" w:rsidP="00B2106C">
      <w:pPr>
        <w:rPr>
          <w:rFonts w:ascii="Arial" w:eastAsia="Times New Roman" w:hAnsi="Arial" w:cs="Arial"/>
          <w:sz w:val="24"/>
          <w:szCs w:val="24"/>
          <w:lang w:eastAsia="en-GB"/>
        </w:rPr>
      </w:pPr>
      <w:r>
        <w:rPr>
          <w:rFonts w:ascii="Arial" w:eastAsia="Times New Roman" w:hAnsi="Arial" w:cs="Arial"/>
          <w:sz w:val="24"/>
          <w:szCs w:val="24"/>
          <w:lang w:eastAsia="en-GB"/>
        </w:rPr>
        <w:t>We don’t advocate for a different approach.</w:t>
      </w:r>
    </w:p>
    <w:p w14:paraId="165D2C2F" w14:textId="490A8E67" w:rsidR="00812ADD" w:rsidRPr="00FC4113" w:rsidRDefault="00812ADD" w:rsidP="00812ADD">
      <w:pPr>
        <w:rPr>
          <w:rFonts w:ascii="Arial" w:hAnsi="Arial" w:cs="Arial"/>
          <w:sz w:val="24"/>
          <w:szCs w:val="24"/>
        </w:rPr>
      </w:pPr>
      <w:r w:rsidRPr="00FC4113">
        <w:rPr>
          <w:rFonts w:ascii="Arial" w:hAnsi="Arial" w:cs="Arial"/>
          <w:sz w:val="24"/>
          <w:szCs w:val="24"/>
        </w:rPr>
        <w:t>&lt;ESMA_QUESTION_SCN_10&gt;</w:t>
      </w:r>
    </w:p>
    <w:p w14:paraId="0F74C498" w14:textId="77777777" w:rsidR="00812ADD" w:rsidRPr="00E3664A" w:rsidRDefault="00812ADD" w:rsidP="00812ADD">
      <w:pPr>
        <w:rPr>
          <w:rFonts w:ascii="Arial" w:hAnsi="Arial" w:cs="Arial"/>
        </w:rPr>
      </w:pPr>
    </w:p>
    <w:p w14:paraId="5F0F565F" w14:textId="77777777" w:rsidR="007E0432" w:rsidRDefault="007E0432"/>
    <w:sectPr w:rsidR="007E0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081C" w14:textId="77777777" w:rsidR="004C1A0F" w:rsidRDefault="004C1A0F">
      <w:pPr>
        <w:spacing w:after="0" w:line="240" w:lineRule="auto"/>
      </w:pPr>
      <w:r>
        <w:separator/>
      </w:r>
    </w:p>
  </w:endnote>
  <w:endnote w:type="continuationSeparator" w:id="0">
    <w:p w14:paraId="2F2006B6" w14:textId="77777777" w:rsidR="004C1A0F" w:rsidRDefault="004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7A6FC833" w14:textId="206AAC3F" w:rsidR="005D12F3" w:rsidRDefault="00587E36">
        <w:pPr>
          <w:pStyle w:val="Footer"/>
          <w:jc w:val="center"/>
        </w:pPr>
        <w:r>
          <w:fldChar w:fldCharType="begin"/>
        </w:r>
        <w:r>
          <w:instrText xml:space="preserve"> PAGE   \* MERGEFORMAT </w:instrText>
        </w:r>
        <w:r>
          <w:fldChar w:fldCharType="separate"/>
        </w:r>
        <w:r w:rsidR="00FF3D4A">
          <w:rPr>
            <w:noProof/>
          </w:rPr>
          <w:t>5</w:t>
        </w:r>
        <w:r>
          <w:rPr>
            <w:noProof/>
          </w:rPr>
          <w:fldChar w:fldCharType="end"/>
        </w:r>
      </w:p>
    </w:sdtContent>
  </w:sdt>
  <w:p w14:paraId="2D60405E" w14:textId="77777777" w:rsidR="005D12F3" w:rsidRDefault="00EF1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00E4" w14:textId="7AE5B68D" w:rsidR="005D12F3" w:rsidRPr="00FC4113" w:rsidRDefault="00587E36" w:rsidP="007A160F">
    <w:pPr>
      <w:pStyle w:val="Footer"/>
      <w:rPr>
        <w:rFonts w:ascii="Calibri" w:hAnsi="Calibri" w:cs="Calibri"/>
        <w:color w:val="000000" w:themeColor="text1"/>
      </w:rPr>
    </w:pPr>
    <w:r>
      <w:rPr>
        <w:rFonts w:asciiTheme="majorHAnsi" w:hAnsiTheme="majorHAnsi"/>
        <w:color w:val="FFFFFF" w:themeColor="background1"/>
      </w:rPr>
      <w:tab/>
    </w:r>
    <w:r w:rsidRPr="00FC4113">
      <w:rPr>
        <w:rFonts w:asciiTheme="majorHAnsi" w:hAnsiTheme="majorHAnsi"/>
        <w:color w:val="FFFFFF" w:themeColor="background1"/>
      </w:rPr>
      <w:tab/>
    </w:r>
    <w:r w:rsidRPr="00FC4113">
      <w:rPr>
        <w:rFonts w:ascii="Calibri" w:hAnsi="Calibri" w:cs="Calibri"/>
        <w:color w:val="FFFFFF" w:themeColor="background1"/>
      </w:rPr>
      <w:t>1</w:t>
    </w:r>
    <w:r w:rsidR="00FC4113" w:rsidRPr="00FC4113">
      <w:rPr>
        <w:rFonts w:ascii="Calibri" w:hAnsi="Calibri" w:cs="Calibri"/>
        <w:color w:val="FFFFFF" w:themeColor="background1"/>
      </w:rPr>
      <w:t>2</w:t>
    </w:r>
    <w:r w:rsidRPr="00FC4113">
      <w:rPr>
        <w:rFonts w:ascii="Calibri" w:hAnsi="Calibri" w:cs="Calibri"/>
        <w:color w:val="FFFFFF" w:themeColor="background1"/>
      </w:rPr>
      <w:t xml:space="preserve"> </w:t>
    </w:r>
    <w:r w:rsidR="00FC4113" w:rsidRPr="00FC4113">
      <w:rPr>
        <w:rFonts w:ascii="Calibri" w:hAnsi="Calibri" w:cs="Calibri"/>
        <w:color w:val="FFFFFF" w:themeColor="background1"/>
      </w:rPr>
      <w:t>July</w:t>
    </w:r>
    <w:r w:rsidRPr="00FC4113">
      <w:rPr>
        <w:rFonts w:ascii="Calibri" w:hAnsi="Calibri" w:cs="Calibri"/>
        <w:color w:val="FFFFFF" w:themeColor="background1"/>
      </w:rPr>
      <w:t xml:space="preserve"> 2021 |</w:t>
    </w:r>
    <w:r w:rsidR="00FC4113" w:rsidRPr="00FC4113">
      <w:rPr>
        <w:rFonts w:ascii="Calibri" w:hAnsi="Calibri" w:cs="Calibri"/>
        <w:color w:val="FFFFFF" w:themeColor="background1"/>
      </w:rPr>
      <w:t xml:space="preserve"> ESMA91</w:t>
    </w:r>
    <w:r w:rsidRPr="00FC4113">
      <w:rPr>
        <w:rFonts w:ascii="Calibri" w:hAnsi="Calibri" w:cs="Calibri"/>
        <w:color w:val="FFFFFF" w:themeColor="background1"/>
      </w:rPr>
      <w:t>-</w:t>
    </w:r>
    <w:r w:rsidR="00FC4113" w:rsidRPr="00FC4113">
      <w:rPr>
        <w:rFonts w:ascii="Calibri" w:hAnsi="Calibri" w:cs="Calibri"/>
        <w:color w:val="FFFFFF" w:themeColor="background1"/>
      </w:rPr>
      <w:t>372</w:t>
    </w:r>
    <w:r w:rsidRPr="00FC4113">
      <w:rPr>
        <w:rFonts w:ascii="Calibri" w:hAnsi="Calibri" w:cs="Calibri"/>
        <w:color w:val="FFFFFF" w:themeColor="background1"/>
      </w:rPr>
      <w:t>-</w:t>
    </w:r>
    <w:r w:rsidR="00FC4113" w:rsidRPr="00FC4113">
      <w:rPr>
        <w:rFonts w:ascii="Calibri" w:hAnsi="Calibri" w:cs="Calibri"/>
        <w:color w:val="FFFFFF" w:themeColor="background1"/>
      </w:rPr>
      <w:t>1560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EC9B" w14:textId="77777777" w:rsidR="004C1A0F" w:rsidRDefault="004C1A0F">
      <w:pPr>
        <w:spacing w:after="0" w:line="240" w:lineRule="auto"/>
      </w:pPr>
      <w:r>
        <w:separator/>
      </w:r>
    </w:p>
  </w:footnote>
  <w:footnote w:type="continuationSeparator" w:id="0">
    <w:p w14:paraId="130D85B8" w14:textId="77777777" w:rsidR="004C1A0F" w:rsidRDefault="004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73A9" w14:textId="77777777" w:rsidR="005D12F3" w:rsidRDefault="00EF1702">
    <w:pPr>
      <w:pStyle w:val="Header"/>
    </w:pPr>
  </w:p>
  <w:p w14:paraId="46B4F415" w14:textId="77777777" w:rsidR="005D12F3" w:rsidRDefault="00EF1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5A7A" w14:textId="77777777" w:rsidR="005D12F3" w:rsidRDefault="00587E36">
    <w:pPr>
      <w:pStyle w:val="Header"/>
    </w:pPr>
    <w:r>
      <w:rPr>
        <w:noProof/>
      </w:rPr>
      <w:drawing>
        <wp:anchor distT="0" distB="0" distL="114300" distR="114300" simplePos="0" relativeHeight="251660288" behindDoc="0" locked="0" layoutInCell="1" allowOverlap="1" wp14:anchorId="762622D5" wp14:editId="6C6FA669">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C9B0B4F" wp14:editId="5D4951CB">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EEC49DC4"/>
    <w:lvl w:ilvl="0" w:tplc="02B422B2">
      <w:start w:val="1"/>
      <w:numFmt w:val="decimal"/>
      <w:pStyle w:val="Questionstyle"/>
      <w:lvlText w:val="Q%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07B6D91"/>
    <w:multiLevelType w:val="hybridMultilevel"/>
    <w:tmpl w:val="5F3E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9C"/>
    <w:rsid w:val="00014E04"/>
    <w:rsid w:val="00025D55"/>
    <w:rsid w:val="0003131A"/>
    <w:rsid w:val="00031CD7"/>
    <w:rsid w:val="000419B2"/>
    <w:rsid w:val="000A407F"/>
    <w:rsid w:val="000C008F"/>
    <w:rsid w:val="000D038F"/>
    <w:rsid w:val="000D7D11"/>
    <w:rsid w:val="00142AAF"/>
    <w:rsid w:val="00145A7B"/>
    <w:rsid w:val="00177D53"/>
    <w:rsid w:val="001851BF"/>
    <w:rsid w:val="00193B51"/>
    <w:rsid w:val="001C1CD9"/>
    <w:rsid w:val="001E2916"/>
    <w:rsid w:val="001E531B"/>
    <w:rsid w:val="002162B6"/>
    <w:rsid w:val="00220118"/>
    <w:rsid w:val="00224613"/>
    <w:rsid w:val="002258A8"/>
    <w:rsid w:val="00231BE3"/>
    <w:rsid w:val="0027691E"/>
    <w:rsid w:val="00280222"/>
    <w:rsid w:val="002E7734"/>
    <w:rsid w:val="002F65E1"/>
    <w:rsid w:val="003116E9"/>
    <w:rsid w:val="003451E3"/>
    <w:rsid w:val="003526F6"/>
    <w:rsid w:val="003574AF"/>
    <w:rsid w:val="00365980"/>
    <w:rsid w:val="003838F4"/>
    <w:rsid w:val="00385262"/>
    <w:rsid w:val="00393116"/>
    <w:rsid w:val="003C63BE"/>
    <w:rsid w:val="003D70CA"/>
    <w:rsid w:val="003F4AAB"/>
    <w:rsid w:val="00450695"/>
    <w:rsid w:val="00454ECD"/>
    <w:rsid w:val="00480E09"/>
    <w:rsid w:val="004A6AE5"/>
    <w:rsid w:val="004B7DC2"/>
    <w:rsid w:val="004C12CE"/>
    <w:rsid w:val="004C1A0F"/>
    <w:rsid w:val="004C1F1A"/>
    <w:rsid w:val="004C53A6"/>
    <w:rsid w:val="004F5DFF"/>
    <w:rsid w:val="004F6910"/>
    <w:rsid w:val="004F6B3A"/>
    <w:rsid w:val="005257AD"/>
    <w:rsid w:val="00550B55"/>
    <w:rsid w:val="00553C37"/>
    <w:rsid w:val="00563646"/>
    <w:rsid w:val="00587E36"/>
    <w:rsid w:val="005A2B44"/>
    <w:rsid w:val="005A6011"/>
    <w:rsid w:val="005E6E53"/>
    <w:rsid w:val="00624752"/>
    <w:rsid w:val="00657CE5"/>
    <w:rsid w:val="006827FD"/>
    <w:rsid w:val="00686275"/>
    <w:rsid w:val="006B5F4D"/>
    <w:rsid w:val="006B7F42"/>
    <w:rsid w:val="006C4524"/>
    <w:rsid w:val="00723F60"/>
    <w:rsid w:val="007650C0"/>
    <w:rsid w:val="00776C24"/>
    <w:rsid w:val="007A2F9A"/>
    <w:rsid w:val="007C27D8"/>
    <w:rsid w:val="007E0432"/>
    <w:rsid w:val="007F0DF6"/>
    <w:rsid w:val="007F6268"/>
    <w:rsid w:val="00803B0F"/>
    <w:rsid w:val="00806354"/>
    <w:rsid w:val="00812415"/>
    <w:rsid w:val="00812ADD"/>
    <w:rsid w:val="00812F05"/>
    <w:rsid w:val="00833E36"/>
    <w:rsid w:val="008379D9"/>
    <w:rsid w:val="00877DB9"/>
    <w:rsid w:val="00894445"/>
    <w:rsid w:val="008A7A9C"/>
    <w:rsid w:val="008B0BF6"/>
    <w:rsid w:val="008D0CE5"/>
    <w:rsid w:val="008F3A16"/>
    <w:rsid w:val="008F7827"/>
    <w:rsid w:val="00907741"/>
    <w:rsid w:val="00914EAE"/>
    <w:rsid w:val="00923225"/>
    <w:rsid w:val="00956695"/>
    <w:rsid w:val="009772C4"/>
    <w:rsid w:val="00982071"/>
    <w:rsid w:val="00997C98"/>
    <w:rsid w:val="009B6057"/>
    <w:rsid w:val="009E1F36"/>
    <w:rsid w:val="009F0CBB"/>
    <w:rsid w:val="00A10142"/>
    <w:rsid w:val="00A26D07"/>
    <w:rsid w:val="00A473B7"/>
    <w:rsid w:val="00AC6074"/>
    <w:rsid w:val="00AD786A"/>
    <w:rsid w:val="00AF2203"/>
    <w:rsid w:val="00AF3252"/>
    <w:rsid w:val="00B2106C"/>
    <w:rsid w:val="00B33E87"/>
    <w:rsid w:val="00B70FCA"/>
    <w:rsid w:val="00B753B4"/>
    <w:rsid w:val="00B76493"/>
    <w:rsid w:val="00B80107"/>
    <w:rsid w:val="00B81481"/>
    <w:rsid w:val="00B9180B"/>
    <w:rsid w:val="00BC6012"/>
    <w:rsid w:val="00BE338F"/>
    <w:rsid w:val="00BE5242"/>
    <w:rsid w:val="00C10A15"/>
    <w:rsid w:val="00C264ED"/>
    <w:rsid w:val="00C30050"/>
    <w:rsid w:val="00C3437D"/>
    <w:rsid w:val="00CA26A9"/>
    <w:rsid w:val="00CB5FC8"/>
    <w:rsid w:val="00CC2960"/>
    <w:rsid w:val="00CD3FCE"/>
    <w:rsid w:val="00CD77C0"/>
    <w:rsid w:val="00CF27E9"/>
    <w:rsid w:val="00D000A1"/>
    <w:rsid w:val="00D1539C"/>
    <w:rsid w:val="00D164DD"/>
    <w:rsid w:val="00D24A78"/>
    <w:rsid w:val="00D5000B"/>
    <w:rsid w:val="00D749DC"/>
    <w:rsid w:val="00D840B8"/>
    <w:rsid w:val="00DC2E9D"/>
    <w:rsid w:val="00DE33BE"/>
    <w:rsid w:val="00E56987"/>
    <w:rsid w:val="00E728A4"/>
    <w:rsid w:val="00E95F6A"/>
    <w:rsid w:val="00ED6757"/>
    <w:rsid w:val="00EF1702"/>
    <w:rsid w:val="00EF1A2D"/>
    <w:rsid w:val="00F04826"/>
    <w:rsid w:val="00F20BD9"/>
    <w:rsid w:val="00F22BD8"/>
    <w:rsid w:val="00F67D68"/>
    <w:rsid w:val="00F707CF"/>
    <w:rsid w:val="00F74F19"/>
    <w:rsid w:val="00F80636"/>
    <w:rsid w:val="00FA2FA8"/>
    <w:rsid w:val="00FA59B8"/>
    <w:rsid w:val="00FA7BD1"/>
    <w:rsid w:val="00FC4113"/>
    <w:rsid w:val="00FC48A6"/>
    <w:rsid w:val="00FC5664"/>
    <w:rsid w:val="00FD3E5F"/>
    <w:rsid w:val="00FF3D4A"/>
    <w:rsid w:val="00FF58C7"/>
    <w:rsid w:val="00FF5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BE51B"/>
  <w15:chartTrackingRefBased/>
  <w15:docId w15:val="{FD9E80AE-CEC1-42B2-8058-B71D13D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DD"/>
  </w:style>
  <w:style w:type="paragraph" w:styleId="Heading1">
    <w:name w:val="heading 1"/>
    <w:basedOn w:val="Normal"/>
    <w:next w:val="Normal"/>
    <w:link w:val="Heading1Char"/>
    <w:qFormat/>
    <w:rsid w:val="00812ADD"/>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812ADD"/>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812ADD"/>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812ADD"/>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812ADD"/>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812ADD"/>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812ADD"/>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812ADD"/>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ADD"/>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812ADD"/>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812ADD"/>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812ADD"/>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812ADD"/>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812ADD"/>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812ADD"/>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812ADD"/>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12ADD"/>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812ADD"/>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812ADD"/>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812A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12ADD"/>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812ADD"/>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FC4113"/>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FC4113"/>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12ADD"/>
    <w:rPr>
      <w:rFonts w:eastAsiaTheme="majorEastAsia" w:cstheme="minorHAnsi"/>
      <w:lang w:eastAsia="en-GB"/>
    </w:rPr>
  </w:style>
  <w:style w:type="character" w:styleId="CommentReference">
    <w:name w:val="annotation reference"/>
    <w:basedOn w:val="DefaultParagraphFont"/>
    <w:uiPriority w:val="99"/>
    <w:semiHidden/>
    <w:unhideWhenUsed/>
    <w:rsid w:val="00812ADD"/>
    <w:rPr>
      <w:sz w:val="16"/>
      <w:szCs w:val="16"/>
    </w:rPr>
  </w:style>
  <w:style w:type="paragraph" w:styleId="CommentText">
    <w:name w:val="annotation text"/>
    <w:basedOn w:val="Normal"/>
    <w:link w:val="CommentTextChar"/>
    <w:uiPriority w:val="99"/>
    <w:semiHidden/>
    <w:unhideWhenUsed/>
    <w:rsid w:val="00812ADD"/>
    <w:pPr>
      <w:spacing w:line="240" w:lineRule="auto"/>
    </w:pPr>
    <w:rPr>
      <w:sz w:val="20"/>
      <w:szCs w:val="20"/>
    </w:rPr>
  </w:style>
  <w:style w:type="character" w:customStyle="1" w:styleId="CommentTextChar">
    <w:name w:val="Comment Text Char"/>
    <w:basedOn w:val="DefaultParagraphFont"/>
    <w:link w:val="CommentText"/>
    <w:uiPriority w:val="99"/>
    <w:semiHidden/>
    <w:rsid w:val="00812ADD"/>
    <w:rPr>
      <w:sz w:val="20"/>
      <w:szCs w:val="20"/>
    </w:rPr>
  </w:style>
  <w:style w:type="paragraph" w:styleId="BalloonText">
    <w:name w:val="Balloon Text"/>
    <w:basedOn w:val="Normal"/>
    <w:link w:val="BalloonTextChar"/>
    <w:uiPriority w:val="99"/>
    <w:semiHidden/>
    <w:unhideWhenUsed/>
    <w:rsid w:val="00812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A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73B7"/>
    <w:rPr>
      <w:b/>
      <w:bCs/>
    </w:rPr>
  </w:style>
  <w:style w:type="character" w:customStyle="1" w:styleId="CommentSubjectChar">
    <w:name w:val="Comment Subject Char"/>
    <w:basedOn w:val="CommentTextChar"/>
    <w:link w:val="CommentSubject"/>
    <w:uiPriority w:val="99"/>
    <w:semiHidden/>
    <w:rsid w:val="00A47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b1af2f151fee4e71ab04d3be0acf309a>
    <c0a75b1bac544bb79ff9701b7c8df79e xmlns="52e67915-6641-4f72-9fe9-b8cc95953e2e">
      <Terms xmlns="http://schemas.microsoft.com/office/infopath/2007/PartnerControls"/>
    </c0a75b1bac544bb79ff9701b7c8df79e>
    <MeetingDate xmlns="52e67915-6641-4f72-9fe9-b8cc95953e2e" xsi:nil="true"/>
    <TaxCatchAll xmlns="52e67915-6641-4f72-9fe9-b8cc95953e2e"/>
    <IconOverlay xmlns="http://schemas.microsoft.com/sharepoint/v4" xsi:nil="true"/>
    <Year xmlns="52e67915-6641-4f72-9fe9-b8cc95953e2e"/>
    <h6d3aedb91e548d9a7a4b474e9cdf7ee xmlns="52e67915-6641-4f72-9fe9-b8cc95953e2e">
      <Terms xmlns="http://schemas.microsoft.com/office/infopath/2007/PartnerControls"/>
    </h6d3aedb91e548d9a7a4b474e9cdf7ee>
    <ocd626d180d94eeaae0a33d4a9b513ce xmlns="52e67915-6641-4f72-9fe9-b8cc95953e2e">
      <Terms xmlns="http://schemas.microsoft.com/office/infopath/2007/PartnerControls"/>
    </ocd626d180d94eeaae0a33d4a9b513ce>
    <ac4f39f6cc8445948be69a6c278de6ef xmlns="52e67915-6641-4f72-9fe9-b8cc95953e2e">
      <Terms xmlns="http://schemas.microsoft.com/office/infopath/2007/PartnerControls"/>
    </ac4f39f6cc8445948be69a6c278de6ef>
    <c4c347a134a6410b9867f4d35258a852 xmlns="52e67915-6641-4f72-9fe9-b8cc95953e2e">
      <Terms xmlns="http://schemas.microsoft.com/office/infopath/2007/PartnerControls"/>
    </c4c347a134a6410b9867f4d35258a852>
    <_dlc_DocId xmlns="52e67915-6641-4f72-9fe9-b8cc95953e2e" xsi:nil="true"/>
    <_dlc_DocIdUrl xmlns="52e67915-6641-4f72-9fe9-b8cc95953e2e">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DD8583-ABD1-4DE5-8FA6-B286FB131856}">
  <ds:schemaRefs>
    <ds:schemaRef ds:uri="http://schemas.microsoft.com/sharepoint/v3/contenttype/forms"/>
  </ds:schemaRefs>
</ds:datastoreItem>
</file>

<file path=customXml/itemProps2.xml><?xml version="1.0" encoding="utf-8"?>
<ds:datastoreItem xmlns:ds="http://schemas.openxmlformats.org/officeDocument/2006/customXml" ds:itemID="{A2CD83DD-E2F8-4384-89EF-6409973975EF}">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customXml/itemProps3.xml><?xml version="1.0" encoding="utf-8"?>
<ds:datastoreItem xmlns:ds="http://schemas.openxmlformats.org/officeDocument/2006/customXml" ds:itemID="{7DC2E7A3-C4D7-4A51-B8D7-0EAB2226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60756-36D7-4E65-A4BC-A20C148FA4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Ulrich Karl</cp:lastModifiedBy>
  <cp:revision>2</cp:revision>
  <dcterms:created xsi:type="dcterms:W3CDTF">2021-09-20T17:37:00Z</dcterms:created>
  <dcterms:modified xsi:type="dcterms:W3CDTF">2021-09-20T17:37:00Z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3da7dce8-55bc-46ec-9053-32d1fca97bdf</vt:lpwstr>
  </property>
  <property fmtid="{D5CDD505-2E9C-101B-9397-08002B2CF9AE}" pid="10" name="_AdHocReviewCycleID">
    <vt:i4>-2044746057</vt:i4>
  </property>
  <property fmtid="{D5CDD505-2E9C-101B-9397-08002B2CF9AE}" pid="11" name="_NewReviewCycle">
    <vt:lpwstr/>
  </property>
  <property fmtid="{D5CDD505-2E9C-101B-9397-08002B2CF9AE}" pid="12" name="_EmailSubject">
    <vt:lpwstr>[EXTERNAL] Agenda, dial-in details and materials for the Joint Association Clearing Risk and Capital WG call on 15th September</vt:lpwstr>
  </property>
  <property fmtid="{D5CDD505-2E9C-101B-9397-08002B2CF9AE}" pid="13" name="_AuthorEmail">
    <vt:lpwstr>Gert.Ellerkmann@abnamroclearing.com</vt:lpwstr>
  </property>
  <property fmtid="{D5CDD505-2E9C-101B-9397-08002B2CF9AE}" pid="14" name="_AuthorEmailDisplayName">
    <vt:lpwstr>Ellerkmann, Gert</vt:lpwstr>
  </property>
  <property fmtid="{D5CDD505-2E9C-101B-9397-08002B2CF9AE}" pid="15" name="_ReviewingToolsShownOnce">
    <vt:lpwstr/>
  </property>
</Properties>
</file>