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57371023" w:rsidR="00AF2EF7" w:rsidRPr="00B16706" w:rsidRDefault="00C1698A" w:rsidP="00D13661">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w:t>
                </w:r>
                <w:r w:rsidR="008B2AF1" w:rsidRPr="00B16706">
                  <w:rPr>
                    <w:rFonts w:asciiTheme="minorHAnsi" w:hAnsiTheme="minorHAnsi" w:cstheme="minorHAnsi"/>
                    <w:sz w:val="40"/>
                    <w:szCs w:val="40"/>
                  </w:rPr>
                  <w:t xml:space="preserve">Consultation Paper </w:t>
                </w:r>
                <w:r w:rsidR="00B16706" w:rsidRPr="00B16706">
                  <w:rPr>
                    <w:rFonts w:asciiTheme="minorHAnsi" w:hAnsiTheme="minorHAnsi" w:cstheme="minorHAnsi"/>
                    <w:sz w:val="40"/>
                    <w:szCs w:val="40"/>
                  </w:rPr>
                  <w:t>on the clearing and derivative trading obligations in view of the benchmark transition</w:t>
                </w:r>
              </w:p>
            </w:tc>
          </w:tr>
          <w:tr w:rsidR="00AB6157" w:rsidRPr="00B16706" w14:paraId="76D253F5" w14:textId="77777777" w:rsidTr="00D13661">
            <w:trPr>
              <w:trHeight w:hRule="exact" w:val="747"/>
            </w:trPr>
            <w:tc>
              <w:tcPr>
                <w:tcW w:w="10490" w:type="dxa"/>
                <w:tcMar>
                  <w:top w:w="142" w:type="dxa"/>
                </w:tcMar>
              </w:tcPr>
              <w:p w14:paraId="26CF3934" w14:textId="7EE83A86" w:rsidR="00AB6157" w:rsidRPr="00B16706" w:rsidRDefault="00AB6157" w:rsidP="001F23C9">
                <w:pPr>
                  <w:pStyle w:val="Heading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3930A39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B16706" w:rsidRPr="00B16706">
            <w:rPr>
              <w:rFonts w:asciiTheme="minorHAnsi" w:eastAsiaTheme="minorEastAsia" w:hAnsiTheme="minorHAnsi" w:cstheme="minorBidi"/>
              <w:b/>
              <w:sz w:val="18"/>
              <w:szCs w:val="16"/>
              <w:lang w:eastAsia="en-US"/>
            </w:rPr>
            <w:t>2 September 2021</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rPr>
          </w:pPr>
          <w:r w:rsidRPr="00A409C2">
            <w:rPr>
              <w:rFonts w:eastAsiaTheme="minorEastAsia" w:cstheme="minorBidi"/>
              <w:sz w:val="18"/>
              <w:szCs w:val="16"/>
            </w:rPr>
            <w:t xml:space="preserve">Insert your responses to the questions in the Consultation Paper in the present response form. </w:t>
          </w:r>
        </w:p>
        <w:p w14:paraId="28D63108" w14:textId="0392516A" w:rsidR="00A409C2" w:rsidRPr="00A409C2" w:rsidRDefault="008279D3" w:rsidP="00A409C2">
          <w:pPr>
            <w:pStyle w:val="ListParagraph"/>
            <w:numPr>
              <w:ilvl w:val="0"/>
              <w:numId w:val="29"/>
            </w:numPr>
            <w:spacing w:after="250" w:line="276" w:lineRule="auto"/>
            <w:rPr>
              <w:rFonts w:eastAsiaTheme="minorEastAsia" w:cstheme="minorBidi"/>
              <w:sz w:val="18"/>
              <w:szCs w:val="16"/>
            </w:rPr>
          </w:pPr>
          <w:r>
            <w:rPr>
              <w:rFonts w:eastAsiaTheme="minorEastAsia" w:cstheme="minorBidi"/>
              <w:sz w:val="18"/>
              <w:szCs w:val="16"/>
            </w:rPr>
            <w:t>U</w:t>
          </w:r>
          <w:r w:rsidR="00A409C2" w:rsidRPr="00A409C2">
            <w:rPr>
              <w:rFonts w:eastAsiaTheme="minorEastAsia" w:cstheme="minorBidi"/>
              <w:sz w:val="18"/>
              <w:szCs w:val="16"/>
            </w:rPr>
            <w:t>se this form and send your responses in Word format (</w:t>
          </w:r>
          <w:r w:rsidR="00A409C2" w:rsidRPr="00A409C2">
            <w:rPr>
              <w:rFonts w:eastAsiaTheme="minorEastAsia" w:cstheme="minorBidi"/>
              <w:b/>
              <w:bCs/>
              <w:sz w:val="18"/>
              <w:szCs w:val="16"/>
            </w:rPr>
            <w:t>pdf documents will not be considered except for annexes</w:t>
          </w:r>
          <w:r w:rsidR="00A409C2" w:rsidRPr="00A409C2">
            <w:rPr>
              <w:rFonts w:eastAsiaTheme="minorEastAsia" w:cstheme="minorBidi"/>
              <w:sz w:val="18"/>
              <w:szCs w:val="16"/>
            </w:rPr>
            <w:t>);</w:t>
          </w:r>
        </w:p>
        <w:p w14:paraId="6692798E" w14:textId="17C922B5" w:rsidR="00B16706" w:rsidRPr="00A409C2" w:rsidRDefault="00B16706" w:rsidP="00A409C2">
          <w:pPr>
            <w:pStyle w:val="ListParagraph"/>
            <w:numPr>
              <w:ilvl w:val="0"/>
              <w:numId w:val="29"/>
            </w:numPr>
            <w:spacing w:after="250" w:line="276" w:lineRule="auto"/>
            <w:rPr>
              <w:rFonts w:eastAsiaTheme="minorEastAsia" w:cstheme="minorBidi"/>
              <w:sz w:val="18"/>
              <w:szCs w:val="16"/>
            </w:rPr>
          </w:pPr>
          <w:r w:rsidRPr="00A409C2">
            <w:rPr>
              <w:rFonts w:eastAsiaTheme="minorEastAsia" w:cstheme="minorBidi"/>
              <w:sz w:val="18"/>
              <w:szCs w:val="16"/>
            </w:rPr>
            <w:t>Please do not remove tags of the type &lt;ESMA_QUESTION</w:t>
          </w:r>
          <w:r w:rsidR="007148CC" w:rsidRPr="00A409C2">
            <w:rPr>
              <w:rFonts w:eastAsiaTheme="minorEastAsia" w:cstheme="minorBidi"/>
              <w:sz w:val="18"/>
              <w:szCs w:val="16"/>
            </w:rPr>
            <w:t xml:space="preserve"> </w:t>
          </w:r>
          <w:r w:rsidRPr="00A409C2">
            <w:rPr>
              <w:rFonts w:eastAsiaTheme="minorEastAsia" w:cstheme="minorBidi"/>
              <w:sz w:val="18"/>
              <w:szCs w:val="16"/>
            </w:rPr>
            <w:t>_RFRS_1&gt;.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rPr>
          </w:pPr>
          <w:r w:rsidRPr="00A409C2">
            <w:rPr>
              <w:rFonts w:eastAsiaTheme="minorEastAsia" w:cstheme="minorBidi"/>
              <w:sz w:val="18"/>
              <w:szCs w:val="16"/>
            </w:rPr>
            <w:t>If you do not wish to respond to a given question, please do not delete it but simply leave the text “TYPE YOUR TEXT HERE” between the tags.</w:t>
          </w:r>
        </w:p>
        <w:p w14:paraId="7C8B1093" w14:textId="50F2D8BB" w:rsidR="00B16706" w:rsidRPr="00A409C2" w:rsidRDefault="00B16706" w:rsidP="00A409C2">
          <w:pPr>
            <w:pStyle w:val="ListParagraph"/>
            <w:numPr>
              <w:ilvl w:val="0"/>
              <w:numId w:val="29"/>
            </w:numPr>
            <w:spacing w:after="250" w:line="276" w:lineRule="auto"/>
            <w:rPr>
              <w:rFonts w:eastAsiaTheme="minorEastAsia" w:cstheme="minorBidi"/>
              <w:sz w:val="18"/>
              <w:szCs w:val="16"/>
            </w:rPr>
          </w:pPr>
          <w:r w:rsidRPr="00A409C2">
            <w:rPr>
              <w:rFonts w:eastAsiaTheme="minorEastAsia" w:cstheme="minorBidi"/>
              <w:sz w:val="18"/>
              <w:szCs w:val="16"/>
            </w:rPr>
            <w:t>When you have drafted your response, name your response form according to the following convention: ESMA_RFRS_nameofrespondent_RESPONSEFORM. For example, for a respondent named ABCD, the response form would be entitled ESMA_RFRS_ABCD_RESPONSEFORM.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rPr>
          </w:pPr>
          <w:r w:rsidRPr="00A409C2">
            <w:rPr>
              <w:rFonts w:eastAsiaTheme="minorEastAsia" w:cstheme="minorBidi"/>
              <w:sz w:val="18"/>
              <w:szCs w:val="16"/>
            </w:rPr>
            <w:t xml:space="preserve">Upload the form containing your responses, </w:t>
          </w:r>
          <w:r w:rsidRPr="00A409C2">
            <w:rPr>
              <w:rFonts w:eastAsiaTheme="minorEastAsia" w:cstheme="minorBidi"/>
              <w:b/>
              <w:bCs/>
              <w:sz w:val="18"/>
              <w:szCs w:val="16"/>
            </w:rPr>
            <w:t>in Word format</w:t>
          </w:r>
          <w:r w:rsidRPr="00A409C2">
            <w:rPr>
              <w:rFonts w:eastAsiaTheme="minorEastAsia" w:cstheme="minorBidi"/>
              <w:sz w:val="18"/>
              <w:szCs w:val="16"/>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12D10FC4" w:rsidR="00C85C8B" w:rsidRPr="00B16706" w:rsidRDefault="000B6B7B" w:rsidP="00C85C8B">
                <w:pPr>
                  <w:rPr>
                    <w:rFonts w:ascii="Arial" w:hAnsi="Arial" w:cs="Arial"/>
                    <w:color w:val="808080"/>
                    <w:sz w:val="16"/>
                    <w:szCs w:val="20"/>
                    <w:lang w:eastAsia="de-DE"/>
                  </w:rPr>
                </w:pPr>
                <w:r>
                  <w:rPr>
                    <w:rFonts w:ascii="Arial" w:hAnsi="Arial" w:cs="Arial"/>
                    <w:color w:val="808080"/>
                    <w:sz w:val="16"/>
                    <w:szCs w:val="20"/>
                    <w:lang w:eastAsia="de-DE"/>
                  </w:rPr>
                  <w:t>IHS Markit</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60471E6" w:rsidR="00C85C8B" w:rsidRPr="00B16706" w:rsidRDefault="006D703A"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010A1">
                  <w:rPr>
                    <w:rFonts w:ascii="Arial" w:hAnsi="Arial" w:cs="Arial"/>
                    <w:sz w:val="16"/>
                    <w:szCs w:val="20"/>
                    <w:lang w:eastAsia="de-DE"/>
                  </w:rPr>
                  <w:t>Other Financial service providers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48B76A9" w:rsidR="00C85C8B" w:rsidRPr="00B16706" w:rsidRDefault="00C01E24"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77777777" w:rsidR="00D57019" w:rsidRPr="009835AD" w:rsidRDefault="00D57019">
      <w:pPr>
        <w:spacing w:after="120" w:line="264" w:lineRule="auto"/>
        <w:rPr>
          <w:rFonts w:ascii="Arial" w:hAnsi="Arial" w:cs="Arial"/>
          <w:b/>
          <w:sz w:val="22"/>
          <w:szCs w:val="22"/>
          <w:lang w:val="en-US" w:eastAsia="en-US"/>
        </w:rPr>
      </w:pPr>
    </w:p>
    <w:p w14:paraId="4E4E869C" w14:textId="01ED431C" w:rsidR="009835AD" w:rsidRPr="00B16706" w:rsidRDefault="00D57019">
      <w:pPr>
        <w:spacing w:after="120" w:line="264" w:lineRule="auto"/>
        <w:rPr>
          <w:rFonts w:asciiTheme="minorHAnsi" w:hAnsiTheme="minorHAnsi" w:cstheme="minorHAnsi"/>
          <w:b/>
          <w:sz w:val="22"/>
          <w:szCs w:val="22"/>
        </w:rPr>
      </w:pPr>
      <w:r>
        <w:rPr>
          <w:rFonts w:asciiTheme="minorHAnsi" w:hAnsiTheme="minorHAnsi" w:cstheme="minorHAnsi"/>
          <w:b/>
          <w:sz w:val="22"/>
          <w:szCs w:val="22"/>
        </w:rPr>
        <w:t>General comments</w:t>
      </w:r>
    </w:p>
    <w:bookmarkEnd w:id="0"/>
    <w:p w14:paraId="14366ACD"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Are there any general comments you would need to raise?</w:t>
      </w:r>
    </w:p>
    <w:p w14:paraId="06AC05B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&lt;ESMA_QUESTION_RFRS_1&gt;</w:t>
      </w:r>
    </w:p>
    <w:p w14:paraId="4A50AB32" w14:textId="6ADCF735" w:rsidR="001712B7" w:rsidRDefault="001010A1" w:rsidP="00F45B28">
      <w:pPr>
        <w:spacing w:after="160" w:line="259" w:lineRule="auto"/>
        <w:rPr>
          <w:rFonts w:ascii="Calibri" w:eastAsia="Calibri" w:hAnsi="Calibri"/>
          <w:sz w:val="22"/>
          <w:szCs w:val="22"/>
          <w:lang w:eastAsia="en-US"/>
        </w:rPr>
      </w:pPr>
      <w:permStart w:id="1592684246" w:edGrp="everyone"/>
      <w:r>
        <w:rPr>
          <w:rFonts w:ascii="Calibri" w:eastAsia="Calibri" w:hAnsi="Calibri"/>
          <w:sz w:val="22"/>
          <w:szCs w:val="22"/>
          <w:lang w:eastAsia="en-US"/>
        </w:rPr>
        <w:t xml:space="preserve"> </w:t>
      </w:r>
    </w:p>
    <w:p w14:paraId="03AA0406" w14:textId="73F02FDF" w:rsidR="00F45B28" w:rsidRPr="00F45B28" w:rsidRDefault="00F45B28" w:rsidP="00F45B28">
      <w:pPr>
        <w:spacing w:after="160" w:line="259" w:lineRule="auto"/>
        <w:rPr>
          <w:rFonts w:ascii="Calibri" w:eastAsia="Calibri" w:hAnsi="Calibri"/>
          <w:sz w:val="22"/>
          <w:szCs w:val="22"/>
          <w:lang w:eastAsia="en-US"/>
        </w:rPr>
      </w:pPr>
      <w:r w:rsidRPr="00F45B28">
        <w:rPr>
          <w:rFonts w:ascii="Calibri" w:eastAsia="Calibri" w:hAnsi="Calibri"/>
          <w:sz w:val="22"/>
          <w:szCs w:val="22"/>
          <w:lang w:eastAsia="en-US"/>
        </w:rPr>
        <w:t xml:space="preserve">IHS Markit, a global information company </w:t>
      </w:r>
      <w:r>
        <w:rPr>
          <w:rFonts w:ascii="Calibri" w:eastAsia="Calibri" w:hAnsi="Calibri"/>
          <w:sz w:val="22"/>
          <w:szCs w:val="22"/>
          <w:lang w:eastAsia="en-US"/>
        </w:rPr>
        <w:t xml:space="preserve">with offices in 10 EU member states </w:t>
      </w:r>
      <w:r w:rsidRPr="00F45B28">
        <w:rPr>
          <w:rFonts w:ascii="Calibri" w:eastAsia="Calibri" w:hAnsi="Calibri"/>
          <w:sz w:val="22"/>
          <w:szCs w:val="22"/>
          <w:lang w:eastAsia="en-US"/>
        </w:rPr>
        <w:t xml:space="preserve">is a leader in critical information, analytics and solutions for the major industries and markets that drive economies worldwide. The company delivers next-generation information, </w:t>
      </w:r>
      <w:proofErr w:type="gramStart"/>
      <w:r w:rsidRPr="00F45B28">
        <w:rPr>
          <w:rFonts w:ascii="Calibri" w:eastAsia="Calibri" w:hAnsi="Calibri"/>
          <w:sz w:val="22"/>
          <w:szCs w:val="22"/>
          <w:lang w:eastAsia="en-US"/>
        </w:rPr>
        <w:t>analytics</w:t>
      </w:r>
      <w:proofErr w:type="gramEnd"/>
      <w:r w:rsidRPr="00F45B28">
        <w:rPr>
          <w:rFonts w:ascii="Calibri" w:eastAsia="Calibri" w:hAnsi="Calibri"/>
          <w:sz w:val="22"/>
          <w:szCs w:val="22"/>
          <w:lang w:eastAsia="en-US"/>
        </w:rPr>
        <w:t xml:space="preserve"> and solutions to customers in business, finance and government, improving their operational efficiency and providing deep insights that lead to well-informed, confident decisions. </w:t>
      </w:r>
    </w:p>
    <w:p w14:paraId="2C6916A6" w14:textId="77777777" w:rsidR="00F45B28" w:rsidRPr="00F45B28" w:rsidRDefault="00F45B28" w:rsidP="00F45B28">
      <w:pPr>
        <w:spacing w:after="160" w:line="259" w:lineRule="auto"/>
        <w:rPr>
          <w:rFonts w:ascii="Calibri" w:eastAsia="Calibri" w:hAnsi="Calibri"/>
          <w:sz w:val="22"/>
          <w:szCs w:val="22"/>
          <w:lang w:eastAsia="en-US"/>
        </w:rPr>
      </w:pPr>
      <w:r w:rsidRPr="00F45B28">
        <w:rPr>
          <w:rFonts w:ascii="Calibri" w:eastAsia="Calibri" w:hAnsi="Calibri"/>
          <w:sz w:val="22"/>
          <w:szCs w:val="22"/>
          <w:lang w:eastAsia="en-US"/>
        </w:rPr>
        <w:t xml:space="preserve">IHS Markit’s derivatives trade processing platform, </w:t>
      </w:r>
      <w:proofErr w:type="spellStart"/>
      <w:r w:rsidRPr="00F45B28">
        <w:rPr>
          <w:rFonts w:ascii="Calibri" w:eastAsia="Calibri" w:hAnsi="Calibri"/>
          <w:sz w:val="22"/>
          <w:szCs w:val="22"/>
          <w:lang w:eastAsia="en-US"/>
        </w:rPr>
        <w:t>MarkitSERV</w:t>
      </w:r>
      <w:proofErr w:type="spellEnd"/>
      <w:r w:rsidRPr="00F45B28">
        <w:rPr>
          <w:rFonts w:ascii="Calibri" w:eastAsia="Calibri" w:hAnsi="Calibri"/>
          <w:sz w:val="22"/>
          <w:szCs w:val="22"/>
          <w:lang w:eastAsia="en-US"/>
        </w:rPr>
        <w:t xml:space="preserve"> plays an important role in UK, EU, </w:t>
      </w:r>
      <w:proofErr w:type="gramStart"/>
      <w:r w:rsidRPr="00F45B28">
        <w:rPr>
          <w:rFonts w:ascii="Calibri" w:eastAsia="Calibri" w:hAnsi="Calibri"/>
          <w:sz w:val="22"/>
          <w:szCs w:val="22"/>
          <w:lang w:eastAsia="en-US"/>
        </w:rPr>
        <w:t>US</w:t>
      </w:r>
      <w:proofErr w:type="gramEnd"/>
      <w:r w:rsidRPr="00F45B28">
        <w:rPr>
          <w:rFonts w:ascii="Calibri" w:eastAsia="Calibri" w:hAnsi="Calibri"/>
          <w:sz w:val="22"/>
          <w:szCs w:val="22"/>
          <w:lang w:eastAsia="en-US"/>
        </w:rPr>
        <w:t xml:space="preserve"> and global derivatives markets. The platform offers processing and reporting facilities, enables risk </w:t>
      </w:r>
      <w:proofErr w:type="gramStart"/>
      <w:r w:rsidRPr="00F45B28">
        <w:rPr>
          <w:rFonts w:ascii="Calibri" w:eastAsia="Calibri" w:hAnsi="Calibri"/>
          <w:sz w:val="22"/>
          <w:szCs w:val="22"/>
          <w:lang w:eastAsia="en-US"/>
        </w:rPr>
        <w:t>mitigation</w:t>
      </w:r>
      <w:proofErr w:type="gramEnd"/>
      <w:r w:rsidRPr="00F45B28">
        <w:rPr>
          <w:rFonts w:ascii="Calibri" w:eastAsia="Calibri" w:hAnsi="Calibri"/>
          <w:sz w:val="22"/>
          <w:szCs w:val="22"/>
          <w:lang w:eastAsia="en-US"/>
        </w:rPr>
        <w:t xml:space="preserve"> and supports market connectivity and entry. Among the specific services offered by </w:t>
      </w:r>
      <w:proofErr w:type="spellStart"/>
      <w:r w:rsidRPr="00F45B28">
        <w:rPr>
          <w:rFonts w:ascii="Calibri" w:eastAsia="Calibri" w:hAnsi="Calibri"/>
          <w:sz w:val="22"/>
          <w:szCs w:val="22"/>
          <w:lang w:eastAsia="en-US"/>
        </w:rPr>
        <w:t>MarkitSERV</w:t>
      </w:r>
      <w:proofErr w:type="spellEnd"/>
      <w:r w:rsidRPr="00F45B28">
        <w:rPr>
          <w:rFonts w:ascii="Calibri" w:eastAsia="Calibri" w:hAnsi="Calibri"/>
          <w:sz w:val="22"/>
          <w:szCs w:val="22"/>
          <w:lang w:eastAsia="en-US"/>
        </w:rPr>
        <w:t xml:space="preserve"> are trade confirmation, trade affirmation, allocations, submission of matched (confirmed or affirmed) trades to clearing, as well as a standard connectivity solution with customer risk systems. Globally, over 3,000 firms (more than 30,000 entities) use </w:t>
      </w:r>
      <w:proofErr w:type="spellStart"/>
      <w:r w:rsidRPr="00F45B28">
        <w:rPr>
          <w:rFonts w:ascii="Calibri" w:eastAsia="Calibri" w:hAnsi="Calibri"/>
          <w:sz w:val="22"/>
          <w:szCs w:val="22"/>
          <w:lang w:eastAsia="en-US"/>
        </w:rPr>
        <w:t>MarkitSERV</w:t>
      </w:r>
      <w:proofErr w:type="spellEnd"/>
      <w:r w:rsidRPr="00F45B28">
        <w:rPr>
          <w:rFonts w:ascii="Calibri" w:eastAsia="Calibri" w:hAnsi="Calibri"/>
          <w:sz w:val="22"/>
          <w:szCs w:val="22"/>
          <w:lang w:eastAsia="en-US"/>
        </w:rPr>
        <w:t xml:space="preserve"> which processes an average of 90,000 derivatives transaction events every day. This position provides us with unparalleled access to data on the OTC derivatives market.</w:t>
      </w:r>
    </w:p>
    <w:p w14:paraId="0A037B93" w14:textId="3BDB00F9" w:rsidR="00860515" w:rsidRDefault="006C72B5" w:rsidP="00F45B28">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On 1 September, </w:t>
      </w:r>
      <w:r w:rsidR="00F45B28" w:rsidRPr="00F45B28">
        <w:rPr>
          <w:rFonts w:ascii="Calibri" w:eastAsia="Calibri" w:hAnsi="Calibri"/>
          <w:sz w:val="22"/>
          <w:szCs w:val="22"/>
          <w:lang w:eastAsia="en-US"/>
        </w:rPr>
        <w:t>CME Group and IHS Markit combine</w:t>
      </w:r>
      <w:r>
        <w:rPr>
          <w:rFonts w:ascii="Calibri" w:eastAsia="Calibri" w:hAnsi="Calibri"/>
          <w:sz w:val="22"/>
          <w:szCs w:val="22"/>
          <w:lang w:eastAsia="en-US"/>
        </w:rPr>
        <w:t>d</w:t>
      </w:r>
      <w:r w:rsidR="00F45B28" w:rsidRPr="00F45B28">
        <w:rPr>
          <w:rFonts w:ascii="Calibri" w:eastAsia="Calibri" w:hAnsi="Calibri"/>
          <w:sz w:val="22"/>
          <w:szCs w:val="22"/>
          <w:lang w:eastAsia="en-US"/>
        </w:rPr>
        <w:t xml:space="preserve"> post-trade services into a new joint venture</w:t>
      </w:r>
      <w:r w:rsidR="00D221F1">
        <w:rPr>
          <w:rFonts w:ascii="Calibri" w:eastAsia="Calibri" w:hAnsi="Calibri"/>
          <w:sz w:val="22"/>
          <w:szCs w:val="22"/>
          <w:lang w:eastAsia="en-US"/>
        </w:rPr>
        <w:t xml:space="preserve"> known as OSTTRA</w:t>
      </w:r>
      <w:r w:rsidR="005E7ADF">
        <w:rPr>
          <w:rFonts w:ascii="Calibri" w:eastAsia="Calibri" w:hAnsi="Calibri"/>
          <w:sz w:val="22"/>
          <w:szCs w:val="22"/>
          <w:lang w:eastAsia="en-US"/>
        </w:rPr>
        <w:t>. OSTTRA</w:t>
      </w:r>
      <w:r w:rsidR="00D221F1">
        <w:rPr>
          <w:rFonts w:ascii="Calibri" w:eastAsia="Calibri" w:hAnsi="Calibri"/>
          <w:sz w:val="22"/>
          <w:szCs w:val="22"/>
          <w:lang w:eastAsia="en-US"/>
        </w:rPr>
        <w:t xml:space="preserve"> </w:t>
      </w:r>
      <w:r w:rsidR="00F45B28" w:rsidRPr="00F45B28">
        <w:rPr>
          <w:rFonts w:ascii="Calibri" w:eastAsia="Calibri" w:hAnsi="Calibri"/>
          <w:sz w:val="22"/>
          <w:szCs w:val="22"/>
          <w:lang w:eastAsia="en-US"/>
        </w:rPr>
        <w:t>incorporate</w:t>
      </w:r>
      <w:r w:rsidR="00733865">
        <w:rPr>
          <w:rFonts w:ascii="Calibri" w:eastAsia="Calibri" w:hAnsi="Calibri"/>
          <w:sz w:val="22"/>
          <w:szCs w:val="22"/>
          <w:lang w:eastAsia="en-US"/>
        </w:rPr>
        <w:t>s</w:t>
      </w:r>
      <w:r w:rsidR="00F45B28" w:rsidRPr="00F45B28">
        <w:rPr>
          <w:rFonts w:ascii="Calibri" w:eastAsia="Calibri" w:hAnsi="Calibri"/>
          <w:sz w:val="22"/>
          <w:szCs w:val="22"/>
          <w:lang w:eastAsia="en-US"/>
        </w:rPr>
        <w:t xml:space="preserve"> CME Group’s optimisation businesses – </w:t>
      </w:r>
      <w:proofErr w:type="spellStart"/>
      <w:r w:rsidR="00F45B28" w:rsidRPr="00F45B28">
        <w:rPr>
          <w:rFonts w:ascii="Calibri" w:eastAsia="Calibri" w:hAnsi="Calibri"/>
          <w:sz w:val="22"/>
          <w:szCs w:val="22"/>
          <w:lang w:eastAsia="en-US"/>
        </w:rPr>
        <w:t>Traiana</w:t>
      </w:r>
      <w:proofErr w:type="spellEnd"/>
      <w:r w:rsidR="00F45B28" w:rsidRPr="00F45B28">
        <w:rPr>
          <w:rFonts w:ascii="Calibri" w:eastAsia="Calibri" w:hAnsi="Calibri"/>
          <w:sz w:val="22"/>
          <w:szCs w:val="22"/>
          <w:lang w:eastAsia="en-US"/>
        </w:rPr>
        <w:t xml:space="preserve">, </w:t>
      </w:r>
      <w:proofErr w:type="spellStart"/>
      <w:r w:rsidR="00F45B28" w:rsidRPr="00F45B28">
        <w:rPr>
          <w:rFonts w:ascii="Calibri" w:eastAsia="Calibri" w:hAnsi="Calibri"/>
          <w:sz w:val="22"/>
          <w:szCs w:val="22"/>
          <w:lang w:eastAsia="en-US"/>
        </w:rPr>
        <w:t>TriOptima</w:t>
      </w:r>
      <w:proofErr w:type="spellEnd"/>
      <w:r w:rsidR="00F45B28" w:rsidRPr="00F45B28">
        <w:rPr>
          <w:rFonts w:ascii="Calibri" w:eastAsia="Calibri" w:hAnsi="Calibri"/>
          <w:sz w:val="22"/>
          <w:szCs w:val="22"/>
          <w:lang w:eastAsia="en-US"/>
        </w:rPr>
        <w:t xml:space="preserve"> and Reset – and IHS Markit’s </w:t>
      </w:r>
      <w:proofErr w:type="spellStart"/>
      <w:r w:rsidR="00F45B28" w:rsidRPr="00F45B28">
        <w:rPr>
          <w:rFonts w:ascii="Calibri" w:eastAsia="Calibri" w:hAnsi="Calibri"/>
          <w:sz w:val="22"/>
          <w:szCs w:val="22"/>
          <w:lang w:eastAsia="en-US"/>
        </w:rPr>
        <w:t>MarkitSERV</w:t>
      </w:r>
      <w:proofErr w:type="spellEnd"/>
      <w:r w:rsidR="00F45B28" w:rsidRPr="00F45B28">
        <w:rPr>
          <w:rFonts w:ascii="Calibri" w:eastAsia="Calibri" w:hAnsi="Calibri"/>
          <w:sz w:val="22"/>
          <w:szCs w:val="22"/>
          <w:lang w:eastAsia="en-US"/>
        </w:rPr>
        <w:t xml:space="preserve">. The combination of these complementary offerings will provide its clients with enhanced platforms and services for global OTC markets across interest rate, FX, </w:t>
      </w:r>
      <w:proofErr w:type="gramStart"/>
      <w:r w:rsidR="00F45B28" w:rsidRPr="00F45B28">
        <w:rPr>
          <w:rFonts w:ascii="Calibri" w:eastAsia="Calibri" w:hAnsi="Calibri"/>
          <w:sz w:val="22"/>
          <w:szCs w:val="22"/>
          <w:lang w:eastAsia="en-US"/>
        </w:rPr>
        <w:t>equity</w:t>
      </w:r>
      <w:proofErr w:type="gramEnd"/>
      <w:r w:rsidR="00F45B28" w:rsidRPr="00F45B28">
        <w:rPr>
          <w:rFonts w:ascii="Calibri" w:eastAsia="Calibri" w:hAnsi="Calibri"/>
          <w:sz w:val="22"/>
          <w:szCs w:val="22"/>
          <w:lang w:eastAsia="en-US"/>
        </w:rPr>
        <w:t xml:space="preserve"> and credit asset classes. Market participants will benefit from a more efficient front-to-back workflow with enhanced connectivity and improved trading certainty. As a result, OTC market participants will be able to improve risk management and streamline post-trade operations.</w:t>
      </w:r>
      <w:r w:rsidR="00D61008">
        <w:rPr>
          <w:rFonts w:ascii="Calibri" w:eastAsia="Calibri" w:hAnsi="Calibri"/>
          <w:sz w:val="22"/>
          <w:szCs w:val="22"/>
          <w:lang w:eastAsia="en-US"/>
        </w:rPr>
        <w:t xml:space="preserve"> More details can be found at </w:t>
      </w:r>
      <w:hyperlink r:id="rId18" w:history="1">
        <w:r w:rsidR="00D61008" w:rsidRPr="00BB01AC">
          <w:rPr>
            <w:rStyle w:val="Hyperlink"/>
            <w:rFonts w:ascii="Calibri" w:eastAsia="Calibri" w:hAnsi="Calibri"/>
            <w:sz w:val="22"/>
            <w:szCs w:val="22"/>
            <w:lang w:eastAsia="en-US"/>
          </w:rPr>
          <w:t>www.o</w:t>
        </w:r>
        <w:r w:rsidR="00D61008" w:rsidRPr="00BB01AC">
          <w:rPr>
            <w:rStyle w:val="Hyperlink"/>
            <w:rFonts w:ascii="Calibri" w:eastAsia="Calibri" w:hAnsi="Calibri"/>
            <w:sz w:val="22"/>
            <w:szCs w:val="22"/>
            <w:lang w:eastAsia="en-US"/>
          </w:rPr>
          <w:t>s</w:t>
        </w:r>
        <w:r w:rsidR="00D61008" w:rsidRPr="00BB01AC">
          <w:rPr>
            <w:rStyle w:val="Hyperlink"/>
            <w:rFonts w:ascii="Calibri" w:eastAsia="Calibri" w:hAnsi="Calibri"/>
            <w:sz w:val="22"/>
            <w:szCs w:val="22"/>
            <w:lang w:eastAsia="en-US"/>
          </w:rPr>
          <w:t>ttra.com</w:t>
        </w:r>
      </w:hyperlink>
      <w:r w:rsidR="00D61008">
        <w:rPr>
          <w:rFonts w:ascii="Calibri" w:eastAsia="Calibri" w:hAnsi="Calibri"/>
          <w:sz w:val="22"/>
          <w:szCs w:val="22"/>
          <w:lang w:eastAsia="en-US"/>
        </w:rPr>
        <w:t xml:space="preserve">. </w:t>
      </w:r>
    </w:p>
    <w:p w14:paraId="1EEFE123" w14:textId="6B49F998" w:rsidR="004273BB" w:rsidRPr="00DD37C9" w:rsidRDefault="00655EE1" w:rsidP="00655EE1">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As IHS Markit and now </w:t>
      </w:r>
      <w:r w:rsidR="008D533A">
        <w:rPr>
          <w:rFonts w:ascii="Calibri" w:eastAsia="Calibri" w:hAnsi="Calibri"/>
          <w:sz w:val="22"/>
          <w:szCs w:val="22"/>
          <w:lang w:eastAsia="en-US"/>
        </w:rPr>
        <w:t xml:space="preserve">also </w:t>
      </w:r>
      <w:r>
        <w:rPr>
          <w:rFonts w:ascii="Calibri" w:eastAsia="Calibri" w:hAnsi="Calibri"/>
          <w:sz w:val="22"/>
          <w:szCs w:val="22"/>
          <w:lang w:eastAsia="en-US"/>
        </w:rPr>
        <w:t>OSTTRA</w:t>
      </w:r>
      <w:r w:rsidR="008D533A">
        <w:rPr>
          <w:rFonts w:ascii="Calibri" w:eastAsia="Calibri" w:hAnsi="Calibri"/>
          <w:sz w:val="22"/>
          <w:szCs w:val="22"/>
          <w:lang w:eastAsia="en-US"/>
        </w:rPr>
        <w:t>,</w:t>
      </w:r>
      <w:r>
        <w:rPr>
          <w:rFonts w:ascii="Calibri" w:eastAsia="Calibri" w:hAnsi="Calibri"/>
          <w:sz w:val="22"/>
          <w:szCs w:val="22"/>
          <w:lang w:eastAsia="en-US"/>
        </w:rPr>
        <w:t xml:space="preserve"> we strongly support the </w:t>
      </w:r>
      <w:r w:rsidRPr="00655EE1">
        <w:rPr>
          <w:rFonts w:ascii="Calibri" w:eastAsia="Calibri" w:hAnsi="Calibri"/>
          <w:sz w:val="22"/>
          <w:szCs w:val="22"/>
          <w:lang w:eastAsia="en-US"/>
        </w:rPr>
        <w:t>G20 commitments to increase the amount of OTC derivatives that are traded on regulated venues and cleared</w:t>
      </w:r>
      <w:r w:rsidR="00F96D02">
        <w:rPr>
          <w:rFonts w:ascii="Calibri" w:eastAsia="Calibri" w:hAnsi="Calibri"/>
          <w:sz w:val="22"/>
          <w:szCs w:val="22"/>
          <w:lang w:eastAsia="en-US"/>
        </w:rPr>
        <w:t>. This has been</w:t>
      </w:r>
      <w:r w:rsidRPr="00655EE1">
        <w:rPr>
          <w:rFonts w:ascii="Calibri" w:eastAsia="Calibri" w:hAnsi="Calibri"/>
          <w:sz w:val="22"/>
          <w:szCs w:val="22"/>
          <w:lang w:eastAsia="en-US"/>
        </w:rPr>
        <w:t xml:space="preserve"> one of the key successes of the regulatory reform agenda that followed the financial crisis and has made a significant contribution to global and </w:t>
      </w:r>
      <w:r w:rsidR="00F96D02">
        <w:rPr>
          <w:rFonts w:ascii="Calibri" w:eastAsia="Calibri" w:hAnsi="Calibri"/>
          <w:sz w:val="22"/>
          <w:szCs w:val="22"/>
          <w:lang w:eastAsia="en-US"/>
        </w:rPr>
        <w:t>European</w:t>
      </w:r>
      <w:r w:rsidRPr="00655EE1">
        <w:rPr>
          <w:rFonts w:ascii="Calibri" w:eastAsia="Calibri" w:hAnsi="Calibri"/>
          <w:sz w:val="22"/>
          <w:szCs w:val="22"/>
          <w:lang w:eastAsia="en-US"/>
        </w:rPr>
        <w:t xml:space="preserve"> financial stability. The application of the Derivatives </w:t>
      </w:r>
      <w:r w:rsidR="0020739F">
        <w:rPr>
          <w:rFonts w:ascii="Calibri" w:eastAsia="Calibri" w:hAnsi="Calibri"/>
          <w:sz w:val="22"/>
          <w:szCs w:val="22"/>
          <w:lang w:eastAsia="en-US"/>
        </w:rPr>
        <w:t>Clearing</w:t>
      </w:r>
      <w:r w:rsidRPr="00655EE1">
        <w:rPr>
          <w:rFonts w:ascii="Calibri" w:eastAsia="Calibri" w:hAnsi="Calibri"/>
          <w:sz w:val="22"/>
          <w:szCs w:val="22"/>
          <w:lang w:eastAsia="en-US"/>
        </w:rPr>
        <w:t xml:space="preserve"> Obligation (</w:t>
      </w:r>
      <w:r w:rsidR="0020739F">
        <w:rPr>
          <w:rFonts w:ascii="Calibri" w:eastAsia="Calibri" w:hAnsi="Calibri"/>
          <w:sz w:val="22"/>
          <w:szCs w:val="22"/>
          <w:lang w:eastAsia="en-US"/>
        </w:rPr>
        <w:t>C</w:t>
      </w:r>
      <w:r w:rsidRPr="00655EE1">
        <w:rPr>
          <w:rFonts w:ascii="Calibri" w:eastAsia="Calibri" w:hAnsi="Calibri"/>
          <w:sz w:val="22"/>
          <w:szCs w:val="22"/>
          <w:lang w:eastAsia="en-US"/>
        </w:rPr>
        <w:t xml:space="preserve">O) and the Derivatives </w:t>
      </w:r>
      <w:r w:rsidR="0020739F">
        <w:rPr>
          <w:rFonts w:ascii="Calibri" w:eastAsia="Calibri" w:hAnsi="Calibri"/>
          <w:sz w:val="22"/>
          <w:szCs w:val="22"/>
          <w:lang w:eastAsia="en-US"/>
        </w:rPr>
        <w:t>Trading</w:t>
      </w:r>
      <w:r w:rsidRPr="00655EE1">
        <w:rPr>
          <w:rFonts w:ascii="Calibri" w:eastAsia="Calibri" w:hAnsi="Calibri"/>
          <w:sz w:val="22"/>
          <w:szCs w:val="22"/>
          <w:lang w:eastAsia="en-US"/>
        </w:rPr>
        <w:t xml:space="preserve"> Obligation (</w:t>
      </w:r>
      <w:r w:rsidR="0020739F">
        <w:rPr>
          <w:rFonts w:ascii="Calibri" w:eastAsia="Calibri" w:hAnsi="Calibri"/>
          <w:sz w:val="22"/>
          <w:szCs w:val="22"/>
          <w:lang w:eastAsia="en-US"/>
        </w:rPr>
        <w:t>DTO</w:t>
      </w:r>
      <w:r w:rsidRPr="00655EE1">
        <w:rPr>
          <w:rFonts w:ascii="Calibri" w:eastAsia="Calibri" w:hAnsi="Calibri"/>
          <w:sz w:val="22"/>
          <w:szCs w:val="22"/>
          <w:lang w:eastAsia="en-US"/>
        </w:rPr>
        <w:t>) have been important part</w:t>
      </w:r>
      <w:r w:rsidR="0020739F">
        <w:rPr>
          <w:rFonts w:ascii="Calibri" w:eastAsia="Calibri" w:hAnsi="Calibri"/>
          <w:sz w:val="22"/>
          <w:szCs w:val="22"/>
          <w:lang w:eastAsia="en-US"/>
        </w:rPr>
        <w:t>s</w:t>
      </w:r>
      <w:r w:rsidRPr="00655EE1">
        <w:rPr>
          <w:rFonts w:ascii="Calibri" w:eastAsia="Calibri" w:hAnsi="Calibri"/>
          <w:sz w:val="22"/>
          <w:szCs w:val="22"/>
          <w:lang w:eastAsia="en-US"/>
        </w:rPr>
        <w:t xml:space="preserve"> of this success and we welcome the proactive approach </w:t>
      </w:r>
      <w:r w:rsidR="00AF17D7">
        <w:rPr>
          <w:rFonts w:ascii="Calibri" w:eastAsia="Calibri" w:hAnsi="Calibri"/>
          <w:sz w:val="22"/>
          <w:szCs w:val="22"/>
          <w:lang w:eastAsia="en-US"/>
        </w:rPr>
        <w:t>of ESMA</w:t>
      </w:r>
      <w:r w:rsidRPr="00655EE1">
        <w:rPr>
          <w:rFonts w:ascii="Calibri" w:eastAsia="Calibri" w:hAnsi="Calibri"/>
          <w:sz w:val="22"/>
          <w:szCs w:val="22"/>
          <w:lang w:eastAsia="en-US"/>
        </w:rPr>
        <w:t xml:space="preserve"> in anticipating the changes in market activity around interest rate benchmark reform and acting to manage the risks </w:t>
      </w:r>
      <w:r w:rsidRPr="00DD37C9">
        <w:rPr>
          <w:rFonts w:ascii="Calibri" w:eastAsia="Calibri" w:hAnsi="Calibri"/>
          <w:sz w:val="22"/>
          <w:szCs w:val="22"/>
          <w:lang w:eastAsia="en-US"/>
        </w:rPr>
        <w:t xml:space="preserve">associated with it. </w:t>
      </w:r>
      <w:r w:rsidR="00E169EC" w:rsidRPr="00DD37C9">
        <w:rPr>
          <w:rFonts w:ascii="Calibri" w:eastAsia="Calibri" w:hAnsi="Calibri"/>
          <w:sz w:val="22"/>
          <w:szCs w:val="22"/>
          <w:lang w:eastAsia="en-US"/>
        </w:rPr>
        <w:t>We would like to make the following general remarks.</w:t>
      </w:r>
    </w:p>
    <w:p w14:paraId="4E398261" w14:textId="77777777" w:rsidR="00DD37C9" w:rsidRPr="00DD37C9" w:rsidRDefault="0066024F" w:rsidP="006C7FD4">
      <w:pPr>
        <w:pStyle w:val="ListParagraph"/>
      </w:pPr>
      <w:r w:rsidRPr="00DD37C9">
        <w:t xml:space="preserve">ESMA should prioritise </w:t>
      </w:r>
      <w:r w:rsidR="00DD37C9" w:rsidRPr="00DD37C9">
        <w:t>removing inappropriate obligations over implementing new obligations</w:t>
      </w:r>
    </w:p>
    <w:p w14:paraId="0080A2A2" w14:textId="773F30A1" w:rsidR="003F68A7" w:rsidRPr="00DD37C9" w:rsidRDefault="00655EE1" w:rsidP="00DD37C9">
      <w:pPr>
        <w:spacing w:after="160" w:line="259" w:lineRule="auto"/>
        <w:rPr>
          <w:rFonts w:ascii="Calibri" w:eastAsia="Calibri" w:hAnsi="Calibri"/>
          <w:sz w:val="22"/>
          <w:szCs w:val="22"/>
          <w:lang w:eastAsia="en-US"/>
        </w:rPr>
      </w:pPr>
      <w:r w:rsidRPr="00DD37C9">
        <w:rPr>
          <w:rFonts w:ascii="Calibri" w:eastAsia="Calibri" w:hAnsi="Calibri"/>
          <w:sz w:val="22"/>
          <w:szCs w:val="22"/>
          <w:lang w:eastAsia="en-US"/>
        </w:rPr>
        <w:t xml:space="preserve">It is vital to ensure that the DTOs </w:t>
      </w:r>
      <w:r w:rsidR="004273BB" w:rsidRPr="00DD37C9">
        <w:rPr>
          <w:rFonts w:ascii="Calibri" w:eastAsia="Calibri" w:hAnsi="Calibri"/>
          <w:sz w:val="22"/>
          <w:szCs w:val="22"/>
          <w:lang w:eastAsia="en-US"/>
        </w:rPr>
        <w:t xml:space="preserve">and COs </w:t>
      </w:r>
      <w:r w:rsidRPr="00DD37C9">
        <w:rPr>
          <w:rFonts w:ascii="Calibri" w:eastAsia="Calibri" w:hAnsi="Calibri"/>
          <w:sz w:val="22"/>
          <w:szCs w:val="22"/>
          <w:lang w:eastAsia="en-US"/>
        </w:rPr>
        <w:t>are removed as soon as possible from instruments that no longer have the appropriate volume and liquidity.</w:t>
      </w:r>
      <w:r w:rsidR="0054255C" w:rsidRPr="00DD37C9">
        <w:rPr>
          <w:rFonts w:ascii="Calibri" w:eastAsia="Calibri" w:hAnsi="Calibri"/>
          <w:sz w:val="22"/>
          <w:szCs w:val="22"/>
          <w:lang w:eastAsia="en-US"/>
        </w:rPr>
        <w:t xml:space="preserve"> The removal of a CO should automatically (as far as possible in the current legal regime) lead to the removal of the related DTO. </w:t>
      </w:r>
    </w:p>
    <w:p w14:paraId="7AAD0B05" w14:textId="474A998D" w:rsidR="00655EE1" w:rsidRPr="00655EE1" w:rsidRDefault="003F68A7" w:rsidP="0054255C">
      <w:pPr>
        <w:spacing w:after="160" w:line="259" w:lineRule="auto"/>
        <w:rPr>
          <w:rFonts w:ascii="Calibri" w:eastAsia="Calibri" w:hAnsi="Calibri"/>
          <w:sz w:val="22"/>
          <w:szCs w:val="22"/>
          <w:lang w:eastAsia="en-US"/>
        </w:rPr>
      </w:pPr>
      <w:r>
        <w:rPr>
          <w:rFonts w:ascii="Calibri" w:eastAsia="Calibri" w:hAnsi="Calibri"/>
          <w:sz w:val="22"/>
          <w:szCs w:val="22"/>
          <w:lang w:eastAsia="en-US"/>
        </w:rPr>
        <w:t>ESMA should be cognisant that i</w:t>
      </w:r>
      <w:r w:rsidR="00655EE1" w:rsidRPr="00655EE1">
        <w:rPr>
          <w:rFonts w:ascii="Calibri" w:eastAsia="Calibri" w:hAnsi="Calibri"/>
          <w:sz w:val="22"/>
          <w:szCs w:val="22"/>
          <w:lang w:eastAsia="en-US"/>
        </w:rPr>
        <w:t>mposing a DTO or CO</w:t>
      </w:r>
      <w:r w:rsidR="0054255C">
        <w:rPr>
          <w:rFonts w:ascii="Calibri" w:eastAsia="Calibri" w:hAnsi="Calibri"/>
          <w:sz w:val="22"/>
          <w:szCs w:val="22"/>
          <w:lang w:eastAsia="en-US"/>
        </w:rPr>
        <w:t xml:space="preserve"> </w:t>
      </w:r>
      <w:r w:rsidR="00655EE1" w:rsidRPr="00655EE1">
        <w:rPr>
          <w:rFonts w:ascii="Calibri" w:eastAsia="Calibri" w:hAnsi="Calibri"/>
          <w:sz w:val="22"/>
          <w:szCs w:val="22"/>
          <w:lang w:eastAsia="en-US"/>
        </w:rPr>
        <w:t xml:space="preserve">too narrowly would never prevent trades being </w:t>
      </w:r>
      <w:r>
        <w:rPr>
          <w:rFonts w:ascii="Calibri" w:eastAsia="Calibri" w:hAnsi="Calibri"/>
          <w:sz w:val="22"/>
          <w:szCs w:val="22"/>
          <w:lang w:eastAsia="en-US"/>
        </w:rPr>
        <w:t xml:space="preserve">cleared or </w:t>
      </w:r>
      <w:r w:rsidR="00655EE1" w:rsidRPr="00655EE1">
        <w:rPr>
          <w:rFonts w:ascii="Calibri" w:eastAsia="Calibri" w:hAnsi="Calibri"/>
          <w:sz w:val="22"/>
          <w:szCs w:val="22"/>
          <w:lang w:eastAsia="en-US"/>
        </w:rPr>
        <w:t xml:space="preserve">executed on a venue. Market participants often trade on a venue and clear for reasons </w:t>
      </w:r>
      <w:r w:rsidR="00655EE1" w:rsidRPr="00655EE1">
        <w:rPr>
          <w:rFonts w:ascii="Calibri" w:eastAsia="Calibri" w:hAnsi="Calibri"/>
          <w:sz w:val="22"/>
          <w:szCs w:val="22"/>
          <w:lang w:eastAsia="en-US"/>
        </w:rPr>
        <w:lastRenderedPageBreak/>
        <w:t xml:space="preserve">unrelated to a DTO and CO. This can be seen by the fact that new </w:t>
      </w:r>
      <w:proofErr w:type="gramStart"/>
      <w:r w:rsidR="00655EE1" w:rsidRPr="00655EE1">
        <w:rPr>
          <w:rFonts w:ascii="Calibri" w:eastAsia="Calibri" w:hAnsi="Calibri"/>
          <w:sz w:val="22"/>
          <w:szCs w:val="22"/>
          <w:lang w:eastAsia="en-US"/>
        </w:rPr>
        <w:t>risk free</w:t>
      </w:r>
      <w:proofErr w:type="gramEnd"/>
      <w:r w:rsidR="00655EE1" w:rsidRPr="00655EE1">
        <w:rPr>
          <w:rFonts w:ascii="Calibri" w:eastAsia="Calibri" w:hAnsi="Calibri"/>
          <w:sz w:val="22"/>
          <w:szCs w:val="22"/>
          <w:lang w:eastAsia="en-US"/>
        </w:rPr>
        <w:t xml:space="preserve"> rates (RFRs) are already often traded on venues and cleared even when there are no obligations. Removing the element of choice through a</w:t>
      </w:r>
      <w:r w:rsidR="00703316">
        <w:rPr>
          <w:rFonts w:ascii="Calibri" w:eastAsia="Calibri" w:hAnsi="Calibri"/>
          <w:sz w:val="22"/>
          <w:szCs w:val="22"/>
          <w:lang w:eastAsia="en-US"/>
        </w:rPr>
        <w:t xml:space="preserve">n obligation </w:t>
      </w:r>
      <w:r w:rsidR="00655EE1" w:rsidRPr="00655EE1">
        <w:rPr>
          <w:rFonts w:ascii="Calibri" w:eastAsia="Calibri" w:hAnsi="Calibri"/>
          <w:sz w:val="22"/>
          <w:szCs w:val="22"/>
          <w:lang w:eastAsia="en-US"/>
        </w:rPr>
        <w:t xml:space="preserve">imposed too broadly could harm liquidity and adoption of the new RFRs. </w:t>
      </w:r>
    </w:p>
    <w:p w14:paraId="5B8CB55A" w14:textId="7F36D9A9" w:rsidR="00655EE1" w:rsidRPr="00655EE1" w:rsidRDefault="005437A4" w:rsidP="00655EE1">
      <w:pPr>
        <w:spacing w:after="160" w:line="259" w:lineRule="auto"/>
        <w:rPr>
          <w:rFonts w:ascii="Calibri" w:eastAsia="Calibri" w:hAnsi="Calibri"/>
          <w:sz w:val="22"/>
          <w:szCs w:val="22"/>
          <w:lang w:eastAsia="en-US"/>
        </w:rPr>
      </w:pPr>
      <w:r>
        <w:rPr>
          <w:rFonts w:ascii="Calibri" w:eastAsia="Calibri" w:hAnsi="Calibri"/>
          <w:sz w:val="22"/>
          <w:szCs w:val="22"/>
          <w:lang w:eastAsia="en-US"/>
        </w:rPr>
        <w:t>More specifically, a</w:t>
      </w:r>
      <w:r w:rsidR="00655EE1" w:rsidRPr="00655EE1">
        <w:rPr>
          <w:rFonts w:ascii="Calibri" w:eastAsia="Calibri" w:hAnsi="Calibri"/>
          <w:sz w:val="22"/>
          <w:szCs w:val="22"/>
          <w:lang w:eastAsia="en-US"/>
        </w:rPr>
        <w:t xml:space="preserve"> DTO should only be imposed on the most liquid of trades subject to the CO. These will be plain vanilla trades on the most liquid tenor points (typically </w:t>
      </w:r>
      <w:proofErr w:type="gramStart"/>
      <w:r w:rsidR="00655EE1" w:rsidRPr="00655EE1">
        <w:rPr>
          <w:rFonts w:ascii="Calibri" w:eastAsia="Calibri" w:hAnsi="Calibri"/>
          <w:sz w:val="22"/>
          <w:szCs w:val="22"/>
          <w:lang w:eastAsia="en-US"/>
        </w:rPr>
        <w:t>2 year</w:t>
      </w:r>
      <w:proofErr w:type="gramEnd"/>
      <w:r w:rsidR="00655EE1" w:rsidRPr="00655EE1">
        <w:rPr>
          <w:rFonts w:ascii="Calibri" w:eastAsia="Calibri" w:hAnsi="Calibri"/>
          <w:sz w:val="22"/>
          <w:szCs w:val="22"/>
          <w:lang w:eastAsia="en-US"/>
        </w:rPr>
        <w:t xml:space="preserve">, 5 year and 10 year) in the most liquid currencies (USD, EUR, GBP). It is important market participants, and their clients, can customise transactions to meet their risk management needs. Customised trades are typically not liquid and should not be subject to the DTO. </w:t>
      </w:r>
      <w:r w:rsidR="000F0EE6" w:rsidRPr="00655EE1">
        <w:rPr>
          <w:rFonts w:ascii="Calibri" w:eastAsia="Calibri" w:hAnsi="Calibri"/>
          <w:sz w:val="22"/>
          <w:szCs w:val="22"/>
          <w:lang w:eastAsia="en-US"/>
        </w:rPr>
        <w:t xml:space="preserve">We have unparalleled access to data on OTC derivatives markets and, from this position, believe that </w:t>
      </w:r>
      <w:r w:rsidR="000F0EE6">
        <w:rPr>
          <w:rFonts w:ascii="Calibri" w:eastAsia="Calibri" w:hAnsi="Calibri"/>
          <w:sz w:val="22"/>
          <w:szCs w:val="22"/>
          <w:lang w:eastAsia="en-US"/>
        </w:rPr>
        <w:t>some</w:t>
      </w:r>
      <w:r w:rsidR="000F0EE6" w:rsidRPr="00655EE1">
        <w:rPr>
          <w:rFonts w:ascii="Calibri" w:eastAsia="Calibri" w:hAnsi="Calibri"/>
          <w:sz w:val="22"/>
          <w:szCs w:val="22"/>
          <w:lang w:eastAsia="en-US"/>
        </w:rPr>
        <w:t xml:space="preserve"> original decisions around the application the DTO under MIFID2 were made based upon with incomplete information from EMIR reporting.</w:t>
      </w:r>
    </w:p>
    <w:p w14:paraId="6A956A39" w14:textId="6C79D5D5" w:rsidR="006F09DC" w:rsidRDefault="00655EE1" w:rsidP="006F09DC">
      <w:pPr>
        <w:spacing w:after="160" w:line="259" w:lineRule="auto"/>
        <w:rPr>
          <w:rFonts w:ascii="Calibri" w:eastAsia="Calibri" w:hAnsi="Calibri"/>
          <w:sz w:val="22"/>
          <w:szCs w:val="22"/>
          <w:lang w:eastAsia="en-US"/>
        </w:rPr>
      </w:pPr>
      <w:r w:rsidRPr="00655EE1">
        <w:rPr>
          <w:rFonts w:ascii="Calibri" w:eastAsia="Calibri" w:hAnsi="Calibri"/>
          <w:sz w:val="22"/>
          <w:szCs w:val="22"/>
          <w:lang w:eastAsia="en-US"/>
        </w:rPr>
        <w:t>Given th</w:t>
      </w:r>
      <w:r w:rsidR="000E0599">
        <w:rPr>
          <w:rFonts w:ascii="Calibri" w:eastAsia="Calibri" w:hAnsi="Calibri"/>
          <w:sz w:val="22"/>
          <w:szCs w:val="22"/>
          <w:lang w:eastAsia="en-US"/>
        </w:rPr>
        <w:t>at clearing and trading on venue is likely to increase for reasons</w:t>
      </w:r>
      <w:r w:rsidR="001B6B79">
        <w:rPr>
          <w:rFonts w:ascii="Calibri" w:eastAsia="Calibri" w:hAnsi="Calibri"/>
          <w:sz w:val="22"/>
          <w:szCs w:val="22"/>
          <w:lang w:eastAsia="en-US"/>
        </w:rPr>
        <w:t xml:space="preserve"> unre</w:t>
      </w:r>
      <w:r w:rsidR="003B140B">
        <w:rPr>
          <w:rFonts w:ascii="Calibri" w:eastAsia="Calibri" w:hAnsi="Calibri"/>
          <w:sz w:val="22"/>
          <w:szCs w:val="22"/>
          <w:lang w:eastAsia="en-US"/>
        </w:rPr>
        <w:t>l</w:t>
      </w:r>
      <w:r w:rsidR="001B6B79">
        <w:rPr>
          <w:rFonts w:ascii="Calibri" w:eastAsia="Calibri" w:hAnsi="Calibri"/>
          <w:sz w:val="22"/>
          <w:szCs w:val="22"/>
          <w:lang w:eastAsia="en-US"/>
        </w:rPr>
        <w:t>ated to the CO and DTO</w:t>
      </w:r>
      <w:r w:rsidR="000E0599">
        <w:rPr>
          <w:rFonts w:ascii="Calibri" w:eastAsia="Calibri" w:hAnsi="Calibri"/>
          <w:sz w:val="22"/>
          <w:szCs w:val="22"/>
          <w:lang w:eastAsia="en-US"/>
        </w:rPr>
        <w:t xml:space="preserve"> and the</w:t>
      </w:r>
      <w:r w:rsidRPr="00655EE1">
        <w:rPr>
          <w:rFonts w:ascii="Calibri" w:eastAsia="Calibri" w:hAnsi="Calibri"/>
          <w:sz w:val="22"/>
          <w:szCs w:val="22"/>
          <w:lang w:eastAsia="en-US"/>
        </w:rPr>
        <w:t xml:space="preserve"> risk of market disruption that an inappropriate application of </w:t>
      </w:r>
      <w:r w:rsidR="000E0599">
        <w:rPr>
          <w:rFonts w:ascii="Calibri" w:eastAsia="Calibri" w:hAnsi="Calibri"/>
          <w:sz w:val="22"/>
          <w:szCs w:val="22"/>
          <w:lang w:eastAsia="en-US"/>
        </w:rPr>
        <w:t>a</w:t>
      </w:r>
      <w:r w:rsidRPr="00655EE1">
        <w:rPr>
          <w:rFonts w:ascii="Calibri" w:eastAsia="Calibri" w:hAnsi="Calibri"/>
          <w:sz w:val="22"/>
          <w:szCs w:val="22"/>
          <w:lang w:eastAsia="en-US"/>
        </w:rPr>
        <w:t xml:space="preserve"> DTO </w:t>
      </w:r>
      <w:r w:rsidR="000E0599">
        <w:rPr>
          <w:rFonts w:ascii="Calibri" w:eastAsia="Calibri" w:hAnsi="Calibri"/>
          <w:sz w:val="22"/>
          <w:szCs w:val="22"/>
          <w:lang w:eastAsia="en-US"/>
        </w:rPr>
        <w:t xml:space="preserve">or CO </w:t>
      </w:r>
      <w:r w:rsidR="00AB0B90">
        <w:rPr>
          <w:rFonts w:ascii="Calibri" w:eastAsia="Calibri" w:hAnsi="Calibri"/>
          <w:sz w:val="22"/>
          <w:szCs w:val="22"/>
          <w:lang w:eastAsia="en-US"/>
        </w:rPr>
        <w:t>could</w:t>
      </w:r>
      <w:r w:rsidRPr="00655EE1">
        <w:rPr>
          <w:rFonts w:ascii="Calibri" w:eastAsia="Calibri" w:hAnsi="Calibri"/>
          <w:sz w:val="22"/>
          <w:szCs w:val="22"/>
          <w:lang w:eastAsia="en-US"/>
        </w:rPr>
        <w:t xml:space="preserve"> cause, we would urge </w:t>
      </w:r>
      <w:r w:rsidR="00AB0B90">
        <w:rPr>
          <w:rFonts w:ascii="Calibri" w:eastAsia="Calibri" w:hAnsi="Calibri"/>
          <w:sz w:val="22"/>
          <w:szCs w:val="22"/>
          <w:lang w:eastAsia="en-US"/>
        </w:rPr>
        <w:t xml:space="preserve">ESMA </w:t>
      </w:r>
      <w:r w:rsidRPr="00655EE1">
        <w:rPr>
          <w:rFonts w:ascii="Calibri" w:eastAsia="Calibri" w:hAnsi="Calibri"/>
          <w:sz w:val="22"/>
          <w:szCs w:val="22"/>
          <w:lang w:eastAsia="en-US"/>
        </w:rPr>
        <w:t xml:space="preserve">to prioritise removing the requirement where it is no longer appropriate over introducing new requirements. </w:t>
      </w:r>
      <w:r w:rsidR="000E0599">
        <w:rPr>
          <w:rFonts w:ascii="Calibri" w:eastAsia="Calibri" w:hAnsi="Calibri"/>
          <w:sz w:val="22"/>
          <w:szCs w:val="22"/>
          <w:lang w:eastAsia="en-US"/>
        </w:rPr>
        <w:t>Furthermore,</w:t>
      </w:r>
      <w:r w:rsidR="006A66E5">
        <w:rPr>
          <w:rFonts w:ascii="Calibri" w:eastAsia="Calibri" w:hAnsi="Calibri"/>
          <w:sz w:val="22"/>
          <w:szCs w:val="22"/>
          <w:lang w:eastAsia="en-US"/>
        </w:rPr>
        <w:t xml:space="preserve"> new obligations</w:t>
      </w:r>
      <w:r w:rsidR="000E0599">
        <w:rPr>
          <w:rFonts w:ascii="Calibri" w:eastAsia="Calibri" w:hAnsi="Calibri"/>
          <w:sz w:val="22"/>
          <w:szCs w:val="22"/>
          <w:lang w:eastAsia="en-US"/>
        </w:rPr>
        <w:t xml:space="preserve"> </w:t>
      </w:r>
      <w:r w:rsidR="006A66E5">
        <w:rPr>
          <w:rFonts w:ascii="Calibri" w:eastAsia="Calibri" w:hAnsi="Calibri"/>
          <w:sz w:val="22"/>
          <w:szCs w:val="22"/>
          <w:lang w:eastAsia="en-US"/>
        </w:rPr>
        <w:t xml:space="preserve">mean </w:t>
      </w:r>
      <w:r w:rsidR="000E0599">
        <w:rPr>
          <w:rFonts w:ascii="Calibri" w:eastAsia="Calibri" w:hAnsi="Calibri"/>
          <w:sz w:val="22"/>
          <w:szCs w:val="22"/>
          <w:lang w:eastAsia="en-US"/>
        </w:rPr>
        <w:t>new compliance burdens</w:t>
      </w:r>
      <w:r w:rsidR="006A66E5">
        <w:rPr>
          <w:rFonts w:ascii="Calibri" w:eastAsia="Calibri" w:hAnsi="Calibri"/>
          <w:sz w:val="22"/>
          <w:szCs w:val="22"/>
          <w:lang w:eastAsia="en-US"/>
        </w:rPr>
        <w:t>. A</w:t>
      </w:r>
      <w:r w:rsidR="00573804">
        <w:rPr>
          <w:rFonts w:ascii="Calibri" w:eastAsia="Calibri" w:hAnsi="Calibri"/>
          <w:sz w:val="22"/>
          <w:szCs w:val="22"/>
          <w:lang w:eastAsia="en-US"/>
        </w:rPr>
        <w:t>t a time when firms are dedicating resources to the challenge of transitioning to RFRs</w:t>
      </w:r>
      <w:r w:rsidR="004E3D49">
        <w:rPr>
          <w:rFonts w:ascii="Calibri" w:eastAsia="Calibri" w:hAnsi="Calibri"/>
          <w:sz w:val="22"/>
          <w:szCs w:val="22"/>
          <w:lang w:eastAsia="en-US"/>
        </w:rPr>
        <w:t>,</w:t>
      </w:r>
      <w:r w:rsidR="001C20B6">
        <w:rPr>
          <w:rFonts w:ascii="Calibri" w:eastAsia="Calibri" w:hAnsi="Calibri"/>
          <w:sz w:val="22"/>
          <w:szCs w:val="22"/>
          <w:lang w:eastAsia="en-US"/>
        </w:rPr>
        <w:t xml:space="preserve"> </w:t>
      </w:r>
      <w:r w:rsidR="00BA5BEC">
        <w:rPr>
          <w:rFonts w:ascii="Calibri" w:eastAsia="Calibri" w:hAnsi="Calibri"/>
          <w:sz w:val="22"/>
          <w:szCs w:val="22"/>
          <w:lang w:eastAsia="en-US"/>
        </w:rPr>
        <w:t xml:space="preserve">additional burdens could </w:t>
      </w:r>
      <w:r w:rsidR="001C20B6">
        <w:rPr>
          <w:rFonts w:ascii="Calibri" w:eastAsia="Calibri" w:hAnsi="Calibri"/>
          <w:sz w:val="22"/>
          <w:szCs w:val="22"/>
          <w:lang w:eastAsia="en-US"/>
        </w:rPr>
        <w:t>risk undermining LIBOR transition.</w:t>
      </w:r>
      <w:r w:rsidR="001C20B6" w:rsidRPr="001C20B6">
        <w:rPr>
          <w:rFonts w:ascii="Calibri" w:eastAsia="Calibri" w:hAnsi="Calibri"/>
          <w:sz w:val="22"/>
          <w:szCs w:val="22"/>
          <w:lang w:eastAsia="en-US"/>
        </w:rPr>
        <w:t xml:space="preserve"> </w:t>
      </w:r>
      <w:r w:rsidR="00525975">
        <w:rPr>
          <w:rFonts w:ascii="Calibri" w:eastAsia="Calibri" w:hAnsi="Calibri"/>
          <w:sz w:val="22"/>
          <w:szCs w:val="22"/>
          <w:lang w:eastAsia="en-US"/>
        </w:rPr>
        <w:t>Given the balance of risks and benefits, w</w:t>
      </w:r>
      <w:r w:rsidR="001C20B6" w:rsidRPr="00655EE1">
        <w:rPr>
          <w:rFonts w:ascii="Calibri" w:eastAsia="Calibri" w:hAnsi="Calibri"/>
          <w:sz w:val="22"/>
          <w:szCs w:val="22"/>
          <w:lang w:eastAsia="en-US"/>
        </w:rPr>
        <w:t>e would</w:t>
      </w:r>
      <w:r w:rsidR="00003D61">
        <w:rPr>
          <w:rFonts w:ascii="Calibri" w:eastAsia="Calibri" w:hAnsi="Calibri"/>
          <w:sz w:val="22"/>
          <w:szCs w:val="22"/>
          <w:lang w:eastAsia="en-US"/>
        </w:rPr>
        <w:t>, therefore,</w:t>
      </w:r>
      <w:r w:rsidR="001C20B6" w:rsidRPr="00655EE1">
        <w:rPr>
          <w:rFonts w:ascii="Calibri" w:eastAsia="Calibri" w:hAnsi="Calibri"/>
          <w:sz w:val="22"/>
          <w:szCs w:val="22"/>
          <w:lang w:eastAsia="en-US"/>
        </w:rPr>
        <w:t xml:space="preserve"> </w:t>
      </w:r>
      <w:r w:rsidR="00525975">
        <w:rPr>
          <w:rFonts w:ascii="Calibri" w:eastAsia="Calibri" w:hAnsi="Calibri"/>
          <w:sz w:val="22"/>
          <w:szCs w:val="22"/>
          <w:lang w:eastAsia="en-US"/>
        </w:rPr>
        <w:t>encourage</w:t>
      </w:r>
      <w:r w:rsidR="001C20B6" w:rsidRPr="00655EE1">
        <w:rPr>
          <w:rFonts w:ascii="Calibri" w:eastAsia="Calibri" w:hAnsi="Calibri"/>
          <w:sz w:val="22"/>
          <w:szCs w:val="22"/>
          <w:lang w:eastAsia="en-US"/>
        </w:rPr>
        <w:t xml:space="preserve"> </w:t>
      </w:r>
      <w:r w:rsidR="001C20B6">
        <w:rPr>
          <w:rFonts w:ascii="Calibri" w:eastAsia="Calibri" w:hAnsi="Calibri"/>
          <w:sz w:val="22"/>
          <w:szCs w:val="22"/>
          <w:lang w:eastAsia="en-US"/>
        </w:rPr>
        <w:t xml:space="preserve">ESMA </w:t>
      </w:r>
      <w:r w:rsidR="00525975">
        <w:rPr>
          <w:rFonts w:ascii="Calibri" w:eastAsia="Calibri" w:hAnsi="Calibri"/>
          <w:sz w:val="22"/>
          <w:szCs w:val="22"/>
          <w:lang w:eastAsia="en-US"/>
        </w:rPr>
        <w:t xml:space="preserve">to </w:t>
      </w:r>
      <w:r w:rsidR="001C20B6" w:rsidRPr="00655EE1">
        <w:rPr>
          <w:rFonts w:ascii="Calibri" w:eastAsia="Calibri" w:hAnsi="Calibri"/>
          <w:sz w:val="22"/>
          <w:szCs w:val="22"/>
          <w:lang w:eastAsia="en-US"/>
        </w:rPr>
        <w:t xml:space="preserve">take a cautious approach to the application of new </w:t>
      </w:r>
      <w:r w:rsidR="001C20B6">
        <w:rPr>
          <w:rFonts w:ascii="Calibri" w:eastAsia="Calibri" w:hAnsi="Calibri"/>
          <w:sz w:val="22"/>
          <w:szCs w:val="22"/>
          <w:lang w:eastAsia="en-US"/>
        </w:rPr>
        <w:t>obligations</w:t>
      </w:r>
      <w:r w:rsidR="001C20B6" w:rsidRPr="00655EE1">
        <w:rPr>
          <w:rFonts w:ascii="Calibri" w:eastAsia="Calibri" w:hAnsi="Calibri"/>
          <w:sz w:val="22"/>
          <w:szCs w:val="22"/>
          <w:lang w:eastAsia="en-US"/>
        </w:rPr>
        <w:t xml:space="preserve">. We would also be happy to share anonymised and aggregated data and analysis with </w:t>
      </w:r>
      <w:r w:rsidR="001C20B6">
        <w:rPr>
          <w:rFonts w:ascii="Calibri" w:eastAsia="Calibri" w:hAnsi="Calibri"/>
          <w:sz w:val="22"/>
          <w:szCs w:val="22"/>
          <w:lang w:eastAsia="en-US"/>
        </w:rPr>
        <w:t>ESMA</w:t>
      </w:r>
      <w:r w:rsidR="001C20B6" w:rsidRPr="00655EE1">
        <w:rPr>
          <w:rFonts w:ascii="Calibri" w:eastAsia="Calibri" w:hAnsi="Calibri"/>
          <w:sz w:val="22"/>
          <w:szCs w:val="22"/>
          <w:lang w:eastAsia="en-US"/>
        </w:rPr>
        <w:t xml:space="preserve"> if it would be helpful.</w:t>
      </w:r>
    </w:p>
    <w:p w14:paraId="5892CFB2" w14:textId="77777777" w:rsidR="007C24A5" w:rsidRPr="006F09DC" w:rsidRDefault="007C24A5" w:rsidP="006F09DC">
      <w:pPr>
        <w:spacing w:after="160" w:line="259" w:lineRule="auto"/>
        <w:rPr>
          <w:rFonts w:ascii="Calibri" w:eastAsia="Calibri" w:hAnsi="Calibri"/>
          <w:sz w:val="22"/>
          <w:szCs w:val="22"/>
          <w:lang w:eastAsia="en-US"/>
        </w:rPr>
      </w:pPr>
    </w:p>
    <w:p w14:paraId="09C35E97" w14:textId="0DBEAA4A" w:rsidR="00655EE1" w:rsidRPr="007C24A5" w:rsidRDefault="00003D61" w:rsidP="00655EE1">
      <w:pPr>
        <w:pStyle w:val="ListParagraph"/>
      </w:pPr>
      <w:r w:rsidRPr="006C7FD4">
        <w:t xml:space="preserve">ESMA should </w:t>
      </w:r>
      <w:r w:rsidR="006F09DC" w:rsidRPr="006C7FD4">
        <w:t xml:space="preserve">consider the </w:t>
      </w:r>
      <w:r w:rsidR="006C7FD4" w:rsidRPr="006C7FD4">
        <w:t>potential impact a CO or DTO might have on post-trade risk reduction services</w:t>
      </w:r>
    </w:p>
    <w:p w14:paraId="10638BF5" w14:textId="01760810" w:rsidR="009835AD" w:rsidRDefault="006C7FD4" w:rsidP="00655EE1">
      <w:pPr>
        <w:spacing w:after="160" w:line="259" w:lineRule="auto"/>
        <w:rPr>
          <w:rFonts w:ascii="Calibri" w:eastAsia="Calibri" w:hAnsi="Calibri"/>
          <w:sz w:val="22"/>
          <w:szCs w:val="22"/>
          <w:lang w:eastAsia="en-US"/>
        </w:rPr>
      </w:pPr>
      <w:r>
        <w:rPr>
          <w:rFonts w:ascii="Calibri" w:eastAsia="Calibri" w:hAnsi="Calibri"/>
          <w:sz w:val="22"/>
          <w:szCs w:val="22"/>
          <w:lang w:eastAsia="en-US"/>
        </w:rPr>
        <w:t>ESMA</w:t>
      </w:r>
      <w:r w:rsidR="00655EE1" w:rsidRPr="00655EE1">
        <w:rPr>
          <w:rFonts w:ascii="Calibri" w:eastAsia="Calibri" w:hAnsi="Calibri"/>
          <w:sz w:val="22"/>
          <w:szCs w:val="22"/>
          <w:lang w:eastAsia="en-US"/>
        </w:rPr>
        <w:t xml:space="preserve"> should also consider the potential impact a</w:t>
      </w:r>
      <w:r>
        <w:rPr>
          <w:rFonts w:ascii="Calibri" w:eastAsia="Calibri" w:hAnsi="Calibri"/>
          <w:sz w:val="22"/>
          <w:szCs w:val="22"/>
          <w:lang w:eastAsia="en-US"/>
        </w:rPr>
        <w:t xml:space="preserve"> CO or</w:t>
      </w:r>
      <w:r w:rsidR="00655EE1" w:rsidRPr="00655EE1">
        <w:rPr>
          <w:rFonts w:ascii="Calibri" w:eastAsia="Calibri" w:hAnsi="Calibri"/>
          <w:sz w:val="22"/>
          <w:szCs w:val="22"/>
          <w:lang w:eastAsia="en-US"/>
        </w:rPr>
        <w:t xml:space="preserve"> DTO might have on post-trade risk reduction services. Such services reduce non-market risks by optimising bilateral and cleared derivatives portfolios to minimise the build-up of risk – systemic risk is also reduced.  These tools are also widely used for IBOR transition, including “benchmark conversion”, which compresses trade portfolios referencing legacy rates and replaces the risk with transactions on the reformed benchmarks. </w:t>
      </w:r>
      <w:r w:rsidR="001A2C65">
        <w:rPr>
          <w:rFonts w:ascii="Calibri" w:eastAsia="Calibri" w:hAnsi="Calibri"/>
          <w:sz w:val="22"/>
          <w:szCs w:val="22"/>
          <w:lang w:eastAsia="en-US"/>
        </w:rPr>
        <w:t>A DTO or</w:t>
      </w:r>
      <w:r w:rsidR="00F518EF">
        <w:rPr>
          <w:rFonts w:ascii="Calibri" w:eastAsia="Calibri" w:hAnsi="Calibri"/>
          <w:sz w:val="22"/>
          <w:szCs w:val="22"/>
          <w:lang w:eastAsia="en-US"/>
        </w:rPr>
        <w:t xml:space="preserve"> </w:t>
      </w:r>
      <w:r w:rsidR="001A2C65">
        <w:rPr>
          <w:rFonts w:ascii="Calibri" w:eastAsia="Calibri" w:hAnsi="Calibri"/>
          <w:sz w:val="22"/>
          <w:szCs w:val="22"/>
          <w:lang w:eastAsia="en-US"/>
        </w:rPr>
        <w:t xml:space="preserve">CO can affect these services and ESMA </w:t>
      </w:r>
      <w:r w:rsidR="00655EE1" w:rsidRPr="00655EE1">
        <w:rPr>
          <w:rFonts w:ascii="Calibri" w:eastAsia="Calibri" w:hAnsi="Calibri"/>
          <w:sz w:val="22"/>
          <w:szCs w:val="22"/>
          <w:lang w:eastAsia="en-US"/>
        </w:rPr>
        <w:t xml:space="preserve">should be cognisant of the potential impact </w:t>
      </w:r>
      <w:r w:rsidR="00F518EF">
        <w:rPr>
          <w:rFonts w:ascii="Calibri" w:eastAsia="Calibri" w:hAnsi="Calibri"/>
          <w:sz w:val="22"/>
          <w:szCs w:val="22"/>
          <w:lang w:eastAsia="en-US"/>
        </w:rPr>
        <w:t xml:space="preserve">obligations </w:t>
      </w:r>
      <w:r w:rsidR="00655EE1" w:rsidRPr="00655EE1">
        <w:rPr>
          <w:rFonts w:ascii="Calibri" w:eastAsia="Calibri" w:hAnsi="Calibri"/>
          <w:sz w:val="22"/>
          <w:szCs w:val="22"/>
          <w:lang w:eastAsia="en-US"/>
        </w:rPr>
        <w:t>might have on risk reduction and transition.</w:t>
      </w:r>
    </w:p>
    <w:p w14:paraId="0A8C02C9" w14:textId="77777777" w:rsidR="001A2C65" w:rsidRPr="009835AD" w:rsidRDefault="001A2C65" w:rsidP="00655EE1">
      <w:pPr>
        <w:spacing w:after="160" w:line="259" w:lineRule="auto"/>
        <w:rPr>
          <w:rFonts w:ascii="Calibri" w:eastAsia="Calibri" w:hAnsi="Calibri"/>
          <w:sz w:val="22"/>
          <w:szCs w:val="22"/>
          <w:lang w:eastAsia="en-US"/>
        </w:rPr>
      </w:pPr>
    </w:p>
    <w:permEnd w:id="1592684246"/>
    <w:p w14:paraId="55FCE70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&lt;ESMA_QUESTION_RFRS_1&gt;</w:t>
      </w:r>
    </w:p>
    <w:p w14:paraId="6237099F" w14:textId="06344591" w:rsidR="009835AD" w:rsidRDefault="009835AD" w:rsidP="009835AD">
      <w:pPr>
        <w:spacing w:after="160" w:line="259" w:lineRule="auto"/>
        <w:rPr>
          <w:rFonts w:ascii="Calibri" w:eastAsia="Calibri" w:hAnsi="Calibri"/>
          <w:sz w:val="22"/>
          <w:szCs w:val="22"/>
          <w:lang w:eastAsia="en-US"/>
        </w:rPr>
      </w:pPr>
    </w:p>
    <w:p w14:paraId="1E5D8E97" w14:textId="7957D24E" w:rsidR="00D57019"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State of progress with the transition</w:t>
      </w:r>
    </w:p>
    <w:p w14:paraId="7479070E"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Are there any other aspects of the transition that need to be taken into account? Please share any data that would help qualify further the progress with the transition or any other aspects that you think should be considered.</w:t>
      </w:r>
    </w:p>
    <w:p w14:paraId="62108C4F"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&lt;ESMA_QUESTION_RFRS_2&gt;</w:t>
      </w:r>
    </w:p>
    <w:p w14:paraId="16F34288" w14:textId="310C64D3" w:rsidR="007D1BB7" w:rsidRPr="007D1BB7" w:rsidRDefault="007D1BB7" w:rsidP="007D1BB7">
      <w:pPr>
        <w:spacing w:after="160" w:line="259" w:lineRule="auto"/>
        <w:rPr>
          <w:rFonts w:ascii="Calibri" w:eastAsia="Calibri" w:hAnsi="Calibri"/>
          <w:sz w:val="22"/>
          <w:szCs w:val="22"/>
          <w:lang w:eastAsia="en-US"/>
        </w:rPr>
      </w:pPr>
      <w:permStart w:id="1960970536" w:edGrp="everyone"/>
      <w:r w:rsidRPr="007D1BB7">
        <w:rPr>
          <w:rFonts w:ascii="Calibri" w:eastAsia="Calibri" w:hAnsi="Calibri"/>
          <w:sz w:val="22"/>
          <w:szCs w:val="22"/>
          <w:lang w:eastAsia="en-US"/>
        </w:rPr>
        <w:lastRenderedPageBreak/>
        <w:t xml:space="preserve">Using data from the </w:t>
      </w:r>
      <w:proofErr w:type="spellStart"/>
      <w:r w:rsidRPr="007D1BB7">
        <w:rPr>
          <w:rFonts w:ascii="Calibri" w:eastAsia="Calibri" w:hAnsi="Calibri"/>
          <w:sz w:val="22"/>
          <w:szCs w:val="22"/>
          <w:lang w:eastAsia="en-US"/>
        </w:rPr>
        <w:t>MarkitWire</w:t>
      </w:r>
      <w:proofErr w:type="spellEnd"/>
      <w:r w:rsidRPr="007D1BB7">
        <w:rPr>
          <w:rFonts w:ascii="Calibri" w:eastAsia="Calibri" w:hAnsi="Calibri"/>
          <w:sz w:val="22"/>
          <w:szCs w:val="22"/>
          <w:lang w:eastAsia="en-US"/>
        </w:rPr>
        <w:t xml:space="preserve"> platform, we have undertaken analysis of the how the market share of </w:t>
      </w:r>
      <w:r w:rsidR="00090831">
        <w:rPr>
          <w:rFonts w:ascii="Calibri" w:eastAsia="Calibri" w:hAnsi="Calibri"/>
          <w:sz w:val="22"/>
          <w:szCs w:val="22"/>
          <w:lang w:eastAsia="en-US"/>
        </w:rPr>
        <w:t>RFR</w:t>
      </w:r>
      <w:r w:rsidRPr="007D1BB7">
        <w:rPr>
          <w:rFonts w:ascii="Calibri" w:eastAsia="Calibri" w:hAnsi="Calibri"/>
          <w:sz w:val="22"/>
          <w:szCs w:val="22"/>
          <w:lang w:eastAsia="en-US"/>
        </w:rPr>
        <w:t xml:space="preserve"> interest rate swaps (IRS) in multiple currencies. </w:t>
      </w:r>
      <w:r w:rsidR="00F84921">
        <w:rPr>
          <w:rFonts w:ascii="Calibri" w:eastAsia="Calibri" w:hAnsi="Calibri"/>
          <w:sz w:val="22"/>
          <w:szCs w:val="22"/>
          <w:lang w:eastAsia="en-US"/>
        </w:rPr>
        <w:t>ESMA</w:t>
      </w:r>
      <w:r w:rsidRPr="007D1BB7">
        <w:rPr>
          <w:rFonts w:ascii="Calibri" w:eastAsia="Calibri" w:hAnsi="Calibri"/>
          <w:sz w:val="22"/>
          <w:szCs w:val="22"/>
          <w:lang w:eastAsia="en-US"/>
        </w:rPr>
        <w:t xml:space="preserve"> may be interested in this and we would be happy to discuss what we are seeing on OTC derivatives markets if </w:t>
      </w:r>
      <w:r w:rsidR="00F84921">
        <w:rPr>
          <w:rFonts w:ascii="Calibri" w:eastAsia="Calibri" w:hAnsi="Calibri"/>
          <w:sz w:val="22"/>
          <w:szCs w:val="22"/>
          <w:lang w:eastAsia="en-US"/>
        </w:rPr>
        <w:t xml:space="preserve">ESMA </w:t>
      </w:r>
      <w:r w:rsidRPr="007D1BB7">
        <w:rPr>
          <w:rFonts w:ascii="Calibri" w:eastAsia="Calibri" w:hAnsi="Calibri"/>
          <w:sz w:val="22"/>
          <w:szCs w:val="22"/>
          <w:lang w:eastAsia="en-US"/>
        </w:rPr>
        <w:t xml:space="preserve">would find it helpful. </w:t>
      </w:r>
    </w:p>
    <w:p w14:paraId="0D4C0BD0" w14:textId="77777777" w:rsidR="007D1BB7" w:rsidRPr="007D1BB7" w:rsidRDefault="007D1BB7" w:rsidP="007D1BB7">
      <w:pPr>
        <w:spacing w:after="160" w:line="259" w:lineRule="auto"/>
        <w:rPr>
          <w:rFonts w:ascii="Calibri" w:eastAsia="Calibri" w:hAnsi="Calibri"/>
          <w:sz w:val="22"/>
          <w:szCs w:val="22"/>
          <w:lang w:eastAsia="en-US"/>
        </w:rPr>
      </w:pPr>
      <w:r w:rsidRPr="007D1BB7">
        <w:rPr>
          <w:rFonts w:ascii="Calibri" w:eastAsia="Calibri" w:hAnsi="Calibri"/>
          <w:sz w:val="22"/>
          <w:szCs w:val="22"/>
          <w:lang w:eastAsia="en-US"/>
        </w:rPr>
        <w:t xml:space="preserve">The analysis is available here: </w:t>
      </w:r>
    </w:p>
    <w:p w14:paraId="3DB0E3F2" w14:textId="46FB7E27" w:rsidR="00F84921" w:rsidRDefault="00DF7DE0" w:rsidP="007D1BB7">
      <w:pPr>
        <w:spacing w:after="160" w:line="259" w:lineRule="auto"/>
        <w:rPr>
          <w:rFonts w:ascii="Calibri" w:eastAsia="Calibri" w:hAnsi="Calibri"/>
          <w:sz w:val="22"/>
          <w:szCs w:val="22"/>
          <w:lang w:eastAsia="en-US"/>
        </w:rPr>
      </w:pPr>
      <w:hyperlink r:id="rId19" w:history="1">
        <w:r w:rsidRPr="00BB01AC">
          <w:rPr>
            <w:rStyle w:val="Hyperlink"/>
            <w:rFonts w:ascii="Calibri" w:eastAsia="Calibri" w:hAnsi="Calibri"/>
            <w:sz w:val="22"/>
            <w:szCs w:val="22"/>
            <w:lang w:eastAsia="en-US"/>
          </w:rPr>
          <w:t>https://ihsmarkit.com/research-analysis/ibor-reform-global-transition-update-gbp-sonia-roaring-ahead-w.html</w:t>
        </w:r>
      </w:hyperlink>
      <w:r>
        <w:rPr>
          <w:rFonts w:ascii="Calibri" w:eastAsia="Calibri" w:hAnsi="Calibri"/>
          <w:sz w:val="22"/>
          <w:szCs w:val="22"/>
          <w:lang w:eastAsia="en-US"/>
        </w:rPr>
        <w:t xml:space="preserve"> </w:t>
      </w:r>
      <w:r w:rsidR="007D1BB7" w:rsidRPr="007D1BB7">
        <w:rPr>
          <w:rFonts w:ascii="Calibri" w:eastAsia="Calibri" w:hAnsi="Calibri"/>
          <w:sz w:val="22"/>
          <w:szCs w:val="22"/>
          <w:lang w:eastAsia="en-US"/>
        </w:rPr>
        <w:t xml:space="preserve">  </w:t>
      </w:r>
    </w:p>
    <w:p w14:paraId="5D9F5FEB" w14:textId="77777777" w:rsidR="00F84921" w:rsidRPr="009835AD" w:rsidRDefault="00F84921" w:rsidP="007D1BB7">
      <w:pPr>
        <w:spacing w:after="160" w:line="259" w:lineRule="auto"/>
        <w:rPr>
          <w:rFonts w:ascii="Calibri" w:eastAsia="Calibri" w:hAnsi="Calibri"/>
          <w:sz w:val="22"/>
          <w:szCs w:val="22"/>
          <w:lang w:eastAsia="en-US"/>
        </w:rPr>
      </w:pPr>
    </w:p>
    <w:permEnd w:id="1960970536"/>
    <w:p w14:paraId="4B64AFD5"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&lt;ESMA_QUESTION_RFRS_2&gt;</w:t>
      </w:r>
    </w:p>
    <w:p w14:paraId="70BA6A0C" w14:textId="392BF9B7" w:rsidR="009835AD" w:rsidRDefault="009835AD" w:rsidP="009835AD">
      <w:pPr>
        <w:spacing w:after="160" w:line="259" w:lineRule="auto"/>
        <w:rPr>
          <w:rFonts w:ascii="Calibri" w:eastAsia="Calibri" w:hAnsi="Calibri"/>
          <w:sz w:val="22"/>
          <w:szCs w:val="22"/>
          <w:lang w:eastAsia="en-US"/>
        </w:rPr>
      </w:pPr>
    </w:p>
    <w:p w14:paraId="6717B33A" w14:textId="645BA4E2"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 xml:space="preserve">General approach </w:t>
      </w:r>
    </w:p>
    <w:p w14:paraId="3A834F3D"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Are there any other aspects that you think that ESMA should take into account or that might justify a</w:t>
      </w:r>
      <w:r w:rsidRPr="009835AD">
        <w:rPr>
          <w:rFonts w:ascii="Arial" w:hAnsi="Arial" w:cs="Arial"/>
          <w:b/>
          <w:sz w:val="22"/>
          <w:szCs w:val="22"/>
          <w:lang w:val="en-US" w:eastAsia="en-US"/>
        </w:rPr>
        <w:t xml:space="preserve"> different approach?</w:t>
      </w:r>
    </w:p>
    <w:p w14:paraId="5A839AD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&lt;ESMA_QUESTION_RFRS_3&gt;</w:t>
      </w:r>
    </w:p>
    <w:p w14:paraId="48D35293" w14:textId="30470FF1" w:rsidR="00A2378A" w:rsidRDefault="002B5B09" w:rsidP="00B27C67">
      <w:pPr>
        <w:spacing w:after="160" w:line="259" w:lineRule="auto"/>
        <w:rPr>
          <w:rFonts w:ascii="Calibri" w:eastAsia="Calibri" w:hAnsi="Calibri"/>
          <w:sz w:val="22"/>
          <w:szCs w:val="22"/>
          <w:lang w:eastAsia="en-US"/>
        </w:rPr>
      </w:pPr>
      <w:permStart w:id="2091866080" w:edGrp="everyone"/>
      <w:r>
        <w:rPr>
          <w:rFonts w:ascii="Calibri" w:eastAsia="Calibri" w:hAnsi="Calibri"/>
          <w:sz w:val="22"/>
          <w:szCs w:val="22"/>
          <w:lang w:eastAsia="en-US"/>
        </w:rPr>
        <w:t>We welcome ESMA’s proactive approach to this matter</w:t>
      </w:r>
      <w:r w:rsidR="00080DAA">
        <w:rPr>
          <w:rFonts w:ascii="Calibri" w:eastAsia="Calibri" w:hAnsi="Calibri"/>
          <w:sz w:val="22"/>
          <w:szCs w:val="22"/>
          <w:lang w:eastAsia="en-US"/>
        </w:rPr>
        <w:t>,</w:t>
      </w:r>
      <w:r w:rsidR="00434075">
        <w:rPr>
          <w:rFonts w:ascii="Calibri" w:eastAsia="Calibri" w:hAnsi="Calibri"/>
          <w:sz w:val="22"/>
          <w:szCs w:val="22"/>
          <w:lang w:eastAsia="en-US"/>
        </w:rPr>
        <w:t xml:space="preserve"> anticipating</w:t>
      </w:r>
      <w:r w:rsidR="007E19EA">
        <w:rPr>
          <w:rFonts w:ascii="Calibri" w:eastAsia="Calibri" w:hAnsi="Calibri"/>
          <w:sz w:val="22"/>
          <w:szCs w:val="22"/>
          <w:lang w:eastAsia="en-US"/>
        </w:rPr>
        <w:t xml:space="preserve"> and making reasonable assumptions around the</w:t>
      </w:r>
      <w:r w:rsidR="00434075">
        <w:rPr>
          <w:rFonts w:ascii="Calibri" w:eastAsia="Calibri" w:hAnsi="Calibri"/>
          <w:sz w:val="22"/>
          <w:szCs w:val="22"/>
          <w:lang w:eastAsia="en-US"/>
        </w:rPr>
        <w:t xml:space="preserve"> </w:t>
      </w:r>
      <w:r w:rsidR="00FC34B6">
        <w:rPr>
          <w:rFonts w:ascii="Calibri" w:eastAsia="Calibri" w:hAnsi="Calibri"/>
          <w:sz w:val="22"/>
          <w:szCs w:val="22"/>
          <w:lang w:eastAsia="en-US"/>
        </w:rPr>
        <w:t xml:space="preserve">benchmark transition. </w:t>
      </w:r>
      <w:r w:rsidR="00B27C67" w:rsidRPr="00590550">
        <w:rPr>
          <w:rFonts w:ascii="Calibri" w:eastAsia="Calibri" w:hAnsi="Calibri"/>
          <w:sz w:val="22"/>
          <w:szCs w:val="22"/>
          <w:lang w:eastAsia="en-US"/>
        </w:rPr>
        <w:t xml:space="preserve">We strongly agree with the proposal to remove the </w:t>
      </w:r>
      <w:r w:rsidR="00B27C67">
        <w:rPr>
          <w:rFonts w:ascii="Calibri" w:eastAsia="Calibri" w:hAnsi="Calibri"/>
          <w:sz w:val="22"/>
          <w:szCs w:val="22"/>
          <w:lang w:eastAsia="en-US"/>
        </w:rPr>
        <w:t>CO and DTO</w:t>
      </w:r>
      <w:r w:rsidR="00B27C67" w:rsidRPr="00590550">
        <w:rPr>
          <w:rFonts w:ascii="Calibri" w:eastAsia="Calibri" w:hAnsi="Calibri"/>
          <w:sz w:val="22"/>
          <w:szCs w:val="22"/>
          <w:lang w:eastAsia="en-US"/>
        </w:rPr>
        <w:t xml:space="preserve"> from instruments referencing </w:t>
      </w:r>
      <w:r w:rsidR="002D61E7">
        <w:rPr>
          <w:rFonts w:ascii="Calibri" w:eastAsia="Calibri" w:hAnsi="Calibri"/>
          <w:sz w:val="22"/>
          <w:szCs w:val="22"/>
          <w:lang w:eastAsia="en-US"/>
        </w:rPr>
        <w:t>benchmark</w:t>
      </w:r>
      <w:r w:rsidR="00B27C67" w:rsidRPr="00590550">
        <w:rPr>
          <w:rFonts w:ascii="Calibri" w:eastAsia="Calibri" w:hAnsi="Calibri"/>
          <w:sz w:val="22"/>
          <w:szCs w:val="22"/>
          <w:lang w:eastAsia="en-US"/>
        </w:rPr>
        <w:t xml:space="preserve"> rates</w:t>
      </w:r>
      <w:r w:rsidR="002D61E7">
        <w:rPr>
          <w:rFonts w:ascii="Calibri" w:eastAsia="Calibri" w:hAnsi="Calibri"/>
          <w:sz w:val="22"/>
          <w:szCs w:val="22"/>
          <w:lang w:eastAsia="en-US"/>
        </w:rPr>
        <w:t xml:space="preserve"> that will be discontinued</w:t>
      </w:r>
      <w:r w:rsidR="00B27C67" w:rsidRPr="00590550">
        <w:rPr>
          <w:rFonts w:ascii="Calibri" w:eastAsia="Calibri" w:hAnsi="Calibri"/>
          <w:sz w:val="22"/>
          <w:szCs w:val="22"/>
          <w:lang w:eastAsia="en-US"/>
        </w:rPr>
        <w:t>.</w:t>
      </w:r>
      <w:r w:rsidR="00656995">
        <w:rPr>
          <w:rFonts w:ascii="Calibri" w:eastAsia="Calibri" w:hAnsi="Calibri"/>
          <w:sz w:val="22"/>
          <w:szCs w:val="22"/>
          <w:lang w:eastAsia="en-US"/>
        </w:rPr>
        <w:t xml:space="preserve"> Maintaining a CO </w:t>
      </w:r>
      <w:r w:rsidR="00972E0D">
        <w:rPr>
          <w:rFonts w:ascii="Calibri" w:eastAsia="Calibri" w:hAnsi="Calibri"/>
          <w:sz w:val="22"/>
          <w:szCs w:val="22"/>
          <w:lang w:eastAsia="en-US"/>
        </w:rPr>
        <w:t xml:space="preserve">or DTO </w:t>
      </w:r>
      <w:r w:rsidR="00656995">
        <w:rPr>
          <w:rFonts w:ascii="Calibri" w:eastAsia="Calibri" w:hAnsi="Calibri"/>
          <w:sz w:val="22"/>
          <w:szCs w:val="22"/>
          <w:lang w:eastAsia="en-US"/>
        </w:rPr>
        <w:t xml:space="preserve">on instruments where </w:t>
      </w:r>
      <w:r w:rsidR="00E21D81">
        <w:rPr>
          <w:rFonts w:ascii="Calibri" w:eastAsia="Calibri" w:hAnsi="Calibri"/>
          <w:sz w:val="22"/>
          <w:szCs w:val="22"/>
          <w:lang w:eastAsia="en-US"/>
        </w:rPr>
        <w:t xml:space="preserve">conditions have become inappropriate </w:t>
      </w:r>
      <w:r w:rsidR="00A2378A">
        <w:rPr>
          <w:rFonts w:ascii="Calibri" w:eastAsia="Calibri" w:hAnsi="Calibri"/>
          <w:sz w:val="22"/>
          <w:szCs w:val="22"/>
          <w:lang w:eastAsia="en-US"/>
        </w:rPr>
        <w:t xml:space="preserve">risks causing market disruption and raising costs for market users and, ultimately, those firms seeking to </w:t>
      </w:r>
      <w:r w:rsidR="00A456CD">
        <w:rPr>
          <w:rFonts w:ascii="Calibri" w:eastAsia="Calibri" w:hAnsi="Calibri"/>
          <w:sz w:val="22"/>
          <w:szCs w:val="22"/>
          <w:lang w:eastAsia="en-US"/>
        </w:rPr>
        <w:t xml:space="preserve">hedge risk. </w:t>
      </w:r>
    </w:p>
    <w:p w14:paraId="40D3CA65" w14:textId="15DF52B5" w:rsidR="002421B2" w:rsidRDefault="00A456CD" w:rsidP="00B27C67">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We also </w:t>
      </w:r>
      <w:r w:rsidR="001B7B60">
        <w:rPr>
          <w:rFonts w:ascii="Calibri" w:eastAsia="Calibri" w:hAnsi="Calibri"/>
          <w:sz w:val="22"/>
          <w:szCs w:val="22"/>
          <w:lang w:eastAsia="en-US"/>
        </w:rPr>
        <w:t>welcome that ESMA is dea</w:t>
      </w:r>
      <w:r w:rsidR="005D2346">
        <w:rPr>
          <w:rFonts w:ascii="Calibri" w:eastAsia="Calibri" w:hAnsi="Calibri"/>
          <w:sz w:val="22"/>
          <w:szCs w:val="22"/>
          <w:lang w:eastAsia="en-US"/>
        </w:rPr>
        <w:t>l</w:t>
      </w:r>
      <w:r w:rsidR="001B7B60">
        <w:rPr>
          <w:rFonts w:ascii="Calibri" w:eastAsia="Calibri" w:hAnsi="Calibri"/>
          <w:sz w:val="22"/>
          <w:szCs w:val="22"/>
          <w:lang w:eastAsia="en-US"/>
        </w:rPr>
        <w:t xml:space="preserve">ing with the CO and DTO together. </w:t>
      </w:r>
      <w:r w:rsidR="005D2346">
        <w:rPr>
          <w:rFonts w:ascii="Calibri" w:eastAsia="Calibri" w:hAnsi="Calibri"/>
          <w:sz w:val="22"/>
          <w:szCs w:val="22"/>
          <w:lang w:eastAsia="en-US"/>
        </w:rPr>
        <w:t xml:space="preserve">We </w:t>
      </w:r>
      <w:r>
        <w:rPr>
          <w:rFonts w:ascii="Calibri" w:eastAsia="Calibri" w:hAnsi="Calibri"/>
          <w:sz w:val="22"/>
          <w:szCs w:val="22"/>
          <w:lang w:eastAsia="en-US"/>
        </w:rPr>
        <w:t xml:space="preserve">believe that the </w:t>
      </w:r>
      <w:r w:rsidR="00E21D81">
        <w:rPr>
          <w:rFonts w:ascii="Calibri" w:eastAsia="Calibri" w:hAnsi="Calibri"/>
          <w:sz w:val="22"/>
          <w:szCs w:val="22"/>
          <w:lang w:eastAsia="en-US"/>
        </w:rPr>
        <w:t xml:space="preserve">DTO should be automatically removed when </w:t>
      </w:r>
      <w:r w:rsidR="0040247F">
        <w:rPr>
          <w:rFonts w:ascii="Calibri" w:eastAsia="Calibri" w:hAnsi="Calibri"/>
          <w:sz w:val="22"/>
          <w:szCs w:val="22"/>
          <w:lang w:eastAsia="en-US"/>
        </w:rPr>
        <w:t xml:space="preserve">the equivalent CO is removed. </w:t>
      </w:r>
      <w:r w:rsidR="00F36BAC">
        <w:rPr>
          <w:rFonts w:ascii="Calibri" w:eastAsia="Calibri" w:hAnsi="Calibri"/>
          <w:sz w:val="22"/>
          <w:szCs w:val="22"/>
          <w:lang w:eastAsia="en-US"/>
        </w:rPr>
        <w:t xml:space="preserve">Although we appreciate that it is not </w:t>
      </w:r>
      <w:r w:rsidR="00A21502">
        <w:rPr>
          <w:rFonts w:ascii="Calibri" w:eastAsia="Calibri" w:hAnsi="Calibri"/>
          <w:sz w:val="22"/>
          <w:szCs w:val="22"/>
          <w:lang w:eastAsia="en-US"/>
        </w:rPr>
        <w:t>for</w:t>
      </w:r>
      <w:r w:rsidR="00F36BAC">
        <w:rPr>
          <w:rFonts w:ascii="Calibri" w:eastAsia="Calibri" w:hAnsi="Calibri"/>
          <w:sz w:val="22"/>
          <w:szCs w:val="22"/>
          <w:lang w:eastAsia="en-US"/>
        </w:rPr>
        <w:t xml:space="preserve"> ESMA</w:t>
      </w:r>
      <w:r w:rsidR="00A21502">
        <w:rPr>
          <w:rFonts w:ascii="Calibri" w:eastAsia="Calibri" w:hAnsi="Calibri"/>
          <w:sz w:val="22"/>
          <w:szCs w:val="22"/>
          <w:lang w:eastAsia="en-US"/>
        </w:rPr>
        <w:t xml:space="preserve"> to create a legislative link, it could be clearer that the DTO should be considered </w:t>
      </w:r>
      <w:r w:rsidR="00DB50ED">
        <w:rPr>
          <w:rFonts w:ascii="Calibri" w:eastAsia="Calibri" w:hAnsi="Calibri"/>
          <w:sz w:val="22"/>
          <w:szCs w:val="22"/>
          <w:lang w:eastAsia="en-US"/>
        </w:rPr>
        <w:t xml:space="preserve">a subset of the </w:t>
      </w:r>
      <w:r w:rsidR="00994B2F">
        <w:rPr>
          <w:rFonts w:ascii="Calibri" w:eastAsia="Calibri" w:hAnsi="Calibri"/>
          <w:sz w:val="22"/>
          <w:szCs w:val="22"/>
          <w:lang w:eastAsia="en-US"/>
        </w:rPr>
        <w:t xml:space="preserve">relevant </w:t>
      </w:r>
      <w:r w:rsidR="00DB50ED">
        <w:rPr>
          <w:rFonts w:ascii="Calibri" w:eastAsia="Calibri" w:hAnsi="Calibri"/>
          <w:sz w:val="22"/>
          <w:szCs w:val="22"/>
          <w:lang w:eastAsia="en-US"/>
        </w:rPr>
        <w:t>CO and</w:t>
      </w:r>
      <w:r w:rsidR="00994B2F">
        <w:rPr>
          <w:rFonts w:ascii="Calibri" w:eastAsia="Calibri" w:hAnsi="Calibri"/>
          <w:sz w:val="22"/>
          <w:szCs w:val="22"/>
          <w:lang w:eastAsia="en-US"/>
        </w:rPr>
        <w:t>,</w:t>
      </w:r>
      <w:r w:rsidR="00DB50ED">
        <w:rPr>
          <w:rFonts w:ascii="Calibri" w:eastAsia="Calibri" w:hAnsi="Calibri"/>
          <w:sz w:val="22"/>
          <w:szCs w:val="22"/>
          <w:lang w:eastAsia="en-US"/>
        </w:rPr>
        <w:t xml:space="preserve"> therefore</w:t>
      </w:r>
      <w:r w:rsidR="00994B2F">
        <w:rPr>
          <w:rFonts w:ascii="Calibri" w:eastAsia="Calibri" w:hAnsi="Calibri"/>
          <w:sz w:val="22"/>
          <w:szCs w:val="22"/>
          <w:lang w:eastAsia="en-US"/>
        </w:rPr>
        <w:t>,</w:t>
      </w:r>
      <w:r w:rsidR="00DB50ED">
        <w:rPr>
          <w:rFonts w:ascii="Calibri" w:eastAsia="Calibri" w:hAnsi="Calibri"/>
          <w:sz w:val="22"/>
          <w:szCs w:val="22"/>
          <w:lang w:eastAsia="en-US"/>
        </w:rPr>
        <w:t xml:space="preserve"> when the CO is removed, ESMA will recommend that </w:t>
      </w:r>
      <w:r w:rsidR="00994B2F">
        <w:rPr>
          <w:rFonts w:ascii="Calibri" w:eastAsia="Calibri" w:hAnsi="Calibri"/>
          <w:sz w:val="22"/>
          <w:szCs w:val="22"/>
          <w:lang w:eastAsia="en-US"/>
        </w:rPr>
        <w:t>any related</w:t>
      </w:r>
      <w:r w:rsidR="00DB50ED">
        <w:rPr>
          <w:rFonts w:ascii="Calibri" w:eastAsia="Calibri" w:hAnsi="Calibri"/>
          <w:sz w:val="22"/>
          <w:szCs w:val="22"/>
          <w:lang w:eastAsia="en-US"/>
        </w:rPr>
        <w:t xml:space="preserve"> DTO is removed as soon as possible.</w:t>
      </w:r>
    </w:p>
    <w:p w14:paraId="34190823" w14:textId="60355CB1" w:rsidR="005C05E4" w:rsidRDefault="002421B2" w:rsidP="005D2346">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In respect of new CO and DTOs, </w:t>
      </w:r>
      <w:r w:rsidR="00326DCD">
        <w:rPr>
          <w:rFonts w:ascii="Calibri" w:eastAsia="Calibri" w:hAnsi="Calibri"/>
          <w:sz w:val="22"/>
          <w:szCs w:val="22"/>
          <w:lang w:eastAsia="en-US"/>
        </w:rPr>
        <w:t xml:space="preserve">we agree with ESMA’s general conclusions that </w:t>
      </w:r>
      <w:r w:rsidR="00675513">
        <w:rPr>
          <w:rFonts w:ascii="Calibri" w:eastAsia="Calibri" w:hAnsi="Calibri"/>
          <w:sz w:val="22"/>
          <w:szCs w:val="22"/>
          <w:lang w:eastAsia="en-US"/>
        </w:rPr>
        <w:t>liq</w:t>
      </w:r>
      <w:r w:rsidR="00D57C5B">
        <w:rPr>
          <w:rFonts w:ascii="Calibri" w:eastAsia="Calibri" w:hAnsi="Calibri"/>
          <w:sz w:val="22"/>
          <w:szCs w:val="22"/>
          <w:lang w:eastAsia="en-US"/>
        </w:rPr>
        <w:t>u</w:t>
      </w:r>
      <w:r w:rsidR="00675513">
        <w:rPr>
          <w:rFonts w:ascii="Calibri" w:eastAsia="Calibri" w:hAnsi="Calibri"/>
          <w:sz w:val="22"/>
          <w:szCs w:val="22"/>
          <w:lang w:eastAsia="en-US"/>
        </w:rPr>
        <w:t>idity is likely to shift to the replacement rates identified</w:t>
      </w:r>
      <w:r w:rsidR="00D57C5B">
        <w:rPr>
          <w:rFonts w:ascii="Calibri" w:eastAsia="Calibri" w:hAnsi="Calibri"/>
          <w:sz w:val="22"/>
          <w:szCs w:val="22"/>
          <w:lang w:eastAsia="en-US"/>
        </w:rPr>
        <w:t xml:space="preserve"> </w:t>
      </w:r>
      <w:proofErr w:type="gramStart"/>
      <w:r w:rsidR="00D57C5B">
        <w:rPr>
          <w:rFonts w:ascii="Calibri" w:eastAsia="Calibri" w:hAnsi="Calibri"/>
          <w:sz w:val="22"/>
          <w:szCs w:val="22"/>
          <w:lang w:eastAsia="en-US"/>
        </w:rPr>
        <w:t>and also</w:t>
      </w:r>
      <w:proofErr w:type="gramEnd"/>
      <w:r w:rsidR="00D57C5B">
        <w:rPr>
          <w:rFonts w:ascii="Calibri" w:eastAsia="Calibri" w:hAnsi="Calibri"/>
          <w:sz w:val="22"/>
          <w:szCs w:val="22"/>
          <w:lang w:eastAsia="en-US"/>
        </w:rPr>
        <w:t xml:space="preserve"> that current volumes remain relatively low </w:t>
      </w:r>
      <w:r w:rsidR="00575E3B">
        <w:rPr>
          <w:rFonts w:ascii="Calibri" w:eastAsia="Calibri" w:hAnsi="Calibri"/>
          <w:sz w:val="22"/>
          <w:szCs w:val="22"/>
          <w:lang w:eastAsia="en-US"/>
        </w:rPr>
        <w:t xml:space="preserve">for certain asset classes referencing some RFRs. </w:t>
      </w:r>
      <w:r w:rsidR="009D44D2">
        <w:rPr>
          <w:rFonts w:ascii="Calibri" w:eastAsia="Calibri" w:hAnsi="Calibri"/>
          <w:sz w:val="22"/>
          <w:szCs w:val="22"/>
          <w:lang w:eastAsia="en-US"/>
        </w:rPr>
        <w:t xml:space="preserve">While we think that ESMA’s </w:t>
      </w:r>
      <w:r w:rsidR="00A14F2B">
        <w:rPr>
          <w:rFonts w:ascii="Calibri" w:eastAsia="Calibri" w:hAnsi="Calibri"/>
          <w:sz w:val="22"/>
          <w:szCs w:val="22"/>
          <w:lang w:eastAsia="en-US"/>
        </w:rPr>
        <w:t xml:space="preserve">proposed </w:t>
      </w:r>
      <w:r w:rsidR="009D44D2">
        <w:rPr>
          <w:rFonts w:ascii="Calibri" w:eastAsia="Calibri" w:hAnsi="Calibri"/>
          <w:sz w:val="22"/>
          <w:szCs w:val="22"/>
          <w:lang w:eastAsia="en-US"/>
        </w:rPr>
        <w:t xml:space="preserve">approach </w:t>
      </w:r>
      <w:r w:rsidR="008F239B">
        <w:rPr>
          <w:rFonts w:ascii="Calibri" w:eastAsia="Calibri" w:hAnsi="Calibri"/>
          <w:sz w:val="22"/>
          <w:szCs w:val="22"/>
          <w:lang w:eastAsia="en-US"/>
        </w:rPr>
        <w:t xml:space="preserve">generally </w:t>
      </w:r>
      <w:r w:rsidR="009D44D2">
        <w:rPr>
          <w:rFonts w:ascii="Calibri" w:eastAsia="Calibri" w:hAnsi="Calibri"/>
          <w:sz w:val="22"/>
          <w:szCs w:val="22"/>
          <w:lang w:eastAsia="en-US"/>
        </w:rPr>
        <w:t>is balanced</w:t>
      </w:r>
      <w:r w:rsidR="005C05E4">
        <w:rPr>
          <w:rFonts w:ascii="Calibri" w:eastAsia="Calibri" w:hAnsi="Calibri"/>
          <w:sz w:val="22"/>
          <w:szCs w:val="22"/>
          <w:lang w:eastAsia="en-US"/>
        </w:rPr>
        <w:t xml:space="preserve">, </w:t>
      </w:r>
      <w:r w:rsidR="00071060">
        <w:rPr>
          <w:rFonts w:ascii="Calibri" w:eastAsia="Calibri" w:hAnsi="Calibri"/>
          <w:sz w:val="22"/>
          <w:szCs w:val="22"/>
          <w:lang w:eastAsia="en-US"/>
        </w:rPr>
        <w:t>there is no reason why</w:t>
      </w:r>
      <w:r w:rsidR="00FE1AB6">
        <w:rPr>
          <w:rFonts w:ascii="Calibri" w:eastAsia="Calibri" w:hAnsi="Calibri"/>
          <w:sz w:val="22"/>
          <w:szCs w:val="22"/>
          <w:lang w:eastAsia="en-US"/>
        </w:rPr>
        <w:t xml:space="preserve"> ESMA </w:t>
      </w:r>
      <w:r w:rsidR="00071060">
        <w:rPr>
          <w:rFonts w:ascii="Calibri" w:eastAsia="Calibri" w:hAnsi="Calibri"/>
          <w:sz w:val="22"/>
          <w:szCs w:val="22"/>
          <w:lang w:eastAsia="en-US"/>
        </w:rPr>
        <w:t xml:space="preserve">could not </w:t>
      </w:r>
      <w:r w:rsidR="00FE1AB6">
        <w:rPr>
          <w:rFonts w:ascii="Calibri" w:eastAsia="Calibri" w:hAnsi="Calibri"/>
          <w:sz w:val="22"/>
          <w:szCs w:val="22"/>
          <w:lang w:eastAsia="en-US"/>
        </w:rPr>
        <w:t xml:space="preserve">wait until it has demonstrable evidence that </w:t>
      </w:r>
      <w:r w:rsidR="008E6140">
        <w:rPr>
          <w:rFonts w:ascii="Calibri" w:eastAsia="Calibri" w:hAnsi="Calibri"/>
          <w:sz w:val="22"/>
          <w:szCs w:val="22"/>
          <w:lang w:eastAsia="en-US"/>
        </w:rPr>
        <w:t>the relevant conditions have been met</w:t>
      </w:r>
      <w:r w:rsidR="00721C9E">
        <w:rPr>
          <w:rFonts w:ascii="Calibri" w:eastAsia="Calibri" w:hAnsi="Calibri"/>
          <w:sz w:val="22"/>
          <w:szCs w:val="22"/>
          <w:lang w:eastAsia="en-US"/>
        </w:rPr>
        <w:t>. This is</w:t>
      </w:r>
      <w:r w:rsidR="0016454A">
        <w:rPr>
          <w:rFonts w:ascii="Calibri" w:eastAsia="Calibri" w:hAnsi="Calibri"/>
          <w:sz w:val="22"/>
          <w:szCs w:val="22"/>
          <w:lang w:eastAsia="en-US"/>
        </w:rPr>
        <w:t xml:space="preserve"> particularly </w:t>
      </w:r>
      <w:r w:rsidR="00721C9E">
        <w:rPr>
          <w:rFonts w:ascii="Calibri" w:eastAsia="Calibri" w:hAnsi="Calibri"/>
          <w:sz w:val="22"/>
          <w:szCs w:val="22"/>
          <w:lang w:eastAsia="en-US"/>
        </w:rPr>
        <w:t xml:space="preserve">true </w:t>
      </w:r>
      <w:r w:rsidR="0016454A">
        <w:rPr>
          <w:rFonts w:ascii="Calibri" w:eastAsia="Calibri" w:hAnsi="Calibri"/>
          <w:sz w:val="22"/>
          <w:szCs w:val="22"/>
          <w:lang w:eastAsia="en-US"/>
        </w:rPr>
        <w:t xml:space="preserve">as </w:t>
      </w:r>
      <w:proofErr w:type="gramStart"/>
      <w:r w:rsidR="0016454A">
        <w:rPr>
          <w:rFonts w:ascii="Calibri" w:eastAsia="Calibri" w:hAnsi="Calibri"/>
          <w:sz w:val="22"/>
          <w:szCs w:val="22"/>
          <w:lang w:eastAsia="en-US"/>
        </w:rPr>
        <w:t>a number of</w:t>
      </w:r>
      <w:proofErr w:type="gramEnd"/>
      <w:r w:rsidR="0016454A">
        <w:rPr>
          <w:rFonts w:ascii="Calibri" w:eastAsia="Calibri" w:hAnsi="Calibri"/>
          <w:sz w:val="22"/>
          <w:szCs w:val="22"/>
          <w:lang w:eastAsia="en-US"/>
        </w:rPr>
        <w:t xml:space="preserve"> ESMA’s assumptions are based on periods of market turbulence and uncertainty that have </w:t>
      </w:r>
      <w:r w:rsidR="007971EB">
        <w:rPr>
          <w:rFonts w:ascii="Calibri" w:eastAsia="Calibri" w:hAnsi="Calibri"/>
          <w:sz w:val="22"/>
          <w:szCs w:val="22"/>
          <w:lang w:eastAsia="en-US"/>
        </w:rPr>
        <w:t>been caused by the COVID-19 pandemic and the end of the</w:t>
      </w:r>
      <w:r w:rsidR="00377297">
        <w:rPr>
          <w:rFonts w:ascii="Calibri" w:eastAsia="Calibri" w:hAnsi="Calibri"/>
          <w:sz w:val="22"/>
          <w:szCs w:val="22"/>
          <w:lang w:eastAsia="en-US"/>
        </w:rPr>
        <w:t xml:space="preserve"> transition period for the</w:t>
      </w:r>
      <w:r w:rsidR="007971EB">
        <w:rPr>
          <w:rFonts w:ascii="Calibri" w:eastAsia="Calibri" w:hAnsi="Calibri"/>
          <w:sz w:val="22"/>
          <w:szCs w:val="22"/>
          <w:lang w:eastAsia="en-US"/>
        </w:rPr>
        <w:t xml:space="preserve"> UK</w:t>
      </w:r>
      <w:r w:rsidR="00377297">
        <w:rPr>
          <w:rFonts w:ascii="Calibri" w:eastAsia="Calibri" w:hAnsi="Calibri"/>
          <w:sz w:val="22"/>
          <w:szCs w:val="22"/>
          <w:lang w:eastAsia="en-US"/>
        </w:rPr>
        <w:t>’s withdrawal</w:t>
      </w:r>
      <w:r w:rsidR="00721C9E">
        <w:rPr>
          <w:rFonts w:ascii="Calibri" w:eastAsia="Calibri" w:hAnsi="Calibri"/>
          <w:sz w:val="22"/>
          <w:szCs w:val="22"/>
          <w:lang w:eastAsia="en-US"/>
        </w:rPr>
        <w:t xml:space="preserve"> </w:t>
      </w:r>
      <w:r w:rsidR="00E75C18">
        <w:rPr>
          <w:rFonts w:ascii="Calibri" w:eastAsia="Calibri" w:hAnsi="Calibri"/>
          <w:sz w:val="22"/>
          <w:szCs w:val="22"/>
          <w:lang w:eastAsia="en-US"/>
        </w:rPr>
        <w:t xml:space="preserve">from the EU </w:t>
      </w:r>
      <w:r w:rsidR="00721C9E">
        <w:rPr>
          <w:rFonts w:ascii="Calibri" w:eastAsia="Calibri" w:hAnsi="Calibri"/>
          <w:sz w:val="22"/>
          <w:szCs w:val="22"/>
          <w:lang w:eastAsia="en-US"/>
        </w:rPr>
        <w:t xml:space="preserve">and so it might be hard to draw </w:t>
      </w:r>
      <w:r w:rsidR="00546655">
        <w:rPr>
          <w:rFonts w:ascii="Calibri" w:eastAsia="Calibri" w:hAnsi="Calibri"/>
          <w:sz w:val="22"/>
          <w:szCs w:val="22"/>
          <w:lang w:eastAsia="en-US"/>
        </w:rPr>
        <w:t>firm</w:t>
      </w:r>
      <w:r w:rsidR="004969B3">
        <w:rPr>
          <w:rFonts w:ascii="Calibri" w:eastAsia="Calibri" w:hAnsi="Calibri"/>
          <w:sz w:val="22"/>
          <w:szCs w:val="22"/>
          <w:lang w:eastAsia="en-US"/>
        </w:rPr>
        <w:t xml:space="preserve"> </w:t>
      </w:r>
      <w:r w:rsidR="00721C9E">
        <w:rPr>
          <w:rFonts w:ascii="Calibri" w:eastAsia="Calibri" w:hAnsi="Calibri"/>
          <w:sz w:val="22"/>
          <w:szCs w:val="22"/>
          <w:lang w:eastAsia="en-US"/>
        </w:rPr>
        <w:t>conclusions from them.</w:t>
      </w:r>
      <w:r w:rsidR="00377297">
        <w:rPr>
          <w:rFonts w:ascii="Calibri" w:eastAsia="Calibri" w:hAnsi="Calibri"/>
          <w:sz w:val="22"/>
          <w:szCs w:val="22"/>
          <w:lang w:eastAsia="en-US"/>
        </w:rPr>
        <w:t xml:space="preserve"> </w:t>
      </w:r>
      <w:r w:rsidR="00071060">
        <w:rPr>
          <w:rFonts w:ascii="Calibri" w:eastAsia="Calibri" w:hAnsi="Calibri"/>
          <w:sz w:val="22"/>
          <w:szCs w:val="22"/>
          <w:lang w:eastAsia="en-US"/>
        </w:rPr>
        <w:t xml:space="preserve"> </w:t>
      </w:r>
    </w:p>
    <w:p w14:paraId="76320EAC" w14:textId="34E37FDC" w:rsidR="00C5410A" w:rsidRDefault="00071060" w:rsidP="00C5410A">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Such an approach </w:t>
      </w:r>
      <w:r w:rsidR="008E6140">
        <w:rPr>
          <w:rFonts w:ascii="Calibri" w:eastAsia="Calibri" w:hAnsi="Calibri"/>
          <w:sz w:val="22"/>
          <w:szCs w:val="22"/>
          <w:lang w:eastAsia="en-US"/>
        </w:rPr>
        <w:t xml:space="preserve">would </w:t>
      </w:r>
      <w:r w:rsidR="00BE53A5">
        <w:rPr>
          <w:rFonts w:ascii="Calibri" w:eastAsia="Calibri" w:hAnsi="Calibri"/>
          <w:sz w:val="22"/>
          <w:szCs w:val="22"/>
          <w:lang w:eastAsia="en-US"/>
        </w:rPr>
        <w:t>provide the market</w:t>
      </w:r>
      <w:r w:rsidR="00BE6B99">
        <w:rPr>
          <w:rFonts w:ascii="Calibri" w:eastAsia="Calibri" w:hAnsi="Calibri"/>
          <w:sz w:val="22"/>
          <w:szCs w:val="22"/>
          <w:lang w:eastAsia="en-US"/>
        </w:rPr>
        <w:t xml:space="preserve"> participants</w:t>
      </w:r>
      <w:r w:rsidR="00BE53A5">
        <w:rPr>
          <w:rFonts w:ascii="Calibri" w:eastAsia="Calibri" w:hAnsi="Calibri"/>
          <w:sz w:val="22"/>
          <w:szCs w:val="22"/>
          <w:lang w:eastAsia="en-US"/>
        </w:rPr>
        <w:t xml:space="preserve"> flexibility while </w:t>
      </w:r>
      <w:r w:rsidR="008E6140">
        <w:rPr>
          <w:rFonts w:ascii="Calibri" w:eastAsia="Calibri" w:hAnsi="Calibri"/>
          <w:sz w:val="22"/>
          <w:szCs w:val="22"/>
          <w:lang w:eastAsia="en-US"/>
        </w:rPr>
        <w:t>present</w:t>
      </w:r>
      <w:r w:rsidR="00497835">
        <w:rPr>
          <w:rFonts w:ascii="Calibri" w:eastAsia="Calibri" w:hAnsi="Calibri"/>
          <w:sz w:val="22"/>
          <w:szCs w:val="22"/>
          <w:lang w:eastAsia="en-US"/>
        </w:rPr>
        <w:t>ing</w:t>
      </w:r>
      <w:r w:rsidR="008E6140">
        <w:rPr>
          <w:rFonts w:ascii="Calibri" w:eastAsia="Calibri" w:hAnsi="Calibri"/>
          <w:sz w:val="22"/>
          <w:szCs w:val="22"/>
          <w:lang w:eastAsia="en-US"/>
        </w:rPr>
        <w:t xml:space="preserve"> very limited risks </w:t>
      </w:r>
      <w:r w:rsidR="00163D30">
        <w:rPr>
          <w:rFonts w:ascii="Calibri" w:eastAsia="Calibri" w:hAnsi="Calibri"/>
          <w:sz w:val="22"/>
          <w:szCs w:val="22"/>
          <w:lang w:eastAsia="en-US"/>
        </w:rPr>
        <w:t>against G20 objectives</w:t>
      </w:r>
      <w:r w:rsidR="00BE53A5">
        <w:rPr>
          <w:rFonts w:ascii="Calibri" w:eastAsia="Calibri" w:hAnsi="Calibri"/>
          <w:sz w:val="22"/>
          <w:szCs w:val="22"/>
          <w:lang w:eastAsia="en-US"/>
        </w:rPr>
        <w:t xml:space="preserve"> and would be highly unlikely to lead to</w:t>
      </w:r>
      <w:r w:rsidR="00497835">
        <w:rPr>
          <w:rFonts w:ascii="Calibri" w:eastAsia="Calibri" w:hAnsi="Calibri"/>
          <w:sz w:val="22"/>
          <w:szCs w:val="22"/>
          <w:lang w:eastAsia="en-US"/>
        </w:rPr>
        <w:t xml:space="preserve"> any significant </w:t>
      </w:r>
      <w:proofErr w:type="spellStart"/>
      <w:r w:rsidR="00497835">
        <w:rPr>
          <w:rFonts w:ascii="Calibri" w:eastAsia="Calibri" w:hAnsi="Calibri"/>
          <w:sz w:val="22"/>
          <w:szCs w:val="22"/>
          <w:lang w:eastAsia="en-US"/>
        </w:rPr>
        <w:t>build up</w:t>
      </w:r>
      <w:proofErr w:type="spellEnd"/>
      <w:r w:rsidR="00497835">
        <w:rPr>
          <w:rFonts w:ascii="Calibri" w:eastAsia="Calibri" w:hAnsi="Calibri"/>
          <w:sz w:val="22"/>
          <w:szCs w:val="22"/>
          <w:lang w:eastAsia="en-US"/>
        </w:rPr>
        <w:t xml:space="preserve"> </w:t>
      </w:r>
      <w:r w:rsidR="00BE6B99">
        <w:rPr>
          <w:rFonts w:ascii="Calibri" w:eastAsia="Calibri" w:hAnsi="Calibri"/>
          <w:sz w:val="22"/>
          <w:szCs w:val="22"/>
          <w:lang w:eastAsia="en-US"/>
        </w:rPr>
        <w:t>of uncl</w:t>
      </w:r>
      <w:r w:rsidR="0041064B">
        <w:rPr>
          <w:rFonts w:ascii="Calibri" w:eastAsia="Calibri" w:hAnsi="Calibri"/>
          <w:sz w:val="22"/>
          <w:szCs w:val="22"/>
          <w:lang w:eastAsia="en-US"/>
        </w:rPr>
        <w:t>e</w:t>
      </w:r>
      <w:r w:rsidR="00BE6B99">
        <w:rPr>
          <w:rFonts w:ascii="Calibri" w:eastAsia="Calibri" w:hAnsi="Calibri"/>
          <w:sz w:val="22"/>
          <w:szCs w:val="22"/>
          <w:lang w:eastAsia="en-US"/>
        </w:rPr>
        <w:t>ared position</w:t>
      </w:r>
      <w:r w:rsidR="007E5818">
        <w:rPr>
          <w:rFonts w:ascii="Calibri" w:eastAsia="Calibri" w:hAnsi="Calibri"/>
          <w:sz w:val="22"/>
          <w:szCs w:val="22"/>
          <w:lang w:eastAsia="en-US"/>
        </w:rPr>
        <w:t>s</w:t>
      </w:r>
      <w:r w:rsidR="00911594">
        <w:rPr>
          <w:rFonts w:ascii="Calibri" w:eastAsia="Calibri" w:hAnsi="Calibri"/>
          <w:sz w:val="22"/>
          <w:szCs w:val="22"/>
          <w:lang w:eastAsia="en-US"/>
        </w:rPr>
        <w:t>. This is because,</w:t>
      </w:r>
      <w:r w:rsidR="005D2346">
        <w:rPr>
          <w:rFonts w:ascii="Calibri" w:eastAsia="Calibri" w:hAnsi="Calibri"/>
          <w:sz w:val="22"/>
          <w:szCs w:val="22"/>
          <w:lang w:eastAsia="en-US"/>
        </w:rPr>
        <w:t xml:space="preserve"> as </w:t>
      </w:r>
      <w:r w:rsidR="00CC75DE">
        <w:rPr>
          <w:rFonts w:ascii="Calibri" w:eastAsia="Calibri" w:hAnsi="Calibri"/>
          <w:sz w:val="22"/>
          <w:szCs w:val="22"/>
          <w:lang w:eastAsia="en-US"/>
        </w:rPr>
        <w:t>mentioned</w:t>
      </w:r>
      <w:r w:rsidR="005D2346">
        <w:rPr>
          <w:rFonts w:ascii="Calibri" w:eastAsia="Calibri" w:hAnsi="Calibri"/>
          <w:sz w:val="22"/>
          <w:szCs w:val="22"/>
          <w:lang w:eastAsia="en-US"/>
        </w:rPr>
        <w:t xml:space="preserve"> </w:t>
      </w:r>
      <w:r w:rsidR="00CC75DE">
        <w:rPr>
          <w:rFonts w:ascii="Calibri" w:eastAsia="Calibri" w:hAnsi="Calibri"/>
          <w:sz w:val="22"/>
          <w:szCs w:val="22"/>
          <w:lang w:eastAsia="en-US"/>
        </w:rPr>
        <w:t xml:space="preserve">in our response to Question 1 </w:t>
      </w:r>
      <w:r w:rsidR="005D2346">
        <w:rPr>
          <w:rFonts w:ascii="Calibri" w:eastAsia="Calibri" w:hAnsi="Calibri"/>
          <w:sz w:val="22"/>
          <w:szCs w:val="22"/>
          <w:lang w:eastAsia="en-US"/>
        </w:rPr>
        <w:t>above, t</w:t>
      </w:r>
      <w:r w:rsidR="005D2346" w:rsidRPr="00590550">
        <w:rPr>
          <w:rFonts w:ascii="Calibri" w:eastAsia="Calibri" w:hAnsi="Calibri"/>
          <w:sz w:val="22"/>
          <w:szCs w:val="22"/>
          <w:lang w:eastAsia="en-US"/>
        </w:rPr>
        <w:t xml:space="preserve">here are </w:t>
      </w:r>
      <w:r w:rsidR="00440F9B">
        <w:rPr>
          <w:rFonts w:ascii="Calibri" w:eastAsia="Calibri" w:hAnsi="Calibri"/>
          <w:sz w:val="22"/>
          <w:szCs w:val="22"/>
          <w:lang w:eastAsia="en-US"/>
        </w:rPr>
        <w:t xml:space="preserve">now </w:t>
      </w:r>
      <w:r w:rsidR="005D2346" w:rsidRPr="00590550">
        <w:rPr>
          <w:rFonts w:ascii="Calibri" w:eastAsia="Calibri" w:hAnsi="Calibri"/>
          <w:sz w:val="22"/>
          <w:szCs w:val="22"/>
          <w:lang w:eastAsia="en-US"/>
        </w:rPr>
        <w:t xml:space="preserve">significant incentives to clear within market and regulatory frameworks (particularly uncleared margin requirements) and this can be seen in the current levels of clearing </w:t>
      </w:r>
      <w:r w:rsidR="001A74C9">
        <w:rPr>
          <w:rFonts w:ascii="Calibri" w:eastAsia="Calibri" w:hAnsi="Calibri"/>
          <w:sz w:val="22"/>
          <w:szCs w:val="22"/>
          <w:lang w:eastAsia="en-US"/>
        </w:rPr>
        <w:t xml:space="preserve">without </w:t>
      </w:r>
      <w:proofErr w:type="spellStart"/>
      <w:r w:rsidR="001A74C9">
        <w:rPr>
          <w:rFonts w:ascii="Calibri" w:eastAsia="Calibri" w:hAnsi="Calibri"/>
          <w:sz w:val="22"/>
          <w:szCs w:val="22"/>
          <w:lang w:eastAsia="en-US"/>
        </w:rPr>
        <w:t>COs</w:t>
      </w:r>
      <w:r w:rsidR="003A109A">
        <w:rPr>
          <w:rFonts w:ascii="Calibri" w:eastAsia="Calibri" w:hAnsi="Calibri"/>
          <w:sz w:val="22"/>
          <w:szCs w:val="22"/>
          <w:lang w:eastAsia="en-US"/>
        </w:rPr>
        <w:t>.</w:t>
      </w:r>
      <w:proofErr w:type="spellEnd"/>
      <w:r w:rsidR="003A109A">
        <w:rPr>
          <w:rFonts w:ascii="Calibri" w:eastAsia="Calibri" w:hAnsi="Calibri"/>
          <w:sz w:val="22"/>
          <w:szCs w:val="22"/>
          <w:lang w:eastAsia="en-US"/>
        </w:rPr>
        <w:t xml:space="preserve"> This</w:t>
      </w:r>
      <w:r w:rsidR="001A74C9">
        <w:rPr>
          <w:rFonts w:ascii="Calibri" w:eastAsia="Calibri" w:hAnsi="Calibri"/>
          <w:sz w:val="22"/>
          <w:szCs w:val="22"/>
          <w:lang w:eastAsia="en-US"/>
        </w:rPr>
        <w:t xml:space="preserve"> includ</w:t>
      </w:r>
      <w:r w:rsidR="003A109A">
        <w:rPr>
          <w:rFonts w:ascii="Calibri" w:eastAsia="Calibri" w:hAnsi="Calibri"/>
          <w:sz w:val="22"/>
          <w:szCs w:val="22"/>
          <w:lang w:eastAsia="en-US"/>
        </w:rPr>
        <w:t xml:space="preserve">es </w:t>
      </w:r>
      <w:r w:rsidR="00D27F76">
        <w:rPr>
          <w:rFonts w:ascii="Calibri" w:eastAsia="Calibri" w:hAnsi="Calibri"/>
          <w:sz w:val="22"/>
          <w:szCs w:val="22"/>
          <w:lang w:eastAsia="en-US"/>
        </w:rPr>
        <w:t>derivatives</w:t>
      </w:r>
      <w:r w:rsidR="00D8546A">
        <w:rPr>
          <w:rFonts w:ascii="Calibri" w:eastAsia="Calibri" w:hAnsi="Calibri"/>
          <w:sz w:val="22"/>
          <w:szCs w:val="22"/>
          <w:lang w:eastAsia="en-US"/>
        </w:rPr>
        <w:t xml:space="preserve"> linked </w:t>
      </w:r>
      <w:r w:rsidR="00D27F76">
        <w:rPr>
          <w:rFonts w:ascii="Calibri" w:eastAsia="Calibri" w:hAnsi="Calibri"/>
          <w:sz w:val="22"/>
          <w:szCs w:val="22"/>
          <w:lang w:eastAsia="en-US"/>
        </w:rPr>
        <w:t>to</w:t>
      </w:r>
      <w:r w:rsidR="00D8546A">
        <w:rPr>
          <w:rFonts w:ascii="Calibri" w:eastAsia="Calibri" w:hAnsi="Calibri"/>
          <w:sz w:val="22"/>
          <w:szCs w:val="22"/>
          <w:lang w:eastAsia="en-US"/>
        </w:rPr>
        <w:t xml:space="preserve"> </w:t>
      </w:r>
      <w:r w:rsidR="001A74C9">
        <w:rPr>
          <w:rFonts w:ascii="Calibri" w:eastAsia="Calibri" w:hAnsi="Calibri"/>
          <w:sz w:val="22"/>
          <w:szCs w:val="22"/>
          <w:lang w:eastAsia="en-US"/>
        </w:rPr>
        <w:t>RFRs</w:t>
      </w:r>
      <w:r w:rsidR="00D8546A">
        <w:rPr>
          <w:rFonts w:ascii="Calibri" w:eastAsia="Calibri" w:hAnsi="Calibri"/>
          <w:sz w:val="22"/>
          <w:szCs w:val="22"/>
          <w:lang w:eastAsia="en-US"/>
        </w:rPr>
        <w:t xml:space="preserve"> </w:t>
      </w:r>
      <w:proofErr w:type="gramStart"/>
      <w:r w:rsidR="00D8546A">
        <w:rPr>
          <w:rFonts w:ascii="Calibri" w:eastAsia="Calibri" w:hAnsi="Calibri"/>
          <w:sz w:val="22"/>
          <w:szCs w:val="22"/>
          <w:lang w:eastAsia="en-US"/>
        </w:rPr>
        <w:t>and</w:t>
      </w:r>
      <w:r w:rsidR="001A74C9">
        <w:rPr>
          <w:rFonts w:ascii="Calibri" w:eastAsia="Calibri" w:hAnsi="Calibri"/>
          <w:sz w:val="22"/>
          <w:szCs w:val="22"/>
          <w:lang w:eastAsia="en-US"/>
        </w:rPr>
        <w:t xml:space="preserve"> </w:t>
      </w:r>
      <w:r w:rsidR="00D8546A">
        <w:rPr>
          <w:rFonts w:ascii="Calibri" w:eastAsia="Calibri" w:hAnsi="Calibri"/>
          <w:sz w:val="22"/>
          <w:szCs w:val="22"/>
          <w:lang w:eastAsia="en-US"/>
        </w:rPr>
        <w:t>also</w:t>
      </w:r>
      <w:proofErr w:type="gramEnd"/>
      <w:r w:rsidR="00D8546A">
        <w:rPr>
          <w:rFonts w:ascii="Calibri" w:eastAsia="Calibri" w:hAnsi="Calibri"/>
          <w:sz w:val="22"/>
          <w:szCs w:val="22"/>
          <w:lang w:eastAsia="en-US"/>
        </w:rPr>
        <w:t xml:space="preserve"> </w:t>
      </w:r>
      <w:r w:rsidR="005D2346" w:rsidRPr="00590550">
        <w:rPr>
          <w:rFonts w:ascii="Calibri" w:eastAsia="Calibri" w:hAnsi="Calibri"/>
          <w:sz w:val="22"/>
          <w:szCs w:val="22"/>
          <w:lang w:eastAsia="en-US"/>
        </w:rPr>
        <w:t xml:space="preserve">foreign exchange non-deliverable forwards where, despite there being no </w:t>
      </w:r>
      <w:r w:rsidR="00D8546A">
        <w:rPr>
          <w:rFonts w:ascii="Calibri" w:eastAsia="Calibri" w:hAnsi="Calibri"/>
          <w:sz w:val="22"/>
          <w:szCs w:val="22"/>
          <w:lang w:eastAsia="en-US"/>
        </w:rPr>
        <w:t>CO</w:t>
      </w:r>
      <w:r w:rsidR="005D2346" w:rsidRPr="00590550">
        <w:rPr>
          <w:rFonts w:ascii="Calibri" w:eastAsia="Calibri" w:hAnsi="Calibri"/>
          <w:sz w:val="22"/>
          <w:szCs w:val="22"/>
          <w:lang w:eastAsia="en-US"/>
        </w:rPr>
        <w:t xml:space="preserve"> in any jurisdiction, the combination of uncleared margin requirements and the risk management benefits of clearing have driven widespread adoption of clearing over the last 5 years. </w:t>
      </w:r>
      <w:r w:rsidR="00C5410A">
        <w:rPr>
          <w:rFonts w:ascii="Calibri" w:eastAsia="Calibri" w:hAnsi="Calibri"/>
          <w:sz w:val="22"/>
          <w:szCs w:val="22"/>
          <w:lang w:eastAsia="en-US"/>
        </w:rPr>
        <w:t xml:space="preserve">Therefore, the risks </w:t>
      </w:r>
      <w:r w:rsidR="00886D79">
        <w:rPr>
          <w:rFonts w:ascii="Calibri" w:eastAsia="Calibri" w:hAnsi="Calibri"/>
          <w:sz w:val="22"/>
          <w:szCs w:val="22"/>
          <w:lang w:eastAsia="en-US"/>
        </w:rPr>
        <w:t>from</w:t>
      </w:r>
      <w:r w:rsidR="00C5410A">
        <w:rPr>
          <w:rFonts w:ascii="Calibri" w:eastAsia="Calibri" w:hAnsi="Calibri"/>
          <w:sz w:val="22"/>
          <w:szCs w:val="22"/>
          <w:lang w:eastAsia="en-US"/>
        </w:rPr>
        <w:t xml:space="preserve"> inappropriately calibrated CO</w:t>
      </w:r>
      <w:r w:rsidR="00886D79">
        <w:rPr>
          <w:rFonts w:ascii="Calibri" w:eastAsia="Calibri" w:hAnsi="Calibri"/>
          <w:sz w:val="22"/>
          <w:szCs w:val="22"/>
          <w:lang w:eastAsia="en-US"/>
        </w:rPr>
        <w:t>s</w:t>
      </w:r>
      <w:r w:rsidR="00C5410A">
        <w:rPr>
          <w:rFonts w:ascii="Calibri" w:eastAsia="Calibri" w:hAnsi="Calibri"/>
          <w:sz w:val="22"/>
          <w:szCs w:val="22"/>
          <w:lang w:eastAsia="en-US"/>
        </w:rPr>
        <w:t xml:space="preserve"> and DTOs are far outweigh the risks to the G20 commitments under the current market and regulatory frameworks.</w:t>
      </w:r>
    </w:p>
    <w:p w14:paraId="6BFFADF0" w14:textId="7969D018" w:rsidR="005D2346" w:rsidRDefault="005D2346" w:rsidP="005D2346">
      <w:pPr>
        <w:spacing w:after="160" w:line="259" w:lineRule="auto"/>
        <w:rPr>
          <w:rFonts w:ascii="Calibri" w:eastAsia="Calibri" w:hAnsi="Calibri"/>
          <w:sz w:val="22"/>
          <w:szCs w:val="22"/>
          <w:lang w:eastAsia="en-US"/>
        </w:rPr>
      </w:pPr>
      <w:r w:rsidRPr="00590550">
        <w:rPr>
          <w:rFonts w:ascii="Calibri" w:eastAsia="Calibri" w:hAnsi="Calibri"/>
          <w:sz w:val="22"/>
          <w:szCs w:val="22"/>
          <w:lang w:eastAsia="en-US"/>
        </w:rPr>
        <w:lastRenderedPageBreak/>
        <w:t xml:space="preserve"> </w:t>
      </w:r>
    </w:p>
    <w:p w14:paraId="218EF9F6" w14:textId="01F815A5" w:rsidR="004969B3" w:rsidRDefault="00B15121" w:rsidP="009835AD">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Furthermore, we would </w:t>
      </w:r>
      <w:r w:rsidR="00540EE6">
        <w:rPr>
          <w:rFonts w:ascii="Calibri" w:eastAsia="Calibri" w:hAnsi="Calibri"/>
          <w:sz w:val="22"/>
          <w:szCs w:val="22"/>
          <w:lang w:eastAsia="en-US"/>
        </w:rPr>
        <w:t>encourage</w:t>
      </w:r>
      <w:r>
        <w:rPr>
          <w:rFonts w:ascii="Calibri" w:eastAsia="Calibri" w:hAnsi="Calibri"/>
          <w:sz w:val="22"/>
          <w:szCs w:val="22"/>
          <w:lang w:eastAsia="en-US"/>
        </w:rPr>
        <w:t xml:space="preserve"> </w:t>
      </w:r>
      <w:r w:rsidR="005A6354">
        <w:rPr>
          <w:rFonts w:ascii="Calibri" w:eastAsia="Calibri" w:hAnsi="Calibri"/>
          <w:sz w:val="22"/>
          <w:szCs w:val="22"/>
          <w:lang w:eastAsia="en-US"/>
        </w:rPr>
        <w:t>jurisd</w:t>
      </w:r>
      <w:r w:rsidR="003C1C00">
        <w:rPr>
          <w:rFonts w:ascii="Calibri" w:eastAsia="Calibri" w:hAnsi="Calibri"/>
          <w:sz w:val="22"/>
          <w:szCs w:val="22"/>
          <w:lang w:eastAsia="en-US"/>
        </w:rPr>
        <w:t>i</w:t>
      </w:r>
      <w:r w:rsidR="005A6354">
        <w:rPr>
          <w:rFonts w:ascii="Calibri" w:eastAsia="Calibri" w:hAnsi="Calibri"/>
          <w:sz w:val="22"/>
          <w:szCs w:val="22"/>
          <w:lang w:eastAsia="en-US"/>
        </w:rPr>
        <w:t xml:space="preserve">ctions </w:t>
      </w:r>
      <w:r w:rsidR="00540EE6">
        <w:rPr>
          <w:rFonts w:ascii="Calibri" w:eastAsia="Calibri" w:hAnsi="Calibri"/>
          <w:sz w:val="22"/>
          <w:szCs w:val="22"/>
          <w:lang w:eastAsia="en-US"/>
        </w:rPr>
        <w:t xml:space="preserve">to </w:t>
      </w:r>
      <w:r w:rsidR="005A6354">
        <w:rPr>
          <w:rFonts w:ascii="Calibri" w:eastAsia="Calibri" w:hAnsi="Calibri"/>
          <w:sz w:val="22"/>
          <w:szCs w:val="22"/>
          <w:lang w:eastAsia="en-US"/>
        </w:rPr>
        <w:t>only apply DTO</w:t>
      </w:r>
      <w:r w:rsidR="00540EE6">
        <w:rPr>
          <w:rFonts w:ascii="Calibri" w:eastAsia="Calibri" w:hAnsi="Calibri"/>
          <w:sz w:val="22"/>
          <w:szCs w:val="22"/>
          <w:lang w:eastAsia="en-US"/>
        </w:rPr>
        <w:t xml:space="preserve"> or </w:t>
      </w:r>
      <w:r w:rsidR="005A6354">
        <w:rPr>
          <w:rFonts w:ascii="Calibri" w:eastAsia="Calibri" w:hAnsi="Calibri"/>
          <w:sz w:val="22"/>
          <w:szCs w:val="22"/>
          <w:lang w:eastAsia="en-US"/>
        </w:rPr>
        <w:t xml:space="preserve">COs to </w:t>
      </w:r>
      <w:r w:rsidR="00B15281">
        <w:rPr>
          <w:rFonts w:ascii="Calibri" w:eastAsia="Calibri" w:hAnsi="Calibri"/>
          <w:sz w:val="22"/>
          <w:szCs w:val="22"/>
          <w:lang w:eastAsia="en-US"/>
        </w:rPr>
        <w:t>instruments where the primary marke</w:t>
      </w:r>
      <w:r w:rsidR="00540EE6">
        <w:rPr>
          <w:rFonts w:ascii="Calibri" w:eastAsia="Calibri" w:hAnsi="Calibri"/>
          <w:sz w:val="22"/>
          <w:szCs w:val="22"/>
          <w:lang w:eastAsia="en-US"/>
        </w:rPr>
        <w:t>t jurisdictions have already applied their equivalent obligations.</w:t>
      </w:r>
      <w:r w:rsidR="007B3DAA">
        <w:rPr>
          <w:rFonts w:ascii="Calibri" w:eastAsia="Calibri" w:hAnsi="Calibri"/>
          <w:sz w:val="22"/>
          <w:szCs w:val="22"/>
          <w:lang w:eastAsia="en-US"/>
        </w:rPr>
        <w:t xml:space="preserve"> For exampl</w:t>
      </w:r>
      <w:r w:rsidR="00FA4D6F">
        <w:rPr>
          <w:rFonts w:ascii="Calibri" w:eastAsia="Calibri" w:hAnsi="Calibri"/>
          <w:sz w:val="22"/>
          <w:szCs w:val="22"/>
          <w:lang w:eastAsia="en-US"/>
        </w:rPr>
        <w:t xml:space="preserve">e, the EU should not introduce </w:t>
      </w:r>
      <w:r w:rsidR="00C8305E">
        <w:rPr>
          <w:rFonts w:ascii="Calibri" w:eastAsia="Calibri" w:hAnsi="Calibri"/>
          <w:sz w:val="22"/>
          <w:szCs w:val="22"/>
          <w:lang w:eastAsia="en-US"/>
        </w:rPr>
        <w:t>COs or DTOs for USD instruments when no equivalent obligations exist in the USA.</w:t>
      </w:r>
    </w:p>
    <w:p w14:paraId="05D744F5" w14:textId="05181B5A" w:rsidR="009835AD" w:rsidRPr="009835AD" w:rsidRDefault="009835AD" w:rsidP="009835AD">
      <w:pPr>
        <w:spacing w:after="160" w:line="259" w:lineRule="auto"/>
        <w:rPr>
          <w:rFonts w:ascii="Calibri" w:eastAsia="Calibri" w:hAnsi="Calibri"/>
          <w:sz w:val="22"/>
          <w:szCs w:val="22"/>
          <w:lang w:eastAsia="en-US"/>
        </w:rPr>
      </w:pPr>
    </w:p>
    <w:permEnd w:id="2091866080"/>
    <w:p w14:paraId="2E7D163D"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&lt;ESMA_QUESTION_RFRS_3&gt;</w:t>
      </w:r>
    </w:p>
    <w:p w14:paraId="0FCAF496" w14:textId="1A0A298E" w:rsidR="009835AD" w:rsidRDefault="009835AD" w:rsidP="009835AD">
      <w:pPr>
        <w:spacing w:after="160" w:line="259" w:lineRule="auto"/>
        <w:rPr>
          <w:rFonts w:ascii="Calibri" w:eastAsia="Calibri" w:hAnsi="Calibri"/>
          <w:sz w:val="22"/>
          <w:szCs w:val="22"/>
          <w:lang w:eastAsia="en-US"/>
        </w:rPr>
      </w:pPr>
    </w:p>
    <w:p w14:paraId="12E8EF5A" w14:textId="078DADA4"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Clearing obligation</w:t>
      </w:r>
    </w:p>
    <w:p w14:paraId="7815CA79"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Do you agree with the assessment of the EMIR criteria and with the proposed classes (except for USD which is dealt with in a dedicated Question 5)? If not please detail how the assessment could differ and please also provide data and information to justify a different assessment. </w:t>
      </w:r>
    </w:p>
    <w:p w14:paraId="770575B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&lt;ESMA_QUESTION_RFRS_4&gt;</w:t>
      </w:r>
    </w:p>
    <w:p w14:paraId="1BE128F0" w14:textId="4A2299AF" w:rsidR="00087A82" w:rsidRDefault="00760583" w:rsidP="009835AD">
      <w:pPr>
        <w:spacing w:after="160" w:line="259" w:lineRule="auto"/>
        <w:rPr>
          <w:rFonts w:ascii="Calibri" w:eastAsia="Calibri" w:hAnsi="Calibri"/>
          <w:sz w:val="22"/>
          <w:szCs w:val="22"/>
          <w:lang w:eastAsia="en-US"/>
        </w:rPr>
      </w:pPr>
      <w:permStart w:id="625810741" w:edGrp="everyone"/>
      <w:r>
        <w:rPr>
          <w:rFonts w:ascii="Calibri" w:eastAsia="Calibri" w:hAnsi="Calibri"/>
          <w:sz w:val="22"/>
          <w:szCs w:val="22"/>
          <w:lang w:eastAsia="en-US"/>
        </w:rPr>
        <w:t xml:space="preserve">We would agree </w:t>
      </w:r>
      <w:r w:rsidR="006914EB">
        <w:rPr>
          <w:rFonts w:ascii="Calibri" w:eastAsia="Calibri" w:hAnsi="Calibri"/>
          <w:sz w:val="22"/>
          <w:szCs w:val="22"/>
          <w:lang w:eastAsia="en-US"/>
        </w:rPr>
        <w:t xml:space="preserve">with ESMA’s proposal to remove the COs on </w:t>
      </w:r>
      <w:r w:rsidR="00087A82" w:rsidRPr="00087A82">
        <w:rPr>
          <w:rFonts w:ascii="Calibri" w:eastAsia="Calibri" w:hAnsi="Calibri"/>
          <w:sz w:val="22"/>
          <w:szCs w:val="22"/>
          <w:lang w:eastAsia="en-US"/>
        </w:rPr>
        <w:t>classes referencing EONIA, GBP LIBOR and JPY LIBOR as these benchmarks will cease to be produced at the end of the year.</w:t>
      </w:r>
    </w:p>
    <w:p w14:paraId="0C111768" w14:textId="312E2617" w:rsidR="00B46B15" w:rsidRDefault="00B46B15" w:rsidP="009835AD">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We think that the assumptions made </w:t>
      </w:r>
      <w:r w:rsidR="001E6320">
        <w:rPr>
          <w:rFonts w:ascii="Calibri" w:eastAsia="Calibri" w:hAnsi="Calibri"/>
          <w:sz w:val="22"/>
          <w:szCs w:val="22"/>
          <w:lang w:eastAsia="en-US"/>
        </w:rPr>
        <w:t>about</w:t>
      </w:r>
      <w:r w:rsidR="009E3618">
        <w:rPr>
          <w:rFonts w:ascii="Calibri" w:eastAsia="Calibri" w:hAnsi="Calibri"/>
          <w:sz w:val="22"/>
          <w:szCs w:val="22"/>
          <w:lang w:eastAsia="en-US"/>
        </w:rPr>
        <w:t xml:space="preserve"> the conditions </w:t>
      </w:r>
      <w:r w:rsidR="001E6320">
        <w:rPr>
          <w:rFonts w:ascii="Calibri" w:eastAsia="Calibri" w:hAnsi="Calibri"/>
          <w:sz w:val="22"/>
          <w:szCs w:val="22"/>
          <w:lang w:eastAsia="en-US"/>
        </w:rPr>
        <w:t xml:space="preserve">that should be in </w:t>
      </w:r>
      <w:r w:rsidR="009E3618">
        <w:rPr>
          <w:rFonts w:ascii="Calibri" w:eastAsia="Calibri" w:hAnsi="Calibri"/>
          <w:sz w:val="22"/>
          <w:szCs w:val="22"/>
          <w:lang w:eastAsia="en-US"/>
        </w:rPr>
        <w:t xml:space="preserve">place </w:t>
      </w:r>
      <w:r w:rsidR="003A2E4F">
        <w:rPr>
          <w:rFonts w:ascii="Calibri" w:eastAsia="Calibri" w:hAnsi="Calibri"/>
          <w:sz w:val="22"/>
          <w:szCs w:val="22"/>
          <w:lang w:eastAsia="en-US"/>
        </w:rPr>
        <w:t xml:space="preserve">at the end of 2021 are not unreasonable, </w:t>
      </w:r>
      <w:proofErr w:type="gramStart"/>
      <w:r w:rsidR="003A2E4F">
        <w:rPr>
          <w:rFonts w:ascii="Calibri" w:eastAsia="Calibri" w:hAnsi="Calibri"/>
          <w:sz w:val="22"/>
          <w:szCs w:val="22"/>
          <w:lang w:eastAsia="en-US"/>
        </w:rPr>
        <w:t>and,</w:t>
      </w:r>
      <w:proofErr w:type="gramEnd"/>
      <w:r w:rsidR="003A2E4F">
        <w:rPr>
          <w:rFonts w:ascii="Calibri" w:eastAsia="Calibri" w:hAnsi="Calibri"/>
          <w:sz w:val="22"/>
          <w:szCs w:val="22"/>
          <w:lang w:eastAsia="en-US"/>
        </w:rPr>
        <w:t xml:space="preserve"> therefore the proposals are not unreasonable. However, it should be noted that</w:t>
      </w:r>
      <w:r w:rsidR="00F52484">
        <w:rPr>
          <w:rFonts w:ascii="Calibri" w:eastAsia="Calibri" w:hAnsi="Calibri"/>
          <w:sz w:val="22"/>
          <w:szCs w:val="22"/>
          <w:lang w:eastAsia="en-US"/>
        </w:rPr>
        <w:t xml:space="preserve">, for the reasons outlined </w:t>
      </w:r>
      <w:r w:rsidR="006413BA">
        <w:rPr>
          <w:rFonts w:ascii="Calibri" w:eastAsia="Calibri" w:hAnsi="Calibri"/>
          <w:sz w:val="22"/>
          <w:szCs w:val="22"/>
          <w:lang w:eastAsia="en-US"/>
        </w:rPr>
        <w:t>above</w:t>
      </w:r>
      <w:r w:rsidR="00F52484">
        <w:rPr>
          <w:rFonts w:ascii="Calibri" w:eastAsia="Calibri" w:hAnsi="Calibri"/>
          <w:sz w:val="22"/>
          <w:szCs w:val="22"/>
          <w:lang w:eastAsia="en-US"/>
        </w:rPr>
        <w:t>,</w:t>
      </w:r>
      <w:r w:rsidR="003A2E4F">
        <w:rPr>
          <w:rFonts w:ascii="Calibri" w:eastAsia="Calibri" w:hAnsi="Calibri"/>
          <w:sz w:val="22"/>
          <w:szCs w:val="22"/>
          <w:lang w:eastAsia="en-US"/>
        </w:rPr>
        <w:t xml:space="preserve"> there would be little risk </w:t>
      </w:r>
      <w:r w:rsidR="00E558BD">
        <w:rPr>
          <w:rFonts w:ascii="Calibri" w:eastAsia="Calibri" w:hAnsi="Calibri"/>
          <w:sz w:val="22"/>
          <w:szCs w:val="22"/>
          <w:lang w:eastAsia="en-US"/>
        </w:rPr>
        <w:t>to</w:t>
      </w:r>
      <w:r w:rsidR="003A2E4F">
        <w:rPr>
          <w:rFonts w:ascii="Calibri" w:eastAsia="Calibri" w:hAnsi="Calibri"/>
          <w:sz w:val="22"/>
          <w:szCs w:val="22"/>
          <w:lang w:eastAsia="en-US"/>
        </w:rPr>
        <w:t xml:space="preserve"> regulatory objectives</w:t>
      </w:r>
      <w:r w:rsidR="00467E14">
        <w:rPr>
          <w:rFonts w:ascii="Calibri" w:eastAsia="Calibri" w:hAnsi="Calibri"/>
          <w:sz w:val="22"/>
          <w:szCs w:val="22"/>
          <w:lang w:eastAsia="en-US"/>
        </w:rPr>
        <w:t xml:space="preserve"> of a delay to assess the actual conditions at </w:t>
      </w:r>
      <w:r w:rsidR="00E558BD">
        <w:rPr>
          <w:rFonts w:ascii="Calibri" w:eastAsia="Calibri" w:hAnsi="Calibri"/>
          <w:sz w:val="22"/>
          <w:szCs w:val="22"/>
          <w:lang w:eastAsia="en-US"/>
        </w:rPr>
        <w:t>that</w:t>
      </w:r>
      <w:r w:rsidR="00467E14">
        <w:rPr>
          <w:rFonts w:ascii="Calibri" w:eastAsia="Calibri" w:hAnsi="Calibri"/>
          <w:sz w:val="22"/>
          <w:szCs w:val="22"/>
          <w:lang w:eastAsia="en-US"/>
        </w:rPr>
        <w:t xml:space="preserve"> time</w:t>
      </w:r>
      <w:r w:rsidR="00674A52">
        <w:rPr>
          <w:rFonts w:ascii="Calibri" w:eastAsia="Calibri" w:hAnsi="Calibri"/>
          <w:sz w:val="22"/>
          <w:szCs w:val="22"/>
          <w:lang w:eastAsia="en-US"/>
        </w:rPr>
        <w:t xml:space="preserve">. </w:t>
      </w:r>
      <w:r w:rsidR="00F772E3">
        <w:rPr>
          <w:rFonts w:ascii="Calibri" w:eastAsia="Calibri" w:hAnsi="Calibri"/>
          <w:sz w:val="22"/>
          <w:szCs w:val="22"/>
          <w:lang w:eastAsia="en-US"/>
        </w:rPr>
        <w:t xml:space="preserve">It is highly unlikely that a delay would lead to any significant </w:t>
      </w:r>
      <w:proofErr w:type="spellStart"/>
      <w:r w:rsidR="00F772E3">
        <w:rPr>
          <w:rFonts w:ascii="Calibri" w:eastAsia="Calibri" w:hAnsi="Calibri"/>
          <w:sz w:val="22"/>
          <w:szCs w:val="22"/>
          <w:lang w:eastAsia="en-US"/>
        </w:rPr>
        <w:t>build up</w:t>
      </w:r>
      <w:proofErr w:type="spellEnd"/>
      <w:r w:rsidR="00F772E3">
        <w:rPr>
          <w:rFonts w:ascii="Calibri" w:eastAsia="Calibri" w:hAnsi="Calibri"/>
          <w:sz w:val="22"/>
          <w:szCs w:val="22"/>
          <w:lang w:eastAsia="en-US"/>
        </w:rPr>
        <w:t xml:space="preserve"> of uncleared positions. </w:t>
      </w:r>
    </w:p>
    <w:p w14:paraId="278123AE" w14:textId="4D579178" w:rsidR="009835AD" w:rsidRPr="009835AD" w:rsidRDefault="009835AD" w:rsidP="009835AD">
      <w:pPr>
        <w:spacing w:after="160" w:line="259" w:lineRule="auto"/>
        <w:rPr>
          <w:rFonts w:ascii="Calibri" w:eastAsia="Calibri" w:hAnsi="Calibri"/>
          <w:sz w:val="22"/>
          <w:szCs w:val="22"/>
          <w:lang w:eastAsia="en-US"/>
        </w:rPr>
      </w:pPr>
    </w:p>
    <w:permEnd w:id="625810741"/>
    <w:p w14:paraId="204280FC"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&lt;ESMA_QUESTION_RFRS_4&gt;</w:t>
      </w:r>
    </w:p>
    <w:p w14:paraId="325B14EC" w14:textId="77777777" w:rsidR="009835AD" w:rsidRPr="009835AD" w:rsidRDefault="009835AD" w:rsidP="009835AD">
      <w:pPr>
        <w:spacing w:after="160" w:line="259" w:lineRule="auto"/>
        <w:rPr>
          <w:rFonts w:ascii="Calibri" w:eastAsia="Calibri" w:hAnsi="Calibri"/>
          <w:sz w:val="22"/>
          <w:szCs w:val="22"/>
          <w:lang w:eastAsia="en-US"/>
        </w:rPr>
      </w:pPr>
    </w:p>
    <w:p w14:paraId="6B3E5F40"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Will the transition regarding USD have made sufficient progress by this Autumn to decide on whether to maintain or remove USD LIBOR classes. Will there be sufficient liquidity to introduce SOFR OIS to the CO and for which maturity range? Please provide the relevant data and information to explain your </w:t>
      </w:r>
      <w:r w:rsidRPr="009835AD">
        <w:rPr>
          <w:rFonts w:ascii="Arial" w:hAnsi="Arial" w:cs="Arial"/>
          <w:b/>
          <w:sz w:val="22"/>
          <w:szCs w:val="22"/>
          <w:lang w:val="en-US" w:eastAsia="en-US"/>
        </w:rPr>
        <w:t xml:space="preserve">assessment, in accordance with the EMIR framework. </w:t>
      </w:r>
    </w:p>
    <w:p w14:paraId="52D8F8F5"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&lt;ESMA_QUESTION_RFRS_5&gt;</w:t>
      </w:r>
    </w:p>
    <w:p w14:paraId="1EE93B4D" w14:textId="77777777" w:rsidR="00696E09" w:rsidRDefault="00696E09" w:rsidP="00F772E3">
      <w:pPr>
        <w:spacing w:after="160" w:line="259" w:lineRule="auto"/>
        <w:rPr>
          <w:rFonts w:ascii="Calibri" w:eastAsia="Calibri" w:hAnsi="Calibri"/>
          <w:sz w:val="22"/>
          <w:szCs w:val="22"/>
          <w:lang w:eastAsia="en-US"/>
        </w:rPr>
      </w:pPr>
      <w:permStart w:id="1185625336" w:edGrp="everyone"/>
    </w:p>
    <w:p w14:paraId="286B7F2A" w14:textId="45D5A156" w:rsidR="00F772E3" w:rsidRDefault="005B06F3" w:rsidP="00F772E3">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While we think it is not unreasonable to expect </w:t>
      </w:r>
      <w:r w:rsidR="006B1B3E">
        <w:rPr>
          <w:rFonts w:ascii="Calibri" w:eastAsia="Calibri" w:hAnsi="Calibri"/>
          <w:sz w:val="22"/>
          <w:szCs w:val="22"/>
          <w:lang w:eastAsia="en-US"/>
        </w:rPr>
        <w:t>th</w:t>
      </w:r>
      <w:r w:rsidR="007F1CBB">
        <w:rPr>
          <w:rFonts w:ascii="Calibri" w:eastAsia="Calibri" w:hAnsi="Calibri"/>
          <w:sz w:val="22"/>
          <w:szCs w:val="22"/>
          <w:lang w:eastAsia="en-US"/>
        </w:rPr>
        <w:t>at th</w:t>
      </w:r>
      <w:r w:rsidR="006B1B3E">
        <w:rPr>
          <w:rFonts w:ascii="Calibri" w:eastAsia="Calibri" w:hAnsi="Calibri"/>
          <w:sz w:val="22"/>
          <w:szCs w:val="22"/>
          <w:lang w:eastAsia="en-US"/>
        </w:rPr>
        <w:t xml:space="preserve">ere </w:t>
      </w:r>
      <w:r w:rsidR="007F1CBB">
        <w:rPr>
          <w:rFonts w:ascii="Calibri" w:eastAsia="Calibri" w:hAnsi="Calibri"/>
          <w:sz w:val="22"/>
          <w:szCs w:val="22"/>
          <w:lang w:eastAsia="en-US"/>
        </w:rPr>
        <w:t xml:space="preserve">could </w:t>
      </w:r>
      <w:r w:rsidR="006B1B3E">
        <w:rPr>
          <w:rFonts w:ascii="Calibri" w:eastAsia="Calibri" w:hAnsi="Calibri"/>
          <w:sz w:val="22"/>
          <w:szCs w:val="22"/>
          <w:lang w:eastAsia="en-US"/>
        </w:rPr>
        <w:t xml:space="preserve">be sufficient liquidity for the introduction of a </w:t>
      </w:r>
      <w:r w:rsidR="007F1CBB">
        <w:rPr>
          <w:rFonts w:ascii="Calibri" w:eastAsia="Calibri" w:hAnsi="Calibri"/>
          <w:sz w:val="22"/>
          <w:szCs w:val="22"/>
          <w:lang w:eastAsia="en-US"/>
        </w:rPr>
        <w:t>CO on SOFR OIS with short-term maturities</w:t>
      </w:r>
      <w:r w:rsidR="0009099A">
        <w:rPr>
          <w:rFonts w:ascii="Calibri" w:eastAsia="Calibri" w:hAnsi="Calibri"/>
          <w:sz w:val="22"/>
          <w:szCs w:val="22"/>
          <w:lang w:eastAsia="en-US"/>
        </w:rPr>
        <w:t>, we would also repeat the points made abo</w:t>
      </w:r>
      <w:r w:rsidR="000340AF">
        <w:rPr>
          <w:rFonts w:ascii="Calibri" w:eastAsia="Calibri" w:hAnsi="Calibri"/>
          <w:sz w:val="22"/>
          <w:szCs w:val="22"/>
          <w:lang w:eastAsia="en-US"/>
        </w:rPr>
        <w:t xml:space="preserve">ve that there is little risk </w:t>
      </w:r>
      <w:r w:rsidR="001E0095">
        <w:rPr>
          <w:rFonts w:ascii="Calibri" w:eastAsia="Calibri" w:hAnsi="Calibri"/>
          <w:sz w:val="22"/>
          <w:szCs w:val="22"/>
          <w:lang w:eastAsia="en-US"/>
        </w:rPr>
        <w:t>to</w:t>
      </w:r>
      <w:r w:rsidR="000340AF">
        <w:rPr>
          <w:rFonts w:ascii="Calibri" w:eastAsia="Calibri" w:hAnsi="Calibri"/>
          <w:sz w:val="22"/>
          <w:szCs w:val="22"/>
          <w:lang w:eastAsia="en-US"/>
        </w:rPr>
        <w:t xml:space="preserve"> regulatory objectives </w:t>
      </w:r>
      <w:r w:rsidR="00BD20DC">
        <w:rPr>
          <w:rFonts w:ascii="Calibri" w:eastAsia="Calibri" w:hAnsi="Calibri"/>
          <w:sz w:val="22"/>
          <w:szCs w:val="22"/>
          <w:lang w:eastAsia="en-US"/>
        </w:rPr>
        <w:t xml:space="preserve">in delaying the CO </w:t>
      </w:r>
      <w:r w:rsidR="00362E76">
        <w:rPr>
          <w:rFonts w:ascii="Calibri" w:eastAsia="Calibri" w:hAnsi="Calibri"/>
          <w:sz w:val="22"/>
          <w:szCs w:val="22"/>
          <w:lang w:eastAsia="en-US"/>
        </w:rPr>
        <w:t>and the flexibility</w:t>
      </w:r>
      <w:r w:rsidR="00BD20DC">
        <w:rPr>
          <w:rFonts w:ascii="Calibri" w:eastAsia="Calibri" w:hAnsi="Calibri"/>
          <w:sz w:val="22"/>
          <w:szCs w:val="22"/>
          <w:lang w:eastAsia="en-US"/>
        </w:rPr>
        <w:t xml:space="preserve"> provided</w:t>
      </w:r>
      <w:r w:rsidR="00362E76">
        <w:rPr>
          <w:rFonts w:ascii="Calibri" w:eastAsia="Calibri" w:hAnsi="Calibri"/>
          <w:sz w:val="22"/>
          <w:szCs w:val="22"/>
          <w:lang w:eastAsia="en-US"/>
        </w:rPr>
        <w:t xml:space="preserve"> for market participants may </w:t>
      </w:r>
      <w:proofErr w:type="gramStart"/>
      <w:r w:rsidR="00362E76">
        <w:rPr>
          <w:rFonts w:ascii="Calibri" w:eastAsia="Calibri" w:hAnsi="Calibri"/>
          <w:sz w:val="22"/>
          <w:szCs w:val="22"/>
          <w:lang w:eastAsia="en-US"/>
        </w:rPr>
        <w:t>actually help</w:t>
      </w:r>
      <w:proofErr w:type="gramEnd"/>
      <w:r w:rsidR="00362E76">
        <w:rPr>
          <w:rFonts w:ascii="Calibri" w:eastAsia="Calibri" w:hAnsi="Calibri"/>
          <w:sz w:val="22"/>
          <w:szCs w:val="22"/>
          <w:lang w:eastAsia="en-US"/>
        </w:rPr>
        <w:t xml:space="preserve"> build liquidity</w:t>
      </w:r>
      <w:r w:rsidR="007F1CBB">
        <w:rPr>
          <w:rFonts w:ascii="Calibri" w:eastAsia="Calibri" w:hAnsi="Calibri"/>
          <w:sz w:val="22"/>
          <w:szCs w:val="22"/>
          <w:lang w:eastAsia="en-US"/>
        </w:rPr>
        <w:t>.</w:t>
      </w:r>
      <w:r w:rsidR="00F772E3">
        <w:rPr>
          <w:rFonts w:ascii="Calibri" w:eastAsia="Calibri" w:hAnsi="Calibri"/>
          <w:sz w:val="22"/>
          <w:szCs w:val="22"/>
          <w:lang w:eastAsia="en-US"/>
        </w:rPr>
        <w:t xml:space="preserve"> It is highly unlikely that a delay imposing a CO would lead to any significant </w:t>
      </w:r>
      <w:proofErr w:type="spellStart"/>
      <w:r w:rsidR="00F772E3">
        <w:rPr>
          <w:rFonts w:ascii="Calibri" w:eastAsia="Calibri" w:hAnsi="Calibri"/>
          <w:sz w:val="22"/>
          <w:szCs w:val="22"/>
          <w:lang w:eastAsia="en-US"/>
        </w:rPr>
        <w:t>build up</w:t>
      </w:r>
      <w:proofErr w:type="spellEnd"/>
      <w:r w:rsidR="00F772E3">
        <w:rPr>
          <w:rFonts w:ascii="Calibri" w:eastAsia="Calibri" w:hAnsi="Calibri"/>
          <w:sz w:val="22"/>
          <w:szCs w:val="22"/>
          <w:lang w:eastAsia="en-US"/>
        </w:rPr>
        <w:t xml:space="preserve"> of uncleared positions. Therefore, the risks of inappropriately calibrated CO and DTOs are far outweigh the risks to the G20 commitments under the current market and regulatory frameworks.</w:t>
      </w:r>
    </w:p>
    <w:p w14:paraId="7FCCBE94" w14:textId="3EFA4267" w:rsidR="00F06D12" w:rsidRDefault="007F1CBB" w:rsidP="009835AD">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 </w:t>
      </w:r>
    </w:p>
    <w:p w14:paraId="43A62E23" w14:textId="5E3973F1" w:rsidR="00BD20DC" w:rsidRDefault="00696E09" w:rsidP="00BD20DC">
      <w:pPr>
        <w:spacing w:after="160" w:line="259" w:lineRule="auto"/>
        <w:rPr>
          <w:rFonts w:ascii="Calibri" w:eastAsia="Calibri" w:hAnsi="Calibri"/>
          <w:sz w:val="22"/>
          <w:szCs w:val="22"/>
          <w:lang w:eastAsia="en-US"/>
        </w:rPr>
      </w:pPr>
      <w:r>
        <w:rPr>
          <w:rFonts w:ascii="Calibri" w:eastAsia="Calibri" w:hAnsi="Calibri"/>
          <w:sz w:val="22"/>
          <w:szCs w:val="22"/>
          <w:lang w:eastAsia="en-US"/>
        </w:rPr>
        <w:lastRenderedPageBreak/>
        <w:t>Furthermore, we would encourage jurisd</w:t>
      </w:r>
      <w:r w:rsidR="00BB34D0">
        <w:rPr>
          <w:rFonts w:ascii="Calibri" w:eastAsia="Calibri" w:hAnsi="Calibri"/>
          <w:sz w:val="22"/>
          <w:szCs w:val="22"/>
          <w:lang w:eastAsia="en-US"/>
        </w:rPr>
        <w:t>i</w:t>
      </w:r>
      <w:r>
        <w:rPr>
          <w:rFonts w:ascii="Calibri" w:eastAsia="Calibri" w:hAnsi="Calibri"/>
          <w:sz w:val="22"/>
          <w:szCs w:val="22"/>
          <w:lang w:eastAsia="en-US"/>
        </w:rPr>
        <w:t>ctions to only apply DTO or COs to instruments where the primary market jurisdictions have already applied their equivalent obligations.</w:t>
      </w:r>
      <w:r w:rsidR="00BD20DC">
        <w:rPr>
          <w:rFonts w:ascii="Calibri" w:eastAsia="Calibri" w:hAnsi="Calibri"/>
          <w:sz w:val="22"/>
          <w:szCs w:val="22"/>
          <w:lang w:eastAsia="en-US"/>
        </w:rPr>
        <w:t xml:space="preserve"> </w:t>
      </w:r>
      <w:r w:rsidR="00BD20DC">
        <w:rPr>
          <w:rFonts w:ascii="Calibri" w:eastAsia="Calibri" w:hAnsi="Calibri"/>
          <w:sz w:val="22"/>
          <w:szCs w:val="22"/>
          <w:lang w:eastAsia="en-US"/>
        </w:rPr>
        <w:t>For example, the EU should not introduce COs or DTOs for USD instruments when no equivalent obligations exist in the USA.</w:t>
      </w:r>
    </w:p>
    <w:p w14:paraId="5CE7CAF3" w14:textId="5944C869" w:rsidR="00696E09" w:rsidRDefault="00696E09" w:rsidP="00696E09">
      <w:pPr>
        <w:spacing w:after="160" w:line="259" w:lineRule="auto"/>
        <w:rPr>
          <w:rFonts w:ascii="Calibri" w:eastAsia="Calibri" w:hAnsi="Calibri"/>
          <w:sz w:val="22"/>
          <w:szCs w:val="22"/>
          <w:lang w:eastAsia="en-US"/>
        </w:rPr>
      </w:pPr>
    </w:p>
    <w:p w14:paraId="45EC9127" w14:textId="77777777" w:rsidR="00696E09" w:rsidRDefault="00696E09" w:rsidP="009835AD">
      <w:pPr>
        <w:spacing w:after="160" w:line="259" w:lineRule="auto"/>
        <w:rPr>
          <w:rFonts w:ascii="Calibri" w:eastAsia="Calibri" w:hAnsi="Calibri"/>
          <w:sz w:val="22"/>
          <w:szCs w:val="22"/>
          <w:lang w:eastAsia="en-US"/>
        </w:rPr>
      </w:pPr>
    </w:p>
    <w:permEnd w:id="1185625336"/>
    <w:p w14:paraId="1E6B10D4" w14:textId="1FCAE62A"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&lt;ESMA_QUESTION_RFRS_5&gt;</w:t>
      </w:r>
    </w:p>
    <w:p w14:paraId="0C71553C" w14:textId="614B2EE3" w:rsidR="009835AD" w:rsidRDefault="009835AD" w:rsidP="009835AD">
      <w:pPr>
        <w:spacing w:after="160" w:line="259" w:lineRule="auto"/>
        <w:rPr>
          <w:rFonts w:ascii="Calibri" w:eastAsia="Calibri" w:hAnsi="Calibri"/>
          <w:sz w:val="22"/>
          <w:szCs w:val="22"/>
          <w:lang w:eastAsia="en-US"/>
        </w:rPr>
      </w:pPr>
    </w:p>
    <w:p w14:paraId="72DF8575"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agree with the proposed implementation of the changes? If not please provide details that could justify a different implementation. </w:t>
      </w:r>
    </w:p>
    <w:p w14:paraId="040FCF38"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&lt;ESMA_QUESTION_RFRS_6&gt;</w:t>
      </w:r>
    </w:p>
    <w:p w14:paraId="6D8D589B" w14:textId="77777777" w:rsidR="009835AD" w:rsidRPr="009835AD" w:rsidRDefault="009835AD" w:rsidP="009835AD">
      <w:pPr>
        <w:spacing w:after="160" w:line="259" w:lineRule="auto"/>
        <w:rPr>
          <w:rFonts w:ascii="Calibri" w:eastAsia="Calibri" w:hAnsi="Calibri"/>
          <w:sz w:val="22"/>
          <w:szCs w:val="22"/>
          <w:lang w:eastAsia="en-US"/>
        </w:rPr>
      </w:pPr>
      <w:permStart w:id="88494692" w:edGrp="everyone"/>
      <w:r w:rsidRPr="009835AD">
        <w:rPr>
          <w:rFonts w:ascii="Calibri" w:eastAsia="Calibri" w:hAnsi="Calibri"/>
          <w:sz w:val="22"/>
          <w:szCs w:val="22"/>
          <w:lang w:eastAsia="en-US"/>
        </w:rPr>
        <w:t>TYPE YOUR TEXT HERE</w:t>
      </w:r>
    </w:p>
    <w:permEnd w:id="88494692"/>
    <w:p w14:paraId="628D142A"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&lt;ESMA_QUESTION_RFRS_6&gt;</w:t>
      </w:r>
    </w:p>
    <w:p w14:paraId="594B71CA" w14:textId="50FF831B" w:rsidR="009835AD" w:rsidRDefault="009835AD" w:rsidP="009835AD">
      <w:pPr>
        <w:spacing w:after="160" w:line="259" w:lineRule="auto"/>
        <w:rPr>
          <w:rFonts w:ascii="Calibri" w:eastAsia="Calibri" w:hAnsi="Calibri"/>
          <w:sz w:val="22"/>
          <w:szCs w:val="22"/>
          <w:lang w:eastAsia="en-US"/>
        </w:rPr>
      </w:pPr>
    </w:p>
    <w:p w14:paraId="755594D9" w14:textId="133EE23F"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Derivatives trading obligation</w:t>
      </w:r>
    </w:p>
    <w:p w14:paraId="3E5926C1"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agree with the proposal to not include OIS referencing €STR, SONIA nor SOFR to the DTO at this point in time? In case you disagree with ESMA’s proposal, please justify and support your assessment with qualitative and quantitative data. </w:t>
      </w:r>
    </w:p>
    <w:p w14:paraId="7D3081D1"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&lt;ESMA_QUESTION_RFRS_7&gt;</w:t>
      </w:r>
    </w:p>
    <w:p w14:paraId="43B3CDDE" w14:textId="77777777" w:rsidR="000539FF" w:rsidRDefault="000539FF" w:rsidP="009835AD">
      <w:pPr>
        <w:spacing w:after="160" w:line="259" w:lineRule="auto"/>
        <w:rPr>
          <w:rFonts w:ascii="Calibri" w:eastAsia="Calibri" w:hAnsi="Calibri"/>
          <w:sz w:val="22"/>
          <w:szCs w:val="22"/>
          <w:lang w:eastAsia="en-US"/>
        </w:rPr>
      </w:pPr>
      <w:permStart w:id="1781297155" w:edGrp="everyone"/>
    </w:p>
    <w:p w14:paraId="1412E79D" w14:textId="5DEC0CCC" w:rsidR="00087492" w:rsidRDefault="00195DBB" w:rsidP="009835AD">
      <w:pPr>
        <w:spacing w:after="160" w:line="259" w:lineRule="auto"/>
        <w:rPr>
          <w:rFonts w:ascii="Calibri" w:eastAsia="Calibri" w:hAnsi="Calibri"/>
          <w:sz w:val="22"/>
          <w:szCs w:val="22"/>
          <w:lang w:eastAsia="en-US"/>
        </w:rPr>
      </w:pPr>
      <w:r>
        <w:rPr>
          <w:rFonts w:ascii="Calibri" w:eastAsia="Calibri" w:hAnsi="Calibri"/>
          <w:sz w:val="22"/>
          <w:szCs w:val="22"/>
          <w:lang w:eastAsia="en-US"/>
        </w:rPr>
        <w:t>We would agree with this proposal</w:t>
      </w:r>
      <w:r w:rsidR="000759BD">
        <w:rPr>
          <w:rFonts w:ascii="Calibri" w:eastAsia="Calibri" w:hAnsi="Calibri"/>
          <w:sz w:val="22"/>
          <w:szCs w:val="22"/>
          <w:lang w:eastAsia="en-US"/>
        </w:rPr>
        <w:t>.</w:t>
      </w:r>
    </w:p>
    <w:p w14:paraId="6E113F45" w14:textId="77777777" w:rsidR="008A2E55" w:rsidRPr="009835AD" w:rsidRDefault="008A2E55" w:rsidP="009835AD">
      <w:pPr>
        <w:spacing w:after="160" w:line="259" w:lineRule="auto"/>
        <w:rPr>
          <w:rFonts w:ascii="Calibri" w:eastAsia="Calibri" w:hAnsi="Calibri"/>
          <w:sz w:val="22"/>
          <w:szCs w:val="22"/>
          <w:lang w:eastAsia="en-US"/>
        </w:rPr>
      </w:pPr>
    </w:p>
    <w:permEnd w:id="1781297155"/>
    <w:p w14:paraId="66AFC1E9"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&lt;ESMA_QUESTION_RFRS_7&gt;</w:t>
      </w:r>
    </w:p>
    <w:p w14:paraId="7FAEEE4B" w14:textId="77777777" w:rsidR="009835AD" w:rsidRPr="009835AD" w:rsidRDefault="009835AD" w:rsidP="009835AD">
      <w:pPr>
        <w:spacing w:after="160" w:line="259" w:lineRule="auto"/>
        <w:rPr>
          <w:rFonts w:ascii="Calibri" w:eastAsia="Calibri" w:hAnsi="Calibri"/>
          <w:sz w:val="22"/>
          <w:szCs w:val="22"/>
          <w:lang w:eastAsia="en-US"/>
        </w:rPr>
      </w:pPr>
    </w:p>
    <w:p w14:paraId="74F8AD9A"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consider that IRS referencing USD LIBOR should continue to be subject to the DTO? </w:t>
      </w:r>
    </w:p>
    <w:p w14:paraId="0328DE9E"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&lt;ESMA_QUESTION_RFRS_8&gt;</w:t>
      </w:r>
    </w:p>
    <w:p w14:paraId="54D468B9" w14:textId="2AB4F68D" w:rsidR="00D775BD" w:rsidRDefault="005F0C78" w:rsidP="009835AD">
      <w:pPr>
        <w:spacing w:after="160" w:line="259" w:lineRule="auto"/>
        <w:rPr>
          <w:rFonts w:ascii="Calibri" w:eastAsia="Calibri" w:hAnsi="Calibri"/>
          <w:sz w:val="22"/>
          <w:szCs w:val="22"/>
          <w:lang w:eastAsia="en-US"/>
        </w:rPr>
      </w:pPr>
      <w:permStart w:id="334326387" w:edGrp="everyone"/>
      <w:r>
        <w:rPr>
          <w:rFonts w:ascii="Calibri" w:eastAsia="Calibri" w:hAnsi="Calibri"/>
          <w:sz w:val="22"/>
          <w:szCs w:val="22"/>
          <w:lang w:eastAsia="en-US"/>
        </w:rPr>
        <w:t>ESMA is clear in its analysis that it expects liq</w:t>
      </w:r>
      <w:r w:rsidR="009006A2">
        <w:rPr>
          <w:rFonts w:ascii="Calibri" w:eastAsia="Calibri" w:hAnsi="Calibri"/>
          <w:sz w:val="22"/>
          <w:szCs w:val="22"/>
          <w:lang w:eastAsia="en-US"/>
        </w:rPr>
        <w:t>u</w:t>
      </w:r>
      <w:r>
        <w:rPr>
          <w:rFonts w:ascii="Calibri" w:eastAsia="Calibri" w:hAnsi="Calibri"/>
          <w:sz w:val="22"/>
          <w:szCs w:val="22"/>
          <w:lang w:eastAsia="en-US"/>
        </w:rPr>
        <w:t>id</w:t>
      </w:r>
      <w:r w:rsidR="009006A2">
        <w:rPr>
          <w:rFonts w:ascii="Calibri" w:eastAsia="Calibri" w:hAnsi="Calibri"/>
          <w:sz w:val="22"/>
          <w:szCs w:val="22"/>
          <w:lang w:eastAsia="en-US"/>
        </w:rPr>
        <w:t>i</w:t>
      </w:r>
      <w:r>
        <w:rPr>
          <w:rFonts w:ascii="Calibri" w:eastAsia="Calibri" w:hAnsi="Calibri"/>
          <w:sz w:val="22"/>
          <w:szCs w:val="22"/>
          <w:lang w:eastAsia="en-US"/>
        </w:rPr>
        <w:t>ty</w:t>
      </w:r>
      <w:r w:rsidR="009006A2">
        <w:rPr>
          <w:rFonts w:ascii="Calibri" w:eastAsia="Calibri" w:hAnsi="Calibri"/>
          <w:sz w:val="22"/>
          <w:szCs w:val="22"/>
          <w:lang w:eastAsia="en-US"/>
        </w:rPr>
        <w:t xml:space="preserve"> to move from USD LIBOR </w:t>
      </w:r>
      <w:r w:rsidR="00DE7899">
        <w:rPr>
          <w:rFonts w:ascii="Calibri" w:eastAsia="Calibri" w:hAnsi="Calibri"/>
          <w:sz w:val="22"/>
          <w:szCs w:val="22"/>
          <w:lang w:eastAsia="en-US"/>
        </w:rPr>
        <w:t xml:space="preserve">to SOFR by the end of </w:t>
      </w:r>
      <w:r w:rsidR="00C9183E">
        <w:rPr>
          <w:rFonts w:ascii="Calibri" w:eastAsia="Calibri" w:hAnsi="Calibri"/>
          <w:sz w:val="22"/>
          <w:szCs w:val="22"/>
          <w:lang w:eastAsia="en-US"/>
        </w:rPr>
        <w:t xml:space="preserve">2021. </w:t>
      </w:r>
      <w:r w:rsidR="00AE1F8B">
        <w:rPr>
          <w:rFonts w:ascii="Calibri" w:eastAsia="Calibri" w:hAnsi="Calibri"/>
          <w:sz w:val="22"/>
          <w:szCs w:val="22"/>
          <w:lang w:eastAsia="en-US"/>
        </w:rPr>
        <w:t>Given this assumption</w:t>
      </w:r>
      <w:r w:rsidR="006A5D7D">
        <w:rPr>
          <w:rFonts w:ascii="Calibri" w:eastAsia="Calibri" w:hAnsi="Calibri"/>
          <w:sz w:val="22"/>
          <w:szCs w:val="22"/>
          <w:lang w:eastAsia="en-US"/>
        </w:rPr>
        <w:t>,</w:t>
      </w:r>
      <w:r w:rsidR="00AE1F8B">
        <w:rPr>
          <w:rFonts w:ascii="Calibri" w:eastAsia="Calibri" w:hAnsi="Calibri"/>
          <w:sz w:val="22"/>
          <w:szCs w:val="22"/>
          <w:lang w:eastAsia="en-US"/>
        </w:rPr>
        <w:t xml:space="preserve"> the </w:t>
      </w:r>
      <w:proofErr w:type="spellStart"/>
      <w:r w:rsidR="00AE1F8B">
        <w:rPr>
          <w:rFonts w:ascii="Calibri" w:eastAsia="Calibri" w:hAnsi="Calibri"/>
          <w:sz w:val="22"/>
          <w:szCs w:val="22"/>
          <w:lang w:eastAsia="en-US"/>
        </w:rPr>
        <w:t>rel</w:t>
      </w:r>
      <w:r w:rsidR="001144A9">
        <w:rPr>
          <w:rFonts w:ascii="Calibri" w:eastAsia="Calibri" w:hAnsi="Calibri"/>
          <w:sz w:val="22"/>
          <w:szCs w:val="22"/>
          <w:lang w:eastAsia="en-US"/>
        </w:rPr>
        <w:t>a</w:t>
      </w:r>
      <w:r w:rsidR="00AE1F8B">
        <w:rPr>
          <w:rFonts w:ascii="Calibri" w:eastAsia="Calibri" w:hAnsi="Calibri"/>
          <w:sz w:val="22"/>
          <w:szCs w:val="22"/>
          <w:lang w:eastAsia="en-US"/>
        </w:rPr>
        <w:t>tivley</w:t>
      </w:r>
      <w:proofErr w:type="spellEnd"/>
      <w:r w:rsidR="00AE1F8B">
        <w:rPr>
          <w:rFonts w:ascii="Calibri" w:eastAsia="Calibri" w:hAnsi="Calibri"/>
          <w:sz w:val="22"/>
          <w:szCs w:val="22"/>
          <w:lang w:eastAsia="en-US"/>
        </w:rPr>
        <w:t xml:space="preserve"> limited activity on EU trading venues</w:t>
      </w:r>
      <w:r w:rsidR="00174712">
        <w:rPr>
          <w:rFonts w:ascii="Calibri" w:eastAsia="Calibri" w:hAnsi="Calibri"/>
          <w:sz w:val="22"/>
          <w:szCs w:val="22"/>
          <w:lang w:eastAsia="en-US"/>
        </w:rPr>
        <w:t xml:space="preserve"> and the potential length of time it would take to remove the DTO at a future date (much of which ESMA acknowledges is outside its control), </w:t>
      </w:r>
      <w:r w:rsidR="00AE1F8B">
        <w:rPr>
          <w:rFonts w:ascii="Calibri" w:eastAsia="Calibri" w:hAnsi="Calibri"/>
          <w:sz w:val="22"/>
          <w:szCs w:val="22"/>
          <w:lang w:eastAsia="en-US"/>
        </w:rPr>
        <w:t>ESMA should</w:t>
      </w:r>
      <w:r w:rsidR="006A5D7D">
        <w:rPr>
          <w:rFonts w:ascii="Calibri" w:eastAsia="Calibri" w:hAnsi="Calibri"/>
          <w:sz w:val="22"/>
          <w:szCs w:val="22"/>
          <w:lang w:eastAsia="en-US"/>
        </w:rPr>
        <w:t xml:space="preserve"> </w:t>
      </w:r>
      <w:r w:rsidR="00AE1F8B">
        <w:rPr>
          <w:rFonts w:ascii="Calibri" w:eastAsia="Calibri" w:hAnsi="Calibri"/>
          <w:sz w:val="22"/>
          <w:szCs w:val="22"/>
          <w:lang w:eastAsia="en-US"/>
        </w:rPr>
        <w:t>propos</w:t>
      </w:r>
      <w:r w:rsidR="001A25CB">
        <w:rPr>
          <w:rFonts w:ascii="Calibri" w:eastAsia="Calibri" w:hAnsi="Calibri"/>
          <w:sz w:val="22"/>
          <w:szCs w:val="22"/>
          <w:lang w:eastAsia="en-US"/>
        </w:rPr>
        <w:t xml:space="preserve">e </w:t>
      </w:r>
      <w:r w:rsidR="00AE1F8B">
        <w:rPr>
          <w:rFonts w:ascii="Calibri" w:eastAsia="Calibri" w:hAnsi="Calibri"/>
          <w:sz w:val="22"/>
          <w:szCs w:val="22"/>
          <w:lang w:eastAsia="en-US"/>
        </w:rPr>
        <w:t xml:space="preserve">to remove the </w:t>
      </w:r>
      <w:r w:rsidR="00174712">
        <w:rPr>
          <w:rFonts w:ascii="Calibri" w:eastAsia="Calibri" w:hAnsi="Calibri"/>
          <w:sz w:val="22"/>
          <w:szCs w:val="22"/>
          <w:lang w:eastAsia="en-US"/>
        </w:rPr>
        <w:t>DTO on USD LIBOR</w:t>
      </w:r>
      <w:r w:rsidR="008426F6">
        <w:rPr>
          <w:rFonts w:ascii="Calibri" w:eastAsia="Calibri" w:hAnsi="Calibri"/>
          <w:sz w:val="22"/>
          <w:szCs w:val="22"/>
          <w:lang w:eastAsia="en-US"/>
        </w:rPr>
        <w:t xml:space="preserve">. </w:t>
      </w:r>
      <w:r w:rsidR="00D87E03">
        <w:rPr>
          <w:rFonts w:ascii="Calibri" w:eastAsia="Calibri" w:hAnsi="Calibri"/>
          <w:sz w:val="22"/>
          <w:szCs w:val="22"/>
          <w:lang w:eastAsia="en-US"/>
        </w:rPr>
        <w:t>As explained above, i</w:t>
      </w:r>
      <w:r w:rsidR="008426F6">
        <w:rPr>
          <w:rFonts w:ascii="Calibri" w:eastAsia="Calibri" w:hAnsi="Calibri"/>
          <w:sz w:val="22"/>
          <w:szCs w:val="22"/>
          <w:lang w:eastAsia="en-US"/>
        </w:rPr>
        <w:t xml:space="preserve">t is important to ensure that the DTO is not maintained </w:t>
      </w:r>
      <w:r w:rsidR="00D775BD">
        <w:rPr>
          <w:rFonts w:ascii="Calibri" w:eastAsia="Calibri" w:hAnsi="Calibri"/>
          <w:sz w:val="22"/>
          <w:szCs w:val="22"/>
          <w:lang w:eastAsia="en-US"/>
        </w:rPr>
        <w:t>inappropriately as this could cause market difficulties</w:t>
      </w:r>
      <w:r w:rsidR="001A25CB">
        <w:rPr>
          <w:rFonts w:ascii="Calibri" w:eastAsia="Calibri" w:hAnsi="Calibri"/>
          <w:sz w:val="22"/>
          <w:szCs w:val="22"/>
          <w:lang w:eastAsia="en-US"/>
        </w:rPr>
        <w:t xml:space="preserve"> and </w:t>
      </w:r>
      <w:r w:rsidR="00D87E03">
        <w:rPr>
          <w:rFonts w:ascii="Calibri" w:eastAsia="Calibri" w:hAnsi="Calibri"/>
          <w:sz w:val="22"/>
          <w:szCs w:val="22"/>
          <w:lang w:eastAsia="en-US"/>
        </w:rPr>
        <w:t>the risks against regulatory objectives appear insignificant</w:t>
      </w:r>
      <w:r w:rsidR="00D775BD">
        <w:rPr>
          <w:rFonts w:ascii="Calibri" w:eastAsia="Calibri" w:hAnsi="Calibri"/>
          <w:sz w:val="22"/>
          <w:szCs w:val="22"/>
          <w:lang w:eastAsia="en-US"/>
        </w:rPr>
        <w:t xml:space="preserve">. </w:t>
      </w:r>
    </w:p>
    <w:p w14:paraId="02DDE504" w14:textId="77777777" w:rsidR="00D775BD" w:rsidRDefault="00D775BD" w:rsidP="009835AD">
      <w:pPr>
        <w:spacing w:after="160" w:line="259" w:lineRule="auto"/>
        <w:rPr>
          <w:rFonts w:ascii="Calibri" w:eastAsia="Calibri" w:hAnsi="Calibri"/>
          <w:sz w:val="22"/>
          <w:szCs w:val="22"/>
          <w:lang w:eastAsia="en-US"/>
        </w:rPr>
      </w:pPr>
    </w:p>
    <w:p w14:paraId="5779CF68" w14:textId="77777777" w:rsidR="00D775BD" w:rsidRDefault="00D775BD" w:rsidP="009835AD">
      <w:pPr>
        <w:spacing w:after="160" w:line="259" w:lineRule="auto"/>
        <w:rPr>
          <w:rFonts w:ascii="Calibri" w:eastAsia="Calibri" w:hAnsi="Calibri"/>
          <w:sz w:val="22"/>
          <w:szCs w:val="22"/>
          <w:lang w:eastAsia="en-US"/>
        </w:rPr>
      </w:pPr>
    </w:p>
    <w:permEnd w:id="334326387"/>
    <w:p w14:paraId="240C6ECC" w14:textId="15A78A85"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lastRenderedPageBreak/>
        <w:t>&lt;ESMA_QUESTION_RFRS_8&gt;</w:t>
      </w:r>
    </w:p>
    <w:p w14:paraId="0C0346E7" w14:textId="2BBFAEED" w:rsidR="009835AD" w:rsidRDefault="009835AD" w:rsidP="009835AD">
      <w:pPr>
        <w:spacing w:after="160" w:line="259" w:lineRule="auto"/>
        <w:rPr>
          <w:rFonts w:ascii="Calibri" w:eastAsia="Calibri" w:hAnsi="Calibri"/>
          <w:sz w:val="22"/>
          <w:szCs w:val="22"/>
          <w:lang w:eastAsia="en-US"/>
        </w:rPr>
      </w:pPr>
    </w:p>
    <w:p w14:paraId="73A694AF" w14:textId="6C55CC32"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Cost Benefit Analysis</w:t>
      </w:r>
    </w:p>
    <w:p w14:paraId="74C3C7A2"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Are there other elements that should be taken into account and that would impact the outcome of the cost-benefit analysis?  Please provide quantitative and qualitative details. </w:t>
      </w:r>
    </w:p>
    <w:p w14:paraId="15CE892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&lt;ESMA_QUESTION_RFRS_9&gt;</w:t>
      </w:r>
    </w:p>
    <w:p w14:paraId="4E12FBED" w14:textId="77777777" w:rsidR="001673EC" w:rsidRDefault="001673EC" w:rsidP="009835AD">
      <w:pPr>
        <w:spacing w:after="160" w:line="259" w:lineRule="auto"/>
        <w:rPr>
          <w:rFonts w:ascii="Calibri" w:eastAsia="Calibri" w:hAnsi="Calibri"/>
          <w:sz w:val="22"/>
          <w:szCs w:val="22"/>
          <w:lang w:eastAsia="en-US"/>
        </w:rPr>
      </w:pPr>
      <w:permStart w:id="822749787" w:edGrp="everyone"/>
    </w:p>
    <w:p w14:paraId="2F6FE426" w14:textId="4A1C77CE" w:rsidR="009835AD" w:rsidRDefault="001673EC" w:rsidP="009835AD">
      <w:pPr>
        <w:spacing w:after="160" w:line="259" w:lineRule="auto"/>
        <w:rPr>
          <w:rFonts w:ascii="Calibri" w:eastAsia="Calibri" w:hAnsi="Calibri"/>
          <w:sz w:val="22"/>
          <w:szCs w:val="22"/>
          <w:lang w:eastAsia="en-US"/>
        </w:rPr>
      </w:pPr>
      <w:r>
        <w:rPr>
          <w:rFonts w:ascii="Calibri" w:eastAsia="Calibri" w:hAnsi="Calibri"/>
          <w:sz w:val="22"/>
          <w:szCs w:val="22"/>
          <w:lang w:eastAsia="en-US"/>
        </w:rPr>
        <w:t>ESMA should be</w:t>
      </w:r>
      <w:r w:rsidR="00924C1D">
        <w:rPr>
          <w:rFonts w:ascii="Calibri" w:eastAsia="Calibri" w:hAnsi="Calibri"/>
          <w:sz w:val="22"/>
          <w:szCs w:val="22"/>
          <w:lang w:eastAsia="en-US"/>
        </w:rPr>
        <w:t xml:space="preserve"> cognisant that 2020 </w:t>
      </w:r>
      <w:r w:rsidR="00BF13A5">
        <w:rPr>
          <w:rFonts w:ascii="Calibri" w:eastAsia="Calibri" w:hAnsi="Calibri"/>
          <w:sz w:val="22"/>
          <w:szCs w:val="22"/>
          <w:lang w:eastAsia="en-US"/>
        </w:rPr>
        <w:t xml:space="preserve">was a period characterised by </w:t>
      </w:r>
      <w:r w:rsidR="00924C1D">
        <w:rPr>
          <w:rFonts w:ascii="Calibri" w:eastAsia="Calibri" w:hAnsi="Calibri"/>
          <w:sz w:val="22"/>
          <w:szCs w:val="22"/>
          <w:lang w:eastAsia="en-US"/>
        </w:rPr>
        <w:t xml:space="preserve">periods of market turbulence and uncertainty </w:t>
      </w:r>
      <w:r w:rsidR="007905FC">
        <w:rPr>
          <w:rFonts w:ascii="Calibri" w:eastAsia="Calibri" w:hAnsi="Calibri"/>
          <w:sz w:val="22"/>
          <w:szCs w:val="22"/>
          <w:lang w:eastAsia="en-US"/>
        </w:rPr>
        <w:t xml:space="preserve">linked to </w:t>
      </w:r>
      <w:r w:rsidR="00924C1D">
        <w:rPr>
          <w:rFonts w:ascii="Calibri" w:eastAsia="Calibri" w:hAnsi="Calibri"/>
          <w:sz w:val="22"/>
          <w:szCs w:val="22"/>
          <w:lang w:eastAsia="en-US"/>
        </w:rPr>
        <w:t xml:space="preserve">the COVID-19 pandemic and the end of the transition period for the UK’s withdrawal </w:t>
      </w:r>
      <w:r w:rsidR="007905FC">
        <w:rPr>
          <w:rFonts w:ascii="Calibri" w:eastAsia="Calibri" w:hAnsi="Calibri"/>
          <w:sz w:val="22"/>
          <w:szCs w:val="22"/>
          <w:lang w:eastAsia="en-US"/>
        </w:rPr>
        <w:t xml:space="preserve">from the EU. </w:t>
      </w:r>
      <w:r w:rsidR="0013078E">
        <w:rPr>
          <w:rFonts w:ascii="Calibri" w:eastAsia="Calibri" w:hAnsi="Calibri"/>
          <w:sz w:val="22"/>
          <w:szCs w:val="22"/>
          <w:lang w:eastAsia="en-US"/>
        </w:rPr>
        <w:t>ESMA should be cautious drawing firm conclusions about market activity based on this period.</w:t>
      </w:r>
    </w:p>
    <w:p w14:paraId="42A46CB7" w14:textId="77777777" w:rsidR="00E75C18" w:rsidRPr="009835AD" w:rsidRDefault="00E75C18" w:rsidP="009835AD">
      <w:pPr>
        <w:spacing w:after="160" w:line="259" w:lineRule="auto"/>
        <w:rPr>
          <w:rFonts w:ascii="Calibri" w:eastAsia="Calibri" w:hAnsi="Calibri"/>
          <w:sz w:val="22"/>
          <w:szCs w:val="22"/>
          <w:lang w:eastAsia="en-US"/>
        </w:rPr>
      </w:pPr>
    </w:p>
    <w:permEnd w:id="822749787"/>
    <w:p w14:paraId="729056E0"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&lt;ESMA_QUESTION_RFRS_9&gt;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621F2" w14:textId="77777777" w:rsidR="006D703A" w:rsidRDefault="006D703A" w:rsidP="007E7997">
      <w:r>
        <w:separator/>
      </w:r>
    </w:p>
  </w:endnote>
  <w:endnote w:type="continuationSeparator" w:id="0">
    <w:p w14:paraId="0F659866" w14:textId="77777777" w:rsidR="006D703A" w:rsidRDefault="006D703A" w:rsidP="007E7997">
      <w:r>
        <w:continuationSeparator/>
      </w:r>
    </w:p>
  </w:endnote>
  <w:endnote w:type="continuationNotice" w:id="1">
    <w:p w14:paraId="1A1229B4" w14:textId="77777777" w:rsidR="006D703A" w:rsidRDefault="006D7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2AD671B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51F68">
      <w:rPr>
        <w:rFonts w:asciiTheme="majorHAnsi" w:hAnsiTheme="majorHAnsi"/>
        <w:color w:val="FFFFFF" w:themeColor="background1"/>
      </w:rPr>
      <w:t>9</w:t>
    </w:r>
    <w:r w:rsidR="0037358E">
      <w:rPr>
        <w:rFonts w:asciiTheme="majorHAnsi" w:hAnsiTheme="majorHAnsi"/>
        <w:color w:val="FFFFFF" w:themeColor="background1"/>
      </w:rPr>
      <w:t xml:space="preserve"> </w:t>
    </w:r>
    <w:r w:rsidR="008279D3">
      <w:rPr>
        <w:rFonts w:asciiTheme="majorHAnsi" w:hAnsiTheme="majorHAnsi"/>
        <w:color w:val="FFFFFF" w:themeColor="background1"/>
      </w:rPr>
      <w:t>July</w:t>
    </w:r>
    <w:r w:rsidR="00AB6157">
      <w:rPr>
        <w:rFonts w:asciiTheme="majorHAnsi" w:hAnsiTheme="majorHAnsi"/>
        <w:color w:val="FFFFFF" w:themeColor="background1"/>
      </w:rPr>
      <w:t xml:space="preserve">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21</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70-156-4704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1A75F" w14:textId="77777777" w:rsidR="006D703A" w:rsidRDefault="006D703A" w:rsidP="007E7997">
      <w:r>
        <w:separator/>
      </w:r>
    </w:p>
  </w:footnote>
  <w:footnote w:type="continuationSeparator" w:id="0">
    <w:p w14:paraId="4CFF97DB" w14:textId="77777777" w:rsidR="006D703A" w:rsidRDefault="006D703A" w:rsidP="007E7997">
      <w:r>
        <w:continuationSeparator/>
      </w:r>
    </w:p>
  </w:footnote>
  <w:footnote w:type="continuationNotice" w:id="1">
    <w:p w14:paraId="11E7A39D" w14:textId="77777777" w:rsidR="006D703A" w:rsidRDefault="006D7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A1F24A9"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D1A3D"/>
    <w:multiLevelType w:val="hybridMultilevel"/>
    <w:tmpl w:val="EA904FFE"/>
    <w:lvl w:ilvl="0" w:tplc="BB3C8C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9D45CE3"/>
    <w:multiLevelType w:val="hybridMultilevel"/>
    <w:tmpl w:val="66BA78BC"/>
    <w:lvl w:ilvl="0" w:tplc="634A9006">
      <w:start w:val="1"/>
      <w:numFmt w:val="lowerRoman"/>
      <w:pStyle w:val="ListParagraph"/>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3"/>
  </w:num>
  <w:num w:numId="4">
    <w:abstractNumId w:val="3"/>
  </w:num>
  <w:num w:numId="5">
    <w:abstractNumId w:val="12"/>
  </w:num>
  <w:num w:numId="6">
    <w:abstractNumId w:val="25"/>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0"/>
  </w:num>
  <w:num w:numId="16">
    <w:abstractNumId w:val="2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5"/>
  </w:num>
  <w:num w:numId="20">
    <w:abstractNumId w:val="10"/>
  </w:num>
  <w:num w:numId="21">
    <w:abstractNumId w:val="22"/>
  </w:num>
  <w:num w:numId="22">
    <w:abstractNumId w:val="13"/>
  </w:num>
  <w:num w:numId="23">
    <w:abstractNumId w:val="19"/>
  </w:num>
  <w:num w:numId="24">
    <w:abstractNumId w:val="0"/>
  </w:num>
  <w:num w:numId="25">
    <w:abstractNumId w:val="18"/>
  </w:num>
  <w:num w:numId="26">
    <w:abstractNumId w:val="14"/>
  </w:num>
  <w:num w:numId="27">
    <w:abstractNumId w:val="9"/>
  </w:num>
  <w:num w:numId="28">
    <w:abstractNumId w:val="1"/>
  </w:num>
  <w:num w:numId="29">
    <w:abstractNumId w:val="16"/>
  </w:num>
  <w:num w:numId="30">
    <w:abstractNumId w:val="4"/>
  </w:num>
  <w:num w:numId="31">
    <w:abstractNumId w:val="17"/>
  </w:num>
  <w:num w:numId="32">
    <w:abstractNumId w:val="15"/>
  </w:num>
  <w:num w:numId="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boWPkncn5aAn36Z/9u5UWwI9gkZmtAfpA0ajWP7f5CXo7Uy3WeRE/DDEiYgaDqZSioGnOFpdz++piwj9ADcUNg==" w:salt="46iGyQanSHMK1gnKqpfQa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3D61"/>
    <w:rsid w:val="000042A9"/>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40AF"/>
    <w:rsid w:val="00036C09"/>
    <w:rsid w:val="000372BF"/>
    <w:rsid w:val="00040A52"/>
    <w:rsid w:val="00044C5A"/>
    <w:rsid w:val="00044E0A"/>
    <w:rsid w:val="000539FF"/>
    <w:rsid w:val="00054A67"/>
    <w:rsid w:val="00054E00"/>
    <w:rsid w:val="00061B2B"/>
    <w:rsid w:val="000627C5"/>
    <w:rsid w:val="0006448C"/>
    <w:rsid w:val="0006449B"/>
    <w:rsid w:val="000655AD"/>
    <w:rsid w:val="00066FD1"/>
    <w:rsid w:val="00071060"/>
    <w:rsid w:val="00072BF9"/>
    <w:rsid w:val="00073DF9"/>
    <w:rsid w:val="000759BD"/>
    <w:rsid w:val="0007767E"/>
    <w:rsid w:val="0007796D"/>
    <w:rsid w:val="00080DAA"/>
    <w:rsid w:val="000830DA"/>
    <w:rsid w:val="00083FBB"/>
    <w:rsid w:val="00087492"/>
    <w:rsid w:val="00087A82"/>
    <w:rsid w:val="00090831"/>
    <w:rsid w:val="0009099A"/>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B6B7B"/>
    <w:rsid w:val="000C0CE0"/>
    <w:rsid w:val="000C2400"/>
    <w:rsid w:val="000C299C"/>
    <w:rsid w:val="000C5ACC"/>
    <w:rsid w:val="000D0293"/>
    <w:rsid w:val="000D0850"/>
    <w:rsid w:val="000D1038"/>
    <w:rsid w:val="000D11A9"/>
    <w:rsid w:val="000D2D7B"/>
    <w:rsid w:val="000E0599"/>
    <w:rsid w:val="000E2232"/>
    <w:rsid w:val="000E3DB1"/>
    <w:rsid w:val="000F0169"/>
    <w:rsid w:val="000F0951"/>
    <w:rsid w:val="000F0EE6"/>
    <w:rsid w:val="000F2598"/>
    <w:rsid w:val="000F29C0"/>
    <w:rsid w:val="000F2BE6"/>
    <w:rsid w:val="000F474D"/>
    <w:rsid w:val="000F5C90"/>
    <w:rsid w:val="000F5EA6"/>
    <w:rsid w:val="000F7998"/>
    <w:rsid w:val="001000D7"/>
    <w:rsid w:val="00100ADC"/>
    <w:rsid w:val="001010A1"/>
    <w:rsid w:val="0010429A"/>
    <w:rsid w:val="00105424"/>
    <w:rsid w:val="001075EC"/>
    <w:rsid w:val="00113D82"/>
    <w:rsid w:val="001144A9"/>
    <w:rsid w:val="00120F0D"/>
    <w:rsid w:val="001214DA"/>
    <w:rsid w:val="0012722A"/>
    <w:rsid w:val="0013078E"/>
    <w:rsid w:val="00130EF9"/>
    <w:rsid w:val="001319C7"/>
    <w:rsid w:val="001355E6"/>
    <w:rsid w:val="0013644A"/>
    <w:rsid w:val="00136ECE"/>
    <w:rsid w:val="00140BA6"/>
    <w:rsid w:val="00141946"/>
    <w:rsid w:val="00143DCA"/>
    <w:rsid w:val="00144AAD"/>
    <w:rsid w:val="001455E7"/>
    <w:rsid w:val="0014624E"/>
    <w:rsid w:val="001608B2"/>
    <w:rsid w:val="00160FE0"/>
    <w:rsid w:val="00163AB3"/>
    <w:rsid w:val="00163D30"/>
    <w:rsid w:val="0016454A"/>
    <w:rsid w:val="00164B99"/>
    <w:rsid w:val="00165047"/>
    <w:rsid w:val="00165FF8"/>
    <w:rsid w:val="0016669F"/>
    <w:rsid w:val="001673EC"/>
    <w:rsid w:val="00170AD6"/>
    <w:rsid w:val="001712B7"/>
    <w:rsid w:val="001735B8"/>
    <w:rsid w:val="00174712"/>
    <w:rsid w:val="00177AA7"/>
    <w:rsid w:val="00180917"/>
    <w:rsid w:val="00180E53"/>
    <w:rsid w:val="00181CB7"/>
    <w:rsid w:val="00185555"/>
    <w:rsid w:val="001862A5"/>
    <w:rsid w:val="00186A70"/>
    <w:rsid w:val="00191035"/>
    <w:rsid w:val="001918E5"/>
    <w:rsid w:val="00192A7A"/>
    <w:rsid w:val="00195DBB"/>
    <w:rsid w:val="001A1EF4"/>
    <w:rsid w:val="001A25CB"/>
    <w:rsid w:val="001A2C65"/>
    <w:rsid w:val="001A7046"/>
    <w:rsid w:val="001A710D"/>
    <w:rsid w:val="001A74C9"/>
    <w:rsid w:val="001A7E6F"/>
    <w:rsid w:val="001B0A77"/>
    <w:rsid w:val="001B1727"/>
    <w:rsid w:val="001B2151"/>
    <w:rsid w:val="001B3CFF"/>
    <w:rsid w:val="001B4957"/>
    <w:rsid w:val="001B4996"/>
    <w:rsid w:val="001B6B79"/>
    <w:rsid w:val="001B7B60"/>
    <w:rsid w:val="001C0E59"/>
    <w:rsid w:val="001C20B6"/>
    <w:rsid w:val="001C432D"/>
    <w:rsid w:val="001C469E"/>
    <w:rsid w:val="001C56C3"/>
    <w:rsid w:val="001C5D8C"/>
    <w:rsid w:val="001C7E0A"/>
    <w:rsid w:val="001D0112"/>
    <w:rsid w:val="001D19F5"/>
    <w:rsid w:val="001D385A"/>
    <w:rsid w:val="001D6B39"/>
    <w:rsid w:val="001E0095"/>
    <w:rsid w:val="001E1ECD"/>
    <w:rsid w:val="001E3E0D"/>
    <w:rsid w:val="001E4A45"/>
    <w:rsid w:val="001E5E30"/>
    <w:rsid w:val="001E6320"/>
    <w:rsid w:val="001F0479"/>
    <w:rsid w:val="001F1F10"/>
    <w:rsid w:val="001F23C9"/>
    <w:rsid w:val="001F3999"/>
    <w:rsid w:val="001F3D9D"/>
    <w:rsid w:val="001F4AC8"/>
    <w:rsid w:val="00200894"/>
    <w:rsid w:val="00202333"/>
    <w:rsid w:val="00202FA8"/>
    <w:rsid w:val="002034B8"/>
    <w:rsid w:val="00205922"/>
    <w:rsid w:val="00206FB8"/>
    <w:rsid w:val="0020739F"/>
    <w:rsid w:val="0020766F"/>
    <w:rsid w:val="00207A07"/>
    <w:rsid w:val="00210498"/>
    <w:rsid w:val="0021147A"/>
    <w:rsid w:val="00213BFB"/>
    <w:rsid w:val="002156A3"/>
    <w:rsid w:val="00217478"/>
    <w:rsid w:val="00220938"/>
    <w:rsid w:val="00224806"/>
    <w:rsid w:val="00232F8E"/>
    <w:rsid w:val="00233071"/>
    <w:rsid w:val="00235E99"/>
    <w:rsid w:val="002421B2"/>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2542"/>
    <w:rsid w:val="0029394C"/>
    <w:rsid w:val="002A13B0"/>
    <w:rsid w:val="002A2C91"/>
    <w:rsid w:val="002A6C21"/>
    <w:rsid w:val="002A780E"/>
    <w:rsid w:val="002B144C"/>
    <w:rsid w:val="002B53F3"/>
    <w:rsid w:val="002B5B09"/>
    <w:rsid w:val="002C03FD"/>
    <w:rsid w:val="002C044D"/>
    <w:rsid w:val="002C1AA5"/>
    <w:rsid w:val="002C2A46"/>
    <w:rsid w:val="002C3048"/>
    <w:rsid w:val="002D2992"/>
    <w:rsid w:val="002D37A0"/>
    <w:rsid w:val="002D5AB5"/>
    <w:rsid w:val="002D61E7"/>
    <w:rsid w:val="002D6667"/>
    <w:rsid w:val="002D79F3"/>
    <w:rsid w:val="002E1C11"/>
    <w:rsid w:val="002E3D0B"/>
    <w:rsid w:val="002E3E7D"/>
    <w:rsid w:val="002E6A8E"/>
    <w:rsid w:val="002F4E41"/>
    <w:rsid w:val="002F6279"/>
    <w:rsid w:val="003013B7"/>
    <w:rsid w:val="00301993"/>
    <w:rsid w:val="00301E55"/>
    <w:rsid w:val="00307397"/>
    <w:rsid w:val="003101EF"/>
    <w:rsid w:val="00312BDD"/>
    <w:rsid w:val="00314117"/>
    <w:rsid w:val="00317EDF"/>
    <w:rsid w:val="00326DCD"/>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2E76"/>
    <w:rsid w:val="00363639"/>
    <w:rsid w:val="00366D42"/>
    <w:rsid w:val="0036748C"/>
    <w:rsid w:val="0037259E"/>
    <w:rsid w:val="00372615"/>
    <w:rsid w:val="00372EA3"/>
    <w:rsid w:val="0037358E"/>
    <w:rsid w:val="00373A3C"/>
    <w:rsid w:val="00376233"/>
    <w:rsid w:val="00377297"/>
    <w:rsid w:val="00380B30"/>
    <w:rsid w:val="00381784"/>
    <w:rsid w:val="00381EB0"/>
    <w:rsid w:val="00382A72"/>
    <w:rsid w:val="00382EBA"/>
    <w:rsid w:val="0038331A"/>
    <w:rsid w:val="0039135B"/>
    <w:rsid w:val="003A109A"/>
    <w:rsid w:val="003A2E4F"/>
    <w:rsid w:val="003A34E7"/>
    <w:rsid w:val="003A3CB1"/>
    <w:rsid w:val="003A3D55"/>
    <w:rsid w:val="003A73A4"/>
    <w:rsid w:val="003B102E"/>
    <w:rsid w:val="003B140B"/>
    <w:rsid w:val="003B4E3D"/>
    <w:rsid w:val="003C167E"/>
    <w:rsid w:val="003C1C00"/>
    <w:rsid w:val="003C481D"/>
    <w:rsid w:val="003C4EB5"/>
    <w:rsid w:val="003D2CED"/>
    <w:rsid w:val="003D344A"/>
    <w:rsid w:val="003D3BB8"/>
    <w:rsid w:val="003D7C07"/>
    <w:rsid w:val="003E13FD"/>
    <w:rsid w:val="003E1C24"/>
    <w:rsid w:val="003E61FC"/>
    <w:rsid w:val="003E77BC"/>
    <w:rsid w:val="003F0EDF"/>
    <w:rsid w:val="003F20C7"/>
    <w:rsid w:val="003F39B1"/>
    <w:rsid w:val="003F68A7"/>
    <w:rsid w:val="00400D9C"/>
    <w:rsid w:val="00400FBE"/>
    <w:rsid w:val="004022CF"/>
    <w:rsid w:val="0040247F"/>
    <w:rsid w:val="004029B1"/>
    <w:rsid w:val="004038F1"/>
    <w:rsid w:val="00404282"/>
    <w:rsid w:val="0040743A"/>
    <w:rsid w:val="00407623"/>
    <w:rsid w:val="00407A74"/>
    <w:rsid w:val="0041064B"/>
    <w:rsid w:val="004114D5"/>
    <w:rsid w:val="00414210"/>
    <w:rsid w:val="004159DB"/>
    <w:rsid w:val="00420FD4"/>
    <w:rsid w:val="004242B3"/>
    <w:rsid w:val="00426D62"/>
    <w:rsid w:val="004273BB"/>
    <w:rsid w:val="00427A89"/>
    <w:rsid w:val="00430B0C"/>
    <w:rsid w:val="00430C5B"/>
    <w:rsid w:val="00431968"/>
    <w:rsid w:val="00433936"/>
    <w:rsid w:val="00434075"/>
    <w:rsid w:val="0043475E"/>
    <w:rsid w:val="00435FE9"/>
    <w:rsid w:val="00436279"/>
    <w:rsid w:val="004373DC"/>
    <w:rsid w:val="00440F9B"/>
    <w:rsid w:val="0044199E"/>
    <w:rsid w:val="0044206D"/>
    <w:rsid w:val="00444803"/>
    <w:rsid w:val="00445696"/>
    <w:rsid w:val="00446E5F"/>
    <w:rsid w:val="00450C4E"/>
    <w:rsid w:val="00455577"/>
    <w:rsid w:val="00456795"/>
    <w:rsid w:val="0046150E"/>
    <w:rsid w:val="00461BCA"/>
    <w:rsid w:val="00461CC8"/>
    <w:rsid w:val="00462B2F"/>
    <w:rsid w:val="00462E09"/>
    <w:rsid w:val="00464D33"/>
    <w:rsid w:val="00465EAA"/>
    <w:rsid w:val="00467E14"/>
    <w:rsid w:val="004708CA"/>
    <w:rsid w:val="004709E7"/>
    <w:rsid w:val="00470ADE"/>
    <w:rsid w:val="004712C7"/>
    <w:rsid w:val="004759EB"/>
    <w:rsid w:val="00477919"/>
    <w:rsid w:val="004804EF"/>
    <w:rsid w:val="00482611"/>
    <w:rsid w:val="00482A27"/>
    <w:rsid w:val="00487DCE"/>
    <w:rsid w:val="00492701"/>
    <w:rsid w:val="004950B7"/>
    <w:rsid w:val="004969B3"/>
    <w:rsid w:val="00497835"/>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3D49"/>
    <w:rsid w:val="004E5285"/>
    <w:rsid w:val="004F0CF3"/>
    <w:rsid w:val="004F5740"/>
    <w:rsid w:val="004F58C9"/>
    <w:rsid w:val="00501B9A"/>
    <w:rsid w:val="005028B9"/>
    <w:rsid w:val="00505E17"/>
    <w:rsid w:val="00511A59"/>
    <w:rsid w:val="00511C3B"/>
    <w:rsid w:val="00514440"/>
    <w:rsid w:val="005166C3"/>
    <w:rsid w:val="00520F7C"/>
    <w:rsid w:val="00523974"/>
    <w:rsid w:val="00525975"/>
    <w:rsid w:val="00526E5D"/>
    <w:rsid w:val="00527517"/>
    <w:rsid w:val="00531432"/>
    <w:rsid w:val="00532BC8"/>
    <w:rsid w:val="005333E8"/>
    <w:rsid w:val="00534912"/>
    <w:rsid w:val="005370E7"/>
    <w:rsid w:val="005409B7"/>
    <w:rsid w:val="00540EE6"/>
    <w:rsid w:val="0054255C"/>
    <w:rsid w:val="005437A4"/>
    <w:rsid w:val="00545E62"/>
    <w:rsid w:val="00546655"/>
    <w:rsid w:val="00551070"/>
    <w:rsid w:val="00552C8A"/>
    <w:rsid w:val="00555156"/>
    <w:rsid w:val="0055535B"/>
    <w:rsid w:val="00560A96"/>
    <w:rsid w:val="005619CB"/>
    <w:rsid w:val="00561B71"/>
    <w:rsid w:val="00561F98"/>
    <w:rsid w:val="00564607"/>
    <w:rsid w:val="00565193"/>
    <w:rsid w:val="005664E2"/>
    <w:rsid w:val="005725BD"/>
    <w:rsid w:val="005730B0"/>
    <w:rsid w:val="00573804"/>
    <w:rsid w:val="00575DCC"/>
    <w:rsid w:val="00575E3B"/>
    <w:rsid w:val="005821B0"/>
    <w:rsid w:val="0058353A"/>
    <w:rsid w:val="00585F7F"/>
    <w:rsid w:val="00590550"/>
    <w:rsid w:val="0059175F"/>
    <w:rsid w:val="00591AAC"/>
    <w:rsid w:val="00595F08"/>
    <w:rsid w:val="00595FBE"/>
    <w:rsid w:val="005A1C55"/>
    <w:rsid w:val="005A6354"/>
    <w:rsid w:val="005B06F3"/>
    <w:rsid w:val="005B169D"/>
    <w:rsid w:val="005B467C"/>
    <w:rsid w:val="005B4ACA"/>
    <w:rsid w:val="005B6B12"/>
    <w:rsid w:val="005C05E4"/>
    <w:rsid w:val="005C19E9"/>
    <w:rsid w:val="005C2DBC"/>
    <w:rsid w:val="005C5F13"/>
    <w:rsid w:val="005C65F9"/>
    <w:rsid w:val="005C6B0E"/>
    <w:rsid w:val="005C70B9"/>
    <w:rsid w:val="005C7E1F"/>
    <w:rsid w:val="005D1B9E"/>
    <w:rsid w:val="005D1F6B"/>
    <w:rsid w:val="005D2346"/>
    <w:rsid w:val="005D2DE7"/>
    <w:rsid w:val="005D331C"/>
    <w:rsid w:val="005D6355"/>
    <w:rsid w:val="005D7AAF"/>
    <w:rsid w:val="005E0C59"/>
    <w:rsid w:val="005E18DE"/>
    <w:rsid w:val="005E1DA3"/>
    <w:rsid w:val="005E306B"/>
    <w:rsid w:val="005E53D0"/>
    <w:rsid w:val="005E5785"/>
    <w:rsid w:val="005E6098"/>
    <w:rsid w:val="005E7969"/>
    <w:rsid w:val="005E7ADF"/>
    <w:rsid w:val="005F0C78"/>
    <w:rsid w:val="005F0C93"/>
    <w:rsid w:val="005F3F22"/>
    <w:rsid w:val="005F4FC0"/>
    <w:rsid w:val="005F540F"/>
    <w:rsid w:val="005F5491"/>
    <w:rsid w:val="005F6144"/>
    <w:rsid w:val="005F6573"/>
    <w:rsid w:val="00601541"/>
    <w:rsid w:val="0060361E"/>
    <w:rsid w:val="00604A25"/>
    <w:rsid w:val="00606683"/>
    <w:rsid w:val="00613BF6"/>
    <w:rsid w:val="00616D27"/>
    <w:rsid w:val="006174F6"/>
    <w:rsid w:val="006234FE"/>
    <w:rsid w:val="00623840"/>
    <w:rsid w:val="006255EC"/>
    <w:rsid w:val="00625A25"/>
    <w:rsid w:val="0062736A"/>
    <w:rsid w:val="00634E60"/>
    <w:rsid w:val="0063565E"/>
    <w:rsid w:val="00636E02"/>
    <w:rsid w:val="006413BA"/>
    <w:rsid w:val="00641DB1"/>
    <w:rsid w:val="00642297"/>
    <w:rsid w:val="00644A34"/>
    <w:rsid w:val="00654824"/>
    <w:rsid w:val="00655EE1"/>
    <w:rsid w:val="00656995"/>
    <w:rsid w:val="0066024F"/>
    <w:rsid w:val="00661766"/>
    <w:rsid w:val="00662882"/>
    <w:rsid w:val="0066298C"/>
    <w:rsid w:val="00663008"/>
    <w:rsid w:val="00663093"/>
    <w:rsid w:val="00665A7C"/>
    <w:rsid w:val="00665B0B"/>
    <w:rsid w:val="006705CD"/>
    <w:rsid w:val="00671363"/>
    <w:rsid w:val="00672780"/>
    <w:rsid w:val="00672842"/>
    <w:rsid w:val="00674A52"/>
    <w:rsid w:val="00675513"/>
    <w:rsid w:val="00676CFC"/>
    <w:rsid w:val="00677133"/>
    <w:rsid w:val="00681482"/>
    <w:rsid w:val="00687BF0"/>
    <w:rsid w:val="006904CF"/>
    <w:rsid w:val="006912FB"/>
    <w:rsid w:val="006914EB"/>
    <w:rsid w:val="00695AF2"/>
    <w:rsid w:val="00696A2B"/>
    <w:rsid w:val="00696BD5"/>
    <w:rsid w:val="00696E09"/>
    <w:rsid w:val="006A04AE"/>
    <w:rsid w:val="006A0AE4"/>
    <w:rsid w:val="006A23F3"/>
    <w:rsid w:val="006A2CF3"/>
    <w:rsid w:val="006A5047"/>
    <w:rsid w:val="006A5D7D"/>
    <w:rsid w:val="006A66E5"/>
    <w:rsid w:val="006A7A10"/>
    <w:rsid w:val="006B0DA4"/>
    <w:rsid w:val="006B1B3E"/>
    <w:rsid w:val="006B1B6B"/>
    <w:rsid w:val="006B2C57"/>
    <w:rsid w:val="006B391B"/>
    <w:rsid w:val="006B5181"/>
    <w:rsid w:val="006B79E0"/>
    <w:rsid w:val="006C0B2D"/>
    <w:rsid w:val="006C1633"/>
    <w:rsid w:val="006C5BF8"/>
    <w:rsid w:val="006C72B5"/>
    <w:rsid w:val="006C7CCB"/>
    <w:rsid w:val="006C7FD4"/>
    <w:rsid w:val="006D6009"/>
    <w:rsid w:val="006D703A"/>
    <w:rsid w:val="006D7D41"/>
    <w:rsid w:val="006E2F4D"/>
    <w:rsid w:val="006E3FDD"/>
    <w:rsid w:val="006E58FB"/>
    <w:rsid w:val="006E5D82"/>
    <w:rsid w:val="006E66B2"/>
    <w:rsid w:val="006E6C50"/>
    <w:rsid w:val="006E7A69"/>
    <w:rsid w:val="006E7DE4"/>
    <w:rsid w:val="006F09DC"/>
    <w:rsid w:val="006F4B83"/>
    <w:rsid w:val="006F53E8"/>
    <w:rsid w:val="006F5FB8"/>
    <w:rsid w:val="0070017B"/>
    <w:rsid w:val="00703316"/>
    <w:rsid w:val="0070427E"/>
    <w:rsid w:val="00704D53"/>
    <w:rsid w:val="007056C3"/>
    <w:rsid w:val="00706072"/>
    <w:rsid w:val="00713644"/>
    <w:rsid w:val="00713C0D"/>
    <w:rsid w:val="007148CC"/>
    <w:rsid w:val="00721256"/>
    <w:rsid w:val="007217AD"/>
    <w:rsid w:val="00721C9E"/>
    <w:rsid w:val="00723BA1"/>
    <w:rsid w:val="00724A1B"/>
    <w:rsid w:val="0073173E"/>
    <w:rsid w:val="007319C3"/>
    <w:rsid w:val="00733865"/>
    <w:rsid w:val="0073454F"/>
    <w:rsid w:val="00735C00"/>
    <w:rsid w:val="007364C6"/>
    <w:rsid w:val="00740BF3"/>
    <w:rsid w:val="00741D5C"/>
    <w:rsid w:val="0074352F"/>
    <w:rsid w:val="00747C5E"/>
    <w:rsid w:val="00750210"/>
    <w:rsid w:val="00754B57"/>
    <w:rsid w:val="0075671D"/>
    <w:rsid w:val="0076002F"/>
    <w:rsid w:val="0076038B"/>
    <w:rsid w:val="00760583"/>
    <w:rsid w:val="00761744"/>
    <w:rsid w:val="00764582"/>
    <w:rsid w:val="00765FA3"/>
    <w:rsid w:val="00766961"/>
    <w:rsid w:val="00766B5A"/>
    <w:rsid w:val="00770C33"/>
    <w:rsid w:val="007741C3"/>
    <w:rsid w:val="00777BE0"/>
    <w:rsid w:val="00780923"/>
    <w:rsid w:val="0078131F"/>
    <w:rsid w:val="007844C6"/>
    <w:rsid w:val="007876EF"/>
    <w:rsid w:val="00790306"/>
    <w:rsid w:val="007905FC"/>
    <w:rsid w:val="0079364C"/>
    <w:rsid w:val="007942B9"/>
    <w:rsid w:val="00796C7F"/>
    <w:rsid w:val="007971EB"/>
    <w:rsid w:val="00797E0C"/>
    <w:rsid w:val="007A160F"/>
    <w:rsid w:val="007A48BC"/>
    <w:rsid w:val="007B0BC1"/>
    <w:rsid w:val="007B354B"/>
    <w:rsid w:val="007B3DAA"/>
    <w:rsid w:val="007B4FC3"/>
    <w:rsid w:val="007B73F3"/>
    <w:rsid w:val="007B7EE5"/>
    <w:rsid w:val="007C1C28"/>
    <w:rsid w:val="007C24A5"/>
    <w:rsid w:val="007C2A2C"/>
    <w:rsid w:val="007C3577"/>
    <w:rsid w:val="007C5E08"/>
    <w:rsid w:val="007D0002"/>
    <w:rsid w:val="007D1BB7"/>
    <w:rsid w:val="007D7A59"/>
    <w:rsid w:val="007E0E75"/>
    <w:rsid w:val="007E19EA"/>
    <w:rsid w:val="007E53F5"/>
    <w:rsid w:val="007E5818"/>
    <w:rsid w:val="007E6E9E"/>
    <w:rsid w:val="007E7637"/>
    <w:rsid w:val="007E7997"/>
    <w:rsid w:val="007F014A"/>
    <w:rsid w:val="007F04EF"/>
    <w:rsid w:val="007F0763"/>
    <w:rsid w:val="007F1CBB"/>
    <w:rsid w:val="007F1DE9"/>
    <w:rsid w:val="007F25C2"/>
    <w:rsid w:val="007F4F88"/>
    <w:rsid w:val="007F5822"/>
    <w:rsid w:val="007F5B86"/>
    <w:rsid w:val="00800A7F"/>
    <w:rsid w:val="0080285D"/>
    <w:rsid w:val="008037F1"/>
    <w:rsid w:val="0081028F"/>
    <w:rsid w:val="008107D9"/>
    <w:rsid w:val="0081093B"/>
    <w:rsid w:val="008116D9"/>
    <w:rsid w:val="00811936"/>
    <w:rsid w:val="008126EE"/>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26F6"/>
    <w:rsid w:val="00843A1A"/>
    <w:rsid w:val="00846433"/>
    <w:rsid w:val="008472C2"/>
    <w:rsid w:val="00850B43"/>
    <w:rsid w:val="008510D9"/>
    <w:rsid w:val="00851EE3"/>
    <w:rsid w:val="00853121"/>
    <w:rsid w:val="008555E4"/>
    <w:rsid w:val="00860515"/>
    <w:rsid w:val="00864124"/>
    <w:rsid w:val="00864E60"/>
    <w:rsid w:val="00866A09"/>
    <w:rsid w:val="008712BF"/>
    <w:rsid w:val="00872209"/>
    <w:rsid w:val="00873656"/>
    <w:rsid w:val="00880140"/>
    <w:rsid w:val="008842F7"/>
    <w:rsid w:val="00885B94"/>
    <w:rsid w:val="00886D79"/>
    <w:rsid w:val="0089075A"/>
    <w:rsid w:val="00890F80"/>
    <w:rsid w:val="00892BFD"/>
    <w:rsid w:val="0089338A"/>
    <w:rsid w:val="00894199"/>
    <w:rsid w:val="008948BE"/>
    <w:rsid w:val="008A1E27"/>
    <w:rsid w:val="008A2C86"/>
    <w:rsid w:val="008A2E55"/>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33A"/>
    <w:rsid w:val="008D5C28"/>
    <w:rsid w:val="008E00A6"/>
    <w:rsid w:val="008E2D26"/>
    <w:rsid w:val="008E4076"/>
    <w:rsid w:val="008E6140"/>
    <w:rsid w:val="008E7DBA"/>
    <w:rsid w:val="008F1993"/>
    <w:rsid w:val="008F239B"/>
    <w:rsid w:val="008F3386"/>
    <w:rsid w:val="008F3AD9"/>
    <w:rsid w:val="008F4642"/>
    <w:rsid w:val="008F4E00"/>
    <w:rsid w:val="008F761D"/>
    <w:rsid w:val="009006A2"/>
    <w:rsid w:val="00900D44"/>
    <w:rsid w:val="00902520"/>
    <w:rsid w:val="00906DC4"/>
    <w:rsid w:val="00911594"/>
    <w:rsid w:val="0091457F"/>
    <w:rsid w:val="0091729E"/>
    <w:rsid w:val="00923A21"/>
    <w:rsid w:val="00924C1D"/>
    <w:rsid w:val="0093261E"/>
    <w:rsid w:val="0094008E"/>
    <w:rsid w:val="00941A37"/>
    <w:rsid w:val="00941C0C"/>
    <w:rsid w:val="009437F2"/>
    <w:rsid w:val="0094528B"/>
    <w:rsid w:val="00960A8B"/>
    <w:rsid w:val="00965128"/>
    <w:rsid w:val="00972E0D"/>
    <w:rsid w:val="00973F43"/>
    <w:rsid w:val="0097785D"/>
    <w:rsid w:val="0098011D"/>
    <w:rsid w:val="00981912"/>
    <w:rsid w:val="009819C0"/>
    <w:rsid w:val="009835AD"/>
    <w:rsid w:val="00987A75"/>
    <w:rsid w:val="00991A8A"/>
    <w:rsid w:val="00992611"/>
    <w:rsid w:val="00994303"/>
    <w:rsid w:val="00994B2F"/>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4D2"/>
    <w:rsid w:val="009D495C"/>
    <w:rsid w:val="009D4CDF"/>
    <w:rsid w:val="009D570F"/>
    <w:rsid w:val="009D5E88"/>
    <w:rsid w:val="009D6E1A"/>
    <w:rsid w:val="009D7294"/>
    <w:rsid w:val="009E1690"/>
    <w:rsid w:val="009E18AF"/>
    <w:rsid w:val="009E2C9D"/>
    <w:rsid w:val="009E2CDD"/>
    <w:rsid w:val="009E3545"/>
    <w:rsid w:val="009E3618"/>
    <w:rsid w:val="009E4FCE"/>
    <w:rsid w:val="009E522E"/>
    <w:rsid w:val="009F0ABA"/>
    <w:rsid w:val="009F0AF5"/>
    <w:rsid w:val="00A02062"/>
    <w:rsid w:val="00A02199"/>
    <w:rsid w:val="00A026A4"/>
    <w:rsid w:val="00A04044"/>
    <w:rsid w:val="00A11D0C"/>
    <w:rsid w:val="00A14F2B"/>
    <w:rsid w:val="00A16579"/>
    <w:rsid w:val="00A21502"/>
    <w:rsid w:val="00A2378A"/>
    <w:rsid w:val="00A24843"/>
    <w:rsid w:val="00A26D48"/>
    <w:rsid w:val="00A31C7C"/>
    <w:rsid w:val="00A31E21"/>
    <w:rsid w:val="00A367AA"/>
    <w:rsid w:val="00A378DF"/>
    <w:rsid w:val="00A37AC6"/>
    <w:rsid w:val="00A409C2"/>
    <w:rsid w:val="00A410CC"/>
    <w:rsid w:val="00A42B43"/>
    <w:rsid w:val="00A42BD0"/>
    <w:rsid w:val="00A433DC"/>
    <w:rsid w:val="00A456CD"/>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63F2"/>
    <w:rsid w:val="00A870EE"/>
    <w:rsid w:val="00A91D91"/>
    <w:rsid w:val="00A96F81"/>
    <w:rsid w:val="00A9709D"/>
    <w:rsid w:val="00AA054E"/>
    <w:rsid w:val="00AA0A10"/>
    <w:rsid w:val="00AA2094"/>
    <w:rsid w:val="00AA2947"/>
    <w:rsid w:val="00AB0B9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1F8B"/>
    <w:rsid w:val="00AE247F"/>
    <w:rsid w:val="00AE4A24"/>
    <w:rsid w:val="00AE4FC7"/>
    <w:rsid w:val="00AF01E3"/>
    <w:rsid w:val="00AF17D7"/>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121"/>
    <w:rsid w:val="00B15281"/>
    <w:rsid w:val="00B15525"/>
    <w:rsid w:val="00B15C0B"/>
    <w:rsid w:val="00B16706"/>
    <w:rsid w:val="00B174BA"/>
    <w:rsid w:val="00B17AF3"/>
    <w:rsid w:val="00B223B5"/>
    <w:rsid w:val="00B229AD"/>
    <w:rsid w:val="00B237BC"/>
    <w:rsid w:val="00B26EBB"/>
    <w:rsid w:val="00B27499"/>
    <w:rsid w:val="00B27C67"/>
    <w:rsid w:val="00B335C4"/>
    <w:rsid w:val="00B3369E"/>
    <w:rsid w:val="00B33D9A"/>
    <w:rsid w:val="00B40D81"/>
    <w:rsid w:val="00B424F5"/>
    <w:rsid w:val="00B43167"/>
    <w:rsid w:val="00B435BE"/>
    <w:rsid w:val="00B43A9D"/>
    <w:rsid w:val="00B467B0"/>
    <w:rsid w:val="00B46B15"/>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BEC"/>
    <w:rsid w:val="00BA5C41"/>
    <w:rsid w:val="00BA6ACA"/>
    <w:rsid w:val="00BA7232"/>
    <w:rsid w:val="00BA7809"/>
    <w:rsid w:val="00BB34D0"/>
    <w:rsid w:val="00BB449C"/>
    <w:rsid w:val="00BB44D7"/>
    <w:rsid w:val="00BC2561"/>
    <w:rsid w:val="00BC3E3E"/>
    <w:rsid w:val="00BC422A"/>
    <w:rsid w:val="00BC5128"/>
    <w:rsid w:val="00BC5608"/>
    <w:rsid w:val="00BD04C9"/>
    <w:rsid w:val="00BD20DC"/>
    <w:rsid w:val="00BD3536"/>
    <w:rsid w:val="00BD37FD"/>
    <w:rsid w:val="00BE0B46"/>
    <w:rsid w:val="00BE225E"/>
    <w:rsid w:val="00BE237E"/>
    <w:rsid w:val="00BE3703"/>
    <w:rsid w:val="00BE53A5"/>
    <w:rsid w:val="00BE567F"/>
    <w:rsid w:val="00BE6B99"/>
    <w:rsid w:val="00BF0A29"/>
    <w:rsid w:val="00BF13A5"/>
    <w:rsid w:val="00BF25CD"/>
    <w:rsid w:val="00BF5553"/>
    <w:rsid w:val="00BF75CD"/>
    <w:rsid w:val="00BF778B"/>
    <w:rsid w:val="00C00F1C"/>
    <w:rsid w:val="00C01E24"/>
    <w:rsid w:val="00C0346D"/>
    <w:rsid w:val="00C0358F"/>
    <w:rsid w:val="00C03A4D"/>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10A"/>
    <w:rsid w:val="00C54316"/>
    <w:rsid w:val="00C55208"/>
    <w:rsid w:val="00C5527D"/>
    <w:rsid w:val="00C56073"/>
    <w:rsid w:val="00C61B1A"/>
    <w:rsid w:val="00C62A53"/>
    <w:rsid w:val="00C631A0"/>
    <w:rsid w:val="00C709F9"/>
    <w:rsid w:val="00C73A00"/>
    <w:rsid w:val="00C73A70"/>
    <w:rsid w:val="00C76054"/>
    <w:rsid w:val="00C760DE"/>
    <w:rsid w:val="00C779A2"/>
    <w:rsid w:val="00C80546"/>
    <w:rsid w:val="00C8305E"/>
    <w:rsid w:val="00C83CAD"/>
    <w:rsid w:val="00C8419E"/>
    <w:rsid w:val="00C851D7"/>
    <w:rsid w:val="00C85C8B"/>
    <w:rsid w:val="00C867AD"/>
    <w:rsid w:val="00C87AB2"/>
    <w:rsid w:val="00C87F9F"/>
    <w:rsid w:val="00C9183E"/>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36"/>
    <w:rsid w:val="00CC536E"/>
    <w:rsid w:val="00CC59DD"/>
    <w:rsid w:val="00CC75DE"/>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1F1"/>
    <w:rsid w:val="00D22B86"/>
    <w:rsid w:val="00D22F2F"/>
    <w:rsid w:val="00D24194"/>
    <w:rsid w:val="00D2460F"/>
    <w:rsid w:val="00D2590F"/>
    <w:rsid w:val="00D27150"/>
    <w:rsid w:val="00D27EB3"/>
    <w:rsid w:val="00D27F76"/>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57C5B"/>
    <w:rsid w:val="00D606B7"/>
    <w:rsid w:val="00D60DF0"/>
    <w:rsid w:val="00D61008"/>
    <w:rsid w:val="00D61A94"/>
    <w:rsid w:val="00D62282"/>
    <w:rsid w:val="00D6356C"/>
    <w:rsid w:val="00D64A32"/>
    <w:rsid w:val="00D6553A"/>
    <w:rsid w:val="00D657CA"/>
    <w:rsid w:val="00D73338"/>
    <w:rsid w:val="00D775BD"/>
    <w:rsid w:val="00D775F3"/>
    <w:rsid w:val="00D77868"/>
    <w:rsid w:val="00D77F25"/>
    <w:rsid w:val="00D84C2A"/>
    <w:rsid w:val="00D8546A"/>
    <w:rsid w:val="00D87E03"/>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B50ED"/>
    <w:rsid w:val="00DC070F"/>
    <w:rsid w:val="00DC3858"/>
    <w:rsid w:val="00DC3A57"/>
    <w:rsid w:val="00DC7A95"/>
    <w:rsid w:val="00DD37C9"/>
    <w:rsid w:val="00DD55C2"/>
    <w:rsid w:val="00DD759E"/>
    <w:rsid w:val="00DE314E"/>
    <w:rsid w:val="00DE4CFB"/>
    <w:rsid w:val="00DE7899"/>
    <w:rsid w:val="00DF045B"/>
    <w:rsid w:val="00DF1ED8"/>
    <w:rsid w:val="00DF3785"/>
    <w:rsid w:val="00DF3D27"/>
    <w:rsid w:val="00DF6074"/>
    <w:rsid w:val="00DF7DE0"/>
    <w:rsid w:val="00E02239"/>
    <w:rsid w:val="00E047EC"/>
    <w:rsid w:val="00E07D42"/>
    <w:rsid w:val="00E163E9"/>
    <w:rsid w:val="00E169EC"/>
    <w:rsid w:val="00E21D81"/>
    <w:rsid w:val="00E240F5"/>
    <w:rsid w:val="00E266EE"/>
    <w:rsid w:val="00E30004"/>
    <w:rsid w:val="00E333AC"/>
    <w:rsid w:val="00E3456B"/>
    <w:rsid w:val="00E35C16"/>
    <w:rsid w:val="00E36085"/>
    <w:rsid w:val="00E36813"/>
    <w:rsid w:val="00E42382"/>
    <w:rsid w:val="00E558BD"/>
    <w:rsid w:val="00E55FAA"/>
    <w:rsid w:val="00E603DF"/>
    <w:rsid w:val="00E63745"/>
    <w:rsid w:val="00E6699F"/>
    <w:rsid w:val="00E66A54"/>
    <w:rsid w:val="00E67B40"/>
    <w:rsid w:val="00E703AE"/>
    <w:rsid w:val="00E72373"/>
    <w:rsid w:val="00E75C18"/>
    <w:rsid w:val="00E76AF9"/>
    <w:rsid w:val="00E84EF0"/>
    <w:rsid w:val="00E8649C"/>
    <w:rsid w:val="00E87886"/>
    <w:rsid w:val="00E87CDE"/>
    <w:rsid w:val="00E91FC1"/>
    <w:rsid w:val="00E92D54"/>
    <w:rsid w:val="00E9323C"/>
    <w:rsid w:val="00E9376E"/>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06D12"/>
    <w:rsid w:val="00F146BE"/>
    <w:rsid w:val="00F22013"/>
    <w:rsid w:val="00F22356"/>
    <w:rsid w:val="00F226E0"/>
    <w:rsid w:val="00F2522F"/>
    <w:rsid w:val="00F30180"/>
    <w:rsid w:val="00F31A29"/>
    <w:rsid w:val="00F3279A"/>
    <w:rsid w:val="00F36BAC"/>
    <w:rsid w:val="00F37236"/>
    <w:rsid w:val="00F40987"/>
    <w:rsid w:val="00F44634"/>
    <w:rsid w:val="00F45B28"/>
    <w:rsid w:val="00F505EC"/>
    <w:rsid w:val="00F5088F"/>
    <w:rsid w:val="00F51657"/>
    <w:rsid w:val="00F518EF"/>
    <w:rsid w:val="00F5223C"/>
    <w:rsid w:val="00F52484"/>
    <w:rsid w:val="00F57787"/>
    <w:rsid w:val="00F61E82"/>
    <w:rsid w:val="00F6243A"/>
    <w:rsid w:val="00F63323"/>
    <w:rsid w:val="00F636FE"/>
    <w:rsid w:val="00F648B2"/>
    <w:rsid w:val="00F67EBD"/>
    <w:rsid w:val="00F70EA4"/>
    <w:rsid w:val="00F772E3"/>
    <w:rsid w:val="00F77851"/>
    <w:rsid w:val="00F80FAB"/>
    <w:rsid w:val="00F81E3B"/>
    <w:rsid w:val="00F827E1"/>
    <w:rsid w:val="00F84921"/>
    <w:rsid w:val="00F927B5"/>
    <w:rsid w:val="00F94BD0"/>
    <w:rsid w:val="00F95403"/>
    <w:rsid w:val="00F96705"/>
    <w:rsid w:val="00F96750"/>
    <w:rsid w:val="00F96D02"/>
    <w:rsid w:val="00F9704D"/>
    <w:rsid w:val="00FA0166"/>
    <w:rsid w:val="00FA2400"/>
    <w:rsid w:val="00FA33E9"/>
    <w:rsid w:val="00FA4D6F"/>
    <w:rsid w:val="00FA55C8"/>
    <w:rsid w:val="00FA74C6"/>
    <w:rsid w:val="00FB24ED"/>
    <w:rsid w:val="00FB29AF"/>
    <w:rsid w:val="00FB313D"/>
    <w:rsid w:val="00FB4003"/>
    <w:rsid w:val="00FB4EBA"/>
    <w:rsid w:val="00FB7086"/>
    <w:rsid w:val="00FC34B6"/>
    <w:rsid w:val="00FC4A70"/>
    <w:rsid w:val="00FC6733"/>
    <w:rsid w:val="00FD2677"/>
    <w:rsid w:val="00FD28B8"/>
    <w:rsid w:val="00FE0BD8"/>
    <w:rsid w:val="00FE1709"/>
    <w:rsid w:val="00FE1AB6"/>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C7FD4"/>
    <w:pPr>
      <w:numPr>
        <w:numId w:val="31"/>
      </w:numPr>
      <w:tabs>
        <w:tab w:val="left" w:pos="0"/>
        <w:tab w:val="left" w:pos="142"/>
        <w:tab w:val="left" w:pos="284"/>
        <w:tab w:val="left" w:pos="567"/>
      </w:tabs>
      <w:autoSpaceDE w:val="0"/>
      <w:autoSpaceDN w:val="0"/>
      <w:adjustRightInd w:val="0"/>
      <w:spacing w:after="160" w:line="259" w:lineRule="auto"/>
      <w:ind w:left="357" w:firstLine="0"/>
      <w:jc w:val="both"/>
    </w:pPr>
    <w:rPr>
      <w:rFonts w:ascii="Calibri" w:eastAsia="Calibri" w:hAnsi="Calibri" w:cs="Calibri"/>
      <w:sz w:val="22"/>
      <w:szCs w:val="22"/>
      <w:lang w:eastAsia="en-US"/>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C7FD4"/>
    <w:rPr>
      <w:rFonts w:ascii="Calibri" w:eastAsia="Calibri" w:hAnsi="Calibri" w:cs="Calibri"/>
      <w:sz w:val="22"/>
      <w:szCs w:val="22"/>
      <w:lang w:val="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osttra.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hsmarkit.com/research-analysis/ibor-reform-global-transition-update-gbp-sonia-roaring-ahead-w.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ESMA70-156-4704</_dlc_DocId>
    <TaxCatchAll xmlns="20fbe147-bbda-4e53-b6b1-7e8bbff3fe19">
      <Value>832</Value>
      <Value>5</Value>
      <Value>14</Value>
      <Value>12</Value>
      <Value>833</Value>
    </TaxCatchAll>
    <_dlc_DocIdUrl xmlns="20fbe147-bbda-4e53-b6b1-7e8bbff3fe19">
      <Url>https://sherpa.esma.europa.eu/sites/MKT/SMK/_layouts/15/DocIdRedir.aspx?ID=ESMA70-156-4704</Url>
      <Description>ESMA70-156-4704</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 Clearing Obbligation</TermName>
          <TermId xmlns="http://schemas.microsoft.com/office/infopath/2007/PartnerControls">0bb3118f-23b5-4afc-b0fc-946893a4d1d6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 - Clearing Obbligation - Amendements</TermName>
          <TermId xmlns="http://schemas.microsoft.com/office/infopath/2007/PartnerControls">b02e17f3-fe5b-4971-a303-faa191b0e9d0</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6DDF4-AF59-4802-B20A-1D51C185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242</TotalTime>
  <Pages>10</Pages>
  <Words>2563</Words>
  <Characters>14613</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David Cook</cp:lastModifiedBy>
  <cp:revision>190</cp:revision>
  <cp:lastPrinted>2017-07-24T14:47:00Z</cp:lastPrinted>
  <dcterms:created xsi:type="dcterms:W3CDTF">2021-08-09T10:11:00Z</dcterms:created>
  <dcterms:modified xsi:type="dcterms:W3CDTF">2021-09-02T15:11:00Z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da41af48-8004-49e2-b53f-177962124504</vt:lpwstr>
  </property>
  <property fmtid="{D5CDD505-2E9C-101B-9397-08002B2CF9AE}" pid="6" name="DocumentType">
    <vt:lpwstr>12;#Report|78753201-1e9e-4a21-a088-6ff602b5c999</vt:lpwstr>
  </property>
  <property fmtid="{D5CDD505-2E9C-101B-9397-08002B2CF9AE}" pid="7" name="Topic">
    <vt:lpwstr>832;#EMIR - Clearing Obbligation|0bb3118f-23b5-4afc-b0fc-946893a4d1d6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833;#EMIR - Clearing Obbligation - Amendements|b02e17f3-fe5b-4971-a303-faa191b0e9d0</vt:lpwstr>
  </property>
  <property fmtid="{D5CDD505-2E9C-101B-9397-08002B2CF9AE}" pid="18" name="TeamTopic">
    <vt:lpwstr>87;#Other Work|f1a52b52-917d-42ef-9667-945839604bb2</vt:lpwstr>
  </property>
</Properties>
</file>