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16706" w14:paraId="55D8B106" w14:textId="77777777" w:rsidTr="00D13661">
            <w:trPr>
              <w:trHeight w:hRule="exact" w:val="1492"/>
            </w:trPr>
            <w:tc>
              <w:tcPr>
                <w:tcW w:w="10490" w:type="dxa"/>
                <w:vAlign w:val="bottom"/>
              </w:tcPr>
              <w:p w14:paraId="2A8545EF" w14:textId="57371023" w:rsidR="00AF2EF7" w:rsidRPr="00B16706" w:rsidRDefault="00C1698A" w:rsidP="00D13661">
                <w:pPr>
                  <w:pStyle w:val="Titre"/>
                  <w:spacing w:line="276" w:lineRule="auto"/>
                  <w:ind w:right="854"/>
                  <w:rPr>
                    <w:rFonts w:asciiTheme="minorHAnsi" w:hAnsiTheme="minorHAnsi" w:cstheme="minorHAnsi"/>
                    <w:sz w:val="40"/>
                    <w:szCs w:val="40"/>
                  </w:rPr>
                </w:pPr>
                <w:r w:rsidRPr="00B16706">
                  <w:rPr>
                    <w:rFonts w:asciiTheme="minorHAnsi" w:hAnsiTheme="minorHAnsi" w:cstheme="minorHAnsi"/>
                    <w:sz w:val="40"/>
                    <w:szCs w:val="40"/>
                  </w:rPr>
                  <w:t xml:space="preserve">Response Form to the </w:t>
                </w:r>
                <w:r w:rsidR="008B2AF1" w:rsidRPr="00B16706">
                  <w:rPr>
                    <w:rFonts w:asciiTheme="minorHAnsi" w:hAnsiTheme="minorHAnsi" w:cstheme="minorHAnsi"/>
                    <w:sz w:val="40"/>
                    <w:szCs w:val="40"/>
                  </w:rPr>
                  <w:t xml:space="preserve">Consultation Paper </w:t>
                </w:r>
                <w:r w:rsidR="00B16706" w:rsidRPr="00B16706">
                  <w:rPr>
                    <w:rFonts w:asciiTheme="minorHAnsi" w:hAnsiTheme="minorHAnsi" w:cstheme="minorHAnsi"/>
                    <w:sz w:val="40"/>
                    <w:szCs w:val="40"/>
                  </w:rPr>
                  <w:t>on the clearing and derivative trading obligations in view of the benchmark transition</w:t>
                </w:r>
              </w:p>
            </w:tc>
          </w:tr>
          <w:tr w:rsidR="00AB6157" w:rsidRPr="00B16706" w14:paraId="76D253F5" w14:textId="77777777" w:rsidTr="00D13661">
            <w:trPr>
              <w:trHeight w:hRule="exact" w:val="747"/>
            </w:trPr>
            <w:tc>
              <w:tcPr>
                <w:tcW w:w="10490" w:type="dxa"/>
                <w:tcMar>
                  <w:top w:w="142" w:type="dxa"/>
                </w:tcMar>
              </w:tcPr>
              <w:p w14:paraId="26CF3934" w14:textId="7EE83A86" w:rsidR="00AB6157" w:rsidRPr="00B16706" w:rsidRDefault="00AB6157" w:rsidP="001F23C9">
                <w:pPr>
                  <w:pStyle w:val="Titre2"/>
                  <w:numPr>
                    <w:ilvl w:val="0"/>
                    <w:numId w:val="0"/>
                  </w:numPr>
                  <w:spacing w:before="0"/>
                  <w:rPr>
                    <w:sz w:val="22"/>
                    <w:szCs w:val="22"/>
                  </w:rPr>
                </w:pPr>
              </w:p>
            </w:tc>
          </w:tr>
        </w:tbl>
        <w:p w14:paraId="7DEBD68F" w14:textId="77777777" w:rsidR="00AF2EF7" w:rsidRPr="00B16706" w:rsidRDefault="00AF2EF7" w:rsidP="00AF2EF7">
          <w:pPr>
            <w:spacing w:line="276" w:lineRule="auto"/>
            <w:rPr>
              <w:rFonts w:asciiTheme="minorHAnsi" w:hAnsiTheme="minorHAnsi" w:cstheme="minorHAnsi"/>
              <w:sz w:val="20"/>
              <w:szCs w:val="20"/>
            </w:rPr>
          </w:pPr>
        </w:p>
        <w:p w14:paraId="5B933631" w14:textId="77777777" w:rsidR="00AF2EF7" w:rsidRPr="00B16706" w:rsidRDefault="00AF2EF7" w:rsidP="00AF2EF7">
          <w:pPr>
            <w:spacing w:line="276" w:lineRule="auto"/>
            <w:rPr>
              <w:rFonts w:asciiTheme="minorHAnsi" w:hAnsiTheme="minorHAnsi" w:cstheme="minorHAnsi"/>
              <w:sz w:val="20"/>
              <w:szCs w:val="20"/>
            </w:r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3930A39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by </w:t>
          </w:r>
          <w:r w:rsidR="00B16706" w:rsidRPr="00B16706">
            <w:rPr>
              <w:rFonts w:asciiTheme="minorHAnsi" w:eastAsiaTheme="minorEastAsia" w:hAnsiTheme="minorHAnsi" w:cstheme="minorBidi"/>
              <w:b/>
              <w:sz w:val="18"/>
              <w:szCs w:val="16"/>
              <w:lang w:eastAsia="en-US"/>
            </w:rPr>
            <w:t>2 September 2021</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A409C2" w:rsidRDefault="008279D3" w:rsidP="00A409C2">
          <w:pPr>
            <w:pStyle w:val="Paragraphedeliste"/>
            <w:numPr>
              <w:ilvl w:val="0"/>
              <w:numId w:val="29"/>
            </w:numPr>
            <w:spacing w:after="250" w:line="276" w:lineRule="auto"/>
            <w:rPr>
              <w:rFonts w:eastAsiaTheme="minorEastAsia" w:cstheme="minorBidi"/>
              <w:sz w:val="18"/>
              <w:szCs w:val="16"/>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A409C2">
            <w:rPr>
              <w:rFonts w:eastAsiaTheme="minorEastAsia" w:cstheme="minorBidi"/>
              <w:b/>
              <w:bCs/>
              <w:sz w:val="18"/>
              <w:szCs w:val="16"/>
              <w:lang w:eastAsia="en-US"/>
            </w:rPr>
            <w:t>pdf documents will not be considered except for annexes</w:t>
          </w:r>
          <w:r w:rsidR="00A409C2" w:rsidRPr="00A409C2">
            <w:rPr>
              <w:rFonts w:eastAsiaTheme="minorEastAsia" w:cstheme="minorBidi"/>
              <w:sz w:val="18"/>
              <w:szCs w:val="16"/>
              <w:lang w:eastAsia="en-US"/>
            </w:rPr>
            <w:t>);</w:t>
          </w:r>
        </w:p>
        <w:p w14:paraId="6692798E" w14:textId="17C922B5"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_RFRS_1&gt;. Your response to each question has to be framed by the two tags corresponding to the question.</w:t>
          </w:r>
        </w:p>
        <w:p w14:paraId="1C4E226A" w14:textId="1D43AA8A"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0F2D8BB" w:rsidR="00B16706" w:rsidRPr="00A409C2" w:rsidRDefault="00B16706" w:rsidP="00A409C2">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ESMA_RFRS_nameofrespondent_RESPONSEFORM. For example, for a respondent named ABCD, the response form would be entitled ESMA_RFRS_ABCD_RESPONSEFORM.</w:t>
          </w:r>
        </w:p>
        <w:p w14:paraId="28EEA743" w14:textId="38A78F85" w:rsidR="00A02199" w:rsidRPr="00A409C2" w:rsidRDefault="00B16706" w:rsidP="00AF2EF7">
          <w:pPr>
            <w:pStyle w:val="Paragraphedeliste"/>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6"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7"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0AC791C" w14:textId="32E1F568" w:rsidR="00AF2EF7" w:rsidRPr="00B16706" w:rsidRDefault="00A409C2" w:rsidP="00AF2EF7">
      <w:pPr>
        <w:spacing w:after="120" w:line="276" w:lineRule="auto"/>
        <w:rPr>
          <w:rFonts w:asciiTheme="minorHAnsi" w:hAnsiTheme="minorHAnsi" w:cstheme="minorHAnsi"/>
          <w:sz w:val="20"/>
          <w:szCs w:val="20"/>
        </w:rPr>
      </w:pPr>
      <w:r w:rsidRPr="00A409C2">
        <w:rPr>
          <w:rFonts w:ascii="Arial" w:hAnsi="Arial" w:cs="Arial"/>
          <w:sz w:val="18"/>
          <w:szCs w:val="18"/>
          <w:lang w:eastAsia="it-IT"/>
        </w:rPr>
        <w:t>All interested stakeholders are invited to respond to this consultation paper. In particular, responses are sought from counterparties of OTC derivatives transactions which are subject to the clearing obligation or to the derivative trading obligation as well as from CCPs and Trading Venues.</w:t>
      </w:r>
    </w:p>
    <w:p w14:paraId="13AEDA0D" w14:textId="77777777" w:rsidR="00AF2EF7" w:rsidRPr="00B16706" w:rsidRDefault="00AF2EF7" w:rsidP="00AF2EF7">
      <w:pPr>
        <w:spacing w:after="120" w:line="276" w:lineRule="auto"/>
        <w:rPr>
          <w:rFonts w:asciiTheme="minorHAnsi" w:hAnsiTheme="minorHAnsi" w:cstheme="minorHAnsi"/>
          <w:sz w:val="20"/>
          <w:szCs w:val="20"/>
        </w:rPr>
      </w:pPr>
    </w:p>
    <w:p w14:paraId="1F90B8D3" w14:textId="5957C175" w:rsidR="00C85C8B" w:rsidRDefault="00AF2EF7" w:rsidP="008279D3">
      <w:pPr>
        <w:pStyle w:val="Titre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49DA633F" w:rsidR="00C85C8B" w:rsidRPr="00B16706" w:rsidRDefault="00C53DBF" w:rsidP="00C85C8B">
                <w:pPr>
                  <w:rPr>
                    <w:rFonts w:ascii="Arial" w:hAnsi="Arial" w:cs="Arial"/>
                    <w:color w:val="808080"/>
                    <w:sz w:val="16"/>
                    <w:szCs w:val="20"/>
                    <w:lang w:eastAsia="de-DE"/>
                  </w:rPr>
                </w:pPr>
                <w:r>
                  <w:rPr>
                    <w:rFonts w:ascii="Arial" w:hAnsi="Arial" w:cs="Arial"/>
                    <w:color w:val="808080"/>
                    <w:sz w:val="16"/>
                    <w:szCs w:val="20"/>
                    <w:lang w:eastAsia="de-DE"/>
                  </w:rPr>
                  <w:t xml:space="preserve">Fédération </w:t>
                </w:r>
                <w:proofErr w:type="spellStart"/>
                <w:r>
                  <w:rPr>
                    <w:rFonts w:ascii="Arial" w:hAnsi="Arial" w:cs="Arial"/>
                    <w:color w:val="808080"/>
                    <w:sz w:val="16"/>
                    <w:szCs w:val="20"/>
                    <w:lang w:eastAsia="de-DE"/>
                  </w:rPr>
                  <w:t>bancaire</w:t>
                </w:r>
                <w:proofErr w:type="spellEnd"/>
                <w:r>
                  <w:rPr>
                    <w:rFonts w:ascii="Arial" w:hAnsi="Arial" w:cs="Arial"/>
                    <w:color w:val="808080"/>
                    <w:sz w:val="16"/>
                    <w:szCs w:val="20"/>
                    <w:lang w:eastAsia="de-DE"/>
                  </w:rPr>
                  <w:t xml:space="preserve"> </w:t>
                </w:r>
                <w:proofErr w:type="spellStart"/>
                <w:r>
                  <w:rPr>
                    <w:rFonts w:ascii="Arial" w:hAnsi="Arial" w:cs="Arial"/>
                    <w:color w:val="808080"/>
                    <w:sz w:val="16"/>
                    <w:szCs w:val="20"/>
                    <w:lang w:eastAsia="de-DE"/>
                  </w:rPr>
                  <w:t>française</w:t>
                </w:r>
                <w:proofErr w:type="spellEnd"/>
                <w:r w:rsidR="00734B66">
                  <w:rPr>
                    <w:rFonts w:ascii="Arial" w:hAnsi="Arial" w:cs="Arial"/>
                    <w:color w:val="808080"/>
                    <w:sz w:val="16"/>
                    <w:szCs w:val="20"/>
                    <w:lang w:eastAsia="de-DE"/>
                  </w:rPr>
                  <w:t xml:space="preserve"> – FBF</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5E8A3BCE" w:rsidR="00C85C8B" w:rsidRPr="00B16706" w:rsidRDefault="00734B66"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53DBF">
                  <w:rPr>
                    <w:rFonts w:ascii="Arial" w:hAnsi="Arial" w:cs="Arial"/>
                    <w:sz w:val="16"/>
                    <w:szCs w:val="20"/>
                    <w:lang w:eastAsia="de-DE"/>
                  </w:rPr>
                  <w:t>Banking sector</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717C1F19" w:rsidR="00C85C8B" w:rsidRPr="00B16706" w:rsidRDefault="00C53DBF"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6AB0D948" w:rsidR="00C85C8B" w:rsidRPr="00B16706" w:rsidRDefault="00C53DBF" w:rsidP="00C85C8B">
                <w:pPr>
                  <w:rPr>
                    <w:rFonts w:ascii="Arial" w:hAnsi="Arial" w:cs="Arial"/>
                    <w:sz w:val="16"/>
                    <w:szCs w:val="20"/>
                    <w:lang w:eastAsia="de-DE"/>
                  </w:rPr>
                </w:pPr>
                <w:r>
                  <w:rPr>
                    <w:rFonts w:ascii="Arial" w:hAnsi="Arial" w:cs="Arial"/>
                    <w:sz w:val="16"/>
                    <w:szCs w:val="20"/>
                    <w:lang w:eastAsia="de-DE"/>
                  </w:rPr>
                  <w:t>France</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25073A77" w14:textId="77777777" w:rsidR="00D57019" w:rsidRPr="009835AD" w:rsidRDefault="00D57019">
      <w:pPr>
        <w:spacing w:after="120" w:line="264" w:lineRule="auto"/>
        <w:rPr>
          <w:rFonts w:ascii="Arial" w:hAnsi="Arial" w:cs="Arial"/>
          <w:b/>
          <w:sz w:val="22"/>
          <w:szCs w:val="22"/>
          <w:lang w:val="en-US" w:eastAsia="en-US"/>
        </w:rPr>
      </w:pPr>
    </w:p>
    <w:p w14:paraId="4E4E869C" w14:textId="01ED431C" w:rsidR="009835AD" w:rsidRPr="00B16706" w:rsidRDefault="00D57019">
      <w:pPr>
        <w:spacing w:after="120" w:line="264" w:lineRule="auto"/>
        <w:rPr>
          <w:rFonts w:asciiTheme="minorHAnsi" w:hAnsiTheme="minorHAnsi" w:cstheme="minorHAnsi"/>
          <w:b/>
          <w:sz w:val="22"/>
          <w:szCs w:val="22"/>
        </w:rPr>
      </w:pPr>
      <w:r>
        <w:rPr>
          <w:rFonts w:asciiTheme="minorHAnsi" w:hAnsiTheme="minorHAnsi" w:cstheme="minorHAnsi"/>
          <w:b/>
          <w:sz w:val="22"/>
          <w:szCs w:val="22"/>
        </w:rPr>
        <w:t>General comments</w:t>
      </w:r>
    </w:p>
    <w:bookmarkEnd w:id="0"/>
    <w:p w14:paraId="14366ACD"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Are there any general comments you would need to raise?</w:t>
      </w:r>
    </w:p>
    <w:p w14:paraId="06AC05B4"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&lt;ESMA_QUESTION_RFRS_1&gt;</w:t>
      </w:r>
    </w:p>
    <w:p w14:paraId="4B0A9791" w14:textId="77777777" w:rsidR="00C53DBF" w:rsidRPr="00C53DBF" w:rsidRDefault="00C53DBF" w:rsidP="00C53DBF">
      <w:pPr>
        <w:jc w:val="both"/>
        <w:rPr>
          <w:rFonts w:ascii="Arial" w:hAnsi="Arial" w:cs="Arial"/>
          <w:sz w:val="22"/>
          <w:szCs w:val="22"/>
        </w:rPr>
      </w:pPr>
      <w:permStart w:id="1592684246" w:edGrp="everyone"/>
      <w:r w:rsidRPr="00C53DBF">
        <w:rPr>
          <w:rFonts w:ascii="Arial" w:hAnsi="Arial" w:cs="Arial"/>
          <w:sz w:val="22"/>
          <w:szCs w:val="22"/>
        </w:rPr>
        <w:t>The FBF would like to thank ESMA and express its support for the Authority’s efforts to accompany the transition away from EONIA and LIBOR and agrees that such transition results in necessary changes to the derivatives clearing and trading obligations (hereafter “the CO” and “the DTO”).</w:t>
      </w:r>
    </w:p>
    <w:p w14:paraId="70656074" w14:textId="77777777" w:rsidR="00C53DBF" w:rsidRPr="00C53DBF" w:rsidRDefault="00C53DBF" w:rsidP="00C53DBF">
      <w:pPr>
        <w:jc w:val="both"/>
        <w:rPr>
          <w:rFonts w:ascii="Arial" w:hAnsi="Arial" w:cs="Arial"/>
          <w:sz w:val="22"/>
          <w:szCs w:val="22"/>
        </w:rPr>
      </w:pPr>
    </w:p>
    <w:p w14:paraId="7C32269E" w14:textId="77777777" w:rsidR="00C53DBF" w:rsidRPr="00C53DBF" w:rsidRDefault="00C53DBF" w:rsidP="00C53DBF">
      <w:pPr>
        <w:jc w:val="both"/>
        <w:rPr>
          <w:rFonts w:ascii="Arial" w:hAnsi="Arial" w:cs="Arial"/>
          <w:sz w:val="22"/>
          <w:szCs w:val="22"/>
        </w:rPr>
      </w:pPr>
      <w:r w:rsidRPr="00C53DBF">
        <w:rPr>
          <w:rFonts w:ascii="Arial" w:hAnsi="Arial" w:cs="Arial"/>
          <w:sz w:val="22"/>
          <w:szCs w:val="22"/>
        </w:rPr>
        <w:t>The FBF notes that, while it is not their primary intent, the measures presented in this consultation with respect to the DTO are a step in the right direction to limit the impact of the obligation for UK branches of EU firms to apply overlaying and conflicting rules, as they exclude, at least temporarily, GBP IRS from the scope of the EU DTO.</w:t>
      </w:r>
    </w:p>
    <w:p w14:paraId="2B006B91" w14:textId="77777777" w:rsidR="00C53DBF" w:rsidRPr="00C53DBF" w:rsidRDefault="00C53DBF" w:rsidP="00C53DBF">
      <w:pPr>
        <w:jc w:val="both"/>
        <w:rPr>
          <w:rFonts w:ascii="Arial" w:hAnsi="Arial" w:cs="Arial"/>
          <w:sz w:val="22"/>
          <w:szCs w:val="22"/>
        </w:rPr>
      </w:pPr>
    </w:p>
    <w:p w14:paraId="10638BF5" w14:textId="2AE259D7" w:rsidR="009835AD" w:rsidRPr="00C53DBF" w:rsidRDefault="00C53DBF" w:rsidP="00C53DBF">
      <w:pPr>
        <w:jc w:val="both"/>
        <w:rPr>
          <w:rFonts w:ascii="Arial" w:hAnsi="Arial" w:cs="Arial"/>
          <w:sz w:val="22"/>
          <w:szCs w:val="22"/>
        </w:rPr>
      </w:pPr>
      <w:r w:rsidRPr="00C53DBF">
        <w:rPr>
          <w:rFonts w:ascii="Arial" w:hAnsi="Arial" w:cs="Arial"/>
          <w:sz w:val="22"/>
          <w:szCs w:val="22"/>
        </w:rPr>
        <w:t xml:space="preserve">Still, these provisions remain insufficient for other currencies subject to DTO impacting EU firms’ ability to compete in these markets, and the conflict in DTOs that affect UK branches of EU entities needs to be tackled in a direct and definitive manner. In this respect, the FBF is very supportive of the options presented by Robert </w:t>
      </w:r>
      <w:proofErr w:type="spellStart"/>
      <w:r w:rsidRPr="00C53DBF">
        <w:rPr>
          <w:rFonts w:ascii="Arial" w:hAnsi="Arial" w:cs="Arial"/>
          <w:sz w:val="22"/>
          <w:szCs w:val="22"/>
        </w:rPr>
        <w:t>Ophèle</w:t>
      </w:r>
      <w:proofErr w:type="spellEnd"/>
      <w:r w:rsidRPr="00C53DBF">
        <w:rPr>
          <w:rFonts w:ascii="Arial" w:hAnsi="Arial" w:cs="Arial"/>
          <w:sz w:val="22"/>
          <w:szCs w:val="22"/>
        </w:rPr>
        <w:t xml:space="preserve"> in his speech made on June 29</w:t>
      </w:r>
      <w:r w:rsidRPr="00C53DBF">
        <w:rPr>
          <w:rFonts w:ascii="Arial" w:hAnsi="Arial" w:cs="Arial"/>
          <w:sz w:val="22"/>
          <w:szCs w:val="22"/>
          <w:vertAlign w:val="superscript"/>
        </w:rPr>
        <w:t>th</w:t>
      </w:r>
      <w:proofErr w:type="gramStart"/>
      <w:r w:rsidRPr="00C53DBF">
        <w:rPr>
          <w:rFonts w:ascii="Arial" w:hAnsi="Arial" w:cs="Arial"/>
          <w:sz w:val="22"/>
          <w:szCs w:val="22"/>
        </w:rPr>
        <w:t xml:space="preserve"> 2021</w:t>
      </w:r>
      <w:proofErr w:type="gramEnd"/>
      <w:r w:rsidRPr="00C53DBF">
        <w:rPr>
          <w:rFonts w:ascii="Arial" w:hAnsi="Arial" w:cs="Arial"/>
          <w:sz w:val="22"/>
          <w:szCs w:val="22"/>
        </w:rPr>
        <w:t xml:space="preserve"> at an ISDA conference where he confirmed that there is a need to rethink how the EU DTO should apply to the non-EU business of above mentioned branches and stated that the DTO issue should be a high priority on the forthcoming </w:t>
      </w:r>
      <w:proofErr w:type="spellStart"/>
      <w:r w:rsidRPr="00C53DBF">
        <w:rPr>
          <w:rFonts w:ascii="Arial" w:hAnsi="Arial" w:cs="Arial"/>
          <w:sz w:val="22"/>
          <w:szCs w:val="22"/>
        </w:rPr>
        <w:t>MiFIR</w:t>
      </w:r>
      <w:proofErr w:type="spellEnd"/>
      <w:r w:rsidRPr="00C53DBF">
        <w:rPr>
          <w:rFonts w:ascii="Arial" w:hAnsi="Arial" w:cs="Arial"/>
          <w:sz w:val="22"/>
          <w:szCs w:val="22"/>
        </w:rPr>
        <w:t xml:space="preserve"> review agenda.</w:t>
      </w:r>
    </w:p>
    <w:permEnd w:id="1592684246"/>
    <w:p w14:paraId="55FCE702"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&lt;ESMA_QUESTION_RFRS_1&gt;</w:t>
      </w:r>
    </w:p>
    <w:p w14:paraId="6237099F" w14:textId="06344591" w:rsidR="009835AD" w:rsidRDefault="009835AD" w:rsidP="009835AD">
      <w:pPr>
        <w:spacing w:after="160" w:line="259" w:lineRule="auto"/>
        <w:rPr>
          <w:rFonts w:ascii="Calibri" w:eastAsia="Calibri" w:hAnsi="Calibri"/>
          <w:sz w:val="22"/>
          <w:szCs w:val="22"/>
          <w:lang w:eastAsia="en-US"/>
        </w:rPr>
      </w:pPr>
    </w:p>
    <w:p w14:paraId="1E5D8E97" w14:textId="7957D24E" w:rsidR="00D57019"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State of progress with the transition</w:t>
      </w:r>
    </w:p>
    <w:p w14:paraId="7479070E"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Are there any other aspects of the transition that need to be taken into account? Please share any data that would help qualify further the progress with the transition or any other aspects that you think should be considered.</w:t>
      </w:r>
    </w:p>
    <w:p w14:paraId="62108C4F"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&lt;ESMA_QUESTION_RFRS_2&gt;</w:t>
      </w:r>
    </w:p>
    <w:p w14:paraId="2FE3A604" w14:textId="449295D6" w:rsidR="009835AD" w:rsidRPr="00973C84" w:rsidRDefault="00973C84" w:rsidP="00973C84">
      <w:pPr>
        <w:spacing w:after="160" w:line="259" w:lineRule="auto"/>
        <w:jc w:val="both"/>
        <w:rPr>
          <w:rFonts w:ascii="Arial" w:eastAsia="Calibri" w:hAnsi="Arial" w:cs="Arial"/>
          <w:sz w:val="22"/>
          <w:szCs w:val="22"/>
          <w:lang w:val="fr-FR" w:eastAsia="en-US"/>
        </w:rPr>
      </w:pPr>
      <w:permStart w:id="1960970536" w:edGrp="everyone"/>
      <w:r w:rsidRPr="00973C84">
        <w:rPr>
          <w:rFonts w:ascii="Arial" w:eastAsia="Calibri" w:hAnsi="Arial" w:cs="Arial"/>
          <w:sz w:val="22"/>
          <w:szCs w:val="22"/>
          <w:lang w:val="fr-FR" w:eastAsia="en-US"/>
        </w:rPr>
        <w:t>TYPE YOUR TEXT HERE</w:t>
      </w:r>
    </w:p>
    <w:permEnd w:id="1960970536"/>
    <w:p w14:paraId="4B64AFD5"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&lt;ESMA_QUESTION_RFRS_2&gt;</w:t>
      </w:r>
    </w:p>
    <w:p w14:paraId="70BA6A0C" w14:textId="392BF9B7" w:rsidR="009835AD" w:rsidRDefault="009835AD" w:rsidP="009835AD">
      <w:pPr>
        <w:spacing w:after="160" w:line="259" w:lineRule="auto"/>
        <w:rPr>
          <w:rFonts w:ascii="Calibri" w:eastAsia="Calibri" w:hAnsi="Calibri"/>
          <w:sz w:val="22"/>
          <w:szCs w:val="22"/>
          <w:lang w:eastAsia="en-US"/>
        </w:rPr>
      </w:pPr>
    </w:p>
    <w:p w14:paraId="6717B33A" w14:textId="645BA4E2"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 xml:space="preserve">General approach </w:t>
      </w:r>
    </w:p>
    <w:p w14:paraId="3A834F3D"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Are there any other aspects that you think that ESMA should take into account or that might justify a</w:t>
      </w:r>
      <w:r w:rsidRPr="009835AD">
        <w:rPr>
          <w:rFonts w:ascii="Arial" w:hAnsi="Arial" w:cs="Arial"/>
          <w:b/>
          <w:sz w:val="22"/>
          <w:szCs w:val="22"/>
          <w:lang w:val="en-US" w:eastAsia="en-US"/>
        </w:rPr>
        <w:t xml:space="preserve"> different approach?</w:t>
      </w:r>
    </w:p>
    <w:p w14:paraId="5A839AD2"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&lt;ESMA_QUESTION_RFRS_3&gt;</w:t>
      </w:r>
    </w:p>
    <w:p w14:paraId="481C04A0" w14:textId="77777777" w:rsidR="00A54715" w:rsidRPr="00A54715" w:rsidRDefault="00A54715" w:rsidP="00A54715">
      <w:pPr>
        <w:jc w:val="both"/>
        <w:rPr>
          <w:rFonts w:asciiTheme="majorHAnsi" w:hAnsiTheme="majorHAnsi" w:cstheme="majorHAnsi"/>
          <w:sz w:val="22"/>
          <w:szCs w:val="22"/>
        </w:rPr>
      </w:pPr>
      <w:permStart w:id="2091866080" w:edGrp="everyone"/>
      <w:r w:rsidRPr="00A54715">
        <w:rPr>
          <w:rFonts w:asciiTheme="majorHAnsi" w:hAnsiTheme="majorHAnsi" w:cstheme="majorHAnsi"/>
          <w:sz w:val="22"/>
          <w:szCs w:val="22"/>
        </w:rPr>
        <w:t>The FBF acknowledges the need to consider both the CO and the DTO at the same time in the context of interest rate benchmark reform. However, the FBF also wants to underline that the CO and the DTO are two different components of the OTC interest rate derivatives markets, each having its own consequences, and should therefore be individually analysed in the above-mentioned context.</w:t>
      </w:r>
    </w:p>
    <w:p w14:paraId="75EA4AF5" w14:textId="77777777" w:rsidR="00A54715" w:rsidRPr="00A54715" w:rsidRDefault="00A54715" w:rsidP="00A54715">
      <w:pPr>
        <w:jc w:val="both"/>
        <w:rPr>
          <w:rFonts w:asciiTheme="majorHAnsi" w:hAnsiTheme="majorHAnsi" w:cstheme="majorHAnsi"/>
          <w:sz w:val="22"/>
          <w:szCs w:val="22"/>
        </w:rPr>
      </w:pPr>
    </w:p>
    <w:p w14:paraId="384A9B3B" w14:textId="77777777" w:rsidR="00A54715" w:rsidRPr="00A54715" w:rsidRDefault="00A54715" w:rsidP="00A54715">
      <w:pPr>
        <w:jc w:val="both"/>
        <w:rPr>
          <w:rFonts w:asciiTheme="majorHAnsi" w:hAnsiTheme="majorHAnsi" w:cstheme="majorHAnsi"/>
          <w:sz w:val="22"/>
          <w:szCs w:val="22"/>
        </w:rPr>
      </w:pPr>
      <w:r w:rsidRPr="00A54715">
        <w:rPr>
          <w:rFonts w:asciiTheme="majorHAnsi" w:hAnsiTheme="majorHAnsi" w:cstheme="majorHAnsi"/>
          <w:sz w:val="22"/>
          <w:szCs w:val="22"/>
        </w:rPr>
        <w:t xml:space="preserve">In this perspective, considering the potential burden on market participants of the introduction of new obligations (adaptation of IT systems, operational implementation, clients </w:t>
      </w:r>
      <w:r w:rsidRPr="00A54715">
        <w:rPr>
          <w:rFonts w:asciiTheme="majorHAnsi" w:hAnsiTheme="majorHAnsi" w:cstheme="majorHAnsi"/>
          <w:sz w:val="22"/>
          <w:szCs w:val="22"/>
        </w:rPr>
        <w:lastRenderedPageBreak/>
        <w:t xml:space="preserve">communication…), the FBF calls for more flexibility in the enforcement of the new rules governing the CO and the DTO, as the provisional date of 3 January 2022 seems too constraining, notably regarding the DTO. Indeed, allowing for an appropriate phase-in of the new obligations is </w:t>
      </w:r>
      <w:proofErr w:type="gramStart"/>
      <w:r w:rsidRPr="00A54715">
        <w:rPr>
          <w:rFonts w:asciiTheme="majorHAnsi" w:hAnsiTheme="majorHAnsi" w:cstheme="majorHAnsi"/>
          <w:sz w:val="22"/>
          <w:szCs w:val="22"/>
        </w:rPr>
        <w:t>all the more</w:t>
      </w:r>
      <w:proofErr w:type="gramEnd"/>
      <w:r w:rsidRPr="00A54715">
        <w:rPr>
          <w:rFonts w:asciiTheme="majorHAnsi" w:hAnsiTheme="majorHAnsi" w:cstheme="majorHAnsi"/>
          <w:sz w:val="22"/>
          <w:szCs w:val="22"/>
        </w:rPr>
        <w:t xml:space="preserve"> justified as it should not lead to an increased risk for the EU markets.</w:t>
      </w:r>
    </w:p>
    <w:p w14:paraId="2131F496" w14:textId="77777777" w:rsidR="00A54715" w:rsidRPr="00A54715" w:rsidRDefault="00A54715" w:rsidP="00A54715">
      <w:pPr>
        <w:jc w:val="both"/>
        <w:rPr>
          <w:rFonts w:asciiTheme="majorHAnsi" w:hAnsiTheme="majorHAnsi" w:cstheme="majorHAnsi"/>
          <w:sz w:val="22"/>
          <w:szCs w:val="22"/>
        </w:rPr>
      </w:pPr>
    </w:p>
    <w:p w14:paraId="1480E348" w14:textId="77777777" w:rsidR="00A54715" w:rsidRPr="00A54715" w:rsidRDefault="00A54715" w:rsidP="00A54715">
      <w:pPr>
        <w:jc w:val="both"/>
        <w:rPr>
          <w:rFonts w:asciiTheme="majorHAnsi" w:hAnsiTheme="majorHAnsi" w:cstheme="majorHAnsi"/>
          <w:sz w:val="22"/>
          <w:szCs w:val="22"/>
        </w:rPr>
      </w:pPr>
      <w:r w:rsidRPr="00A54715">
        <w:rPr>
          <w:rFonts w:asciiTheme="majorHAnsi" w:hAnsiTheme="majorHAnsi" w:cstheme="majorHAnsi"/>
          <w:sz w:val="22"/>
          <w:szCs w:val="22"/>
        </w:rPr>
        <w:t xml:space="preserve">Furthermore, the FBF welcomes ESMA's confirmation that it has discussed this initiative with several authorities from third countries that are responsible for the clearing and/or trading mandates in their jurisdiction </w:t>
      </w:r>
      <w:proofErr w:type="gramStart"/>
      <w:r w:rsidRPr="00A54715">
        <w:rPr>
          <w:rFonts w:asciiTheme="majorHAnsi" w:hAnsiTheme="majorHAnsi" w:cstheme="majorHAnsi"/>
          <w:sz w:val="22"/>
          <w:szCs w:val="22"/>
        </w:rPr>
        <w:t>in order to</w:t>
      </w:r>
      <w:proofErr w:type="gramEnd"/>
      <w:r w:rsidRPr="00A54715">
        <w:rPr>
          <w:rFonts w:asciiTheme="majorHAnsi" w:hAnsiTheme="majorHAnsi" w:cstheme="majorHAnsi"/>
          <w:sz w:val="22"/>
          <w:szCs w:val="22"/>
        </w:rPr>
        <w:t xml:space="preserve"> facilitate international convergence to the extent possible. The FBF is very supportive of ESMA’s commitment to continue to do so and to monitor the possible changes introduced in these other jurisdictions as the benchmark transition and the structural changes described in the Consultation have an international dimension. In fact, the FBF is of the opinion that international convergence where appropriate is critical to prevent disruption to cross-border derivatives markets and to ensure levelled playing field.</w:t>
      </w:r>
    </w:p>
    <w:p w14:paraId="2F9BEAE5" w14:textId="77777777" w:rsidR="00A54715" w:rsidRPr="00A54715" w:rsidRDefault="00A54715" w:rsidP="00A54715">
      <w:pPr>
        <w:jc w:val="both"/>
        <w:rPr>
          <w:rFonts w:asciiTheme="majorHAnsi" w:hAnsiTheme="majorHAnsi" w:cstheme="majorHAnsi"/>
          <w:sz w:val="22"/>
          <w:szCs w:val="22"/>
        </w:rPr>
      </w:pPr>
    </w:p>
    <w:p w14:paraId="05D744F5" w14:textId="0B8F0D57" w:rsidR="009835AD" w:rsidRPr="00A54715" w:rsidRDefault="00A54715" w:rsidP="00A54715">
      <w:pPr>
        <w:spacing w:after="160" w:line="259" w:lineRule="auto"/>
        <w:jc w:val="both"/>
        <w:rPr>
          <w:rFonts w:asciiTheme="majorHAnsi" w:eastAsia="Calibri" w:hAnsiTheme="majorHAnsi" w:cstheme="majorHAnsi"/>
          <w:sz w:val="22"/>
          <w:szCs w:val="22"/>
          <w:lang w:eastAsia="en-US"/>
        </w:rPr>
      </w:pPr>
      <w:r w:rsidRPr="00A54715">
        <w:rPr>
          <w:rFonts w:asciiTheme="majorHAnsi" w:hAnsiTheme="majorHAnsi" w:cstheme="majorHAnsi"/>
          <w:sz w:val="22"/>
          <w:szCs w:val="22"/>
        </w:rPr>
        <w:t>Finally, the FBF believes that transactions stemming from Post Trade Risk Reduction (PTRR) exercises should, under a suitable control framework, be exempt from the CO to enable market participants to manage the risk in their uncleared portfolios. Indeed, with the extension of the clearing obligations to RFR swaps, such risk management practices, currently undertaken by many large dealer banks, could be impaired, as OIS as a tradeable instrument for both cleared and uncleared interest rate risk would no longer be available.</w:t>
      </w:r>
    </w:p>
    <w:permEnd w:id="2091866080"/>
    <w:p w14:paraId="2E7D163D"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&lt;ESMA_QUESTION_RFRS_3&gt;</w:t>
      </w:r>
    </w:p>
    <w:p w14:paraId="0FCAF496" w14:textId="1A0A298E" w:rsidR="009835AD" w:rsidRDefault="009835AD" w:rsidP="009835AD">
      <w:pPr>
        <w:spacing w:after="160" w:line="259" w:lineRule="auto"/>
        <w:rPr>
          <w:rFonts w:ascii="Calibri" w:eastAsia="Calibri" w:hAnsi="Calibri"/>
          <w:sz w:val="22"/>
          <w:szCs w:val="22"/>
          <w:lang w:eastAsia="en-US"/>
        </w:rPr>
      </w:pPr>
    </w:p>
    <w:p w14:paraId="12E8EF5A" w14:textId="078DADA4"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Clearing obligation</w:t>
      </w:r>
    </w:p>
    <w:p w14:paraId="7815CA79"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Do you agree with the assessment of the EMIR criteria and with the proposed classes (except for USD which is dealt with in a dedicated Question 5)? If not please detail how the assessment could differ and please also provide data and information to justify a different assessment. </w:t>
      </w:r>
    </w:p>
    <w:p w14:paraId="770575B2"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&lt;ESMA_QUESTION_RFRS_4&gt;</w:t>
      </w:r>
    </w:p>
    <w:p w14:paraId="11326675" w14:textId="77777777" w:rsidR="00A54715" w:rsidRPr="00A54715" w:rsidRDefault="00A54715" w:rsidP="00A54715">
      <w:pPr>
        <w:jc w:val="both"/>
        <w:rPr>
          <w:rFonts w:ascii="Arial" w:hAnsi="Arial" w:cs="Arial"/>
          <w:sz w:val="22"/>
          <w:szCs w:val="22"/>
        </w:rPr>
      </w:pPr>
      <w:permStart w:id="625810741" w:edGrp="everyone"/>
      <w:r w:rsidRPr="00A54715">
        <w:rPr>
          <w:rFonts w:ascii="Arial" w:hAnsi="Arial" w:cs="Arial"/>
          <w:sz w:val="22"/>
          <w:szCs w:val="22"/>
        </w:rPr>
        <w:t>As things stand, the FBF broadly agrees with ESMA’s assessment for the purpose of the CO and with its proposed changes to the scope of the CO by the end of the year (except USD).</w:t>
      </w:r>
    </w:p>
    <w:p w14:paraId="55914C87" w14:textId="77777777" w:rsidR="00A54715" w:rsidRPr="00A54715" w:rsidRDefault="00A54715" w:rsidP="00A54715">
      <w:pPr>
        <w:jc w:val="both"/>
        <w:rPr>
          <w:rFonts w:ascii="Arial" w:hAnsi="Arial" w:cs="Arial"/>
          <w:sz w:val="22"/>
          <w:szCs w:val="22"/>
        </w:rPr>
      </w:pPr>
    </w:p>
    <w:p w14:paraId="20C305D2" w14:textId="77777777" w:rsidR="00A54715" w:rsidRDefault="00A54715" w:rsidP="00A54715">
      <w:pPr>
        <w:jc w:val="both"/>
        <w:rPr>
          <w:rFonts w:ascii="Arial" w:hAnsi="Arial" w:cs="Arial"/>
          <w:sz w:val="22"/>
          <w:szCs w:val="22"/>
        </w:rPr>
      </w:pPr>
      <w:r w:rsidRPr="00A54715">
        <w:rPr>
          <w:rFonts w:ascii="Arial" w:hAnsi="Arial" w:cs="Arial"/>
          <w:sz w:val="22"/>
          <w:szCs w:val="22"/>
        </w:rPr>
        <w:t xml:space="preserve">Indeed, as stated by ESMA in this consultation, its proposals for amending the scope of the CO are mainly driven by the liquidity criterion but also </w:t>
      </w:r>
      <w:proofErr w:type="gramStart"/>
      <w:r w:rsidRPr="00A54715">
        <w:rPr>
          <w:rFonts w:ascii="Arial" w:hAnsi="Arial" w:cs="Arial"/>
          <w:sz w:val="22"/>
          <w:szCs w:val="22"/>
        </w:rPr>
        <w:t>take into account</w:t>
      </w:r>
      <w:proofErr w:type="gramEnd"/>
      <w:r w:rsidRPr="00A54715">
        <w:rPr>
          <w:rFonts w:ascii="Arial" w:hAnsi="Arial" w:cs="Arial"/>
          <w:sz w:val="22"/>
          <w:szCs w:val="22"/>
        </w:rPr>
        <w:t xml:space="preserve"> current authorised and recognised CCPs, including UK CCPs whose time-limited equivalences runs until June 2022. Therefore, the FBF would like to draw ESMA’s attention to the fact that any change of status for UK CCPs may have an impact on certain classes of OTC interest rate derivatives’ liquidity (as </w:t>
      </w:r>
      <w:proofErr w:type="gramStart"/>
      <w:r w:rsidRPr="00A54715">
        <w:rPr>
          <w:rFonts w:ascii="Arial" w:hAnsi="Arial" w:cs="Arial"/>
          <w:sz w:val="22"/>
          <w:szCs w:val="22"/>
        </w:rPr>
        <w:t>the majority of</w:t>
      </w:r>
      <w:proofErr w:type="gramEnd"/>
      <w:r w:rsidRPr="00A54715">
        <w:rPr>
          <w:rFonts w:ascii="Arial" w:hAnsi="Arial" w:cs="Arial"/>
          <w:sz w:val="22"/>
          <w:szCs w:val="22"/>
        </w:rPr>
        <w:t xml:space="preserve"> trading and clearing activity in EUR and GBP still mainly remains in this third country at this stage) and then on the ability of EU firms to satisfy their CO for these classes. </w:t>
      </w:r>
    </w:p>
    <w:p w14:paraId="792268F5" w14:textId="77777777" w:rsidR="00A54715" w:rsidRDefault="00A54715" w:rsidP="00A54715">
      <w:pPr>
        <w:jc w:val="both"/>
        <w:rPr>
          <w:rFonts w:ascii="Arial" w:hAnsi="Arial" w:cs="Arial"/>
          <w:sz w:val="22"/>
          <w:szCs w:val="22"/>
        </w:rPr>
      </w:pPr>
    </w:p>
    <w:p w14:paraId="4231AF75" w14:textId="74C3084D" w:rsidR="00A54715" w:rsidRPr="00A54715" w:rsidRDefault="00A54715" w:rsidP="00A54715">
      <w:pPr>
        <w:jc w:val="both"/>
        <w:rPr>
          <w:rFonts w:ascii="Arial" w:hAnsi="Arial" w:cs="Arial"/>
          <w:sz w:val="22"/>
          <w:szCs w:val="22"/>
          <w:lang w:val="en-US"/>
        </w:rPr>
      </w:pPr>
      <w:r w:rsidRPr="00A54715">
        <w:rPr>
          <w:rFonts w:ascii="Arial" w:hAnsi="Arial" w:cs="Arial"/>
          <w:sz w:val="22"/>
          <w:szCs w:val="22"/>
        </w:rPr>
        <w:t>Hence, ESMA should take into account any potential future decisions regarding UK CCPs (either a non-renewal of the equivalence, affecting all OTC asset classes currently cleared on UK CCPs, or a targeted decision to de recognise under the new EMIR 2.2 framework specific clearing services only, and including any decision to exclude from this de recognition certain activities such as client clearing or market making activities) to asses swiftly the consequences of the liquidity of the relevant OTC asset classes and decide if those asset classes should be excluded from the CO.</w:t>
      </w:r>
    </w:p>
    <w:permEnd w:id="625810741"/>
    <w:p w14:paraId="204280FC"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&lt;ESMA_QUESTION_RFRS_4&gt;</w:t>
      </w:r>
    </w:p>
    <w:p w14:paraId="325B14EC" w14:textId="77777777" w:rsidR="009835AD" w:rsidRPr="009835AD" w:rsidRDefault="009835AD" w:rsidP="009835AD">
      <w:pPr>
        <w:spacing w:after="160" w:line="259" w:lineRule="auto"/>
        <w:rPr>
          <w:rFonts w:ascii="Calibri" w:eastAsia="Calibri" w:hAnsi="Calibri"/>
          <w:sz w:val="22"/>
          <w:szCs w:val="22"/>
          <w:lang w:eastAsia="en-US"/>
        </w:rPr>
      </w:pPr>
    </w:p>
    <w:p w14:paraId="6B3E5F40"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Will the transition regarding USD have made sufficient progress by this Autumn to decide on whether to maintain or remove USD LIBOR classes. Will there be sufficient liquidity to introduce SOFR OIS to the CO and for which maturity range? Please provide the relevant data and information to explain your </w:t>
      </w:r>
      <w:r w:rsidRPr="009835AD">
        <w:rPr>
          <w:rFonts w:ascii="Arial" w:hAnsi="Arial" w:cs="Arial"/>
          <w:b/>
          <w:sz w:val="22"/>
          <w:szCs w:val="22"/>
          <w:lang w:val="en-US" w:eastAsia="en-US"/>
        </w:rPr>
        <w:t xml:space="preserve">assessment, in accordance with the EMIR framework. </w:t>
      </w:r>
    </w:p>
    <w:p w14:paraId="52D8F8F5"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&lt;ESMA_QUESTION_RFRS_5&gt;</w:t>
      </w:r>
    </w:p>
    <w:p w14:paraId="77AAC0FB" w14:textId="6413C8FA" w:rsidR="00A54715" w:rsidRPr="00A54715" w:rsidRDefault="00A54715" w:rsidP="00A54715">
      <w:pPr>
        <w:jc w:val="both"/>
        <w:rPr>
          <w:rFonts w:ascii="Arial" w:hAnsi="Arial" w:cs="Arial"/>
          <w:sz w:val="22"/>
          <w:szCs w:val="22"/>
        </w:rPr>
      </w:pPr>
      <w:permStart w:id="1185625336" w:edGrp="everyone"/>
      <w:r w:rsidRPr="00A54715">
        <w:rPr>
          <w:rFonts w:ascii="Arial" w:hAnsi="Arial" w:cs="Arial"/>
          <w:sz w:val="22"/>
          <w:szCs w:val="22"/>
        </w:rPr>
        <w:t xml:space="preserve">While USD LIBOR will continue to be published until June 2023, the FBF understands that 1-week and 2-months USD LIBOR will cease to be published at the end of 2021. In addition, there have been communications for markets participants, including from the European Commission, ECB, EBA and ESMA, to no longer enter new derivative contracts referencing USD LIBOR by the end of the year. </w:t>
      </w:r>
    </w:p>
    <w:p w14:paraId="6CBA5883" w14:textId="77777777" w:rsidR="00A54715" w:rsidRPr="00A54715" w:rsidRDefault="00A54715" w:rsidP="00A54715">
      <w:pPr>
        <w:jc w:val="both"/>
        <w:rPr>
          <w:rFonts w:ascii="Arial" w:hAnsi="Arial" w:cs="Arial"/>
          <w:sz w:val="22"/>
          <w:szCs w:val="22"/>
        </w:rPr>
      </w:pPr>
    </w:p>
    <w:p w14:paraId="43E29931" w14:textId="77777777" w:rsidR="00A54715" w:rsidRPr="00A54715" w:rsidRDefault="00A54715" w:rsidP="00A54715">
      <w:pPr>
        <w:jc w:val="both"/>
        <w:rPr>
          <w:rFonts w:ascii="Arial" w:hAnsi="Arial" w:cs="Arial"/>
          <w:sz w:val="22"/>
          <w:szCs w:val="22"/>
        </w:rPr>
      </w:pPr>
      <w:r w:rsidRPr="00A54715">
        <w:rPr>
          <w:rFonts w:ascii="Arial" w:hAnsi="Arial" w:cs="Arial"/>
          <w:sz w:val="22"/>
          <w:szCs w:val="22"/>
        </w:rPr>
        <w:t>Consequently, the FBF is of the opinion that the transition regarding USD LIBOR will have made sufficient progress by the end of the year to support ESMA’s proposal to remove OTC interest rate derivatives referencing USD LIBOR from the scope of the CO.</w:t>
      </w:r>
    </w:p>
    <w:p w14:paraId="671BD387" w14:textId="77777777" w:rsidR="00A54715" w:rsidRPr="00A54715" w:rsidRDefault="00A54715" w:rsidP="00A54715">
      <w:pPr>
        <w:jc w:val="both"/>
        <w:rPr>
          <w:rFonts w:ascii="Arial" w:hAnsi="Arial" w:cs="Arial"/>
          <w:sz w:val="22"/>
          <w:szCs w:val="22"/>
        </w:rPr>
      </w:pPr>
    </w:p>
    <w:p w14:paraId="318EBD02" w14:textId="77777777" w:rsidR="00A54715" w:rsidRPr="00A54715" w:rsidRDefault="00A54715" w:rsidP="00A54715">
      <w:pPr>
        <w:jc w:val="both"/>
        <w:rPr>
          <w:rFonts w:ascii="Arial" w:hAnsi="Arial" w:cs="Arial"/>
          <w:sz w:val="22"/>
          <w:szCs w:val="22"/>
        </w:rPr>
      </w:pPr>
      <w:r w:rsidRPr="00A54715">
        <w:rPr>
          <w:rFonts w:ascii="Arial" w:hAnsi="Arial" w:cs="Arial"/>
          <w:sz w:val="22"/>
          <w:szCs w:val="22"/>
        </w:rPr>
        <w:t>As regards the timetable for the inclusion of the SOFR OIS class in the scope of the CO, the FBF encourages global coordination and alignment with other competent jurisdictions. The FBF therefore recommends waiting for the US authorities’ decision on that matter as SOFR OIS are mainly traded in the US and, thus, avoid unlevel playing field for EU market participants.</w:t>
      </w:r>
    </w:p>
    <w:p w14:paraId="4BF5BCD5" w14:textId="77777777" w:rsidR="00A54715" w:rsidRPr="00A54715" w:rsidRDefault="00A54715" w:rsidP="00A54715">
      <w:pPr>
        <w:jc w:val="both"/>
        <w:rPr>
          <w:rFonts w:ascii="Arial" w:hAnsi="Arial" w:cs="Arial"/>
          <w:sz w:val="22"/>
          <w:szCs w:val="22"/>
        </w:rPr>
      </w:pPr>
    </w:p>
    <w:p w14:paraId="68D3BF9E" w14:textId="74BC73A3" w:rsidR="009835AD" w:rsidRPr="00A54715" w:rsidRDefault="00A54715" w:rsidP="00A54715">
      <w:pPr>
        <w:jc w:val="both"/>
        <w:rPr>
          <w:rFonts w:ascii="Arial" w:hAnsi="Arial" w:cs="Arial"/>
          <w:sz w:val="22"/>
          <w:szCs w:val="22"/>
        </w:rPr>
      </w:pPr>
      <w:r w:rsidRPr="00A54715">
        <w:rPr>
          <w:rFonts w:ascii="Arial" w:hAnsi="Arial" w:cs="Arial"/>
          <w:sz w:val="22"/>
          <w:szCs w:val="22"/>
        </w:rPr>
        <w:t>In this respect, it should be noted that the Chairman of the US CFTC recently announced that the CFTC is not planning to adjust its own clearing and trading mandates concerning USD LIBOR and SOFR before 2022 (see https://www.cftc.gov/PressRoom/SpeechesTestimony/behnamstatement071321).</w:t>
      </w:r>
    </w:p>
    <w:permEnd w:id="1185625336"/>
    <w:p w14:paraId="1E6B10D4"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&lt;ESMA_QUESTION_RFRS_5&gt;</w:t>
      </w:r>
    </w:p>
    <w:p w14:paraId="0C71553C" w14:textId="614B2EE3" w:rsidR="009835AD" w:rsidRDefault="009835AD" w:rsidP="009835AD">
      <w:pPr>
        <w:spacing w:after="160" w:line="259" w:lineRule="auto"/>
        <w:rPr>
          <w:rFonts w:ascii="Calibri" w:eastAsia="Calibri" w:hAnsi="Calibri"/>
          <w:sz w:val="22"/>
          <w:szCs w:val="22"/>
          <w:lang w:eastAsia="en-US"/>
        </w:rPr>
      </w:pPr>
    </w:p>
    <w:p w14:paraId="72DF8575"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Do you agree with the proposed implementation of the changes? If not please provide details that could justify a different implementation. </w:t>
      </w:r>
    </w:p>
    <w:p w14:paraId="040FCF38"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&lt;ESMA_QUESTION_RFRS_6&gt;</w:t>
      </w:r>
    </w:p>
    <w:p w14:paraId="5ABABE8C" w14:textId="77777777" w:rsidR="00A54715" w:rsidRPr="00A54715" w:rsidRDefault="00A54715" w:rsidP="00A54715">
      <w:pPr>
        <w:jc w:val="both"/>
        <w:rPr>
          <w:rFonts w:ascii="Arial" w:hAnsi="Arial" w:cs="Arial"/>
          <w:sz w:val="22"/>
          <w:szCs w:val="22"/>
        </w:rPr>
      </w:pPr>
      <w:permStart w:id="88494692" w:edGrp="everyone"/>
      <w:r w:rsidRPr="00A54715">
        <w:rPr>
          <w:rFonts w:ascii="Arial" w:hAnsi="Arial" w:cs="Arial"/>
          <w:sz w:val="22"/>
          <w:szCs w:val="22"/>
        </w:rPr>
        <w:t>The FBF broadly agrees with ESMA’s proposed implementation of the changes.</w:t>
      </w:r>
    </w:p>
    <w:p w14:paraId="492CE3FD" w14:textId="77777777" w:rsidR="00A54715" w:rsidRPr="00A54715" w:rsidRDefault="00A54715" w:rsidP="00A54715">
      <w:pPr>
        <w:jc w:val="both"/>
        <w:rPr>
          <w:rFonts w:ascii="Arial" w:hAnsi="Arial" w:cs="Arial"/>
          <w:sz w:val="22"/>
          <w:szCs w:val="22"/>
        </w:rPr>
      </w:pPr>
    </w:p>
    <w:p w14:paraId="5A3346A9" w14:textId="77777777" w:rsidR="00A54715" w:rsidRPr="00A54715" w:rsidRDefault="00A54715" w:rsidP="00A54715">
      <w:pPr>
        <w:jc w:val="both"/>
        <w:rPr>
          <w:rFonts w:ascii="Arial" w:hAnsi="Arial" w:cs="Arial"/>
          <w:sz w:val="22"/>
          <w:szCs w:val="22"/>
        </w:rPr>
      </w:pPr>
      <w:r w:rsidRPr="00A54715">
        <w:rPr>
          <w:rFonts w:ascii="Arial" w:hAnsi="Arial" w:cs="Arial"/>
          <w:sz w:val="22"/>
          <w:szCs w:val="22"/>
        </w:rPr>
        <w:t xml:space="preserve">However, as stated in our answer to Q3, considering the potential burden on market participants of the introduction of new obligations (adaptation of IT systems, operational implementation, clients communication…), the FBF calls for more flexibility in the enforcement of the new rules governing the CO and the DTO. </w:t>
      </w:r>
    </w:p>
    <w:p w14:paraId="7C2AB4DB" w14:textId="77777777" w:rsidR="00A54715" w:rsidRPr="00A54715" w:rsidRDefault="00A54715" w:rsidP="00A54715">
      <w:pPr>
        <w:jc w:val="both"/>
        <w:rPr>
          <w:rFonts w:ascii="Arial" w:hAnsi="Arial" w:cs="Arial"/>
          <w:sz w:val="22"/>
          <w:szCs w:val="22"/>
        </w:rPr>
      </w:pPr>
    </w:p>
    <w:p w14:paraId="0D69323E" w14:textId="77777777" w:rsidR="00A54715" w:rsidRPr="00A54715" w:rsidRDefault="00A54715" w:rsidP="00A54715">
      <w:pPr>
        <w:jc w:val="both"/>
        <w:rPr>
          <w:rFonts w:ascii="Arial" w:hAnsi="Arial" w:cs="Arial"/>
          <w:sz w:val="22"/>
          <w:szCs w:val="22"/>
        </w:rPr>
      </w:pPr>
      <w:r w:rsidRPr="00A54715">
        <w:rPr>
          <w:rFonts w:ascii="Arial" w:hAnsi="Arial" w:cs="Arial"/>
          <w:sz w:val="22"/>
          <w:szCs w:val="22"/>
        </w:rPr>
        <w:t>Indeed, the provisional date of 3 January 2022 seems too constraining while there is still a significant amount of work to be done before the end of the year to be compliant with the new expected regulations. Therefore, similarly to other trade associations, the FBF advocates for the introduction of an appropriate phase-in period (between 3 to 6 months) in the coming RTS.</w:t>
      </w:r>
    </w:p>
    <w:permEnd w:id="88494692"/>
    <w:p w14:paraId="628D142A"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&lt;ESMA_QUESTION_RFRS_6&gt;</w:t>
      </w:r>
    </w:p>
    <w:p w14:paraId="594B71CA" w14:textId="50FF831B" w:rsidR="009835AD" w:rsidRDefault="009835AD" w:rsidP="009835AD">
      <w:pPr>
        <w:spacing w:after="160" w:line="259" w:lineRule="auto"/>
        <w:rPr>
          <w:rFonts w:ascii="Calibri" w:eastAsia="Calibri" w:hAnsi="Calibri"/>
          <w:sz w:val="22"/>
          <w:szCs w:val="22"/>
          <w:lang w:eastAsia="en-US"/>
        </w:rPr>
      </w:pPr>
    </w:p>
    <w:p w14:paraId="755594D9" w14:textId="133EE23F"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Derivatives trading obligation</w:t>
      </w:r>
    </w:p>
    <w:p w14:paraId="3E5926C1"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lastRenderedPageBreak/>
        <w:t xml:space="preserve">: </w:t>
      </w:r>
      <w:r w:rsidRPr="009835AD">
        <w:rPr>
          <w:rFonts w:ascii="Arial" w:hAnsi="Arial" w:cs="Arial"/>
          <w:b/>
          <w:bCs/>
          <w:sz w:val="22"/>
          <w:szCs w:val="22"/>
          <w:lang w:val="en-US" w:eastAsia="en-US"/>
        </w:rPr>
        <w:t xml:space="preserve">Do you agree with the proposal to not include OIS referencing €STR, SONIA nor SOFR to the DTO at this point in time? In case you disagree with ESMA’s proposal, please justify and support your assessment with qualitative and quantitative data. </w:t>
      </w:r>
    </w:p>
    <w:p w14:paraId="7D3081D1"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&lt;ESMA_QUESTION_RFRS_7&gt;</w:t>
      </w:r>
    </w:p>
    <w:p w14:paraId="1C3A5CA1" w14:textId="77777777" w:rsidR="00A54715" w:rsidRPr="00A54715" w:rsidRDefault="00A54715" w:rsidP="00A54715">
      <w:pPr>
        <w:jc w:val="both"/>
        <w:rPr>
          <w:rFonts w:ascii="Arial" w:hAnsi="Arial" w:cs="Arial"/>
          <w:sz w:val="22"/>
          <w:szCs w:val="22"/>
        </w:rPr>
      </w:pPr>
      <w:permStart w:id="1781297155" w:edGrp="everyone"/>
      <w:r w:rsidRPr="00A54715">
        <w:rPr>
          <w:rFonts w:ascii="Arial" w:hAnsi="Arial" w:cs="Arial"/>
          <w:sz w:val="22"/>
          <w:szCs w:val="22"/>
        </w:rPr>
        <w:t xml:space="preserve">The FBF strongly agrees with ESMA’s proposal to not include OIS referencing €STR, SONIA nor SOFR to the DTO </w:t>
      </w:r>
      <w:proofErr w:type="gramStart"/>
      <w:r w:rsidRPr="00A54715">
        <w:rPr>
          <w:rFonts w:ascii="Arial" w:hAnsi="Arial" w:cs="Arial"/>
          <w:sz w:val="22"/>
          <w:szCs w:val="22"/>
        </w:rPr>
        <w:t>at this point in time</w:t>
      </w:r>
      <w:proofErr w:type="gramEnd"/>
      <w:r w:rsidRPr="00A54715">
        <w:rPr>
          <w:rFonts w:ascii="Arial" w:hAnsi="Arial" w:cs="Arial"/>
          <w:sz w:val="22"/>
          <w:szCs w:val="22"/>
        </w:rPr>
        <w:t xml:space="preserve">, given ESMA's analysis regarding liquidity on EU or equivalent non-EU trading venues. </w:t>
      </w:r>
    </w:p>
    <w:p w14:paraId="06004F07" w14:textId="77777777" w:rsidR="00A54715" w:rsidRPr="00A54715" w:rsidRDefault="00A54715" w:rsidP="00A54715">
      <w:pPr>
        <w:jc w:val="both"/>
        <w:rPr>
          <w:rFonts w:ascii="Arial" w:hAnsi="Arial" w:cs="Arial"/>
          <w:sz w:val="22"/>
          <w:szCs w:val="22"/>
        </w:rPr>
      </w:pPr>
    </w:p>
    <w:p w14:paraId="54E47E68" w14:textId="77777777" w:rsidR="00A54715" w:rsidRPr="00A54715" w:rsidRDefault="00A54715" w:rsidP="00A54715">
      <w:pPr>
        <w:jc w:val="both"/>
        <w:rPr>
          <w:rFonts w:ascii="Arial" w:hAnsi="Arial" w:cs="Arial"/>
          <w:sz w:val="22"/>
          <w:szCs w:val="22"/>
        </w:rPr>
      </w:pPr>
      <w:r w:rsidRPr="00A54715">
        <w:rPr>
          <w:rFonts w:ascii="Arial" w:hAnsi="Arial" w:cs="Arial"/>
          <w:sz w:val="22"/>
          <w:szCs w:val="22"/>
        </w:rPr>
        <w:t xml:space="preserve">Furthermore, the FBF believes that </w:t>
      </w:r>
      <w:proofErr w:type="gramStart"/>
      <w:r w:rsidRPr="00A54715">
        <w:rPr>
          <w:rFonts w:ascii="Arial" w:hAnsi="Arial" w:cs="Arial"/>
          <w:sz w:val="22"/>
          <w:szCs w:val="22"/>
        </w:rPr>
        <w:t>in order for</w:t>
      </w:r>
      <w:proofErr w:type="gramEnd"/>
      <w:r w:rsidRPr="00A54715">
        <w:rPr>
          <w:rFonts w:ascii="Arial" w:hAnsi="Arial" w:cs="Arial"/>
          <w:sz w:val="22"/>
          <w:szCs w:val="22"/>
        </w:rPr>
        <w:t xml:space="preserve"> a class of transaction to be subject to the DTO, it should already be included in the CO. In other words, the DTO must always be a subset of the CO.</w:t>
      </w:r>
    </w:p>
    <w:permEnd w:id="1781297155"/>
    <w:p w14:paraId="66AFC1E9"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&lt;ESMA_QUESTION_RFRS_7&gt;</w:t>
      </w:r>
    </w:p>
    <w:p w14:paraId="7FAEEE4B" w14:textId="77777777" w:rsidR="009835AD" w:rsidRPr="009835AD" w:rsidRDefault="009835AD" w:rsidP="009835AD">
      <w:pPr>
        <w:spacing w:after="160" w:line="259" w:lineRule="auto"/>
        <w:rPr>
          <w:rFonts w:ascii="Calibri" w:eastAsia="Calibri" w:hAnsi="Calibri"/>
          <w:sz w:val="22"/>
          <w:szCs w:val="22"/>
          <w:lang w:eastAsia="en-US"/>
        </w:rPr>
      </w:pPr>
    </w:p>
    <w:p w14:paraId="74F8AD9A"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Do you consider that IRS referencing USD LIBOR should continue to be subject to the DTO? </w:t>
      </w:r>
    </w:p>
    <w:p w14:paraId="0328DE9E"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&lt;ESMA_QUESTION_RFRS_8&gt;</w:t>
      </w:r>
    </w:p>
    <w:p w14:paraId="41309F07" w14:textId="77777777" w:rsidR="00A54715" w:rsidRPr="00A54715" w:rsidRDefault="00A54715" w:rsidP="00A54715">
      <w:pPr>
        <w:jc w:val="both"/>
        <w:rPr>
          <w:rFonts w:ascii="Arial" w:hAnsi="Arial" w:cs="Arial"/>
          <w:sz w:val="22"/>
          <w:szCs w:val="22"/>
        </w:rPr>
      </w:pPr>
      <w:permStart w:id="334326387" w:edGrp="everyone"/>
      <w:r w:rsidRPr="00A54715">
        <w:rPr>
          <w:rFonts w:ascii="Arial" w:hAnsi="Arial" w:cs="Arial"/>
          <w:sz w:val="22"/>
          <w:szCs w:val="22"/>
        </w:rPr>
        <w:t>The FBF does not consider that IRS referencing USD LIBOR should continue to be subject to the DTO considering that their liquidity is expected to decline significantly by the end of the year.</w:t>
      </w:r>
    </w:p>
    <w:p w14:paraId="0151A903" w14:textId="77777777" w:rsidR="00A54715" w:rsidRPr="00A54715" w:rsidRDefault="00A54715" w:rsidP="00A54715">
      <w:pPr>
        <w:jc w:val="both"/>
        <w:rPr>
          <w:rFonts w:ascii="Arial" w:hAnsi="Arial" w:cs="Arial"/>
          <w:sz w:val="22"/>
          <w:szCs w:val="22"/>
        </w:rPr>
      </w:pPr>
    </w:p>
    <w:p w14:paraId="34CD86EC" w14:textId="77777777" w:rsidR="00A54715" w:rsidRPr="00A54715" w:rsidRDefault="00A54715" w:rsidP="00A54715">
      <w:pPr>
        <w:jc w:val="both"/>
        <w:rPr>
          <w:rFonts w:ascii="Arial" w:hAnsi="Arial" w:cs="Arial"/>
          <w:sz w:val="22"/>
          <w:szCs w:val="22"/>
        </w:rPr>
      </w:pPr>
      <w:bookmarkStart w:id="1" w:name="_Hlk78289461"/>
      <w:r w:rsidRPr="00A54715">
        <w:rPr>
          <w:rFonts w:ascii="Arial" w:hAnsi="Arial" w:cs="Arial"/>
          <w:sz w:val="22"/>
          <w:szCs w:val="22"/>
        </w:rPr>
        <w:t>In fact, as outlined in our answer to Q5, while USD LIBOR will continue to be published until June 2023, we understand that 1-week and 2-months USD LIBOR will cease to be published at the end of 2021. In addition, there have been firm recommendations to market participants, including from the European Commission, ECB, EBA and ESMA, to no longer enter new derivative contracts referencing USD LIBOR by the end of the year.</w:t>
      </w:r>
    </w:p>
    <w:p w14:paraId="4BBDD35E" w14:textId="77777777" w:rsidR="00A54715" w:rsidRPr="00A54715" w:rsidRDefault="00A54715" w:rsidP="00A54715">
      <w:pPr>
        <w:jc w:val="both"/>
        <w:rPr>
          <w:rFonts w:ascii="Arial" w:hAnsi="Arial" w:cs="Arial"/>
          <w:sz w:val="22"/>
          <w:szCs w:val="22"/>
        </w:rPr>
      </w:pPr>
    </w:p>
    <w:bookmarkEnd w:id="1"/>
    <w:p w14:paraId="4C629500" w14:textId="77777777" w:rsidR="00A54715" w:rsidRPr="00A54715" w:rsidRDefault="00A54715" w:rsidP="00A54715">
      <w:pPr>
        <w:jc w:val="both"/>
        <w:rPr>
          <w:rFonts w:ascii="Arial" w:hAnsi="Arial" w:cs="Arial"/>
          <w:sz w:val="22"/>
          <w:szCs w:val="22"/>
        </w:rPr>
      </w:pPr>
      <w:r w:rsidRPr="00A54715">
        <w:rPr>
          <w:rFonts w:ascii="Arial" w:hAnsi="Arial" w:cs="Arial"/>
          <w:sz w:val="22"/>
          <w:szCs w:val="22"/>
        </w:rPr>
        <w:t>In addition, if OTC interest rate derivatives referencing USD LIBOR are removed from the scope of the CO by the end of the year (according to ESMA’s proposal), then they should automatically no longer be subject to the DTO.</w:t>
      </w:r>
    </w:p>
    <w:permEnd w:id="334326387"/>
    <w:p w14:paraId="240C6ECC"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&lt;ESMA_QUESTION_RFRS_8&gt;</w:t>
      </w:r>
    </w:p>
    <w:p w14:paraId="0C0346E7" w14:textId="2BBFAEED" w:rsidR="009835AD" w:rsidRDefault="009835AD" w:rsidP="009835AD">
      <w:pPr>
        <w:spacing w:after="160" w:line="259" w:lineRule="auto"/>
        <w:rPr>
          <w:rFonts w:ascii="Calibri" w:eastAsia="Calibri" w:hAnsi="Calibri"/>
          <w:sz w:val="22"/>
          <w:szCs w:val="22"/>
          <w:lang w:eastAsia="en-US"/>
        </w:rPr>
      </w:pPr>
    </w:p>
    <w:p w14:paraId="73A694AF" w14:textId="6C55CC32" w:rsidR="0037358E" w:rsidRPr="0037358E" w:rsidRDefault="0037358E" w:rsidP="0037358E">
      <w:pPr>
        <w:spacing w:after="120" w:line="264" w:lineRule="auto"/>
        <w:rPr>
          <w:rFonts w:asciiTheme="minorHAnsi" w:hAnsiTheme="minorHAnsi" w:cstheme="minorHAnsi"/>
          <w:b/>
          <w:sz w:val="22"/>
          <w:szCs w:val="22"/>
        </w:rPr>
      </w:pPr>
      <w:r w:rsidRPr="0037358E">
        <w:rPr>
          <w:rFonts w:asciiTheme="minorHAnsi" w:hAnsiTheme="minorHAnsi" w:cstheme="minorHAnsi"/>
          <w:b/>
          <w:sz w:val="22"/>
          <w:szCs w:val="22"/>
        </w:rPr>
        <w:t>Cost Benefit Analysis</w:t>
      </w:r>
    </w:p>
    <w:p w14:paraId="74C3C7A2" w14:textId="77777777" w:rsidR="009835AD" w:rsidRPr="009835AD" w:rsidRDefault="009835AD" w:rsidP="009835AD">
      <w:pPr>
        <w:numPr>
          <w:ilvl w:val="0"/>
          <w:numId w:val="9"/>
        </w:numPr>
        <w:spacing w:after="250" w:line="276" w:lineRule="auto"/>
        <w:contextualSpacing/>
        <w:jc w:val="both"/>
        <w:rPr>
          <w:rFonts w:ascii="Arial" w:hAnsi="Arial" w:cs="Arial"/>
          <w:b/>
          <w:sz w:val="22"/>
          <w:szCs w:val="22"/>
          <w:lang w:val="en-US" w:eastAsia="en-US"/>
        </w:rPr>
      </w:pPr>
      <w:r w:rsidRPr="009835AD">
        <w:rPr>
          <w:rFonts w:ascii="Arial" w:hAnsi="Arial" w:cs="Arial"/>
          <w:b/>
          <w:sz w:val="22"/>
          <w:szCs w:val="22"/>
          <w:lang w:val="en-US" w:eastAsia="en-US"/>
        </w:rPr>
        <w:t xml:space="preserve">: </w:t>
      </w:r>
      <w:r w:rsidRPr="009835AD">
        <w:rPr>
          <w:rFonts w:ascii="Arial" w:hAnsi="Arial" w:cs="Arial"/>
          <w:b/>
          <w:bCs/>
          <w:sz w:val="22"/>
          <w:szCs w:val="22"/>
          <w:lang w:val="en-US" w:eastAsia="en-US"/>
        </w:rPr>
        <w:t xml:space="preserve">Are there other elements that should be taken into account and that would impact the outcome of the cost-benefit analysis?  Please provide quantitative and qualitative details. </w:t>
      </w:r>
    </w:p>
    <w:p w14:paraId="15CE8924"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&lt;ESMA_QUESTION_RFRS_9&gt;</w:t>
      </w:r>
    </w:p>
    <w:p w14:paraId="2F6FE426" w14:textId="47131EF5" w:rsidR="009835AD" w:rsidRPr="00973C84" w:rsidRDefault="00973C84" w:rsidP="009835AD">
      <w:pPr>
        <w:spacing w:after="160" w:line="259" w:lineRule="auto"/>
        <w:rPr>
          <w:rFonts w:ascii="Arial" w:eastAsia="Calibri" w:hAnsi="Arial" w:cs="Arial"/>
          <w:caps/>
          <w:sz w:val="22"/>
          <w:szCs w:val="22"/>
          <w:lang w:eastAsia="en-US"/>
        </w:rPr>
      </w:pPr>
      <w:permStart w:id="822749787" w:edGrp="everyone"/>
      <w:r w:rsidRPr="00973C84">
        <w:rPr>
          <w:rFonts w:ascii="Arial" w:eastAsia="Calibri" w:hAnsi="Arial" w:cs="Arial"/>
          <w:caps/>
          <w:sz w:val="22"/>
          <w:szCs w:val="22"/>
          <w:lang w:eastAsia="en-US"/>
        </w:rPr>
        <w:t>Type your text here</w:t>
      </w:r>
    </w:p>
    <w:permEnd w:id="822749787"/>
    <w:p w14:paraId="729056E0" w14:textId="77777777" w:rsidR="009835AD" w:rsidRPr="009835AD" w:rsidRDefault="009835AD" w:rsidP="009835AD">
      <w:pPr>
        <w:spacing w:after="160" w:line="259" w:lineRule="auto"/>
        <w:rPr>
          <w:rFonts w:ascii="Calibri" w:eastAsia="Calibri" w:hAnsi="Calibri"/>
          <w:sz w:val="22"/>
          <w:szCs w:val="22"/>
          <w:lang w:eastAsia="en-US"/>
        </w:rPr>
      </w:pPr>
      <w:r w:rsidRPr="009835AD">
        <w:rPr>
          <w:rFonts w:ascii="Calibri" w:eastAsia="Calibri" w:hAnsi="Calibri"/>
          <w:sz w:val="22"/>
          <w:szCs w:val="22"/>
          <w:lang w:eastAsia="en-US"/>
        </w:rPr>
        <w:t>&lt;ESMA_QUESTION_RFRS_9&gt;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9632" w14:textId="77777777" w:rsidR="00634E60" w:rsidRDefault="00634E60" w:rsidP="007E7997">
      <w:r>
        <w:separator/>
      </w:r>
    </w:p>
  </w:endnote>
  <w:endnote w:type="continuationSeparator" w:id="0">
    <w:p w14:paraId="5FA1B323" w14:textId="77777777" w:rsidR="00634E60" w:rsidRDefault="00634E60" w:rsidP="007E7997">
      <w:r>
        <w:continuationSeparator/>
      </w:r>
    </w:p>
  </w:endnote>
  <w:endnote w:type="continuationNotice" w:id="1">
    <w:p w14:paraId="25C2EC5A" w14:textId="77777777" w:rsidR="00634E60" w:rsidRDefault="00634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Pieddepag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2AD671BE" w:rsidR="00E36813" w:rsidRDefault="00E36813" w:rsidP="007A160F">
    <w:pPr>
      <w:pStyle w:val="Pieddepage"/>
    </w:pPr>
    <w:r>
      <w:rPr>
        <w:rFonts w:asciiTheme="majorHAnsi" w:hAnsiTheme="majorHAnsi"/>
        <w:color w:val="FFFFFF" w:themeColor="background1"/>
      </w:rPr>
      <w:tab/>
    </w:r>
    <w:r>
      <w:rPr>
        <w:rFonts w:asciiTheme="majorHAnsi" w:hAnsiTheme="majorHAnsi"/>
        <w:color w:val="FFFFFF" w:themeColor="background1"/>
      </w:rPr>
      <w:tab/>
    </w:r>
    <w:r w:rsidR="00351F68">
      <w:rPr>
        <w:rFonts w:asciiTheme="majorHAnsi" w:hAnsiTheme="majorHAnsi"/>
        <w:color w:val="FFFFFF" w:themeColor="background1"/>
      </w:rPr>
      <w:t>9</w:t>
    </w:r>
    <w:r w:rsidR="0037358E">
      <w:rPr>
        <w:rFonts w:asciiTheme="majorHAnsi" w:hAnsiTheme="majorHAnsi"/>
        <w:color w:val="FFFFFF" w:themeColor="background1"/>
      </w:rPr>
      <w:t xml:space="preserve"> </w:t>
    </w:r>
    <w:r w:rsidR="008279D3">
      <w:rPr>
        <w:rFonts w:asciiTheme="majorHAnsi" w:hAnsiTheme="majorHAnsi"/>
        <w:color w:val="FFFFFF" w:themeColor="background1"/>
      </w:rPr>
      <w:t>July</w:t>
    </w:r>
    <w:r w:rsidR="00AB6157">
      <w:rPr>
        <w:rFonts w:asciiTheme="majorHAnsi" w:hAnsiTheme="majorHAnsi"/>
        <w:color w:val="FFFFFF" w:themeColor="background1"/>
      </w:rPr>
      <w:t xml:space="preserve">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21</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70-156-4704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Pieddepag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1CFF" w14:textId="77777777" w:rsidR="00634E60" w:rsidRDefault="00634E60" w:rsidP="007E7997">
      <w:r>
        <w:separator/>
      </w:r>
    </w:p>
  </w:footnote>
  <w:footnote w:type="continuationSeparator" w:id="0">
    <w:p w14:paraId="7204E1AF" w14:textId="77777777" w:rsidR="00634E60" w:rsidRDefault="00634E60" w:rsidP="007E7997">
      <w:r>
        <w:continuationSeparator/>
      </w:r>
    </w:p>
  </w:footnote>
  <w:footnote w:type="continuationNotice" w:id="1">
    <w:p w14:paraId="46A76682" w14:textId="77777777" w:rsidR="00634E60" w:rsidRDefault="00634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En-tte"/>
    </w:pPr>
  </w:p>
  <w:p w14:paraId="59FA3C9D" w14:textId="77777777" w:rsidR="00E36813" w:rsidRDefault="00E368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1035" w14:textId="77777777" w:rsidR="00E36813" w:rsidRDefault="00E36813">
    <w:pPr>
      <w:pStyle w:val="En-tte"/>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5E62980F" w:rsidR="00E36813" w:rsidRDefault="00E36813" w:rsidP="00B50534">
    <w:pPr>
      <w:pStyle w:val="En-tte"/>
      <w:jc w:val="right"/>
      <w:rPr>
        <w:b/>
        <w:color w:val="FF0000"/>
      </w:rPr>
    </w:pPr>
    <w:r w:rsidRPr="008D5F86">
      <w:rPr>
        <w:rFonts w:ascii="Arial" w:hAnsi="Arial" w:cs="Arial"/>
        <w:noProof/>
      </w:rPr>
      <mc:AlternateContent>
        <mc:Choice Requires="wps">
          <w:drawing>
            <wp:anchor distT="0" distB="0" distL="114300" distR="114300" simplePos="0" relativeHeight="251662336"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F24A9" id="Line 1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1E4219F2" w:rsidR="00E36813" w:rsidRPr="00D13661" w:rsidRDefault="00E36813" w:rsidP="00B50534">
    <w:pPr>
      <w:pStyle w:val="En-tt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7216"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p w14:paraId="276D8625" w14:textId="77777777" w:rsidR="00E36813" w:rsidRPr="00C3170E" w:rsidRDefault="00E36813" w:rsidP="00B50534">
    <w:pPr>
      <w:pStyle w:val="En-tte"/>
      <w:jc w:val="right"/>
      <w:rPr>
        <w:color w:val="2F5496" w:themeColor="accent5" w:themeShade="BF"/>
        <w:sz w:val="20"/>
      </w:rPr>
    </w:pPr>
  </w:p>
  <w:p w14:paraId="5EAB6EC6" w14:textId="77777777" w:rsidR="00E36813" w:rsidRPr="00B50534" w:rsidRDefault="00E36813" w:rsidP="00B50534">
    <w:pPr>
      <w:pStyle w:val="En-tt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Paragraphedeliste"/>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BA944B8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Titre1"/>
      <w:lvlText w:val="%1."/>
      <w:lvlJc w:val="righ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2"/>
  </w:num>
  <w:num w:numId="3">
    <w:abstractNumId w:val="21"/>
  </w:num>
  <w:num w:numId="4">
    <w:abstractNumId w:val="3"/>
  </w:num>
  <w:num w:numId="5">
    <w:abstractNumId w:val="12"/>
  </w:num>
  <w:num w:numId="6">
    <w:abstractNumId w:val="23"/>
  </w:num>
  <w:num w:numId="7">
    <w:abstractNumId w:val="11"/>
  </w:num>
  <w:num w:numId="8">
    <w:abstractNumId w:val="5"/>
  </w:num>
  <w:num w:numId="9">
    <w:abstractNumId w:val="8"/>
  </w:num>
  <w:num w:numId="10">
    <w:abstractNumId w:val="7"/>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8"/>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3"/>
  </w:num>
  <w:num w:numId="20">
    <w:abstractNumId w:val="10"/>
  </w:num>
  <w:num w:numId="21">
    <w:abstractNumId w:val="20"/>
  </w:num>
  <w:num w:numId="22">
    <w:abstractNumId w:val="13"/>
  </w:num>
  <w:num w:numId="23">
    <w:abstractNumId w:val="17"/>
  </w:num>
  <w:num w:numId="24">
    <w:abstractNumId w:val="0"/>
  </w:num>
  <w:num w:numId="25">
    <w:abstractNumId w:val="16"/>
  </w:num>
  <w:num w:numId="26">
    <w:abstractNumId w:val="14"/>
  </w:num>
  <w:num w:numId="27">
    <w:abstractNumId w:val="9"/>
  </w:num>
  <w:num w:numId="28">
    <w:abstractNumId w:val="1"/>
  </w:num>
  <w:num w:numId="29">
    <w:abstractNumId w:val="1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boWPkncn5aAn36Z/9u5UWwI9gkZmtAfpA0ajWP7f5CXo7Uy3WeRE/DDEiYgaDqZSioGnOFpdz++piwj9ADcUNg==" w:salt="46iGyQanSHMK1gnKqpfQaQ=="/>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27C5"/>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E6A8E"/>
    <w:rsid w:val="002F6279"/>
    <w:rsid w:val="003013B7"/>
    <w:rsid w:val="00301993"/>
    <w:rsid w:val="00301E55"/>
    <w:rsid w:val="00307397"/>
    <w:rsid w:val="003101EF"/>
    <w:rsid w:val="00312602"/>
    <w:rsid w:val="00312BDD"/>
    <w:rsid w:val="00314117"/>
    <w:rsid w:val="00317EDF"/>
    <w:rsid w:val="003279E7"/>
    <w:rsid w:val="00327B62"/>
    <w:rsid w:val="00331FE9"/>
    <w:rsid w:val="0033324D"/>
    <w:rsid w:val="0033587C"/>
    <w:rsid w:val="00336BF9"/>
    <w:rsid w:val="003371E8"/>
    <w:rsid w:val="00337471"/>
    <w:rsid w:val="0034151D"/>
    <w:rsid w:val="00342361"/>
    <w:rsid w:val="00342B5B"/>
    <w:rsid w:val="00343532"/>
    <w:rsid w:val="00345469"/>
    <w:rsid w:val="003454ED"/>
    <w:rsid w:val="00345EB9"/>
    <w:rsid w:val="0035030F"/>
    <w:rsid w:val="003519DD"/>
    <w:rsid w:val="00351F68"/>
    <w:rsid w:val="00353C4B"/>
    <w:rsid w:val="003545A6"/>
    <w:rsid w:val="00356C60"/>
    <w:rsid w:val="003578D1"/>
    <w:rsid w:val="00363639"/>
    <w:rsid w:val="00366D42"/>
    <w:rsid w:val="0036748C"/>
    <w:rsid w:val="00372615"/>
    <w:rsid w:val="00372EA3"/>
    <w:rsid w:val="0037358E"/>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7FEA"/>
    <w:rsid w:val="004A75F5"/>
    <w:rsid w:val="004B07B2"/>
    <w:rsid w:val="004B0955"/>
    <w:rsid w:val="004B143D"/>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8353A"/>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07E71"/>
    <w:rsid w:val="00613BF6"/>
    <w:rsid w:val="00616D27"/>
    <w:rsid w:val="006234FE"/>
    <w:rsid w:val="00623840"/>
    <w:rsid w:val="006255EC"/>
    <w:rsid w:val="00625A25"/>
    <w:rsid w:val="0062736A"/>
    <w:rsid w:val="00634E60"/>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391B"/>
    <w:rsid w:val="006B79E0"/>
    <w:rsid w:val="006C0B2D"/>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4B66"/>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00A6"/>
    <w:rsid w:val="008E2D26"/>
    <w:rsid w:val="008E4076"/>
    <w:rsid w:val="008E7DBA"/>
    <w:rsid w:val="008F1993"/>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C84"/>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715"/>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3DBF"/>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Titre1">
    <w:name w:val="heading 1"/>
    <w:basedOn w:val="Normal"/>
    <w:next w:val="Normal"/>
    <w:link w:val="Titre1C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re4">
    <w:name w:val="heading 4"/>
    <w:basedOn w:val="Normal"/>
    <w:next w:val="Normal"/>
    <w:link w:val="Titre4C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re6">
    <w:name w:val="heading 6"/>
    <w:basedOn w:val="Normal"/>
    <w:next w:val="Normal"/>
    <w:link w:val="Titre6C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re7">
    <w:name w:val="heading 7"/>
    <w:basedOn w:val="Normal"/>
    <w:next w:val="Normal"/>
    <w:link w:val="Titre7C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re8">
    <w:name w:val="heading 8"/>
    <w:basedOn w:val="Normal"/>
    <w:next w:val="Normal"/>
    <w:link w:val="Titre8C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re9">
    <w:name w:val="heading 9"/>
    <w:basedOn w:val="Normal"/>
    <w:next w:val="Normal"/>
    <w:link w:val="Titre9C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rsid w:val="00020300"/>
    <w:rPr>
      <w:rFonts w:asciiTheme="majorHAnsi" w:eastAsiaTheme="majorEastAsia" w:hAnsiTheme="majorHAnsi" w:cstheme="majorBidi"/>
      <w:sz w:val="24"/>
      <w:szCs w:val="22"/>
      <w:lang w:val="en-GB" w:eastAsia="en-GB"/>
    </w:rPr>
  </w:style>
  <w:style w:type="character" w:customStyle="1" w:styleId="Titre3Car">
    <w:name w:val="Titre 3 Car"/>
    <w:basedOn w:val="Policepardfaut"/>
    <w:link w:val="Titre3"/>
    <w:rsid w:val="00020300"/>
    <w:rPr>
      <w:rFonts w:asciiTheme="majorHAnsi" w:eastAsiaTheme="majorEastAsia" w:hAnsiTheme="majorHAnsi" w:cstheme="majorBidi"/>
      <w:sz w:val="24"/>
      <w:szCs w:val="24"/>
      <w:lang w:val="en-GB" w:eastAsia="en-GB"/>
    </w:rPr>
  </w:style>
  <w:style w:type="character" w:customStyle="1" w:styleId="Titre1Car">
    <w:name w:val="Titre 1 Car"/>
    <w:basedOn w:val="Policepardfaut"/>
    <w:link w:val="Titre1"/>
    <w:rsid w:val="00FE0BD8"/>
    <w:rPr>
      <w:rFonts w:asciiTheme="majorHAnsi" w:eastAsiaTheme="majorEastAsia" w:hAnsiTheme="majorHAnsi" w:cstheme="majorBidi"/>
      <w:b/>
      <w:sz w:val="32"/>
      <w:szCs w:val="32"/>
      <w:lang w:val="en-GB" w:eastAsia="en-GB"/>
    </w:rPr>
  </w:style>
  <w:style w:type="character" w:customStyle="1" w:styleId="Titre2Car">
    <w:name w:val="Titre 2 Car"/>
    <w:basedOn w:val="Policepardfaut"/>
    <w:link w:val="Titre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autoRedefine/>
    <w:rsid w:val="002574D1"/>
    <w:pPr>
      <w:numPr>
        <w:numId w:val="2"/>
      </w:numPr>
    </w:pPr>
    <w:rPr>
      <w:b/>
      <w:sz w:val="28"/>
    </w:rPr>
  </w:style>
  <w:style w:type="character" w:customStyle="1" w:styleId="Title1Char">
    <w:name w:val="Title 1 Char"/>
    <w:basedOn w:val="Policepardfaut"/>
    <w:link w:val="Title1"/>
    <w:rsid w:val="003C4EB5"/>
    <w:rPr>
      <w:rFonts w:eastAsiaTheme="majorEastAsia" w:cstheme="minorHAnsi"/>
      <w:b/>
      <w:sz w:val="28"/>
      <w:szCs w:val="22"/>
      <w:lang w:val="en-GB" w:eastAsia="en-GB"/>
    </w:rPr>
  </w:style>
  <w:style w:type="paragraph" w:styleId="Paragraphedeliste">
    <w:name w:val="List Paragraph"/>
    <w:aliases w:val="Paragraphe EI,Paragraphe de liste1,EC,Normal Nivel 1,List Paragraph Main,List first level,List Paragraph_Sections"/>
    <w:basedOn w:val="Normal"/>
    <w:link w:val="ParagraphedelisteC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phedeliste"/>
    <w:link w:val="Title3Char"/>
    <w:autoRedefine/>
    <w:rsid w:val="002574D1"/>
    <w:pPr>
      <w:numPr>
        <w:ilvl w:val="3"/>
        <w:numId w:val="2"/>
      </w:numPr>
    </w:pPr>
  </w:style>
  <w:style w:type="character" w:customStyle="1" w:styleId="Title3Char">
    <w:name w:val="Title 3 Char"/>
    <w:basedOn w:val="Policepardfau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Policepardfau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sz w:val="24"/>
      <w:szCs w:val="22"/>
      <w:lang w:val="en-GB" w:eastAsia="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rsid w:val="00AA054E"/>
    <w:rPr>
      <w:rFonts w:asciiTheme="majorHAnsi" w:eastAsiaTheme="majorEastAsia" w:hAnsiTheme="majorHAnsi" w:cstheme="majorBidi"/>
      <w:i/>
      <w:iCs/>
      <w:color w:val="44546A" w:themeColor="text2"/>
      <w:sz w:val="21"/>
      <w:szCs w:val="21"/>
      <w:lang w:val="en-GB" w:eastAsia="en-GB"/>
    </w:rPr>
  </w:style>
  <w:style w:type="paragraph" w:styleId="Titre">
    <w:name w:val="Title"/>
    <w:basedOn w:val="Normal"/>
    <w:next w:val="Normal"/>
    <w:link w:val="TitreC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reCar">
    <w:name w:val="Titre Car"/>
    <w:basedOn w:val="Policepardfaut"/>
    <w:link w:val="Titr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us-titre">
    <w:name w:val="Subtitle"/>
    <w:basedOn w:val="Normal"/>
    <w:next w:val="Normal"/>
    <w:link w:val="Sous-titreCar"/>
    <w:uiPriority w:val="11"/>
    <w:qFormat/>
    <w:rsid w:val="00366D42"/>
    <w:pPr>
      <w:numPr>
        <w:ilvl w:val="1"/>
      </w:numPr>
    </w:pPr>
    <w:rPr>
      <w:rFonts w:asciiTheme="majorHAnsi" w:eastAsiaTheme="majorEastAsia" w:hAnsiTheme="majorHAnsi" w:cstheme="majorBidi"/>
      <w:b/>
      <w:sz w:val="28"/>
    </w:rPr>
  </w:style>
  <w:style w:type="character" w:customStyle="1" w:styleId="Sous-titreCar">
    <w:name w:val="Sous-titre Car"/>
    <w:basedOn w:val="Policepardfaut"/>
    <w:link w:val="Sous-titre"/>
    <w:uiPriority w:val="11"/>
    <w:rsid w:val="00366D42"/>
    <w:rPr>
      <w:rFonts w:asciiTheme="majorHAnsi" w:eastAsiaTheme="majorEastAsia" w:hAnsiTheme="majorHAnsi" w:cstheme="majorBidi"/>
      <w:b/>
      <w:sz w:val="28"/>
      <w:szCs w:val="24"/>
      <w:lang w:val="en-GB"/>
    </w:rPr>
  </w:style>
  <w:style w:type="character" w:customStyle="1" w:styleId="Titre7Car">
    <w:name w:val="Titre 7 Car"/>
    <w:basedOn w:val="Policepardfaut"/>
    <w:link w:val="Titre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re8Car">
    <w:name w:val="Titre 8 Car"/>
    <w:basedOn w:val="Policepardfaut"/>
    <w:link w:val="Titre8"/>
    <w:rsid w:val="00AA054E"/>
    <w:rPr>
      <w:rFonts w:asciiTheme="majorHAnsi" w:eastAsiaTheme="majorEastAsia" w:hAnsiTheme="majorHAnsi" w:cstheme="majorBidi"/>
      <w:b/>
      <w:bCs/>
      <w:color w:val="44546A" w:themeColor="text2"/>
      <w:sz w:val="24"/>
      <w:szCs w:val="24"/>
      <w:lang w:val="en-GB" w:eastAsia="en-GB"/>
    </w:rPr>
  </w:style>
  <w:style w:type="character" w:customStyle="1" w:styleId="Titre9Car">
    <w:name w:val="Titre 9 Car"/>
    <w:basedOn w:val="Policepardfaut"/>
    <w:link w:val="Titre9"/>
    <w:rsid w:val="00AA054E"/>
    <w:rPr>
      <w:rFonts w:asciiTheme="majorHAnsi" w:eastAsiaTheme="majorEastAsia" w:hAnsiTheme="majorHAnsi" w:cstheme="majorBidi"/>
      <w:b/>
      <w:bCs/>
      <w:i/>
      <w:iCs/>
      <w:color w:val="44546A" w:themeColor="text2"/>
      <w:sz w:val="24"/>
      <w:szCs w:val="24"/>
      <w:lang w:val="en-GB" w:eastAsia="en-GB"/>
    </w:rPr>
  </w:style>
  <w:style w:type="paragraph" w:styleId="Lgende">
    <w:name w:val="caption"/>
    <w:basedOn w:val="Normal"/>
    <w:next w:val="Normal"/>
    <w:uiPriority w:val="35"/>
    <w:semiHidden/>
    <w:unhideWhenUsed/>
    <w:qFormat/>
    <w:rsid w:val="00AA054E"/>
    <w:rPr>
      <w:b/>
      <w:bCs/>
      <w:smallCaps/>
      <w:color w:val="595959"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AA054E"/>
    <w:rPr>
      <w:i/>
      <w:iCs/>
      <w:color w:val="404040" w:themeColor="text1" w:themeTint="BF"/>
    </w:rPr>
  </w:style>
  <w:style w:type="paragraph" w:styleId="Citationintense">
    <w:name w:val="Intense Quote"/>
    <w:basedOn w:val="Normal"/>
    <w:next w:val="Normal"/>
    <w:link w:val="CitationintenseC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5B9BD5" w:themeColor="accent1"/>
      <w:sz w:val="28"/>
      <w:szCs w:val="28"/>
    </w:rPr>
  </w:style>
  <w:style w:type="character" w:styleId="Accentuationlgre">
    <w:name w:val="Subtle Emphasis"/>
    <w:aliases w:val="Text,Emphase pâle,Diskret betoning"/>
    <w:basedOn w:val="Policepardfaut"/>
    <w:uiPriority w:val="19"/>
    <w:qFormat/>
    <w:rsid w:val="00287C8F"/>
    <w:rPr>
      <w:rFonts w:asciiTheme="majorHAnsi" w:hAnsiTheme="majorHAnsi"/>
      <w:i/>
      <w:iCs/>
      <w:color w:val="auto"/>
      <w:sz w:val="22"/>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404040" w:themeColor="text1" w:themeTint="BF"/>
      <w:u w:val="single" w:color="7F7F7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AA054E"/>
    <w:p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rsid w:val="007E7997"/>
    <w:pPr>
      <w:tabs>
        <w:tab w:val="center" w:pos="4536"/>
        <w:tab w:val="right" w:pos="9072"/>
      </w:tabs>
    </w:pPr>
  </w:style>
  <w:style w:type="character" w:customStyle="1" w:styleId="En-tteCar">
    <w:name w:val="En-tête Car"/>
    <w:basedOn w:val="Policepardfaut"/>
    <w:link w:val="En-tte"/>
    <w:uiPriority w:val="99"/>
    <w:rsid w:val="007E7997"/>
    <w:rPr>
      <w:sz w:val="22"/>
    </w:rPr>
  </w:style>
  <w:style w:type="paragraph" w:styleId="Pieddepage">
    <w:name w:val="footer"/>
    <w:basedOn w:val="Normal"/>
    <w:link w:val="PieddepageCar"/>
    <w:uiPriority w:val="99"/>
    <w:unhideWhenUsed/>
    <w:rsid w:val="007E7997"/>
    <w:pPr>
      <w:tabs>
        <w:tab w:val="center" w:pos="4536"/>
        <w:tab w:val="right" w:pos="9072"/>
      </w:tabs>
    </w:pPr>
  </w:style>
  <w:style w:type="character" w:customStyle="1" w:styleId="PieddepageCar">
    <w:name w:val="Pied de page Car"/>
    <w:basedOn w:val="Policepardfaut"/>
    <w:link w:val="Pieddepage"/>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M1">
    <w:name w:val="toc 1"/>
    <w:basedOn w:val="Normal"/>
    <w:next w:val="Normal"/>
    <w:autoRedefine/>
    <w:uiPriority w:val="39"/>
    <w:unhideWhenUsed/>
    <w:rsid w:val="00B81A44"/>
    <w:pPr>
      <w:tabs>
        <w:tab w:val="left" w:pos="440"/>
        <w:tab w:val="right" w:leader="dot" w:pos="9062"/>
      </w:tabs>
      <w:spacing w:after="100"/>
    </w:pPr>
  </w:style>
  <w:style w:type="paragraph" w:styleId="TM2">
    <w:name w:val="toc 2"/>
    <w:basedOn w:val="Normal"/>
    <w:next w:val="Normal"/>
    <w:autoRedefine/>
    <w:uiPriority w:val="39"/>
    <w:unhideWhenUsed/>
    <w:rsid w:val="00BC422A"/>
    <w:pPr>
      <w:spacing w:after="100"/>
      <w:ind w:left="220"/>
    </w:pPr>
  </w:style>
  <w:style w:type="paragraph" w:styleId="TM3">
    <w:name w:val="toc 3"/>
    <w:basedOn w:val="Normal"/>
    <w:next w:val="Normal"/>
    <w:autoRedefine/>
    <w:uiPriority w:val="39"/>
    <w:unhideWhenUsed/>
    <w:rsid w:val="00BC422A"/>
    <w:pPr>
      <w:spacing w:after="100"/>
      <w:ind w:left="440"/>
    </w:pPr>
  </w:style>
  <w:style w:type="character" w:styleId="Lienhypertexte">
    <w:name w:val="Hyperlink"/>
    <w:basedOn w:val="Policepardfau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Policepardfau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semiHidden/>
    <w:unhideWhenUsed/>
    <w:qFormat/>
    <w:rsid w:val="006F53E8"/>
    <w:rPr>
      <w:sz w:val="16"/>
    </w:rPr>
  </w:style>
  <w:style w:type="character" w:customStyle="1" w:styleId="NotedebasdepageCar">
    <w:name w:val="Note de bas de page Car"/>
    <w:basedOn w:val="Policepardfaut"/>
    <w:link w:val="Notedebasdepage"/>
    <w:uiPriority w:val="99"/>
    <w:semiHidden/>
    <w:rsid w:val="006F53E8"/>
    <w:rPr>
      <w:sz w:val="16"/>
      <w:lang w:val="en-GB"/>
    </w:rPr>
  </w:style>
  <w:style w:type="character" w:styleId="Appelnotedebasdep">
    <w:name w:val="footnote reference"/>
    <w:aliases w:val="SUPERS,Footnote reference number,Footnote symbol,note TESI,-E Fußnotenzeichen,number,BVI fnr,Footnote Reference Superscript,(Footnote Reference),EN Footnote Reference,Voetnootverwijzing,Times 10 Point,Exposant 3 Poi,16 Point"/>
    <w:basedOn w:val="Policepardfaut"/>
    <w:uiPriority w:val="99"/>
    <w:unhideWhenUsed/>
    <w:qFormat/>
    <w:rsid w:val="00A91D91"/>
    <w:rPr>
      <w:rFonts w:asciiTheme="majorHAnsi" w:hAnsiTheme="majorHAnsi"/>
      <w:sz w:val="16"/>
      <w:vertAlign w:val="superscript"/>
    </w:rPr>
  </w:style>
  <w:style w:type="paragraph" w:customStyle="1" w:styleId="Footnote">
    <w:name w:val="Footnote"/>
    <w:basedOn w:val="Notedebasdepage"/>
    <w:link w:val="FootnoteChar"/>
    <w:rsid w:val="00B50534"/>
    <w:rPr>
      <w:lang w:val="nl-BE"/>
    </w:rPr>
  </w:style>
  <w:style w:type="character" w:customStyle="1" w:styleId="FootnoteChar">
    <w:name w:val="Footnote Char"/>
    <w:basedOn w:val="NotedebasdepageCar"/>
    <w:link w:val="Footnote"/>
    <w:rsid w:val="00B50534"/>
    <w:rPr>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Textedebulles">
    <w:name w:val="Balloon Text"/>
    <w:basedOn w:val="Normal"/>
    <w:link w:val="TextedebullesCar"/>
    <w:uiPriority w:val="99"/>
    <w:semiHidden/>
    <w:unhideWhenUsed/>
    <w:rsid w:val="003C167E"/>
    <w:rPr>
      <w:rFonts w:ascii="Tahoma" w:hAnsi="Tahoma" w:cs="Tahoma"/>
      <w:sz w:val="16"/>
      <w:szCs w:val="16"/>
    </w:rPr>
  </w:style>
  <w:style w:type="character" w:customStyle="1" w:styleId="TextedebullesCar">
    <w:name w:val="Texte de bulles Car"/>
    <w:basedOn w:val="Policepardfaut"/>
    <w:link w:val="Textedebulles"/>
    <w:uiPriority w:val="99"/>
    <w:semiHidden/>
    <w:rsid w:val="003C167E"/>
    <w:rPr>
      <w:rFonts w:ascii="Tahoma" w:hAnsi="Tahoma" w:cs="Tahoma"/>
      <w:sz w:val="16"/>
      <w:szCs w:val="16"/>
      <w:lang w:val="en-GB"/>
    </w:rPr>
  </w:style>
  <w:style w:type="character" w:styleId="Marquedecommentaire">
    <w:name w:val="annotation reference"/>
    <w:basedOn w:val="Policepardfaut"/>
    <w:uiPriority w:val="99"/>
    <w:semiHidden/>
    <w:unhideWhenUsed/>
    <w:rsid w:val="00FA2400"/>
    <w:rPr>
      <w:sz w:val="16"/>
      <w:szCs w:val="16"/>
    </w:rPr>
  </w:style>
  <w:style w:type="paragraph" w:styleId="Commentaire">
    <w:name w:val="annotation text"/>
    <w:basedOn w:val="Normal"/>
    <w:link w:val="CommentaireCar"/>
    <w:uiPriority w:val="99"/>
    <w:unhideWhenUsed/>
    <w:rsid w:val="00FA2400"/>
    <w:rPr>
      <w:sz w:val="20"/>
    </w:rPr>
  </w:style>
  <w:style w:type="character" w:customStyle="1" w:styleId="CommentaireCar">
    <w:name w:val="Commentaire Car"/>
    <w:basedOn w:val="Policepardfaut"/>
    <w:link w:val="Commentaire"/>
    <w:uiPriority w:val="99"/>
    <w:rsid w:val="00FA2400"/>
    <w:rPr>
      <w:lang w:val="en-GB"/>
    </w:rPr>
  </w:style>
  <w:style w:type="paragraph" w:styleId="Objetducommentaire">
    <w:name w:val="annotation subject"/>
    <w:basedOn w:val="Commentaire"/>
    <w:next w:val="Commentaire"/>
    <w:link w:val="ObjetducommentaireCar"/>
    <w:uiPriority w:val="99"/>
    <w:semiHidden/>
    <w:unhideWhenUsed/>
    <w:rsid w:val="00FA2400"/>
    <w:rPr>
      <w:b/>
      <w:bCs/>
    </w:rPr>
  </w:style>
  <w:style w:type="character" w:customStyle="1" w:styleId="ObjetducommentaireCar">
    <w:name w:val="Objet du commentaire Car"/>
    <w:basedOn w:val="CommentaireCar"/>
    <w:link w:val="Objetducommentaire"/>
    <w:uiPriority w:val="99"/>
    <w:semiHidden/>
    <w:rsid w:val="00FA2400"/>
    <w:rPr>
      <w:b/>
      <w:bCs/>
      <w:lang w:val="en-GB"/>
    </w:rPr>
  </w:style>
  <w:style w:type="paragraph" w:styleId="R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Lienhypertextesuivivisit">
    <w:name w:val="FollowedHyperlink"/>
    <w:basedOn w:val="Policepardfau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Policepardfau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EI Car,Paragraphe de liste1 Car,EC Car,Normal Nivel 1 Car,List Paragraph Main Car,List first level Car,List Paragraph_Sections Car"/>
    <w:basedOn w:val="Policepardfaut"/>
    <w:link w:val="Paragraphedeliste"/>
    <w:uiPriority w:val="34"/>
    <w:rsid w:val="00695AF2"/>
    <w:rPr>
      <w:rFonts w:eastAsiaTheme="majorEastAsia" w:cstheme="minorHAnsi"/>
      <w:sz w:val="22"/>
      <w:szCs w:val="22"/>
      <w:lang w:val="en-GB" w:eastAsia="en-GB"/>
    </w:rPr>
  </w:style>
  <w:style w:type="table" w:customStyle="1" w:styleId="TableGrid3">
    <w:name w:val="Table Grid3"/>
    <w:basedOn w:val="Tableau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60d58daf62131746c3ac1b9b4e2bb79e">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784e366caaeed31c75d3039e996262f4"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ESMA70-156-4704</_dlc_DocId>
    <TaxCatchAll xmlns="20fbe147-bbda-4e53-b6b1-7e8bbff3fe19">
      <Value>832</Value>
      <Value>5</Value>
      <Value>14</Value>
      <Value>12</Value>
      <Value>833</Value>
    </TaxCatchAll>
    <_dlc_DocIdUrl xmlns="20fbe147-bbda-4e53-b6b1-7e8bbff3fe19">
      <Url>https://sherpa.esma.europa.eu/sites/MKT/SMK/_layouts/15/DocIdRedir.aspx?ID=ESMA70-156-4704</Url>
      <Description>ESMA70-156-4704</Description>
    </_dlc_DocIdUrl>
    <Year xmlns="20fbe147-bbda-4e53-b6b1-7e8bbff3fe19">2021</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 Clearing Obbligation</TermName>
          <TermId xmlns="http://schemas.microsoft.com/office/infopath/2007/PartnerControls">0bb3118f-23b5-4afc-b0fc-946893a4d1d6</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EMIR - Clearing Obbligation - Amendements</TermName>
          <TermId xmlns="http://schemas.microsoft.com/office/infopath/2007/PartnerControls">b02e17f3-fe5b-4971-a303-faa191b0e9d0</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DA66DDF4-AF59-4802-B20A-1D51C1856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17</TotalTime>
  <Pages>8</Pages>
  <Words>2108</Words>
  <Characters>11599</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Y. Quelhas</cp:lastModifiedBy>
  <cp:revision>5</cp:revision>
  <cp:lastPrinted>2017-07-24T14:47:00Z</cp:lastPrinted>
  <dcterms:created xsi:type="dcterms:W3CDTF">2021-09-02T08:52:00Z</dcterms:created>
  <dcterms:modified xsi:type="dcterms:W3CDTF">2021-09-02T09:07:00Z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0x01010001BD15C3986B91498E0AE644B715B9EE010D00757D222C6B0DA241B5F74437644107D4</vt:lpwstr>
  </property>
  <property fmtid="{D5CDD505-2E9C-101B-9397-08002B2CF9AE}" pid="5" name="_dlc_DocIdItemGuid">
    <vt:lpwstr>da41af48-8004-49e2-b53f-177962124504</vt:lpwstr>
  </property>
  <property fmtid="{D5CDD505-2E9C-101B-9397-08002B2CF9AE}" pid="6" name="DocumentType">
    <vt:lpwstr>12;#Report|78753201-1e9e-4a21-a088-6ff602b5c999</vt:lpwstr>
  </property>
  <property fmtid="{D5CDD505-2E9C-101B-9397-08002B2CF9AE}" pid="7" name="Topic">
    <vt:lpwstr>832;#EMIR - Clearing Obbligation|0bb3118f-23b5-4afc-b0fc-946893a4d1d6</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833;#EMIR - Clearing Obbligation - Amendements|b02e17f3-fe5b-4971-a303-faa191b0e9d0</vt:lpwstr>
  </property>
  <property fmtid="{D5CDD505-2E9C-101B-9397-08002B2CF9AE}" pid="18" name="TeamTopic">
    <vt:lpwstr>87;#Other Work|f1a52b52-917d-42ef-9667-945839604bb2</vt:lpwstr>
  </property>
</Properties>
</file>