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16706" w14:paraId="55D8B106" w14:textId="77777777" w:rsidTr="00D13661">
            <w:trPr>
              <w:trHeight w:hRule="exact" w:val="1492"/>
            </w:trPr>
            <w:tc>
              <w:tcPr>
                <w:tcW w:w="10490" w:type="dxa"/>
                <w:vAlign w:val="bottom"/>
              </w:tcPr>
              <w:p w14:paraId="2A8545EF" w14:textId="57371023" w:rsidR="00AF2EF7" w:rsidRPr="00B16706" w:rsidRDefault="00C1698A" w:rsidP="00D13661">
                <w:pPr>
                  <w:pStyle w:val="Titel"/>
                  <w:spacing w:line="276" w:lineRule="auto"/>
                  <w:ind w:right="854"/>
                  <w:rPr>
                    <w:rFonts w:asciiTheme="minorHAnsi" w:hAnsiTheme="minorHAnsi" w:cstheme="minorHAnsi"/>
                    <w:sz w:val="40"/>
                    <w:szCs w:val="40"/>
                  </w:rPr>
                </w:pPr>
                <w:r w:rsidRPr="00B16706">
                  <w:rPr>
                    <w:rFonts w:asciiTheme="minorHAnsi" w:hAnsiTheme="minorHAnsi" w:cstheme="minorHAnsi"/>
                    <w:sz w:val="40"/>
                    <w:szCs w:val="40"/>
                  </w:rPr>
                  <w:t xml:space="preserve">Response Form to the </w:t>
                </w:r>
                <w:r w:rsidR="008B2AF1" w:rsidRPr="00B16706">
                  <w:rPr>
                    <w:rFonts w:asciiTheme="minorHAnsi" w:hAnsiTheme="minorHAnsi" w:cstheme="minorHAnsi"/>
                    <w:sz w:val="40"/>
                    <w:szCs w:val="40"/>
                  </w:rPr>
                  <w:t xml:space="preserve">Consultation Paper </w:t>
                </w:r>
                <w:r w:rsidR="00B16706" w:rsidRPr="00B16706">
                  <w:rPr>
                    <w:rFonts w:asciiTheme="minorHAnsi" w:hAnsiTheme="minorHAnsi" w:cstheme="minorHAnsi"/>
                    <w:sz w:val="40"/>
                    <w:szCs w:val="40"/>
                  </w:rPr>
                  <w:t>on the clearing and derivative trading obligations in view of the benchmark transition</w:t>
                </w:r>
              </w:p>
            </w:tc>
          </w:tr>
          <w:tr w:rsidR="00AB6157" w:rsidRPr="00B16706" w14:paraId="76D253F5" w14:textId="77777777" w:rsidTr="00D13661">
            <w:trPr>
              <w:trHeight w:hRule="exact" w:val="747"/>
            </w:trPr>
            <w:tc>
              <w:tcPr>
                <w:tcW w:w="10490" w:type="dxa"/>
                <w:tcMar>
                  <w:top w:w="142" w:type="dxa"/>
                </w:tcMar>
              </w:tcPr>
              <w:p w14:paraId="26CF3934" w14:textId="7EE83A86" w:rsidR="00AB6157" w:rsidRPr="00B16706" w:rsidRDefault="00AB6157" w:rsidP="001F23C9">
                <w:pPr>
                  <w:pStyle w:val="berschrift2"/>
                  <w:numPr>
                    <w:ilvl w:val="0"/>
                    <w:numId w:val="0"/>
                  </w:numPr>
                  <w:spacing w:before="0"/>
                  <w:rPr>
                    <w:sz w:val="22"/>
                    <w:szCs w:val="22"/>
                  </w:rPr>
                </w:pPr>
              </w:p>
            </w:tc>
          </w:tr>
        </w:tbl>
        <w:p w14:paraId="7DEBD68F" w14:textId="77777777" w:rsidR="00AF2EF7" w:rsidRPr="00B16706" w:rsidRDefault="00AF2EF7" w:rsidP="00AF2EF7">
          <w:pPr>
            <w:spacing w:line="276" w:lineRule="auto"/>
            <w:rPr>
              <w:rFonts w:asciiTheme="minorHAnsi" w:hAnsiTheme="minorHAnsi" w:cstheme="minorHAnsi"/>
              <w:sz w:val="20"/>
              <w:szCs w:val="20"/>
            </w:rPr>
          </w:pPr>
        </w:p>
        <w:p w14:paraId="5B933631" w14:textId="77777777" w:rsidR="00AF2EF7" w:rsidRPr="00B16706" w:rsidRDefault="00AF2EF7" w:rsidP="00AF2EF7">
          <w:pPr>
            <w:spacing w:line="276" w:lineRule="auto"/>
            <w:rPr>
              <w:rFonts w:asciiTheme="minorHAnsi" w:hAnsiTheme="minorHAnsi" w:cstheme="minorHAnsi"/>
              <w:sz w:val="20"/>
              <w:szCs w:val="20"/>
            </w:rPr>
            <w:sectPr w:rsidR="00AF2EF7" w:rsidRPr="00B16706" w:rsidSect="007E799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0"/>
              <w:cols w:space="708"/>
              <w:titlePg/>
              <w:docGrid w:linePitch="360"/>
            </w:sectPr>
          </w:pP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3930A39B"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by </w:t>
          </w:r>
          <w:r w:rsidR="00B16706" w:rsidRPr="00B16706">
            <w:rPr>
              <w:rFonts w:asciiTheme="minorHAnsi" w:eastAsiaTheme="minorEastAsia" w:hAnsiTheme="minorHAnsi" w:cstheme="minorBidi"/>
              <w:b/>
              <w:sz w:val="18"/>
              <w:szCs w:val="16"/>
              <w:lang w:eastAsia="en-US"/>
            </w:rPr>
            <w:t>2 September 2021</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A409C2" w:rsidRDefault="008279D3" w:rsidP="00A409C2">
          <w:pPr>
            <w:pStyle w:val="Listenabsatz"/>
            <w:numPr>
              <w:ilvl w:val="0"/>
              <w:numId w:val="29"/>
            </w:numPr>
            <w:spacing w:after="250" w:line="276" w:lineRule="auto"/>
            <w:rPr>
              <w:rFonts w:eastAsiaTheme="minorEastAsia" w:cstheme="minorBidi"/>
              <w:sz w:val="18"/>
              <w:szCs w:val="16"/>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A409C2">
            <w:rPr>
              <w:rFonts w:eastAsiaTheme="minorEastAsia" w:cstheme="minorBidi"/>
              <w:b/>
              <w:bCs/>
              <w:sz w:val="18"/>
              <w:szCs w:val="16"/>
              <w:lang w:eastAsia="en-US"/>
            </w:rPr>
            <w:t>pdf documents will not be considered except for annexes</w:t>
          </w:r>
          <w:r w:rsidR="00A409C2" w:rsidRPr="00A409C2">
            <w:rPr>
              <w:rFonts w:eastAsiaTheme="minorEastAsia" w:cstheme="minorBidi"/>
              <w:sz w:val="18"/>
              <w:szCs w:val="16"/>
              <w:lang w:eastAsia="en-US"/>
            </w:rPr>
            <w:t>);</w:t>
          </w:r>
        </w:p>
        <w:p w14:paraId="6692798E" w14:textId="17C922B5"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_RFRS_1&gt;. Your response to each question has to be framed by the two tags corresponding to the question.</w:t>
          </w:r>
        </w:p>
        <w:p w14:paraId="1C4E226A" w14:textId="1D43AA8A"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50F2D8BB"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ESMA_RFRS_nameofrespondent_RESPONSEFORM. For example, for a respondent named ABCD, the response form would be entitled ESMA_RFRS_ABCD_RESPONSEFORM.</w:t>
          </w:r>
        </w:p>
        <w:p w14:paraId="28EEA743" w14:textId="38A78F85" w:rsidR="00A02199" w:rsidRPr="00A409C2" w:rsidRDefault="00B16706" w:rsidP="00AF2EF7">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7"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8"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0AC791C" w14:textId="32E1F568" w:rsidR="00AF2EF7" w:rsidRPr="00B16706" w:rsidRDefault="00A409C2" w:rsidP="00AF2EF7">
      <w:pPr>
        <w:spacing w:after="120" w:line="276" w:lineRule="auto"/>
        <w:rPr>
          <w:rFonts w:asciiTheme="minorHAnsi" w:hAnsiTheme="minorHAnsi" w:cstheme="minorHAnsi"/>
          <w:sz w:val="20"/>
          <w:szCs w:val="20"/>
        </w:rPr>
      </w:pPr>
      <w:r w:rsidRPr="00A409C2">
        <w:rPr>
          <w:rFonts w:ascii="Arial" w:hAnsi="Arial" w:cs="Arial"/>
          <w:sz w:val="18"/>
          <w:szCs w:val="18"/>
          <w:lang w:eastAsia="it-IT"/>
        </w:rPr>
        <w:t>All interested stakeholders are invited to respond to this consultation paper. In particular, responses are sought from counterparties of OTC derivatives transactions which are subject to the clearing obligation or to the derivative trading obligation as well as from CCPs and Trading Venues.</w:t>
      </w:r>
    </w:p>
    <w:p w14:paraId="13AEDA0D" w14:textId="77777777" w:rsidR="00AF2EF7" w:rsidRPr="00B16706" w:rsidRDefault="00AF2EF7" w:rsidP="00AF2EF7">
      <w:pPr>
        <w:spacing w:after="120" w:line="276" w:lineRule="auto"/>
        <w:rPr>
          <w:rFonts w:asciiTheme="minorHAnsi" w:hAnsiTheme="minorHAnsi" w:cstheme="minorHAnsi"/>
          <w:sz w:val="20"/>
          <w:szCs w:val="20"/>
        </w:rPr>
      </w:pPr>
    </w:p>
    <w:p w14:paraId="1F90B8D3" w14:textId="5957C175" w:rsidR="00C85C8B" w:rsidRDefault="00AF2EF7" w:rsidP="008279D3">
      <w:pPr>
        <w:pStyle w:val="berschrift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A354C5">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shd w:val="clear" w:color="auto" w:fill="auto"/>
              </w:tcPr>
              <w:p w14:paraId="1B67440D" w14:textId="0EBD5DB7" w:rsidR="00C85C8B" w:rsidRPr="00B16706" w:rsidRDefault="00860178" w:rsidP="00C85C8B">
                <w:pPr>
                  <w:rPr>
                    <w:rFonts w:ascii="Arial" w:hAnsi="Arial" w:cs="Arial"/>
                    <w:color w:val="808080"/>
                    <w:sz w:val="16"/>
                    <w:szCs w:val="20"/>
                    <w:lang w:eastAsia="de-DE"/>
                  </w:rPr>
                </w:pPr>
                <w:r>
                  <w:rPr>
                    <w:rFonts w:ascii="Arial" w:hAnsi="Arial" w:cs="Arial"/>
                    <w:color w:val="808080"/>
                    <w:sz w:val="16"/>
                    <w:szCs w:val="20"/>
                    <w:lang w:eastAsia="de-DE"/>
                  </w:rPr>
                  <w:t>Eurex</w:t>
                </w:r>
                <w:r w:rsidR="006E55B6">
                  <w:rPr>
                    <w:rFonts w:ascii="Arial" w:hAnsi="Arial" w:cs="Arial"/>
                    <w:color w:val="808080"/>
                    <w:sz w:val="16"/>
                    <w:szCs w:val="20"/>
                    <w:lang w:eastAsia="de-DE"/>
                  </w:rPr>
                  <w:t xml:space="preserve"> Group</w:t>
                </w:r>
              </w:p>
            </w:tc>
          </w:sdtContent>
        </w:sdt>
      </w:tr>
      <w:tr w:rsidR="00C85C8B" w:rsidRPr="00B16706" w14:paraId="216F3E57" w14:textId="77777777" w:rsidTr="00A354C5">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1ECD99D5" w:rsidR="00C85C8B" w:rsidRPr="00B16706" w:rsidRDefault="00A51D1C"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860178">
                  <w:rPr>
                    <w:rFonts w:ascii="Arial" w:hAnsi="Arial" w:cs="Arial"/>
                    <w:sz w:val="16"/>
                    <w:szCs w:val="20"/>
                    <w:lang w:eastAsia="de-DE"/>
                  </w:rPr>
                  <w:t>Central Counterparty</w:t>
                </w:r>
              </w:sdtContent>
            </w:sdt>
            <w:r w:rsidR="006E55B6">
              <w:rPr>
                <w:rFonts w:ascii="Arial" w:hAnsi="Arial" w:cs="Arial"/>
                <w:sz w:val="16"/>
                <w:szCs w:val="20"/>
                <w:lang w:eastAsia="de-DE"/>
              </w:rPr>
              <w:t xml:space="preserve"> and Regulated Markets/Exchanges/Trading Systems</w:t>
            </w:r>
          </w:p>
        </w:tc>
      </w:tr>
      <w:tr w:rsidR="00C85C8B" w:rsidRPr="00B16706" w14:paraId="0D216581" w14:textId="77777777" w:rsidTr="00A354C5">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77777777" w:rsidR="00C85C8B" w:rsidRPr="00B16706" w:rsidRDefault="00C85C8B" w:rsidP="00C85C8B">
                <w:pPr>
                  <w:rPr>
                    <w:rFonts w:ascii="Arial" w:hAnsi="Arial" w:cs="Arial"/>
                    <w:sz w:val="16"/>
                    <w:szCs w:val="20"/>
                    <w:lang w:eastAsia="de-DE"/>
                  </w:rPr>
                </w:pPr>
                <w:r w:rsidRPr="00B16706">
                  <w:rPr>
                    <w:rFonts w:ascii="Segoe UI Symbol" w:hAnsi="Segoe UI Symbol" w:cs="Segoe UI Symbol"/>
                    <w:sz w:val="16"/>
                    <w:szCs w:val="20"/>
                    <w:lang w:eastAsia="de-DE"/>
                  </w:rPr>
                  <w:t>☐</w:t>
                </w:r>
              </w:p>
            </w:tc>
          </w:sdtContent>
        </w:sdt>
      </w:tr>
      <w:tr w:rsidR="00C85C8B" w:rsidRPr="00B16706" w14:paraId="41DA9EA6" w14:textId="77777777" w:rsidTr="00A354C5">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336C2BBE" w:rsidR="00C85C8B" w:rsidRPr="00B16706" w:rsidRDefault="00860178" w:rsidP="00C85C8B">
                <w:pPr>
                  <w:rPr>
                    <w:rFonts w:ascii="Arial" w:hAnsi="Arial" w:cs="Arial"/>
                    <w:sz w:val="16"/>
                    <w:szCs w:val="20"/>
                    <w:lang w:eastAsia="de-DE"/>
                  </w:rPr>
                </w:pPr>
                <w:r>
                  <w:rPr>
                    <w:rFonts w:ascii="Arial" w:hAnsi="Arial" w:cs="Arial"/>
                    <w:sz w:val="16"/>
                    <w:szCs w:val="20"/>
                    <w:lang w:eastAsia="de-DE"/>
                  </w:rPr>
                  <w:t>Germany</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t>Questions</w:t>
      </w:r>
    </w:p>
    <w:p w14:paraId="25073A77" w14:textId="77777777" w:rsidR="00D57019" w:rsidRPr="009835AD" w:rsidRDefault="00D57019">
      <w:pPr>
        <w:spacing w:after="120" w:line="264" w:lineRule="auto"/>
        <w:rPr>
          <w:rFonts w:ascii="Arial" w:hAnsi="Arial" w:cs="Arial"/>
          <w:b/>
          <w:sz w:val="22"/>
          <w:szCs w:val="22"/>
          <w:lang w:val="en-US" w:eastAsia="en-US"/>
        </w:rPr>
      </w:pPr>
    </w:p>
    <w:p w14:paraId="4E4E869C" w14:textId="01ED431C" w:rsidR="009835AD" w:rsidRPr="00B16706" w:rsidRDefault="00D57019">
      <w:pPr>
        <w:spacing w:after="120" w:line="264" w:lineRule="auto"/>
        <w:rPr>
          <w:rFonts w:asciiTheme="minorHAnsi" w:hAnsiTheme="minorHAnsi" w:cstheme="minorHAnsi"/>
          <w:b/>
          <w:sz w:val="22"/>
          <w:szCs w:val="22"/>
        </w:rPr>
      </w:pPr>
      <w:r>
        <w:rPr>
          <w:rFonts w:asciiTheme="minorHAnsi" w:hAnsiTheme="minorHAnsi" w:cstheme="minorHAnsi"/>
          <w:b/>
          <w:sz w:val="22"/>
          <w:szCs w:val="22"/>
        </w:rPr>
        <w:t>General comments</w:t>
      </w:r>
    </w:p>
    <w:bookmarkEnd w:id="0"/>
    <w:p w14:paraId="14366ACD" w14:textId="77777777" w:rsidR="009835AD" w:rsidRPr="009835AD" w:rsidRDefault="009835AD" w:rsidP="009835AD">
      <w:pPr>
        <w:numPr>
          <w:ilvl w:val="0"/>
          <w:numId w:val="9"/>
        </w:numPr>
        <w:spacing w:after="250" w:line="276" w:lineRule="auto"/>
        <w:contextualSpacing/>
        <w:jc w:val="both"/>
        <w:rPr>
          <w:rFonts w:ascii="Arial" w:hAnsi="Arial" w:cs="Arial"/>
          <w:b/>
          <w:sz w:val="22"/>
          <w:szCs w:val="22"/>
          <w:lang w:val="en-US" w:eastAsia="en-US"/>
        </w:rPr>
      </w:pPr>
      <w:r w:rsidRPr="009835AD">
        <w:rPr>
          <w:rFonts w:ascii="Arial" w:hAnsi="Arial" w:cs="Arial"/>
          <w:b/>
          <w:sz w:val="22"/>
          <w:szCs w:val="22"/>
          <w:lang w:val="en-US" w:eastAsia="en-US"/>
        </w:rPr>
        <w:t>: Are there any general comments you would need to raise?</w:t>
      </w:r>
    </w:p>
    <w:p w14:paraId="06AC05B4"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&lt;ESMA_QUESTION_RFRS_1&gt;</w:t>
      </w:r>
    </w:p>
    <w:p w14:paraId="2E180FED" w14:textId="10AD9F7E" w:rsidR="004D2DDA" w:rsidRDefault="004D2DDA" w:rsidP="004D2DDA">
      <w:pPr>
        <w:spacing w:after="160" w:line="259" w:lineRule="auto"/>
        <w:jc w:val="both"/>
        <w:rPr>
          <w:rFonts w:ascii="Calibri" w:eastAsia="Calibri" w:hAnsi="Calibri"/>
          <w:sz w:val="22"/>
          <w:szCs w:val="22"/>
          <w:lang w:val="en-US" w:eastAsia="en-US"/>
        </w:rPr>
      </w:pPr>
      <w:permStart w:id="1592684246" w:edGrp="everyone"/>
      <w:r w:rsidRPr="00E97211">
        <w:rPr>
          <w:rFonts w:ascii="Calibri" w:eastAsia="Calibri" w:hAnsi="Calibri"/>
          <w:sz w:val="22"/>
          <w:szCs w:val="22"/>
          <w:lang w:val="en-US" w:eastAsia="en-US"/>
        </w:rPr>
        <w:t xml:space="preserve">Eurex </w:t>
      </w:r>
      <w:r>
        <w:rPr>
          <w:rFonts w:ascii="Calibri" w:eastAsia="Calibri" w:hAnsi="Calibri"/>
          <w:sz w:val="22"/>
          <w:szCs w:val="22"/>
          <w:lang w:val="en-US" w:eastAsia="en-US"/>
        </w:rPr>
        <w:t xml:space="preserve">Group (“Eurex”), in particular its CCP Eurex Clearing and its derivatives exchange Eurex, </w:t>
      </w:r>
      <w:r w:rsidRPr="00E97211">
        <w:rPr>
          <w:rFonts w:ascii="Calibri" w:eastAsia="Calibri" w:hAnsi="Calibri"/>
          <w:sz w:val="22"/>
          <w:szCs w:val="22"/>
          <w:lang w:val="en-US" w:eastAsia="en-US"/>
        </w:rPr>
        <w:t xml:space="preserve"> welcomes the o</w:t>
      </w:r>
      <w:r>
        <w:rPr>
          <w:rFonts w:ascii="Calibri" w:eastAsia="Calibri" w:hAnsi="Calibri"/>
          <w:sz w:val="22"/>
          <w:szCs w:val="22"/>
          <w:lang w:val="en-US" w:eastAsia="en-US"/>
        </w:rPr>
        <w:t>pportunity to respond to ESMA’s consultation</w:t>
      </w:r>
      <w:r w:rsidRPr="00E97211">
        <w:t xml:space="preserve"> </w:t>
      </w:r>
      <w:r w:rsidRPr="00E97211">
        <w:rPr>
          <w:rFonts w:ascii="Calibri" w:eastAsia="Calibri" w:hAnsi="Calibri"/>
          <w:sz w:val="22"/>
          <w:szCs w:val="22"/>
          <w:lang w:val="en-US" w:eastAsia="en-US"/>
        </w:rPr>
        <w:t>on the clearing and derivative trading obligations in view of the benchmark transition</w:t>
      </w:r>
      <w:r>
        <w:rPr>
          <w:rFonts w:ascii="Calibri" w:eastAsia="Calibri" w:hAnsi="Calibri"/>
          <w:sz w:val="22"/>
          <w:szCs w:val="22"/>
          <w:lang w:val="en-US" w:eastAsia="en-US"/>
        </w:rPr>
        <w:t>. A</w:t>
      </w:r>
      <w:r w:rsidRPr="002D7A88">
        <w:rPr>
          <w:rFonts w:ascii="Calibri" w:eastAsia="Calibri" w:hAnsi="Calibri"/>
          <w:sz w:val="22"/>
          <w:szCs w:val="22"/>
          <w:lang w:val="en-US" w:eastAsia="en-US"/>
        </w:rPr>
        <w:t xml:space="preserve">fter almost a decade of reforming the IBORs, the transition from </w:t>
      </w:r>
      <w:r>
        <w:rPr>
          <w:rFonts w:ascii="Calibri" w:eastAsia="Calibri" w:hAnsi="Calibri"/>
          <w:sz w:val="22"/>
          <w:szCs w:val="22"/>
          <w:lang w:val="en-US" w:eastAsia="en-US"/>
        </w:rPr>
        <w:t xml:space="preserve">old benchmarks to new risk-free </w:t>
      </w:r>
      <w:r w:rsidRPr="002D7A88">
        <w:rPr>
          <w:rFonts w:ascii="Calibri" w:eastAsia="Calibri" w:hAnsi="Calibri"/>
          <w:sz w:val="22"/>
          <w:szCs w:val="22"/>
          <w:lang w:val="en-US" w:eastAsia="en-US"/>
        </w:rPr>
        <w:t xml:space="preserve">reference rates </w:t>
      </w:r>
      <w:r w:rsidR="005A7260">
        <w:rPr>
          <w:rFonts w:ascii="Calibri" w:eastAsia="Calibri" w:hAnsi="Calibri"/>
          <w:sz w:val="22"/>
          <w:szCs w:val="22"/>
          <w:lang w:val="en-US" w:eastAsia="en-US"/>
        </w:rPr>
        <w:t xml:space="preserve">(RFRs) </w:t>
      </w:r>
      <w:r w:rsidRPr="002D7A88">
        <w:rPr>
          <w:rFonts w:ascii="Calibri" w:eastAsia="Calibri" w:hAnsi="Calibri"/>
          <w:sz w:val="22"/>
          <w:szCs w:val="22"/>
          <w:lang w:val="en-US" w:eastAsia="en-US"/>
        </w:rPr>
        <w:t xml:space="preserve">until the end of the year is well underway, </w:t>
      </w:r>
      <w:r>
        <w:rPr>
          <w:rFonts w:ascii="Calibri" w:eastAsia="Calibri" w:hAnsi="Calibri"/>
          <w:sz w:val="22"/>
          <w:szCs w:val="22"/>
          <w:lang w:val="en-US" w:eastAsia="en-US"/>
        </w:rPr>
        <w:t>a could be considered one</w:t>
      </w:r>
      <w:r w:rsidRPr="002D7A88">
        <w:rPr>
          <w:rFonts w:ascii="Calibri" w:eastAsia="Calibri" w:hAnsi="Calibri"/>
          <w:sz w:val="22"/>
          <w:szCs w:val="22"/>
          <w:lang w:val="en-US" w:eastAsia="en-US"/>
        </w:rPr>
        <w:t xml:space="preserve"> of the largest changes in </w:t>
      </w:r>
      <w:r>
        <w:rPr>
          <w:rFonts w:ascii="Calibri" w:eastAsia="Calibri" w:hAnsi="Calibri"/>
          <w:sz w:val="22"/>
          <w:szCs w:val="22"/>
          <w:lang w:val="en-US" w:eastAsia="en-US"/>
        </w:rPr>
        <w:t>EU</w:t>
      </w:r>
      <w:r w:rsidRPr="002D7A88">
        <w:rPr>
          <w:rFonts w:ascii="Calibri" w:eastAsia="Calibri" w:hAnsi="Calibri"/>
          <w:sz w:val="22"/>
          <w:szCs w:val="22"/>
          <w:lang w:val="en-US" w:eastAsia="en-US"/>
        </w:rPr>
        <w:t xml:space="preserve"> capital markets since the introduction of the Euro. </w:t>
      </w:r>
    </w:p>
    <w:p w14:paraId="6A9FADFA" w14:textId="054F01FC" w:rsidR="004D2DDA" w:rsidRPr="00E97211" w:rsidRDefault="004D2DDA" w:rsidP="004D2DDA">
      <w:pPr>
        <w:spacing w:after="160" w:line="259" w:lineRule="auto"/>
        <w:jc w:val="both"/>
        <w:rPr>
          <w:rFonts w:ascii="Calibri" w:eastAsia="Calibri" w:hAnsi="Calibri"/>
          <w:sz w:val="22"/>
          <w:szCs w:val="22"/>
          <w:lang w:val="en-US" w:eastAsia="en-US"/>
        </w:rPr>
      </w:pPr>
      <w:r>
        <w:rPr>
          <w:rFonts w:ascii="Calibri" w:eastAsia="Calibri" w:hAnsi="Calibri"/>
          <w:sz w:val="22"/>
          <w:szCs w:val="22"/>
          <w:lang w:val="en-US" w:eastAsia="en-US"/>
        </w:rPr>
        <w:t xml:space="preserve">On our end, after launching €STR overnight index swaps in November 2019, Eurex completed the EONIA-€STR discounting and price alignment interest switch in July 2020 in coordination with other euro clearing CCPs. That coordination will continue later this year, when Eurex and other CCPs will implement a conversion to €STR for transactions referencing the EONIA benchmark starting on October 15, 2021 and executed over the following weekend. In addition, remaining clearing legacy IRD trades will be converted to RFR OIS trades for a) CHF and JPY LIBOR starting on December 3, 2021 and executed over the following weekend and b) GBP LIBOR starting on December 17, 2021 and executed over the following weekend. </w:t>
      </w:r>
    </w:p>
    <w:p w14:paraId="615802AF" w14:textId="6BCA915A" w:rsidR="004D2DDA" w:rsidRDefault="005A7260" w:rsidP="004D2DDA">
      <w:pPr>
        <w:spacing w:after="160" w:line="259" w:lineRule="auto"/>
        <w:jc w:val="both"/>
        <w:rPr>
          <w:rFonts w:ascii="Calibri" w:eastAsia="Calibri" w:hAnsi="Calibri"/>
          <w:sz w:val="22"/>
          <w:szCs w:val="22"/>
          <w:lang w:val="en-US" w:eastAsia="en-US"/>
        </w:rPr>
      </w:pPr>
      <w:r>
        <w:rPr>
          <w:rFonts w:ascii="Calibri" w:eastAsia="Calibri" w:hAnsi="Calibri"/>
          <w:sz w:val="22"/>
          <w:szCs w:val="22"/>
          <w:lang w:val="en-US" w:eastAsia="en-US"/>
        </w:rPr>
        <w:t>Against this background, w</w:t>
      </w:r>
      <w:r w:rsidR="004D2DDA">
        <w:rPr>
          <w:rFonts w:ascii="Calibri" w:eastAsia="Calibri" w:hAnsi="Calibri"/>
          <w:sz w:val="22"/>
          <w:szCs w:val="22"/>
          <w:lang w:val="en-US" w:eastAsia="en-US"/>
        </w:rPr>
        <w:t xml:space="preserve">e would like to express our general support of the efforts made by both authorities and the industry in relation to the preparations of the IBOR reform. </w:t>
      </w:r>
      <w:bookmarkStart w:id="1" w:name="_Hlk80087211"/>
      <w:r w:rsidR="004D2DDA">
        <w:rPr>
          <w:rFonts w:ascii="Calibri" w:eastAsia="Calibri" w:hAnsi="Calibri"/>
          <w:sz w:val="22"/>
          <w:szCs w:val="22"/>
          <w:lang w:val="en-US" w:eastAsia="en-US"/>
        </w:rPr>
        <w:t xml:space="preserve">We therefore generally support ESMA’s proposals to adapt the clearing and trading mandates to reflect the transition to the </w:t>
      </w:r>
      <w:r>
        <w:rPr>
          <w:rFonts w:ascii="Calibri" w:eastAsia="Calibri" w:hAnsi="Calibri"/>
          <w:sz w:val="22"/>
          <w:szCs w:val="22"/>
          <w:lang w:val="en-US" w:eastAsia="en-US"/>
        </w:rPr>
        <w:t>RFRs</w:t>
      </w:r>
      <w:r w:rsidR="004D2DDA">
        <w:rPr>
          <w:rFonts w:ascii="Calibri" w:eastAsia="Calibri" w:hAnsi="Calibri"/>
          <w:sz w:val="22"/>
          <w:szCs w:val="22"/>
          <w:lang w:val="en-US" w:eastAsia="en-US"/>
        </w:rPr>
        <w:t xml:space="preserve"> before the GBP and JPY LIBORs and EONIA cease to be produced at the end of the year</w:t>
      </w:r>
      <w:bookmarkEnd w:id="1"/>
      <w:r w:rsidR="004D2DDA">
        <w:rPr>
          <w:rFonts w:ascii="Calibri" w:eastAsia="Calibri" w:hAnsi="Calibri"/>
          <w:sz w:val="22"/>
          <w:szCs w:val="22"/>
          <w:lang w:val="en-US" w:eastAsia="en-US"/>
        </w:rPr>
        <w:t xml:space="preserve">. </w:t>
      </w:r>
    </w:p>
    <w:permEnd w:id="1592684246"/>
    <w:p w14:paraId="55FCE702"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&lt;ESMA_QUESTION_RFRS_1&gt;</w:t>
      </w:r>
    </w:p>
    <w:p w14:paraId="6237099F" w14:textId="06344591" w:rsidR="009835AD" w:rsidRDefault="009835AD" w:rsidP="009835AD">
      <w:pPr>
        <w:spacing w:after="160" w:line="259" w:lineRule="auto"/>
        <w:rPr>
          <w:rFonts w:ascii="Calibri" w:eastAsia="Calibri" w:hAnsi="Calibri"/>
          <w:sz w:val="22"/>
          <w:szCs w:val="22"/>
          <w:lang w:eastAsia="en-US"/>
        </w:rPr>
      </w:pPr>
    </w:p>
    <w:p w14:paraId="1E5D8E97" w14:textId="7957D24E" w:rsidR="00D57019" w:rsidRPr="0037358E" w:rsidRDefault="0037358E" w:rsidP="0037358E">
      <w:pPr>
        <w:spacing w:after="120" w:line="264" w:lineRule="auto"/>
        <w:rPr>
          <w:rFonts w:asciiTheme="minorHAnsi" w:hAnsiTheme="minorHAnsi" w:cstheme="minorHAnsi"/>
          <w:b/>
          <w:sz w:val="22"/>
          <w:szCs w:val="22"/>
        </w:rPr>
      </w:pPr>
      <w:r w:rsidRPr="0037358E">
        <w:rPr>
          <w:rFonts w:asciiTheme="minorHAnsi" w:hAnsiTheme="minorHAnsi" w:cstheme="minorHAnsi"/>
          <w:b/>
          <w:sz w:val="22"/>
          <w:szCs w:val="22"/>
        </w:rPr>
        <w:t>State of progress with the transition</w:t>
      </w:r>
    </w:p>
    <w:p w14:paraId="7479070E" w14:textId="77777777" w:rsidR="009835AD" w:rsidRPr="009835AD" w:rsidRDefault="009835AD" w:rsidP="009835AD">
      <w:pPr>
        <w:numPr>
          <w:ilvl w:val="0"/>
          <w:numId w:val="9"/>
        </w:numPr>
        <w:spacing w:after="250" w:line="276" w:lineRule="auto"/>
        <w:contextualSpacing/>
        <w:jc w:val="both"/>
        <w:rPr>
          <w:rFonts w:ascii="Arial" w:hAnsi="Arial" w:cs="Arial"/>
          <w:b/>
          <w:sz w:val="22"/>
          <w:szCs w:val="22"/>
          <w:lang w:val="en-US" w:eastAsia="en-US"/>
        </w:rPr>
      </w:pPr>
      <w:r w:rsidRPr="009835AD">
        <w:rPr>
          <w:rFonts w:ascii="Arial" w:hAnsi="Arial" w:cs="Arial"/>
          <w:b/>
          <w:sz w:val="22"/>
          <w:szCs w:val="22"/>
          <w:lang w:val="en-US" w:eastAsia="en-US"/>
        </w:rPr>
        <w:t>: Are there any other aspects of the transition that need to be taken into account? Please share any data that would help qualify further the progress with the transition or any other aspects that you think should be considered.</w:t>
      </w:r>
    </w:p>
    <w:p w14:paraId="62108C4F"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&lt;ESMA_QUESTION_RFRS_2&gt;</w:t>
      </w:r>
    </w:p>
    <w:p w14:paraId="28214493" w14:textId="661EE021" w:rsidR="004D2DDA" w:rsidRPr="00B427E7" w:rsidRDefault="004D2DDA" w:rsidP="004D2DDA">
      <w:pPr>
        <w:spacing w:after="160" w:line="259" w:lineRule="auto"/>
        <w:jc w:val="both"/>
        <w:rPr>
          <w:rFonts w:ascii="Calibri" w:eastAsia="Calibri" w:hAnsi="Calibri"/>
          <w:color w:val="000000" w:themeColor="text1"/>
          <w:sz w:val="22"/>
          <w:szCs w:val="22"/>
          <w:lang w:eastAsia="en-US"/>
        </w:rPr>
      </w:pPr>
      <w:permStart w:id="1960970536" w:edGrp="everyone"/>
      <w:r w:rsidRPr="00B427E7">
        <w:rPr>
          <w:rFonts w:ascii="Calibri" w:eastAsia="Calibri" w:hAnsi="Calibri"/>
          <w:color w:val="000000" w:themeColor="text1"/>
          <w:sz w:val="22"/>
          <w:szCs w:val="22"/>
          <w:lang w:eastAsia="en-US"/>
        </w:rPr>
        <w:t>R</w:t>
      </w:r>
      <w:r>
        <w:rPr>
          <w:rFonts w:ascii="Calibri" w:eastAsia="Calibri" w:hAnsi="Calibri"/>
          <w:color w:val="000000" w:themeColor="text1"/>
          <w:sz w:val="22"/>
          <w:szCs w:val="22"/>
          <w:lang w:eastAsia="en-US"/>
        </w:rPr>
        <w:t>egarding point 78 on page 34 of the consultation, we would like to highlight that t</w:t>
      </w:r>
      <w:r w:rsidRPr="00B427E7">
        <w:rPr>
          <w:rFonts w:ascii="Calibri" w:eastAsia="Calibri" w:hAnsi="Calibri"/>
          <w:color w:val="000000" w:themeColor="text1"/>
          <w:sz w:val="22"/>
          <w:szCs w:val="22"/>
          <w:lang w:eastAsia="en-US"/>
        </w:rPr>
        <w:t>here has been a build</w:t>
      </w:r>
      <w:r w:rsidR="007A60F8">
        <w:rPr>
          <w:rFonts w:ascii="Calibri" w:eastAsia="Calibri" w:hAnsi="Calibri"/>
          <w:color w:val="000000" w:themeColor="text1"/>
          <w:sz w:val="22"/>
          <w:szCs w:val="22"/>
          <w:lang w:eastAsia="en-US"/>
        </w:rPr>
        <w:t>-</w:t>
      </w:r>
      <w:r w:rsidRPr="00B427E7">
        <w:rPr>
          <w:rFonts w:ascii="Calibri" w:eastAsia="Calibri" w:hAnsi="Calibri"/>
          <w:color w:val="000000" w:themeColor="text1"/>
          <w:sz w:val="22"/>
          <w:szCs w:val="22"/>
          <w:lang w:eastAsia="en-US"/>
        </w:rPr>
        <w:t xml:space="preserve">up of €STR OIS liquidity in the past few months, </w:t>
      </w:r>
      <w:r>
        <w:rPr>
          <w:rFonts w:ascii="Calibri" w:eastAsia="Calibri" w:hAnsi="Calibri"/>
          <w:color w:val="000000" w:themeColor="text1"/>
          <w:sz w:val="22"/>
          <w:szCs w:val="22"/>
          <w:lang w:eastAsia="en-US"/>
        </w:rPr>
        <w:t>reflected in the EONIA vs. €STR OIS monthly volume split (</w:t>
      </w:r>
      <w:r>
        <w:rPr>
          <w:rFonts w:ascii="Calibri" w:eastAsia="Calibri" w:hAnsi="Calibri"/>
          <w:i/>
          <w:iCs/>
          <w:color w:val="000000" w:themeColor="text1"/>
          <w:sz w:val="22"/>
          <w:szCs w:val="22"/>
          <w:lang w:eastAsia="en-US"/>
        </w:rPr>
        <w:t>see graph below</w:t>
      </w:r>
      <w:r>
        <w:rPr>
          <w:rFonts w:ascii="Calibri" w:eastAsia="Calibri" w:hAnsi="Calibri"/>
          <w:color w:val="000000" w:themeColor="text1"/>
          <w:sz w:val="22"/>
          <w:szCs w:val="22"/>
          <w:lang w:eastAsia="en-US"/>
        </w:rPr>
        <w:t>). H</w:t>
      </w:r>
      <w:r w:rsidRPr="00B427E7">
        <w:rPr>
          <w:rFonts w:ascii="Calibri" w:eastAsia="Calibri" w:hAnsi="Calibri"/>
          <w:color w:val="000000" w:themeColor="text1"/>
          <w:sz w:val="22"/>
          <w:szCs w:val="22"/>
          <w:lang w:eastAsia="en-US"/>
        </w:rPr>
        <w:t>owever</w:t>
      </w:r>
      <w:r>
        <w:rPr>
          <w:rFonts w:ascii="Calibri" w:eastAsia="Calibri" w:hAnsi="Calibri"/>
          <w:color w:val="000000" w:themeColor="text1"/>
          <w:sz w:val="22"/>
          <w:szCs w:val="22"/>
          <w:lang w:eastAsia="en-US"/>
        </w:rPr>
        <w:t>, we fully agree with ESMA’s conclusion that</w:t>
      </w:r>
      <w:r w:rsidRPr="00B427E7">
        <w:rPr>
          <w:rFonts w:ascii="Calibri" w:eastAsia="Calibri" w:hAnsi="Calibri"/>
          <w:color w:val="000000" w:themeColor="text1"/>
          <w:sz w:val="22"/>
          <w:szCs w:val="22"/>
          <w:lang w:eastAsia="en-US"/>
        </w:rPr>
        <w:t xml:space="preserve"> because EONIA and €STR have a fixed basis, the EONIA activity is expected to be replaced by €STR at the time of the switch in October</w:t>
      </w:r>
      <w:r>
        <w:rPr>
          <w:rFonts w:ascii="Calibri" w:eastAsia="Calibri" w:hAnsi="Calibri"/>
          <w:color w:val="000000" w:themeColor="text1"/>
          <w:sz w:val="22"/>
          <w:szCs w:val="22"/>
          <w:lang w:eastAsia="en-US"/>
        </w:rPr>
        <w:t>, making the liquidity build</w:t>
      </w:r>
      <w:r w:rsidR="007A60F8">
        <w:rPr>
          <w:rFonts w:ascii="Calibri" w:eastAsia="Calibri" w:hAnsi="Calibri"/>
          <w:color w:val="000000" w:themeColor="text1"/>
          <w:sz w:val="22"/>
          <w:szCs w:val="22"/>
          <w:lang w:eastAsia="en-US"/>
        </w:rPr>
        <w:t>-</w:t>
      </w:r>
      <w:r>
        <w:rPr>
          <w:rFonts w:ascii="Calibri" w:eastAsia="Calibri" w:hAnsi="Calibri"/>
          <w:color w:val="000000" w:themeColor="text1"/>
          <w:sz w:val="22"/>
          <w:szCs w:val="22"/>
          <w:lang w:eastAsia="en-US"/>
        </w:rPr>
        <w:t xml:space="preserve">up of €STR somewhat less important than with other </w:t>
      </w:r>
      <w:r w:rsidR="005A7260">
        <w:rPr>
          <w:rFonts w:ascii="Calibri" w:eastAsia="Calibri" w:hAnsi="Calibri"/>
          <w:color w:val="000000" w:themeColor="text1"/>
          <w:sz w:val="22"/>
          <w:szCs w:val="22"/>
          <w:lang w:eastAsia="en-US"/>
        </w:rPr>
        <w:t>RFRs</w:t>
      </w:r>
      <w:r>
        <w:rPr>
          <w:rFonts w:ascii="Calibri" w:eastAsia="Calibri" w:hAnsi="Calibri"/>
          <w:color w:val="000000" w:themeColor="text1"/>
          <w:sz w:val="22"/>
          <w:szCs w:val="22"/>
          <w:lang w:eastAsia="en-US"/>
        </w:rPr>
        <w:t>.</w:t>
      </w:r>
    </w:p>
    <w:p w14:paraId="573A2BF2" w14:textId="4D9F4472" w:rsidR="00F14A47" w:rsidRPr="009835AD" w:rsidRDefault="004D2DDA" w:rsidP="009835AD">
      <w:pPr>
        <w:spacing w:after="160" w:line="259" w:lineRule="auto"/>
        <w:rPr>
          <w:rFonts w:ascii="Calibri" w:eastAsia="Calibri" w:hAnsi="Calibri"/>
          <w:sz w:val="22"/>
          <w:szCs w:val="22"/>
          <w:lang w:eastAsia="en-US"/>
        </w:rPr>
      </w:pPr>
      <w:r>
        <w:rPr>
          <w:noProof/>
        </w:rPr>
        <w:drawing>
          <wp:inline distT="0" distB="0" distL="0" distR="0" wp14:anchorId="7211B3A9" wp14:editId="125702CB">
            <wp:extent cx="5759450" cy="2581910"/>
            <wp:effectExtent l="0" t="0" r="12700" b="8890"/>
            <wp:docPr id="1" name="Chart 1">
              <a:extLst xmlns:a="http://schemas.openxmlformats.org/drawingml/2006/main">
                <a:ext uri="{FF2B5EF4-FFF2-40B4-BE49-F238E27FC236}">
                  <a16:creationId xmlns:a16="http://schemas.microsoft.com/office/drawing/2014/main" id="{0736282C-55C8-435B-AB6D-695A03646F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ermEnd w:id="1960970536"/>
    <w:p w14:paraId="4B64AFD5"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&lt;ESMA_QUESTION_RFRS_2&gt;</w:t>
      </w:r>
    </w:p>
    <w:p w14:paraId="70BA6A0C" w14:textId="392BF9B7" w:rsidR="009835AD" w:rsidRDefault="009835AD" w:rsidP="009835AD">
      <w:pPr>
        <w:spacing w:after="160" w:line="259" w:lineRule="auto"/>
        <w:rPr>
          <w:rFonts w:ascii="Calibri" w:eastAsia="Calibri" w:hAnsi="Calibri"/>
          <w:sz w:val="22"/>
          <w:szCs w:val="22"/>
          <w:lang w:eastAsia="en-US"/>
        </w:rPr>
      </w:pPr>
    </w:p>
    <w:p w14:paraId="6717B33A" w14:textId="645BA4E2" w:rsidR="0037358E" w:rsidRPr="0037358E" w:rsidRDefault="0037358E" w:rsidP="0037358E">
      <w:pPr>
        <w:spacing w:after="120" w:line="264" w:lineRule="auto"/>
        <w:rPr>
          <w:rFonts w:asciiTheme="minorHAnsi" w:hAnsiTheme="minorHAnsi" w:cstheme="minorHAnsi"/>
          <w:b/>
          <w:sz w:val="22"/>
          <w:szCs w:val="22"/>
        </w:rPr>
      </w:pPr>
      <w:r w:rsidRPr="0037358E">
        <w:rPr>
          <w:rFonts w:asciiTheme="minorHAnsi" w:hAnsiTheme="minorHAnsi" w:cstheme="minorHAnsi"/>
          <w:b/>
          <w:sz w:val="22"/>
          <w:szCs w:val="22"/>
        </w:rPr>
        <w:t xml:space="preserve">General approach </w:t>
      </w:r>
    </w:p>
    <w:p w14:paraId="3A834F3D" w14:textId="77777777" w:rsidR="009835AD" w:rsidRPr="009835AD" w:rsidRDefault="009835AD" w:rsidP="009835AD">
      <w:pPr>
        <w:numPr>
          <w:ilvl w:val="0"/>
          <w:numId w:val="9"/>
        </w:numPr>
        <w:spacing w:after="250" w:line="276" w:lineRule="auto"/>
        <w:contextualSpacing/>
        <w:jc w:val="both"/>
        <w:rPr>
          <w:rFonts w:ascii="Arial" w:hAnsi="Arial" w:cs="Arial"/>
          <w:b/>
          <w:sz w:val="22"/>
          <w:szCs w:val="22"/>
          <w:lang w:val="en-US" w:eastAsia="en-US"/>
        </w:rPr>
      </w:pPr>
      <w:r w:rsidRPr="009835AD">
        <w:rPr>
          <w:rFonts w:ascii="Arial" w:hAnsi="Arial" w:cs="Arial"/>
          <w:b/>
          <w:sz w:val="22"/>
          <w:szCs w:val="22"/>
          <w:lang w:val="en-US" w:eastAsia="en-US"/>
        </w:rPr>
        <w:t xml:space="preserve">: </w:t>
      </w:r>
      <w:r w:rsidRPr="009835AD">
        <w:rPr>
          <w:rFonts w:ascii="Arial" w:hAnsi="Arial" w:cs="Arial"/>
          <w:b/>
          <w:bCs/>
          <w:sz w:val="22"/>
          <w:szCs w:val="22"/>
          <w:lang w:val="en-US" w:eastAsia="en-US"/>
        </w:rPr>
        <w:t>Are there any other aspects that you think that ESMA should take into account or that might justify a</w:t>
      </w:r>
      <w:r w:rsidRPr="009835AD">
        <w:rPr>
          <w:rFonts w:ascii="Arial" w:hAnsi="Arial" w:cs="Arial"/>
          <w:b/>
          <w:sz w:val="22"/>
          <w:szCs w:val="22"/>
          <w:lang w:val="en-US" w:eastAsia="en-US"/>
        </w:rPr>
        <w:t xml:space="preserve"> different approach?</w:t>
      </w:r>
    </w:p>
    <w:p w14:paraId="5A839AD2"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&lt;ESMA_QUESTION_RFRS_3&gt;</w:t>
      </w:r>
    </w:p>
    <w:p w14:paraId="215CEC1F" w14:textId="72FB5F55" w:rsidR="0044262D" w:rsidRPr="009835AD" w:rsidRDefault="0044262D" w:rsidP="00250AFE">
      <w:pPr>
        <w:spacing w:after="160" w:line="259" w:lineRule="auto"/>
        <w:jc w:val="both"/>
        <w:rPr>
          <w:rFonts w:ascii="Calibri" w:eastAsia="Calibri" w:hAnsi="Calibri"/>
          <w:sz w:val="22"/>
          <w:szCs w:val="22"/>
          <w:lang w:eastAsia="en-US"/>
        </w:rPr>
      </w:pPr>
      <w:permStart w:id="2091866080" w:edGrp="everyone"/>
      <w:r>
        <w:rPr>
          <w:rFonts w:ascii="Calibri" w:eastAsia="Calibri" w:hAnsi="Calibri"/>
          <w:sz w:val="22"/>
          <w:szCs w:val="22"/>
          <w:lang w:eastAsia="en-US"/>
        </w:rPr>
        <w:t xml:space="preserve">We appreciate that ESMA is coordinating the transition to the </w:t>
      </w:r>
      <w:r w:rsidR="005A7260">
        <w:rPr>
          <w:rFonts w:ascii="Calibri" w:eastAsia="Calibri" w:hAnsi="Calibri"/>
          <w:sz w:val="22"/>
          <w:szCs w:val="22"/>
          <w:lang w:eastAsia="en-US"/>
        </w:rPr>
        <w:t>RFRs</w:t>
      </w:r>
      <w:r>
        <w:rPr>
          <w:rFonts w:ascii="Calibri" w:eastAsia="Calibri" w:hAnsi="Calibri"/>
          <w:sz w:val="22"/>
          <w:szCs w:val="22"/>
          <w:lang w:eastAsia="en-US"/>
        </w:rPr>
        <w:t xml:space="preserve"> with other regulators and jurisdictions in order to facilitate </w:t>
      </w:r>
      <w:r w:rsidR="00250AFE">
        <w:rPr>
          <w:rFonts w:ascii="Calibri" w:eastAsia="Calibri" w:hAnsi="Calibri"/>
          <w:sz w:val="22"/>
          <w:szCs w:val="22"/>
          <w:lang w:eastAsia="en-US"/>
        </w:rPr>
        <w:t xml:space="preserve">international cooperation and </w:t>
      </w:r>
      <w:r>
        <w:rPr>
          <w:rFonts w:ascii="Calibri" w:eastAsia="Calibri" w:hAnsi="Calibri"/>
          <w:sz w:val="22"/>
          <w:szCs w:val="22"/>
          <w:lang w:eastAsia="en-US"/>
        </w:rPr>
        <w:t xml:space="preserve">global convergence in the </w:t>
      </w:r>
      <w:r w:rsidR="00250AFE">
        <w:rPr>
          <w:rFonts w:ascii="Calibri" w:eastAsia="Calibri" w:hAnsi="Calibri"/>
          <w:sz w:val="22"/>
          <w:szCs w:val="22"/>
          <w:lang w:eastAsia="en-US"/>
        </w:rPr>
        <w:t xml:space="preserve">LIBOR transition to the extent possible. </w:t>
      </w:r>
      <w:r w:rsidR="005A7260">
        <w:rPr>
          <w:rFonts w:ascii="Calibri" w:eastAsia="Calibri" w:hAnsi="Calibri"/>
          <w:sz w:val="22"/>
          <w:szCs w:val="22"/>
          <w:lang w:eastAsia="en-US"/>
        </w:rPr>
        <w:t>Nevertheless, p</w:t>
      </w:r>
      <w:r>
        <w:rPr>
          <w:rFonts w:ascii="Calibri" w:eastAsia="Calibri" w:hAnsi="Calibri"/>
          <w:sz w:val="22"/>
          <w:szCs w:val="22"/>
          <w:lang w:eastAsia="en-US"/>
        </w:rPr>
        <w:t xml:space="preserve">lease also see our responses to questions 5 and 6 </w:t>
      </w:r>
      <w:r w:rsidR="005A7260">
        <w:rPr>
          <w:rFonts w:ascii="Calibri" w:eastAsia="Calibri" w:hAnsi="Calibri"/>
          <w:sz w:val="22"/>
          <w:szCs w:val="22"/>
          <w:lang w:eastAsia="en-US"/>
        </w:rPr>
        <w:t>regarding the importance of international coordination of the transition</w:t>
      </w:r>
      <w:r>
        <w:rPr>
          <w:rFonts w:ascii="Calibri" w:eastAsia="Calibri" w:hAnsi="Calibri"/>
          <w:sz w:val="22"/>
          <w:szCs w:val="22"/>
          <w:lang w:eastAsia="en-US"/>
        </w:rPr>
        <w:t>.</w:t>
      </w:r>
    </w:p>
    <w:permEnd w:id="2091866080"/>
    <w:p w14:paraId="2E7D163D"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&lt;ESMA_QUESTION_RFRS_3&gt;</w:t>
      </w:r>
    </w:p>
    <w:p w14:paraId="0FCAF496" w14:textId="1A0A298E" w:rsidR="009835AD" w:rsidRDefault="009835AD" w:rsidP="009835AD">
      <w:pPr>
        <w:spacing w:after="160" w:line="259" w:lineRule="auto"/>
        <w:rPr>
          <w:rFonts w:ascii="Calibri" w:eastAsia="Calibri" w:hAnsi="Calibri"/>
          <w:sz w:val="22"/>
          <w:szCs w:val="22"/>
          <w:lang w:eastAsia="en-US"/>
        </w:rPr>
      </w:pPr>
    </w:p>
    <w:p w14:paraId="12E8EF5A" w14:textId="078DADA4" w:rsidR="0037358E" w:rsidRPr="0037358E" w:rsidRDefault="0037358E" w:rsidP="0037358E">
      <w:pPr>
        <w:spacing w:after="120" w:line="264" w:lineRule="auto"/>
        <w:rPr>
          <w:rFonts w:asciiTheme="minorHAnsi" w:hAnsiTheme="minorHAnsi" w:cstheme="minorHAnsi"/>
          <w:b/>
          <w:sz w:val="22"/>
          <w:szCs w:val="22"/>
        </w:rPr>
      </w:pPr>
      <w:r w:rsidRPr="0037358E">
        <w:rPr>
          <w:rFonts w:asciiTheme="minorHAnsi" w:hAnsiTheme="minorHAnsi" w:cstheme="minorHAnsi"/>
          <w:b/>
          <w:sz w:val="22"/>
          <w:szCs w:val="22"/>
        </w:rPr>
        <w:t>Clearing obligation</w:t>
      </w:r>
    </w:p>
    <w:p w14:paraId="7815CA79" w14:textId="77777777" w:rsidR="009835AD" w:rsidRPr="009835AD" w:rsidRDefault="009835AD" w:rsidP="009835AD">
      <w:pPr>
        <w:numPr>
          <w:ilvl w:val="0"/>
          <w:numId w:val="9"/>
        </w:numPr>
        <w:spacing w:after="250" w:line="276" w:lineRule="auto"/>
        <w:contextualSpacing/>
        <w:jc w:val="both"/>
        <w:rPr>
          <w:rFonts w:ascii="Arial" w:hAnsi="Arial" w:cs="Arial"/>
          <w:b/>
          <w:sz w:val="22"/>
          <w:szCs w:val="22"/>
          <w:lang w:val="en-US" w:eastAsia="en-US"/>
        </w:rPr>
      </w:pPr>
      <w:r w:rsidRPr="009835AD">
        <w:rPr>
          <w:rFonts w:ascii="Arial" w:hAnsi="Arial" w:cs="Arial"/>
          <w:b/>
          <w:sz w:val="22"/>
          <w:szCs w:val="22"/>
          <w:lang w:val="en-US" w:eastAsia="en-US"/>
        </w:rPr>
        <w:t xml:space="preserve">: Do you agree with the assessment of the EMIR criteria and with the proposed classes (except for USD which is dealt with in a dedicated Question 5)? If not please detail how the assessment could differ and please also provide data and information to justify a different assessment. </w:t>
      </w:r>
    </w:p>
    <w:p w14:paraId="770575B2"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&lt;ESMA_QUESTION_RFRS_4&gt;</w:t>
      </w:r>
    </w:p>
    <w:p w14:paraId="46F31538" w14:textId="77777777" w:rsidR="004D2DDA" w:rsidRDefault="004D2DDA" w:rsidP="004D2DDA">
      <w:pPr>
        <w:spacing w:after="160" w:line="259" w:lineRule="auto"/>
        <w:jc w:val="both"/>
        <w:rPr>
          <w:rFonts w:ascii="Calibri" w:eastAsia="Calibri" w:hAnsi="Calibri"/>
          <w:sz w:val="22"/>
          <w:szCs w:val="22"/>
          <w:lang w:eastAsia="en-US"/>
        </w:rPr>
      </w:pPr>
      <w:permStart w:id="625810741" w:edGrp="everyone"/>
      <w:r>
        <w:rPr>
          <w:rFonts w:ascii="Calibri" w:eastAsia="Calibri" w:hAnsi="Calibri"/>
          <w:sz w:val="22"/>
          <w:szCs w:val="22"/>
          <w:lang w:eastAsia="en-US"/>
        </w:rPr>
        <w:t>We agree with ESMA’s proposals in the consultation paper to adapt the clearing obligation by replacing EONIA with €STR as the reference index for EUR OIS (please also see our response to question 2 in this context). We also agree with the extension of the maturity of OIS referencing SONIA from 3 to 50 years, as the expansion of maturity is required to replace the GBP LIBOR IRS currently subject to the clearing obligation. The adaption of the clearing obligation to the new rates will help avoiding that new business will shift back from central clearing to the bilateral space, changing the risk profile for Europe.</w:t>
      </w:r>
    </w:p>
    <w:p w14:paraId="278123AE" w14:textId="54242E96" w:rsidR="009835AD" w:rsidRPr="00F568C2" w:rsidRDefault="004D2DDA" w:rsidP="004D2DDA">
      <w:pPr>
        <w:spacing w:after="160" w:line="259" w:lineRule="auto"/>
        <w:jc w:val="both"/>
        <w:rPr>
          <w:rFonts w:ascii="Calibri" w:eastAsia="Calibri" w:hAnsi="Calibri"/>
          <w:strike/>
          <w:color w:val="FF0000"/>
          <w:sz w:val="22"/>
          <w:szCs w:val="22"/>
          <w:lang w:eastAsia="en-US"/>
        </w:rPr>
      </w:pPr>
      <w:r>
        <w:rPr>
          <w:rFonts w:ascii="Calibri" w:eastAsia="Calibri" w:hAnsi="Calibri"/>
          <w:sz w:val="22"/>
          <w:szCs w:val="22"/>
          <w:lang w:eastAsia="en-US"/>
        </w:rPr>
        <w:t xml:space="preserve">With regards to the removal of the JPY LIBOR and the ESMA’s assessment of the missing liquidity in the TONA OIS stating that it would not justify an expansion of the scope of the clearing obligation and that it would be unclear that TONA will be replacing the JPY LIBOR, Eurex believes the recent take up of liquidity in TONA OIS would suggest that it will be replacing the JPY LIBOR IRS currently in scope of the clearing obligation and would also support an inclusion of the TONA OIS with an extension to 30Y into the ESMA register. By both removing the JPY IRS from the CO and declining to add the TONA OIS to the CO, there will be an extended amount of time within the EU where there will be no obligation to clear JPY derivatives. </w:t>
      </w:r>
    </w:p>
    <w:permEnd w:id="625810741"/>
    <w:p w14:paraId="204280FC"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&lt;ESMA_QUESTION_RFRS_4&gt;</w:t>
      </w:r>
    </w:p>
    <w:p w14:paraId="325B14EC" w14:textId="77777777" w:rsidR="009835AD" w:rsidRPr="009835AD" w:rsidRDefault="009835AD" w:rsidP="009835AD">
      <w:pPr>
        <w:spacing w:after="160" w:line="259" w:lineRule="auto"/>
        <w:rPr>
          <w:rFonts w:ascii="Calibri" w:eastAsia="Calibri" w:hAnsi="Calibri"/>
          <w:sz w:val="22"/>
          <w:szCs w:val="22"/>
          <w:lang w:eastAsia="en-US"/>
        </w:rPr>
      </w:pPr>
    </w:p>
    <w:p w14:paraId="6B3E5F40" w14:textId="77777777" w:rsidR="009835AD" w:rsidRPr="009835AD" w:rsidRDefault="009835AD" w:rsidP="009835AD">
      <w:pPr>
        <w:numPr>
          <w:ilvl w:val="0"/>
          <w:numId w:val="9"/>
        </w:numPr>
        <w:spacing w:after="250" w:line="276" w:lineRule="auto"/>
        <w:contextualSpacing/>
        <w:jc w:val="both"/>
        <w:rPr>
          <w:rFonts w:ascii="Arial" w:hAnsi="Arial" w:cs="Arial"/>
          <w:b/>
          <w:sz w:val="22"/>
          <w:szCs w:val="22"/>
          <w:lang w:val="en-US" w:eastAsia="en-US"/>
        </w:rPr>
      </w:pPr>
      <w:r w:rsidRPr="009835AD">
        <w:rPr>
          <w:rFonts w:ascii="Arial" w:hAnsi="Arial" w:cs="Arial"/>
          <w:b/>
          <w:sz w:val="22"/>
          <w:szCs w:val="22"/>
          <w:lang w:val="en-US" w:eastAsia="en-US"/>
        </w:rPr>
        <w:t xml:space="preserve">: </w:t>
      </w:r>
      <w:r w:rsidRPr="009835AD">
        <w:rPr>
          <w:rFonts w:ascii="Arial" w:hAnsi="Arial" w:cs="Arial"/>
          <w:b/>
          <w:bCs/>
          <w:sz w:val="22"/>
          <w:szCs w:val="22"/>
          <w:lang w:val="en-US" w:eastAsia="en-US"/>
        </w:rPr>
        <w:t xml:space="preserve">Will the transition regarding USD have made sufficient progress by this Autumn to decide on whether to maintain or remove USD LIBOR classes. Will there be sufficient liquidity to introduce SOFR OIS to the CO and for which maturity range? Please provide the relevant data and information to explain your </w:t>
      </w:r>
      <w:r w:rsidRPr="009835AD">
        <w:rPr>
          <w:rFonts w:ascii="Arial" w:hAnsi="Arial" w:cs="Arial"/>
          <w:b/>
          <w:sz w:val="22"/>
          <w:szCs w:val="22"/>
          <w:lang w:val="en-US" w:eastAsia="en-US"/>
        </w:rPr>
        <w:t xml:space="preserve">assessment, in accordance with the EMIR framework. </w:t>
      </w:r>
    </w:p>
    <w:p w14:paraId="52D8F8F5"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&lt;ESMA_QUESTION_RFRS_5&gt;</w:t>
      </w:r>
    </w:p>
    <w:p w14:paraId="0AF93E6B" w14:textId="77777777" w:rsidR="004D2DDA" w:rsidRPr="004D2DDA" w:rsidRDefault="004D2DDA" w:rsidP="005A7260">
      <w:pPr>
        <w:spacing w:after="160" w:line="259" w:lineRule="auto"/>
        <w:jc w:val="both"/>
        <w:rPr>
          <w:rFonts w:ascii="Calibri" w:eastAsia="Calibri" w:hAnsi="Calibri"/>
          <w:sz w:val="22"/>
          <w:szCs w:val="22"/>
          <w:lang w:eastAsia="en-US"/>
        </w:rPr>
      </w:pPr>
      <w:permStart w:id="1185625336" w:edGrp="everyone"/>
      <w:r w:rsidRPr="004D2DDA">
        <w:rPr>
          <w:rFonts w:ascii="Calibri" w:eastAsia="Calibri" w:hAnsi="Calibri"/>
          <w:sz w:val="22"/>
          <w:szCs w:val="22"/>
          <w:lang w:eastAsia="en-US"/>
        </w:rPr>
        <w:t xml:space="preserve">While we agree that action would also have to be taken in the near future about the USD LIBOR and FedFunds, the adaption of the clearing mandate to the classes ESMA suggested is more urgent. </w:t>
      </w:r>
    </w:p>
    <w:p w14:paraId="16DC3696" w14:textId="77777777" w:rsidR="004D2DDA" w:rsidRPr="004D2DDA" w:rsidRDefault="004D2DDA" w:rsidP="005A7260">
      <w:pPr>
        <w:spacing w:after="160" w:line="259" w:lineRule="auto"/>
        <w:jc w:val="both"/>
        <w:rPr>
          <w:rFonts w:ascii="Calibri" w:eastAsia="Calibri" w:hAnsi="Calibri"/>
          <w:sz w:val="22"/>
          <w:szCs w:val="22"/>
          <w:lang w:eastAsia="en-US"/>
        </w:rPr>
      </w:pPr>
      <w:r w:rsidRPr="004D2DDA">
        <w:rPr>
          <w:rFonts w:ascii="Calibri" w:eastAsia="Calibri" w:hAnsi="Calibri"/>
          <w:sz w:val="22"/>
          <w:szCs w:val="22"/>
          <w:lang w:eastAsia="en-US"/>
        </w:rPr>
        <w:t xml:space="preserve">Generally, we would not suggest a removal of the USD LIBOR from the clearing obligation as long as there has not been made a decision on the treatment of SOFR and as long as the US hasn’t decided on a removal and subsequent replacement. </w:t>
      </w:r>
    </w:p>
    <w:p w14:paraId="5BD2A344" w14:textId="2F8588A0" w:rsidR="00790969" w:rsidRPr="004D2DDA" w:rsidRDefault="004D2DDA" w:rsidP="005A7260">
      <w:pPr>
        <w:spacing w:after="160" w:line="259" w:lineRule="auto"/>
        <w:jc w:val="both"/>
        <w:rPr>
          <w:rFonts w:ascii="Calibri" w:eastAsia="Calibri" w:hAnsi="Calibri"/>
          <w:sz w:val="22"/>
          <w:szCs w:val="22"/>
          <w:lang w:eastAsia="en-US"/>
        </w:rPr>
      </w:pPr>
      <w:r w:rsidRPr="004D2DDA">
        <w:rPr>
          <w:rFonts w:ascii="Calibri" w:eastAsia="Calibri" w:hAnsi="Calibri"/>
          <w:sz w:val="22"/>
          <w:szCs w:val="22"/>
          <w:lang w:eastAsia="en-US"/>
        </w:rPr>
        <w:t xml:space="preserve">Further, we would caution against requiring clearing for SOFR OIS in the EU </w:t>
      </w:r>
      <w:r w:rsidR="007A60F8" w:rsidRPr="004D2DDA">
        <w:rPr>
          <w:rFonts w:ascii="Calibri" w:eastAsia="Calibri" w:hAnsi="Calibri"/>
          <w:sz w:val="22"/>
          <w:szCs w:val="22"/>
          <w:lang w:eastAsia="en-US"/>
        </w:rPr>
        <w:t>without</w:t>
      </w:r>
      <w:r w:rsidRPr="004D2DDA">
        <w:rPr>
          <w:rFonts w:ascii="Calibri" w:eastAsia="Calibri" w:hAnsi="Calibri"/>
          <w:sz w:val="22"/>
          <w:szCs w:val="22"/>
          <w:lang w:eastAsia="en-US"/>
        </w:rPr>
        <w:t xml:space="preserve"> a respective adaption of the US clearing obligation to include SOFR OIS first. We understand that ESMA is aware of the CFTC’s statement on the </w:t>
      </w:r>
      <w:r w:rsidR="005A7260">
        <w:rPr>
          <w:rFonts w:ascii="Calibri" w:eastAsia="Calibri" w:hAnsi="Calibri"/>
          <w:sz w:val="22"/>
          <w:szCs w:val="22"/>
          <w:lang w:eastAsia="en-US"/>
        </w:rPr>
        <w:t>“</w:t>
      </w:r>
      <w:r w:rsidR="005A7260" w:rsidRPr="005A7260">
        <w:rPr>
          <w:rFonts w:ascii="Calibri" w:eastAsia="Calibri" w:hAnsi="Calibri"/>
          <w:sz w:val="22"/>
          <w:szCs w:val="22"/>
          <w:lang w:eastAsia="en-US"/>
        </w:rPr>
        <w:t>SOFR First initiative</w:t>
      </w:r>
      <w:r w:rsidR="005A7260">
        <w:rPr>
          <w:rFonts w:ascii="Calibri" w:eastAsia="Calibri" w:hAnsi="Calibri"/>
          <w:sz w:val="22"/>
          <w:szCs w:val="22"/>
          <w:lang w:eastAsia="en-US"/>
        </w:rPr>
        <w:t>” (</w:t>
      </w:r>
      <w:hyperlink r:id="rId20" w:history="1">
        <w:r w:rsidR="005A7260" w:rsidRPr="005A7260">
          <w:rPr>
            <w:rStyle w:val="Hyperlink"/>
            <w:rFonts w:ascii="Calibri" w:eastAsiaTheme="majorEastAsia" w:hAnsi="Calibri" w:cs="Calibri"/>
            <w:sz w:val="22"/>
            <w:szCs w:val="22"/>
          </w:rPr>
          <w:t>CFTC Market Risk Advisory Committee Adopts SOFR First Recommendation at Public Meeting | CFTC</w:t>
        </w:r>
      </w:hyperlink>
      <w:r w:rsidR="005A7260">
        <w:t>)</w:t>
      </w:r>
      <w:r w:rsidR="005A7260">
        <w:rPr>
          <w:rFonts w:ascii="Calibri" w:eastAsia="Calibri" w:hAnsi="Calibri"/>
          <w:sz w:val="22"/>
          <w:szCs w:val="22"/>
          <w:lang w:eastAsia="en-US"/>
        </w:rPr>
        <w:t xml:space="preserve"> for increasing liquidity in derivatives referencing SOFR </w:t>
      </w:r>
      <w:r w:rsidRPr="004D2DDA">
        <w:rPr>
          <w:rFonts w:ascii="Calibri" w:eastAsia="Calibri" w:hAnsi="Calibri"/>
          <w:sz w:val="22"/>
          <w:szCs w:val="22"/>
          <w:lang w:eastAsia="en-US"/>
        </w:rPr>
        <w:t xml:space="preserve">and welcome ESMA’s approach to closely monitor the </w:t>
      </w:r>
      <w:r w:rsidR="005A7260">
        <w:rPr>
          <w:rFonts w:ascii="Calibri" w:eastAsia="Calibri" w:hAnsi="Calibri"/>
          <w:sz w:val="22"/>
          <w:szCs w:val="22"/>
          <w:lang w:eastAsia="en-US"/>
        </w:rPr>
        <w:t xml:space="preserve">further </w:t>
      </w:r>
      <w:r w:rsidRPr="004D2DDA">
        <w:rPr>
          <w:rFonts w:ascii="Calibri" w:eastAsia="Calibri" w:hAnsi="Calibri"/>
          <w:sz w:val="22"/>
          <w:szCs w:val="22"/>
          <w:lang w:eastAsia="en-US"/>
        </w:rPr>
        <w:t>built up of liquidity and the approach taken by US regulators before taking a decision on the EU clearing obligation to include SOFR OIS.</w:t>
      </w:r>
    </w:p>
    <w:permEnd w:id="1185625336"/>
    <w:p w14:paraId="1E6B10D4"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&lt;ESMA_QUESTION_RFRS_5&gt;</w:t>
      </w:r>
    </w:p>
    <w:p w14:paraId="0C71553C" w14:textId="614B2EE3" w:rsidR="009835AD" w:rsidRDefault="009835AD" w:rsidP="009835AD">
      <w:pPr>
        <w:spacing w:after="160" w:line="259" w:lineRule="auto"/>
        <w:rPr>
          <w:rFonts w:ascii="Calibri" w:eastAsia="Calibri" w:hAnsi="Calibri"/>
          <w:sz w:val="22"/>
          <w:szCs w:val="22"/>
          <w:lang w:eastAsia="en-US"/>
        </w:rPr>
      </w:pPr>
    </w:p>
    <w:p w14:paraId="72DF8575" w14:textId="77777777" w:rsidR="009835AD" w:rsidRPr="009835AD" w:rsidRDefault="009835AD" w:rsidP="009835AD">
      <w:pPr>
        <w:numPr>
          <w:ilvl w:val="0"/>
          <w:numId w:val="9"/>
        </w:numPr>
        <w:spacing w:after="250" w:line="276" w:lineRule="auto"/>
        <w:contextualSpacing/>
        <w:jc w:val="both"/>
        <w:rPr>
          <w:rFonts w:ascii="Arial" w:hAnsi="Arial" w:cs="Arial"/>
          <w:b/>
          <w:sz w:val="22"/>
          <w:szCs w:val="22"/>
          <w:lang w:val="en-US" w:eastAsia="en-US"/>
        </w:rPr>
      </w:pPr>
      <w:r w:rsidRPr="009835AD">
        <w:rPr>
          <w:rFonts w:ascii="Arial" w:hAnsi="Arial" w:cs="Arial"/>
          <w:b/>
          <w:sz w:val="22"/>
          <w:szCs w:val="22"/>
          <w:lang w:val="en-US" w:eastAsia="en-US"/>
        </w:rPr>
        <w:t xml:space="preserve">: </w:t>
      </w:r>
      <w:r w:rsidRPr="009835AD">
        <w:rPr>
          <w:rFonts w:ascii="Arial" w:hAnsi="Arial" w:cs="Arial"/>
          <w:b/>
          <w:bCs/>
          <w:sz w:val="22"/>
          <w:szCs w:val="22"/>
          <w:lang w:val="en-US" w:eastAsia="en-US"/>
        </w:rPr>
        <w:t xml:space="preserve">Do you agree with the proposed implementation of the changes? If not please provide details that could justify a different implementation. </w:t>
      </w:r>
    </w:p>
    <w:p w14:paraId="040FCF38"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&lt;ESMA_QUESTION_RFRS_6&gt;</w:t>
      </w:r>
    </w:p>
    <w:p w14:paraId="3CC80C80" w14:textId="77777777" w:rsidR="004D2DDA" w:rsidRDefault="004D2DDA" w:rsidP="004D2DDA">
      <w:pPr>
        <w:spacing w:after="160" w:line="259" w:lineRule="auto"/>
        <w:jc w:val="both"/>
        <w:rPr>
          <w:rFonts w:ascii="Calibri" w:eastAsia="Calibri" w:hAnsi="Calibri"/>
          <w:sz w:val="22"/>
          <w:szCs w:val="22"/>
          <w:lang w:eastAsia="en-US"/>
        </w:rPr>
      </w:pPr>
      <w:permStart w:id="88494692" w:edGrp="everyone"/>
      <w:r>
        <w:rPr>
          <w:rFonts w:ascii="Calibri" w:eastAsia="Calibri" w:hAnsi="Calibri"/>
          <w:sz w:val="22"/>
          <w:szCs w:val="22"/>
          <w:lang w:eastAsia="en-US"/>
        </w:rPr>
        <w:t xml:space="preserve">As alluded to in our answer to question 3 we </w:t>
      </w:r>
      <w:r w:rsidRPr="00A11C70">
        <w:rPr>
          <w:rFonts w:ascii="Calibri" w:eastAsia="Calibri" w:hAnsi="Calibri"/>
          <w:sz w:val="22"/>
          <w:szCs w:val="22"/>
          <w:lang w:eastAsia="en-US"/>
        </w:rPr>
        <w:t>appreciate that ESMA is coordinating the</w:t>
      </w:r>
      <w:r>
        <w:rPr>
          <w:rFonts w:ascii="Calibri" w:eastAsia="Calibri" w:hAnsi="Calibri"/>
          <w:sz w:val="22"/>
          <w:szCs w:val="22"/>
          <w:lang w:eastAsia="en-US"/>
        </w:rPr>
        <w:t xml:space="preserve"> LIBOR</w:t>
      </w:r>
      <w:r w:rsidRPr="00A11C70">
        <w:rPr>
          <w:rFonts w:ascii="Calibri" w:eastAsia="Calibri" w:hAnsi="Calibri"/>
          <w:sz w:val="22"/>
          <w:szCs w:val="22"/>
          <w:lang w:eastAsia="en-US"/>
        </w:rPr>
        <w:t xml:space="preserve"> transition with other regulators and jurisdictions in order to facilitate international cooperation and global convergence </w:t>
      </w:r>
      <w:r>
        <w:rPr>
          <w:rFonts w:ascii="Calibri" w:eastAsia="Calibri" w:hAnsi="Calibri"/>
          <w:sz w:val="22"/>
          <w:szCs w:val="22"/>
          <w:lang w:eastAsia="en-US"/>
        </w:rPr>
        <w:t xml:space="preserve">wherever possible. Being mindful of the legislative process to adapt the RTS on the clearing obligation we appreciate that ESMA is aiming at an implementation as of 3 January 2022 as the LIBORs will cease to be produced by the end of 2021. </w:t>
      </w:r>
    </w:p>
    <w:p w14:paraId="2CB99170" w14:textId="50A6D9E8" w:rsidR="004D2DDA" w:rsidRDefault="004D2DDA" w:rsidP="004D2DDA">
      <w:pPr>
        <w:spacing w:after="160" w:line="259" w:lineRule="auto"/>
        <w:jc w:val="both"/>
        <w:rPr>
          <w:rFonts w:ascii="Calibri" w:eastAsia="Calibri" w:hAnsi="Calibri"/>
          <w:sz w:val="22"/>
          <w:szCs w:val="22"/>
          <w:lang w:eastAsia="en-US"/>
        </w:rPr>
      </w:pPr>
      <w:r>
        <w:rPr>
          <w:rFonts w:ascii="Calibri" w:eastAsia="Calibri" w:hAnsi="Calibri"/>
          <w:sz w:val="22"/>
          <w:szCs w:val="22"/>
          <w:lang w:eastAsia="en-US"/>
        </w:rPr>
        <w:t xml:space="preserve">Nevertheless, we would like to highlight that EU CCPs have aligned on a switch for EONIA legacy trades to €STR in </w:t>
      </w:r>
      <w:r w:rsidR="007A60F8">
        <w:rPr>
          <w:rFonts w:ascii="Calibri" w:eastAsia="Calibri" w:hAnsi="Calibri"/>
          <w:sz w:val="22"/>
          <w:szCs w:val="22"/>
          <w:lang w:eastAsia="en-US"/>
        </w:rPr>
        <w:t>mid-October</w:t>
      </w:r>
      <w:r>
        <w:rPr>
          <w:rFonts w:ascii="Calibri" w:eastAsia="Calibri" w:hAnsi="Calibri"/>
          <w:sz w:val="22"/>
          <w:szCs w:val="22"/>
          <w:lang w:eastAsia="en-US"/>
        </w:rPr>
        <w:t xml:space="preserve"> </w:t>
      </w:r>
      <w:r w:rsidR="005A7260">
        <w:rPr>
          <w:rFonts w:ascii="Calibri" w:eastAsia="Calibri" w:hAnsi="Calibri"/>
          <w:sz w:val="22"/>
          <w:szCs w:val="22"/>
          <w:lang w:eastAsia="en-US"/>
        </w:rPr>
        <w:t xml:space="preserve">2021 </w:t>
      </w:r>
      <w:r>
        <w:rPr>
          <w:rFonts w:ascii="Calibri" w:eastAsia="Calibri" w:hAnsi="Calibri"/>
          <w:sz w:val="22"/>
          <w:szCs w:val="22"/>
          <w:lang w:eastAsia="en-US"/>
        </w:rPr>
        <w:t xml:space="preserve">and plan for a conversion of </w:t>
      </w:r>
      <w:r w:rsidRPr="00A11C70">
        <w:rPr>
          <w:rFonts w:ascii="Calibri" w:eastAsia="Calibri" w:hAnsi="Calibri"/>
          <w:sz w:val="22"/>
          <w:szCs w:val="22"/>
          <w:lang w:eastAsia="en-US"/>
        </w:rPr>
        <w:t>GBP</w:t>
      </w:r>
      <w:r>
        <w:rPr>
          <w:rFonts w:ascii="Calibri" w:eastAsia="Calibri" w:hAnsi="Calibri"/>
          <w:sz w:val="22"/>
          <w:szCs w:val="22"/>
          <w:lang w:eastAsia="en-US"/>
        </w:rPr>
        <w:t xml:space="preserve"> and the JPY </w:t>
      </w:r>
      <w:r w:rsidRPr="00A11C70">
        <w:rPr>
          <w:rFonts w:ascii="Calibri" w:eastAsia="Calibri" w:hAnsi="Calibri"/>
          <w:sz w:val="22"/>
          <w:szCs w:val="22"/>
          <w:lang w:eastAsia="en-US"/>
        </w:rPr>
        <w:t>LIBOR</w:t>
      </w:r>
      <w:r>
        <w:rPr>
          <w:rFonts w:ascii="Calibri" w:eastAsia="Calibri" w:hAnsi="Calibri"/>
          <w:sz w:val="22"/>
          <w:szCs w:val="22"/>
          <w:lang w:eastAsia="en-US"/>
        </w:rPr>
        <w:t xml:space="preserve"> </w:t>
      </w:r>
      <w:r w:rsidR="007A60F8">
        <w:rPr>
          <w:rFonts w:ascii="Calibri" w:eastAsia="Calibri" w:hAnsi="Calibri"/>
          <w:sz w:val="22"/>
          <w:szCs w:val="22"/>
          <w:lang w:eastAsia="en-US"/>
        </w:rPr>
        <w:t>legacy</w:t>
      </w:r>
      <w:r w:rsidR="009D5FC0">
        <w:rPr>
          <w:rFonts w:ascii="Calibri" w:eastAsia="Calibri" w:hAnsi="Calibri"/>
          <w:sz w:val="22"/>
          <w:szCs w:val="22"/>
          <w:lang w:eastAsia="en-US"/>
        </w:rPr>
        <w:t xml:space="preserve"> trades </w:t>
      </w:r>
      <w:r w:rsidR="009D5FC0" w:rsidRPr="009D5FC0">
        <w:rPr>
          <w:rFonts w:ascii="Calibri" w:eastAsia="Calibri" w:hAnsi="Calibri"/>
          <w:sz w:val="22"/>
          <w:szCs w:val="22"/>
          <w:lang w:eastAsia="en-US"/>
        </w:rPr>
        <w:t xml:space="preserve">to RFR OIS trades </w:t>
      </w:r>
      <w:r>
        <w:rPr>
          <w:rFonts w:ascii="Calibri" w:eastAsia="Calibri" w:hAnsi="Calibri"/>
          <w:sz w:val="22"/>
          <w:szCs w:val="22"/>
          <w:lang w:eastAsia="en-US"/>
        </w:rPr>
        <w:t xml:space="preserve">in </w:t>
      </w:r>
      <w:r w:rsidR="009D5FC0">
        <w:rPr>
          <w:rFonts w:ascii="Calibri" w:eastAsia="Calibri" w:hAnsi="Calibri"/>
          <w:sz w:val="22"/>
          <w:szCs w:val="22"/>
          <w:lang w:eastAsia="en-US"/>
        </w:rPr>
        <w:t xml:space="preserve">early and </w:t>
      </w:r>
      <w:r w:rsidR="007A60F8">
        <w:rPr>
          <w:rFonts w:ascii="Calibri" w:eastAsia="Calibri" w:hAnsi="Calibri"/>
          <w:sz w:val="22"/>
          <w:szCs w:val="22"/>
          <w:lang w:eastAsia="en-US"/>
        </w:rPr>
        <w:t>mid-December</w:t>
      </w:r>
      <w:r w:rsidR="005A7260">
        <w:rPr>
          <w:rFonts w:ascii="Calibri" w:eastAsia="Calibri" w:hAnsi="Calibri"/>
          <w:sz w:val="22"/>
          <w:szCs w:val="22"/>
          <w:lang w:eastAsia="en-US"/>
        </w:rPr>
        <w:t xml:space="preserve"> 2021</w:t>
      </w:r>
      <w:r>
        <w:rPr>
          <w:rFonts w:ascii="Calibri" w:eastAsia="Calibri" w:hAnsi="Calibri"/>
          <w:sz w:val="22"/>
          <w:szCs w:val="22"/>
          <w:lang w:eastAsia="en-US"/>
        </w:rPr>
        <w:t xml:space="preserve">. Further, the BoE indicated in its consultation on adapting the UK clearing obligation that it plans to implement the </w:t>
      </w:r>
      <w:r w:rsidR="007A60F8">
        <w:rPr>
          <w:rFonts w:ascii="Calibri" w:eastAsia="Calibri" w:hAnsi="Calibri"/>
          <w:sz w:val="22"/>
          <w:szCs w:val="22"/>
          <w:lang w:eastAsia="en-US"/>
        </w:rPr>
        <w:t>respective</w:t>
      </w:r>
      <w:r>
        <w:rPr>
          <w:rFonts w:ascii="Calibri" w:eastAsia="Calibri" w:hAnsi="Calibri"/>
          <w:sz w:val="22"/>
          <w:szCs w:val="22"/>
          <w:lang w:eastAsia="en-US"/>
        </w:rPr>
        <w:t xml:space="preserve"> changes in line with the dates </w:t>
      </w:r>
      <w:r w:rsidR="009D5FC0">
        <w:rPr>
          <w:rFonts w:ascii="Calibri" w:eastAsia="Calibri" w:hAnsi="Calibri"/>
          <w:sz w:val="22"/>
          <w:szCs w:val="22"/>
          <w:lang w:eastAsia="en-US"/>
        </w:rPr>
        <w:t>when</w:t>
      </w:r>
      <w:r>
        <w:rPr>
          <w:rFonts w:ascii="Calibri" w:eastAsia="Calibri" w:hAnsi="Calibri"/>
          <w:sz w:val="22"/>
          <w:szCs w:val="22"/>
          <w:lang w:eastAsia="en-US"/>
        </w:rPr>
        <w:t xml:space="preserve"> CCPs are making the switches. </w:t>
      </w:r>
    </w:p>
    <w:p w14:paraId="23E24B8F" w14:textId="37D2B99F" w:rsidR="004D2DDA" w:rsidRDefault="004D2DDA" w:rsidP="004D2DDA">
      <w:pPr>
        <w:spacing w:after="160" w:line="259" w:lineRule="auto"/>
        <w:jc w:val="both"/>
        <w:rPr>
          <w:rFonts w:ascii="Calibri" w:eastAsia="Calibri" w:hAnsi="Calibri"/>
          <w:sz w:val="22"/>
          <w:szCs w:val="22"/>
          <w:lang w:eastAsia="en-US"/>
        </w:rPr>
      </w:pPr>
      <w:r>
        <w:rPr>
          <w:rFonts w:ascii="Calibri" w:eastAsia="Calibri" w:hAnsi="Calibri"/>
          <w:sz w:val="22"/>
          <w:szCs w:val="22"/>
          <w:lang w:eastAsia="en-US"/>
        </w:rPr>
        <w:t xml:space="preserve">Consequently, in the EU, we may see a gap at the end of December where the GBP and JPY LIBORs will be subject to the clearing obligation without a CCP clearing them as well as new business under the replacement rates which will not yet be subject to the clearing obligation; this is also true with EONIA from </w:t>
      </w:r>
      <w:r w:rsidR="007A60F8">
        <w:rPr>
          <w:rFonts w:ascii="Calibri" w:eastAsia="Calibri" w:hAnsi="Calibri"/>
          <w:sz w:val="22"/>
          <w:szCs w:val="22"/>
          <w:lang w:eastAsia="en-US"/>
        </w:rPr>
        <w:t>mid-October</w:t>
      </w:r>
      <w:r>
        <w:rPr>
          <w:rFonts w:ascii="Calibri" w:eastAsia="Calibri" w:hAnsi="Calibri"/>
          <w:sz w:val="22"/>
          <w:szCs w:val="22"/>
          <w:lang w:eastAsia="en-US"/>
        </w:rPr>
        <w:t xml:space="preserve"> until the end of the year. While we would not expect to see much new GBP/JPY LIBOR or EONIA activity after their conversion at CCPs, we could not exclude the possibility that some market participants would have to do some targeted GBP/JPY LIBOR or EONIA transactions which would be done in the bilateral space. </w:t>
      </w:r>
    </w:p>
    <w:p w14:paraId="3C7BFE5E" w14:textId="6EA04045" w:rsidR="004D2DDA" w:rsidRDefault="004D2DDA" w:rsidP="004D2DDA">
      <w:pPr>
        <w:spacing w:after="160" w:line="259" w:lineRule="auto"/>
        <w:jc w:val="both"/>
        <w:rPr>
          <w:rFonts w:ascii="Calibri" w:eastAsia="Calibri" w:hAnsi="Calibri"/>
          <w:sz w:val="22"/>
          <w:szCs w:val="22"/>
          <w:lang w:eastAsia="en-US"/>
        </w:rPr>
      </w:pPr>
      <w:r>
        <w:rPr>
          <w:rFonts w:ascii="Calibri" w:eastAsia="Calibri" w:hAnsi="Calibri"/>
          <w:sz w:val="22"/>
          <w:szCs w:val="22"/>
          <w:lang w:eastAsia="en-US"/>
        </w:rPr>
        <w:t xml:space="preserve">In this context, we would like to highlight in general the importance to protect the </w:t>
      </w:r>
      <w:r w:rsidR="007A60F8">
        <w:rPr>
          <w:rFonts w:ascii="Calibri" w:eastAsia="Calibri" w:hAnsi="Calibri"/>
          <w:sz w:val="22"/>
          <w:szCs w:val="22"/>
          <w:lang w:eastAsia="en-US"/>
        </w:rPr>
        <w:t>integrity</w:t>
      </w:r>
      <w:r>
        <w:rPr>
          <w:rFonts w:ascii="Calibri" w:eastAsia="Calibri" w:hAnsi="Calibri"/>
          <w:sz w:val="22"/>
          <w:szCs w:val="22"/>
          <w:lang w:eastAsia="en-US"/>
        </w:rPr>
        <w:t xml:space="preserve"> of </w:t>
      </w:r>
      <w:r w:rsidR="007A60F8">
        <w:rPr>
          <w:rFonts w:ascii="Calibri" w:eastAsia="Calibri" w:hAnsi="Calibri"/>
          <w:sz w:val="22"/>
          <w:szCs w:val="22"/>
          <w:lang w:eastAsia="en-US"/>
        </w:rPr>
        <w:t xml:space="preserve">central </w:t>
      </w:r>
      <w:r>
        <w:rPr>
          <w:rFonts w:ascii="Calibri" w:eastAsia="Calibri" w:hAnsi="Calibri"/>
          <w:sz w:val="22"/>
          <w:szCs w:val="22"/>
          <w:lang w:eastAsia="en-US"/>
        </w:rPr>
        <w:t>clearing and avoid a move back to the bilateral space.</w:t>
      </w:r>
    </w:p>
    <w:permEnd w:id="88494692"/>
    <w:p w14:paraId="628D142A"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&lt;ESMA_QUESTION_RFRS_6&gt;</w:t>
      </w:r>
    </w:p>
    <w:p w14:paraId="594B71CA" w14:textId="50FF831B" w:rsidR="009835AD" w:rsidRDefault="009835AD" w:rsidP="009835AD">
      <w:pPr>
        <w:spacing w:after="160" w:line="259" w:lineRule="auto"/>
        <w:rPr>
          <w:rFonts w:ascii="Calibri" w:eastAsia="Calibri" w:hAnsi="Calibri"/>
          <w:sz w:val="22"/>
          <w:szCs w:val="22"/>
          <w:lang w:eastAsia="en-US"/>
        </w:rPr>
      </w:pPr>
    </w:p>
    <w:p w14:paraId="755594D9" w14:textId="133EE23F" w:rsidR="0037358E" w:rsidRPr="0037358E" w:rsidRDefault="0037358E" w:rsidP="0037358E">
      <w:pPr>
        <w:spacing w:after="120" w:line="264" w:lineRule="auto"/>
        <w:rPr>
          <w:rFonts w:asciiTheme="minorHAnsi" w:hAnsiTheme="minorHAnsi" w:cstheme="minorHAnsi"/>
          <w:b/>
          <w:sz w:val="22"/>
          <w:szCs w:val="22"/>
        </w:rPr>
      </w:pPr>
      <w:r w:rsidRPr="0037358E">
        <w:rPr>
          <w:rFonts w:asciiTheme="minorHAnsi" w:hAnsiTheme="minorHAnsi" w:cstheme="minorHAnsi"/>
          <w:b/>
          <w:sz w:val="22"/>
          <w:szCs w:val="22"/>
        </w:rPr>
        <w:t>Derivatives trading obligation</w:t>
      </w:r>
    </w:p>
    <w:p w14:paraId="3E5926C1" w14:textId="77777777" w:rsidR="009835AD" w:rsidRPr="009835AD" w:rsidRDefault="009835AD" w:rsidP="009835AD">
      <w:pPr>
        <w:numPr>
          <w:ilvl w:val="0"/>
          <w:numId w:val="9"/>
        </w:numPr>
        <w:spacing w:after="250" w:line="276" w:lineRule="auto"/>
        <w:contextualSpacing/>
        <w:jc w:val="both"/>
        <w:rPr>
          <w:rFonts w:ascii="Arial" w:hAnsi="Arial" w:cs="Arial"/>
          <w:b/>
          <w:sz w:val="22"/>
          <w:szCs w:val="22"/>
          <w:lang w:val="en-US" w:eastAsia="en-US"/>
        </w:rPr>
      </w:pPr>
      <w:r w:rsidRPr="009835AD">
        <w:rPr>
          <w:rFonts w:ascii="Arial" w:hAnsi="Arial" w:cs="Arial"/>
          <w:b/>
          <w:sz w:val="22"/>
          <w:szCs w:val="22"/>
          <w:lang w:val="en-US" w:eastAsia="en-US"/>
        </w:rPr>
        <w:t xml:space="preserve">: </w:t>
      </w:r>
      <w:r w:rsidRPr="009835AD">
        <w:rPr>
          <w:rFonts w:ascii="Arial" w:hAnsi="Arial" w:cs="Arial"/>
          <w:b/>
          <w:bCs/>
          <w:sz w:val="22"/>
          <w:szCs w:val="22"/>
          <w:lang w:val="en-US" w:eastAsia="en-US"/>
        </w:rPr>
        <w:t xml:space="preserve">Do you agree with the proposal to not include OIS referencing €STR, SONIA nor SOFR to the DTO at this point in time? In case you disagree with ESMA’s proposal, please justify and support your assessment with qualitative and quantitative data. </w:t>
      </w:r>
    </w:p>
    <w:p w14:paraId="7D3081D1"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&lt;ESMA_QUESTION_RFRS_7&gt;</w:t>
      </w:r>
    </w:p>
    <w:p w14:paraId="7E4A282A" w14:textId="77777777" w:rsidR="004C6CF2" w:rsidRPr="004C6CF2" w:rsidRDefault="004C6CF2" w:rsidP="004C6CF2">
      <w:pPr>
        <w:spacing w:after="160" w:line="259" w:lineRule="auto"/>
        <w:jc w:val="both"/>
        <w:rPr>
          <w:rFonts w:ascii="Calibri" w:eastAsia="Calibri" w:hAnsi="Calibri"/>
          <w:sz w:val="22"/>
          <w:szCs w:val="22"/>
          <w:lang w:val="en-US" w:eastAsia="en-US"/>
        </w:rPr>
      </w:pPr>
      <w:permStart w:id="1781297155" w:edGrp="everyone"/>
      <w:r w:rsidRPr="004C6CF2">
        <w:rPr>
          <w:rFonts w:ascii="Calibri" w:eastAsia="Calibri" w:hAnsi="Calibri"/>
          <w:sz w:val="22"/>
          <w:szCs w:val="22"/>
          <w:lang w:val="en-US" w:eastAsia="en-US"/>
        </w:rPr>
        <w:t>While Eurex does not offer the products currently subject under the DTO for trading we would like to provide some general comments on the DTO which ESMA may consider useful for the general discussion about the potential adaption of the scope.</w:t>
      </w:r>
    </w:p>
    <w:p w14:paraId="06DC0EDF" w14:textId="31FCDD69" w:rsidR="0000343D" w:rsidRPr="0000343D" w:rsidRDefault="004C6CF2" w:rsidP="004C6CF2">
      <w:pPr>
        <w:spacing w:after="160" w:line="259" w:lineRule="auto"/>
        <w:jc w:val="both"/>
        <w:rPr>
          <w:rFonts w:ascii="Calibri" w:eastAsia="Calibri" w:hAnsi="Calibri"/>
          <w:sz w:val="22"/>
          <w:szCs w:val="22"/>
          <w:lang w:val="en-US" w:eastAsia="en-US"/>
        </w:rPr>
      </w:pPr>
      <w:r w:rsidRPr="004C6CF2">
        <w:rPr>
          <w:rFonts w:ascii="Calibri" w:eastAsia="Calibri" w:hAnsi="Calibri"/>
          <w:sz w:val="22"/>
          <w:szCs w:val="22"/>
          <w:lang w:val="en-US" w:eastAsia="en-US"/>
        </w:rPr>
        <w:t>DBG has welcomed the introduction of the trading obligation for OTC derivatives (DTO) under MiFIR as one of the key cornerstones of the G20 reforms in the aftermath of the financial crisis. DBG considers central clearing and trading of OTC-derivatives on exchanges as beneficial for the overall level of transparency and ultimately as integral for the stability of financial markets. However, ESMA’s Annual Statistical Report on the EU Derivatives Markets show that despite the DTO the level of notional volume of derivatives executed on trading venues (ETDs and OTC executed on-venue) has remained with approximately 15% relatively stable at low levels. This also means that 85% of the notional volume is still executed off-venue in opaque OTC-markets. Not including OIS referencing €STR</w:t>
      </w:r>
      <w:r w:rsidR="00861D07">
        <w:rPr>
          <w:rFonts w:ascii="Calibri" w:eastAsia="Calibri" w:hAnsi="Calibri"/>
          <w:sz w:val="22"/>
          <w:szCs w:val="22"/>
          <w:lang w:val="en-US" w:eastAsia="en-US"/>
        </w:rPr>
        <w:t xml:space="preserve"> or</w:t>
      </w:r>
      <w:r w:rsidRPr="004C6CF2">
        <w:rPr>
          <w:rFonts w:ascii="Calibri" w:eastAsia="Calibri" w:hAnsi="Calibri"/>
          <w:sz w:val="22"/>
          <w:szCs w:val="22"/>
          <w:lang w:val="en-US" w:eastAsia="en-US"/>
        </w:rPr>
        <w:t xml:space="preserve"> SONIA to the scope of the DTO bears the risk to further increase the share of notional volume executed OTC</w:t>
      </w:r>
      <w:r>
        <w:rPr>
          <w:rFonts w:ascii="Calibri" w:eastAsia="Calibri" w:hAnsi="Calibri"/>
          <w:sz w:val="22"/>
          <w:szCs w:val="22"/>
          <w:lang w:val="en-US" w:eastAsia="en-US"/>
        </w:rPr>
        <w:t xml:space="preserve"> bilaterally</w:t>
      </w:r>
      <w:r w:rsidRPr="004C6CF2">
        <w:rPr>
          <w:rFonts w:ascii="Calibri" w:eastAsia="Calibri" w:hAnsi="Calibri"/>
          <w:sz w:val="22"/>
          <w:szCs w:val="22"/>
          <w:lang w:val="en-US" w:eastAsia="en-US"/>
        </w:rPr>
        <w:t xml:space="preserve">. ESMA should therefore carefully monitor the liquidity situation of these </w:t>
      </w:r>
      <w:r w:rsidR="005A7260">
        <w:rPr>
          <w:rFonts w:ascii="Calibri" w:eastAsia="Calibri" w:hAnsi="Calibri"/>
          <w:sz w:val="22"/>
          <w:szCs w:val="22"/>
          <w:lang w:val="en-US" w:eastAsia="en-US"/>
        </w:rPr>
        <w:t>RFRs</w:t>
      </w:r>
      <w:r w:rsidRPr="004C6CF2">
        <w:rPr>
          <w:rFonts w:ascii="Calibri" w:eastAsia="Calibri" w:hAnsi="Calibri"/>
          <w:sz w:val="22"/>
          <w:szCs w:val="22"/>
          <w:lang w:val="en-US" w:eastAsia="en-US"/>
        </w:rPr>
        <w:t xml:space="preserve"> on EU venues in order to avoid a further increase of volumes executed OTC</w:t>
      </w:r>
      <w:r>
        <w:rPr>
          <w:rFonts w:ascii="Calibri" w:eastAsia="Calibri" w:hAnsi="Calibri"/>
          <w:sz w:val="22"/>
          <w:szCs w:val="22"/>
          <w:lang w:val="en-US" w:eastAsia="en-US"/>
        </w:rPr>
        <w:t xml:space="preserve"> bilaterally</w:t>
      </w:r>
      <w:r w:rsidRPr="004C6CF2">
        <w:rPr>
          <w:rFonts w:ascii="Calibri" w:eastAsia="Calibri" w:hAnsi="Calibri"/>
          <w:sz w:val="22"/>
          <w:szCs w:val="22"/>
          <w:lang w:val="en-US" w:eastAsia="en-US"/>
        </w:rPr>
        <w:t>.</w:t>
      </w:r>
    </w:p>
    <w:permEnd w:id="1781297155"/>
    <w:p w14:paraId="66AFC1E9"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&lt;ESMA_QUESTION_RFRS_7&gt;</w:t>
      </w:r>
    </w:p>
    <w:p w14:paraId="7FAEEE4B" w14:textId="77777777" w:rsidR="009835AD" w:rsidRPr="009835AD" w:rsidRDefault="009835AD" w:rsidP="009835AD">
      <w:pPr>
        <w:spacing w:after="160" w:line="259" w:lineRule="auto"/>
        <w:rPr>
          <w:rFonts w:ascii="Calibri" w:eastAsia="Calibri" w:hAnsi="Calibri"/>
          <w:sz w:val="22"/>
          <w:szCs w:val="22"/>
          <w:lang w:eastAsia="en-US"/>
        </w:rPr>
      </w:pPr>
    </w:p>
    <w:p w14:paraId="74F8AD9A" w14:textId="77777777" w:rsidR="009835AD" w:rsidRPr="009835AD" w:rsidRDefault="009835AD" w:rsidP="009835AD">
      <w:pPr>
        <w:numPr>
          <w:ilvl w:val="0"/>
          <w:numId w:val="9"/>
        </w:numPr>
        <w:spacing w:after="250" w:line="276" w:lineRule="auto"/>
        <w:contextualSpacing/>
        <w:jc w:val="both"/>
        <w:rPr>
          <w:rFonts w:ascii="Arial" w:hAnsi="Arial" w:cs="Arial"/>
          <w:b/>
          <w:sz w:val="22"/>
          <w:szCs w:val="22"/>
          <w:lang w:val="en-US" w:eastAsia="en-US"/>
        </w:rPr>
      </w:pPr>
      <w:r w:rsidRPr="009835AD">
        <w:rPr>
          <w:rFonts w:ascii="Arial" w:hAnsi="Arial" w:cs="Arial"/>
          <w:b/>
          <w:sz w:val="22"/>
          <w:szCs w:val="22"/>
          <w:lang w:val="en-US" w:eastAsia="en-US"/>
        </w:rPr>
        <w:t xml:space="preserve">: </w:t>
      </w:r>
      <w:r w:rsidRPr="009835AD">
        <w:rPr>
          <w:rFonts w:ascii="Arial" w:hAnsi="Arial" w:cs="Arial"/>
          <w:b/>
          <w:bCs/>
          <w:sz w:val="22"/>
          <w:szCs w:val="22"/>
          <w:lang w:val="en-US" w:eastAsia="en-US"/>
        </w:rPr>
        <w:t xml:space="preserve">Do you consider that IRS referencing USD LIBOR should continue to be subject to the DTO? </w:t>
      </w:r>
    </w:p>
    <w:p w14:paraId="0328DE9E"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&lt;ESMA_QUESTION_RFRS_8&gt;</w:t>
      </w:r>
    </w:p>
    <w:p w14:paraId="371DD56B" w14:textId="77777777" w:rsidR="004C6CF2" w:rsidRDefault="004C6CF2" w:rsidP="009835AD">
      <w:pPr>
        <w:spacing w:after="160" w:line="259" w:lineRule="auto"/>
        <w:rPr>
          <w:rFonts w:ascii="Calibri" w:eastAsia="Calibri" w:hAnsi="Calibri"/>
          <w:sz w:val="22"/>
          <w:szCs w:val="22"/>
          <w:lang w:eastAsia="en-US"/>
        </w:rPr>
      </w:pPr>
      <w:permStart w:id="334326387" w:edGrp="everyone"/>
      <w:r w:rsidRPr="004C6CF2">
        <w:rPr>
          <w:rFonts w:ascii="Calibri" w:eastAsia="Calibri" w:hAnsi="Calibri"/>
          <w:sz w:val="22"/>
          <w:szCs w:val="22"/>
          <w:lang w:eastAsia="en-US"/>
        </w:rPr>
        <w:t>Eurex agrees with ESMA to keep IRS referencing the USD LIBOR in scope of the DTO. We would not see a reason to remove the USD LIBOR from the scope, as the criteria for a scope inclusion as per Art. 32 (2) MiFIR are fulfilled.</w:t>
      </w:r>
      <w:r>
        <w:rPr>
          <w:rFonts w:ascii="Calibri" w:eastAsia="Calibri" w:hAnsi="Calibri"/>
          <w:sz w:val="22"/>
          <w:szCs w:val="22"/>
          <w:lang w:eastAsia="en-US"/>
        </w:rPr>
        <w:t xml:space="preserve"> </w:t>
      </w:r>
    </w:p>
    <w:p w14:paraId="51F0F5A4" w14:textId="55CBC850" w:rsidR="009835AD" w:rsidRPr="009835AD" w:rsidRDefault="004C6CF2" w:rsidP="009835AD">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Please also refer to our answers to </w:t>
      </w:r>
      <w:r w:rsidR="003D1140">
        <w:rPr>
          <w:rFonts w:ascii="Calibri" w:eastAsia="Calibri" w:hAnsi="Calibri"/>
          <w:sz w:val="22"/>
          <w:szCs w:val="22"/>
          <w:lang w:eastAsia="en-US"/>
        </w:rPr>
        <w:t>questions</w:t>
      </w:r>
      <w:r>
        <w:rPr>
          <w:rFonts w:ascii="Calibri" w:eastAsia="Calibri" w:hAnsi="Calibri"/>
          <w:sz w:val="22"/>
          <w:szCs w:val="22"/>
          <w:lang w:eastAsia="en-US"/>
        </w:rPr>
        <w:t xml:space="preserve"> 6 and 7 in this context. </w:t>
      </w:r>
    </w:p>
    <w:permEnd w:id="334326387"/>
    <w:p w14:paraId="240C6ECC"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&lt;ESMA_QUESTION_RFRS_8&gt;</w:t>
      </w:r>
    </w:p>
    <w:p w14:paraId="0C0346E7" w14:textId="2BBFAEED" w:rsidR="009835AD" w:rsidRDefault="009835AD" w:rsidP="009835AD">
      <w:pPr>
        <w:spacing w:after="160" w:line="259" w:lineRule="auto"/>
        <w:rPr>
          <w:rFonts w:ascii="Calibri" w:eastAsia="Calibri" w:hAnsi="Calibri"/>
          <w:sz w:val="22"/>
          <w:szCs w:val="22"/>
          <w:lang w:eastAsia="en-US"/>
        </w:rPr>
      </w:pPr>
    </w:p>
    <w:p w14:paraId="73A694AF" w14:textId="6C55CC32" w:rsidR="0037358E" w:rsidRPr="0037358E" w:rsidRDefault="0037358E" w:rsidP="0037358E">
      <w:pPr>
        <w:spacing w:after="120" w:line="264" w:lineRule="auto"/>
        <w:rPr>
          <w:rFonts w:asciiTheme="minorHAnsi" w:hAnsiTheme="minorHAnsi" w:cstheme="minorHAnsi"/>
          <w:b/>
          <w:sz w:val="22"/>
          <w:szCs w:val="22"/>
        </w:rPr>
      </w:pPr>
      <w:r w:rsidRPr="0037358E">
        <w:rPr>
          <w:rFonts w:asciiTheme="minorHAnsi" w:hAnsiTheme="minorHAnsi" w:cstheme="minorHAnsi"/>
          <w:b/>
          <w:sz w:val="22"/>
          <w:szCs w:val="22"/>
        </w:rPr>
        <w:t>Cost Benefit Analysis</w:t>
      </w:r>
    </w:p>
    <w:p w14:paraId="74C3C7A2" w14:textId="77777777" w:rsidR="009835AD" w:rsidRPr="009835AD" w:rsidRDefault="009835AD" w:rsidP="009835AD">
      <w:pPr>
        <w:numPr>
          <w:ilvl w:val="0"/>
          <w:numId w:val="9"/>
        </w:numPr>
        <w:spacing w:after="250" w:line="276" w:lineRule="auto"/>
        <w:contextualSpacing/>
        <w:jc w:val="both"/>
        <w:rPr>
          <w:rFonts w:ascii="Arial" w:hAnsi="Arial" w:cs="Arial"/>
          <w:b/>
          <w:sz w:val="22"/>
          <w:szCs w:val="22"/>
          <w:lang w:val="en-US" w:eastAsia="en-US"/>
        </w:rPr>
      </w:pPr>
      <w:r w:rsidRPr="009835AD">
        <w:rPr>
          <w:rFonts w:ascii="Arial" w:hAnsi="Arial" w:cs="Arial"/>
          <w:b/>
          <w:sz w:val="22"/>
          <w:szCs w:val="22"/>
          <w:lang w:val="en-US" w:eastAsia="en-US"/>
        </w:rPr>
        <w:t xml:space="preserve">: </w:t>
      </w:r>
      <w:r w:rsidRPr="009835AD">
        <w:rPr>
          <w:rFonts w:ascii="Arial" w:hAnsi="Arial" w:cs="Arial"/>
          <w:b/>
          <w:bCs/>
          <w:sz w:val="22"/>
          <w:szCs w:val="22"/>
          <w:lang w:val="en-US" w:eastAsia="en-US"/>
        </w:rPr>
        <w:t xml:space="preserve">Are there other elements that should be taken into account and that would impact the outcome of the cost-benefit analysis?  Please provide quantitative and qualitative details. </w:t>
      </w:r>
    </w:p>
    <w:p w14:paraId="15CE8924"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&lt;ESMA_QUESTION_RFRS_9&gt;</w:t>
      </w:r>
    </w:p>
    <w:p w14:paraId="2F6FE426" w14:textId="42189348" w:rsidR="009835AD" w:rsidRPr="009835AD" w:rsidRDefault="009835AD" w:rsidP="009835AD">
      <w:pPr>
        <w:spacing w:after="160" w:line="259" w:lineRule="auto"/>
        <w:rPr>
          <w:rFonts w:ascii="Calibri" w:eastAsia="Calibri" w:hAnsi="Calibri"/>
          <w:sz w:val="22"/>
          <w:szCs w:val="22"/>
          <w:lang w:eastAsia="en-US"/>
        </w:rPr>
      </w:pPr>
      <w:permStart w:id="822749787" w:edGrp="everyone"/>
    </w:p>
    <w:permEnd w:id="822749787"/>
    <w:p w14:paraId="729056E0"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&lt;ESMA_QUESTION_RFRS_9&gt;</w:t>
      </w:r>
    </w:p>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21"/>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37659" w14:textId="77777777" w:rsidR="00A354C5" w:rsidRDefault="00A354C5" w:rsidP="007E7997">
      <w:r>
        <w:separator/>
      </w:r>
    </w:p>
  </w:endnote>
  <w:endnote w:type="continuationSeparator" w:id="0">
    <w:p w14:paraId="4007BED3" w14:textId="77777777" w:rsidR="00A354C5" w:rsidRDefault="00A354C5" w:rsidP="007E7997">
      <w:r>
        <w:continuationSeparator/>
      </w:r>
    </w:p>
  </w:endnote>
  <w:endnote w:type="continuationNotice" w:id="1">
    <w:p w14:paraId="52BC6198" w14:textId="77777777" w:rsidR="00A354C5" w:rsidRDefault="00A354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E62DE" w14:textId="77777777" w:rsidR="004D2DDA" w:rsidRDefault="004D2D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752671"/>
      <w:docPartObj>
        <w:docPartGallery w:val="Page Numbers (Bottom of Page)"/>
        <w:docPartUnique/>
      </w:docPartObj>
    </w:sdtPr>
    <w:sdtEndPr>
      <w:rPr>
        <w:noProof/>
      </w:rPr>
    </w:sdtEndPr>
    <w:sdtContent>
      <w:p w14:paraId="0CF5505D" w14:textId="212D7D4F" w:rsidR="00A354C5" w:rsidRDefault="00A354C5">
        <w:pPr>
          <w:pStyle w:val="Fuzeile"/>
          <w:jc w:val="center"/>
        </w:pPr>
        <w:r>
          <w:fldChar w:fldCharType="begin"/>
        </w:r>
        <w:r>
          <w:instrText xml:space="preserve"> PAGE   \* MERGEFORMAT </w:instrText>
        </w:r>
        <w:r>
          <w:fldChar w:fldCharType="separate"/>
        </w:r>
        <w:r>
          <w:rPr>
            <w:noProof/>
          </w:rPr>
          <w:t>3</w:t>
        </w:r>
        <w:r>
          <w:rPr>
            <w:noProof/>
          </w:rPr>
          <w:fldChar w:fldCharType="end"/>
        </w:r>
      </w:p>
    </w:sdtContent>
  </w:sdt>
  <w:p w14:paraId="3A18C8B1" w14:textId="77777777" w:rsidR="00A354C5" w:rsidRDefault="00A354C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F3915" w14:textId="2AD671BE" w:rsidR="00A354C5" w:rsidRDefault="00A354C5" w:rsidP="007A160F">
    <w:pPr>
      <w:pStyle w:val="Fuzeile"/>
    </w:pPr>
    <w:r>
      <w:rPr>
        <w:rFonts w:asciiTheme="majorHAnsi" w:hAnsiTheme="majorHAnsi"/>
        <w:color w:val="FFFFFF" w:themeColor="background1"/>
      </w:rPr>
      <w:tab/>
    </w:r>
    <w:r>
      <w:rPr>
        <w:rFonts w:asciiTheme="majorHAnsi" w:hAnsiTheme="majorHAnsi"/>
        <w:color w:val="FFFFFF" w:themeColor="background1"/>
      </w:rPr>
      <w:tab/>
      <w:t xml:space="preserve">9 July </w:t>
    </w:r>
    <w:r w:rsidRPr="008279D3">
      <w:rPr>
        <w:rFonts w:asciiTheme="majorHAnsi" w:hAnsiTheme="majorHAnsi"/>
        <w:color w:val="FFFFFF" w:themeColor="background1"/>
      </w:rPr>
      <w:t xml:space="preserve">2021 ESMA | </w:t>
    </w:r>
    <w:hyperlink r:id="rId1" w:tgtFrame="_blank" w:history="1">
      <w:r w:rsidRPr="008279D3">
        <w:rPr>
          <w:rFonts w:asciiTheme="majorHAnsi" w:hAnsiTheme="majorHAnsi"/>
          <w:color w:val="FFFFFF" w:themeColor="background1"/>
        </w:rPr>
        <w:t>ESMA</w:t>
      </w:r>
    </w:hyperlink>
    <w:r>
      <w:rPr>
        <w:rFonts w:asciiTheme="majorHAnsi" w:hAnsiTheme="majorHAnsi"/>
        <w:color w:val="FFFFFF" w:themeColor="background1"/>
      </w:rPr>
      <w:t xml:space="preserve"> 70-156-4704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3752247"/>
      <w:docPartObj>
        <w:docPartGallery w:val="Page Numbers (Bottom of Page)"/>
        <w:docPartUnique/>
      </w:docPartObj>
    </w:sdtPr>
    <w:sdtEndPr>
      <w:rPr>
        <w:noProof/>
      </w:rPr>
    </w:sdtEndPr>
    <w:sdtContent>
      <w:p w14:paraId="4C9B3DBF" w14:textId="6ECC1B82" w:rsidR="00A354C5" w:rsidRDefault="00A354C5">
        <w:pPr>
          <w:pStyle w:val="Fuzeile"/>
          <w:jc w:val="center"/>
        </w:pPr>
        <w:r>
          <w:fldChar w:fldCharType="begin"/>
        </w:r>
        <w:r>
          <w:instrText xml:space="preserve"> PAGE   \* MERGEFORMAT </w:instrText>
        </w:r>
        <w:r>
          <w:fldChar w:fldCharType="separate"/>
        </w:r>
        <w:r>
          <w:rPr>
            <w:noProof/>
          </w:rPr>
          <w:t>1</w:t>
        </w:r>
        <w:r>
          <w:rPr>
            <w:noProof/>
          </w:rPr>
          <w:fldChar w:fldCharType="end"/>
        </w:r>
      </w:p>
    </w:sdtContent>
  </w:sdt>
  <w:p w14:paraId="5EAB6EC7" w14:textId="1F85019A" w:rsidR="00A354C5" w:rsidRDefault="00A354C5" w:rsidP="00FB24ED">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377A1" w14:textId="77777777" w:rsidR="00A354C5" w:rsidRDefault="00A354C5" w:rsidP="007E7997">
      <w:r>
        <w:separator/>
      </w:r>
    </w:p>
  </w:footnote>
  <w:footnote w:type="continuationSeparator" w:id="0">
    <w:p w14:paraId="5D97BFE4" w14:textId="77777777" w:rsidR="00A354C5" w:rsidRDefault="00A354C5" w:rsidP="007E7997">
      <w:r>
        <w:continuationSeparator/>
      </w:r>
    </w:p>
  </w:footnote>
  <w:footnote w:type="continuationNotice" w:id="1">
    <w:p w14:paraId="7D706078" w14:textId="77777777" w:rsidR="00A354C5" w:rsidRDefault="00A354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60811" w14:textId="77777777" w:rsidR="004D2DDA" w:rsidRDefault="004D2DD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956F7" w14:textId="77777777" w:rsidR="00A354C5" w:rsidRDefault="00A354C5">
    <w:pPr>
      <w:pStyle w:val="Kopfzeile"/>
    </w:pPr>
  </w:p>
  <w:p w14:paraId="59FA3C9D" w14:textId="77777777" w:rsidR="00A354C5" w:rsidRDefault="00A354C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91035" w14:textId="77777777" w:rsidR="00A354C5" w:rsidRDefault="00A354C5">
    <w:pPr>
      <w:pStyle w:val="Kopfzeile"/>
    </w:pPr>
    <w:r>
      <w:rPr>
        <w:noProof/>
      </w:rPr>
      <w:drawing>
        <wp:anchor distT="0" distB="0" distL="114300" distR="114300" simplePos="0" relativeHeight="25165824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B6EC4" w14:textId="5E62980F" w:rsidR="00A354C5" w:rsidRDefault="00A354C5" w:rsidP="00B50534">
    <w:pPr>
      <w:pStyle w:val="Kopfzeile"/>
      <w:jc w:val="right"/>
      <w:rPr>
        <w:b/>
        <w:color w:val="FF0000"/>
      </w:rPr>
    </w:pPr>
    <w:r w:rsidRPr="008D5F86">
      <w:rPr>
        <w:rFonts w:ascii="Arial" w:hAnsi="Arial" w:cs="Arial"/>
        <w:noProof/>
      </w:rPr>
      <mc:AlternateContent>
        <mc:Choice Requires="wps">
          <w:drawing>
            <wp:anchor distT="0" distB="0" distL="114300" distR="114300" simplePos="0" relativeHeight="251658243"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2C0A0" id="Line 16"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EAB6EC5" w14:textId="1E4219F2" w:rsidR="00A354C5" w:rsidRPr="00D13661" w:rsidRDefault="00A354C5" w:rsidP="00B50534">
    <w:pPr>
      <w:pStyle w:val="Kopfzeile"/>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824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A354C5" w:rsidRPr="00C3170E" w:rsidRDefault="00A354C5" w:rsidP="00B50534">
    <w:pPr>
      <w:pStyle w:val="Kopfzeile"/>
      <w:jc w:val="right"/>
      <w:rPr>
        <w:color w:val="2F5496" w:themeColor="accent5" w:themeShade="BF"/>
        <w:sz w:val="20"/>
      </w:rPr>
    </w:pPr>
  </w:p>
  <w:p w14:paraId="5EAB6EC6" w14:textId="77777777" w:rsidR="00A354C5" w:rsidRPr="00B50534" w:rsidRDefault="00A354C5" w:rsidP="00B50534">
    <w:pPr>
      <w:pStyle w:val="Kopfzeile"/>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enabsatz"/>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BA944B8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D1101"/>
    <w:multiLevelType w:val="multilevel"/>
    <w:tmpl w:val="766C753E"/>
    <w:lvl w:ilvl="0">
      <w:start w:val="1"/>
      <w:numFmt w:val="upperRoman"/>
      <w:pStyle w:val="berschrift1"/>
      <w:lvlText w:val="%1."/>
      <w:lvlJc w:val="righ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2"/>
  </w:num>
  <w:num w:numId="3">
    <w:abstractNumId w:val="21"/>
  </w:num>
  <w:num w:numId="4">
    <w:abstractNumId w:val="3"/>
  </w:num>
  <w:num w:numId="5">
    <w:abstractNumId w:val="12"/>
  </w:num>
  <w:num w:numId="6">
    <w:abstractNumId w:val="23"/>
  </w:num>
  <w:num w:numId="7">
    <w:abstractNumId w:val="11"/>
  </w:num>
  <w:num w:numId="8">
    <w:abstractNumId w:val="5"/>
  </w:num>
  <w:num w:numId="9">
    <w:abstractNumId w:val="8"/>
  </w:num>
  <w:num w:numId="10">
    <w:abstractNumId w:val="7"/>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8"/>
  </w:num>
  <w:num w:numId="16">
    <w:abstractNumId w:val="2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3"/>
  </w:num>
  <w:num w:numId="20">
    <w:abstractNumId w:val="10"/>
  </w:num>
  <w:num w:numId="21">
    <w:abstractNumId w:val="20"/>
  </w:num>
  <w:num w:numId="22">
    <w:abstractNumId w:val="13"/>
  </w:num>
  <w:num w:numId="23">
    <w:abstractNumId w:val="17"/>
  </w:num>
  <w:num w:numId="24">
    <w:abstractNumId w:val="0"/>
  </w:num>
  <w:num w:numId="25">
    <w:abstractNumId w:val="16"/>
  </w:num>
  <w:num w:numId="26">
    <w:abstractNumId w:val="14"/>
  </w:num>
  <w:num w:numId="27">
    <w:abstractNumId w:val="9"/>
  </w:num>
  <w:num w:numId="28">
    <w:abstractNumId w:val="1"/>
  </w:num>
  <w:num w:numId="29">
    <w:abstractNumId w:val="15"/>
  </w:num>
  <w:num w:numId="3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boWPkncn5aAn36Z/9u5UWwI9gkZmtAfpA0ajWP7f5CXo7Uy3WeRE/DDEiYgaDqZSioGnOFpdz++piwj9ADcUNg==" w:salt="46iGyQanSHMK1gnKqpfQaQ=="/>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16D1"/>
    <w:rsid w:val="0000343D"/>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27C5"/>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1F4"/>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B95"/>
    <w:rsid w:val="00235E99"/>
    <w:rsid w:val="0024299F"/>
    <w:rsid w:val="002449D8"/>
    <w:rsid w:val="00244B86"/>
    <w:rsid w:val="00244C97"/>
    <w:rsid w:val="0024512F"/>
    <w:rsid w:val="00245406"/>
    <w:rsid w:val="002455D7"/>
    <w:rsid w:val="00245D2E"/>
    <w:rsid w:val="00246E1D"/>
    <w:rsid w:val="002472F6"/>
    <w:rsid w:val="00247842"/>
    <w:rsid w:val="0025020D"/>
    <w:rsid w:val="00250AFE"/>
    <w:rsid w:val="00254CC2"/>
    <w:rsid w:val="002574D1"/>
    <w:rsid w:val="00261CCB"/>
    <w:rsid w:val="002630C0"/>
    <w:rsid w:val="0026332A"/>
    <w:rsid w:val="00263CA7"/>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3CE0"/>
    <w:rsid w:val="002B53F3"/>
    <w:rsid w:val="002C03FD"/>
    <w:rsid w:val="002C044D"/>
    <w:rsid w:val="002C1AA5"/>
    <w:rsid w:val="002C2A46"/>
    <w:rsid w:val="002C3048"/>
    <w:rsid w:val="002D2992"/>
    <w:rsid w:val="002D37A0"/>
    <w:rsid w:val="002D5AB5"/>
    <w:rsid w:val="002D6667"/>
    <w:rsid w:val="002D79F3"/>
    <w:rsid w:val="002D7A88"/>
    <w:rsid w:val="002E1C11"/>
    <w:rsid w:val="002E3D0B"/>
    <w:rsid w:val="002E3E7D"/>
    <w:rsid w:val="002E6A8E"/>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F68"/>
    <w:rsid w:val="00353C4B"/>
    <w:rsid w:val="003545A6"/>
    <w:rsid w:val="00356C60"/>
    <w:rsid w:val="003578D1"/>
    <w:rsid w:val="00363639"/>
    <w:rsid w:val="00366D42"/>
    <w:rsid w:val="0036748C"/>
    <w:rsid w:val="00372615"/>
    <w:rsid w:val="00372EA3"/>
    <w:rsid w:val="0037358E"/>
    <w:rsid w:val="00373A3C"/>
    <w:rsid w:val="00376233"/>
    <w:rsid w:val="00380B30"/>
    <w:rsid w:val="00381784"/>
    <w:rsid w:val="00381EB0"/>
    <w:rsid w:val="00382A72"/>
    <w:rsid w:val="00382EBA"/>
    <w:rsid w:val="0038331A"/>
    <w:rsid w:val="0039073D"/>
    <w:rsid w:val="0039135B"/>
    <w:rsid w:val="003A34E7"/>
    <w:rsid w:val="003A3CB1"/>
    <w:rsid w:val="003A3D55"/>
    <w:rsid w:val="003A73A4"/>
    <w:rsid w:val="003B102E"/>
    <w:rsid w:val="003B4E3D"/>
    <w:rsid w:val="003C11AB"/>
    <w:rsid w:val="003C167E"/>
    <w:rsid w:val="003C481D"/>
    <w:rsid w:val="003C4EB5"/>
    <w:rsid w:val="003D1140"/>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2AEB"/>
    <w:rsid w:val="004242B3"/>
    <w:rsid w:val="00426D62"/>
    <w:rsid w:val="00427A89"/>
    <w:rsid w:val="00430C5B"/>
    <w:rsid w:val="00431968"/>
    <w:rsid w:val="00433936"/>
    <w:rsid w:val="0043475E"/>
    <w:rsid w:val="00435FE9"/>
    <w:rsid w:val="00436279"/>
    <w:rsid w:val="0044199E"/>
    <w:rsid w:val="0044206D"/>
    <w:rsid w:val="0044262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7FEA"/>
    <w:rsid w:val="004A0D55"/>
    <w:rsid w:val="004A75F5"/>
    <w:rsid w:val="004B07B2"/>
    <w:rsid w:val="004B0955"/>
    <w:rsid w:val="004B143D"/>
    <w:rsid w:val="004B1842"/>
    <w:rsid w:val="004B25D0"/>
    <w:rsid w:val="004B3553"/>
    <w:rsid w:val="004B5E92"/>
    <w:rsid w:val="004C0A30"/>
    <w:rsid w:val="004C357C"/>
    <w:rsid w:val="004C3D18"/>
    <w:rsid w:val="004C6CF2"/>
    <w:rsid w:val="004D2DDA"/>
    <w:rsid w:val="004D42B1"/>
    <w:rsid w:val="004D526F"/>
    <w:rsid w:val="004E19C0"/>
    <w:rsid w:val="004E1C54"/>
    <w:rsid w:val="004E2C37"/>
    <w:rsid w:val="004E5285"/>
    <w:rsid w:val="004F0CF3"/>
    <w:rsid w:val="004F5740"/>
    <w:rsid w:val="004F58C9"/>
    <w:rsid w:val="00501FDE"/>
    <w:rsid w:val="005028B9"/>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8353A"/>
    <w:rsid w:val="00584FD1"/>
    <w:rsid w:val="005903EA"/>
    <w:rsid w:val="0059175F"/>
    <w:rsid w:val="00591AAC"/>
    <w:rsid w:val="00595F08"/>
    <w:rsid w:val="00595FBE"/>
    <w:rsid w:val="005A1C55"/>
    <w:rsid w:val="005A7260"/>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4E60"/>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391B"/>
    <w:rsid w:val="006B79E0"/>
    <w:rsid w:val="006C0B2D"/>
    <w:rsid w:val="006C1633"/>
    <w:rsid w:val="006C5BF8"/>
    <w:rsid w:val="006C7CCB"/>
    <w:rsid w:val="006D6009"/>
    <w:rsid w:val="006D7D41"/>
    <w:rsid w:val="006E2F4D"/>
    <w:rsid w:val="006E3FDD"/>
    <w:rsid w:val="006E55B6"/>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0969"/>
    <w:rsid w:val="0079364C"/>
    <w:rsid w:val="007942B9"/>
    <w:rsid w:val="00796C7F"/>
    <w:rsid w:val="00797E0C"/>
    <w:rsid w:val="007A160F"/>
    <w:rsid w:val="007A48BC"/>
    <w:rsid w:val="007A60F8"/>
    <w:rsid w:val="007B0BC1"/>
    <w:rsid w:val="007B354B"/>
    <w:rsid w:val="007B4FC3"/>
    <w:rsid w:val="007B73F3"/>
    <w:rsid w:val="007B7EE5"/>
    <w:rsid w:val="007C1C28"/>
    <w:rsid w:val="007C2A2C"/>
    <w:rsid w:val="007C3577"/>
    <w:rsid w:val="007C5E08"/>
    <w:rsid w:val="007D0002"/>
    <w:rsid w:val="007D7A59"/>
    <w:rsid w:val="007E0E75"/>
    <w:rsid w:val="007E1EBB"/>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0178"/>
    <w:rsid w:val="00861D07"/>
    <w:rsid w:val="0086412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00A6"/>
    <w:rsid w:val="008E2D26"/>
    <w:rsid w:val="008E4076"/>
    <w:rsid w:val="008E7DBA"/>
    <w:rsid w:val="008F14F0"/>
    <w:rsid w:val="008F1993"/>
    <w:rsid w:val="008F3386"/>
    <w:rsid w:val="008F3AD9"/>
    <w:rsid w:val="008F4642"/>
    <w:rsid w:val="008F4E00"/>
    <w:rsid w:val="008F761D"/>
    <w:rsid w:val="00900D44"/>
    <w:rsid w:val="00902520"/>
    <w:rsid w:val="00906DC4"/>
    <w:rsid w:val="0091457F"/>
    <w:rsid w:val="0091729E"/>
    <w:rsid w:val="0093261E"/>
    <w:rsid w:val="0094008E"/>
    <w:rsid w:val="00940FDF"/>
    <w:rsid w:val="00941C0C"/>
    <w:rsid w:val="009437F2"/>
    <w:rsid w:val="0094528B"/>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684"/>
    <w:rsid w:val="009D570F"/>
    <w:rsid w:val="009D5E88"/>
    <w:rsid w:val="009D5FC0"/>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C70"/>
    <w:rsid w:val="00A11D0C"/>
    <w:rsid w:val="00A16579"/>
    <w:rsid w:val="00A24843"/>
    <w:rsid w:val="00A26D48"/>
    <w:rsid w:val="00A31C7C"/>
    <w:rsid w:val="00A354C5"/>
    <w:rsid w:val="00A367AA"/>
    <w:rsid w:val="00A3711F"/>
    <w:rsid w:val="00A378DF"/>
    <w:rsid w:val="00A37AC6"/>
    <w:rsid w:val="00A409C2"/>
    <w:rsid w:val="00A410CC"/>
    <w:rsid w:val="00A423CA"/>
    <w:rsid w:val="00A42B43"/>
    <w:rsid w:val="00A42BD0"/>
    <w:rsid w:val="00A433DC"/>
    <w:rsid w:val="00A460CD"/>
    <w:rsid w:val="00A50761"/>
    <w:rsid w:val="00A51D1C"/>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5A"/>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074F"/>
    <w:rsid w:val="00C61B1A"/>
    <w:rsid w:val="00C62A53"/>
    <w:rsid w:val="00C70425"/>
    <w:rsid w:val="00C709F9"/>
    <w:rsid w:val="00C73A00"/>
    <w:rsid w:val="00C73A70"/>
    <w:rsid w:val="00C76054"/>
    <w:rsid w:val="00C779A2"/>
    <w:rsid w:val="00C80546"/>
    <w:rsid w:val="00C83CAD"/>
    <w:rsid w:val="00C8419E"/>
    <w:rsid w:val="00C851D7"/>
    <w:rsid w:val="00C85C8B"/>
    <w:rsid w:val="00C867AD"/>
    <w:rsid w:val="00C87F9F"/>
    <w:rsid w:val="00C951B6"/>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24B0"/>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264"/>
    <w:rsid w:val="00D41425"/>
    <w:rsid w:val="00D441E7"/>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1AFD"/>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5869"/>
    <w:rsid w:val="00E163E9"/>
    <w:rsid w:val="00E240F5"/>
    <w:rsid w:val="00E30004"/>
    <w:rsid w:val="00E333AC"/>
    <w:rsid w:val="00E3456B"/>
    <w:rsid w:val="00E35C16"/>
    <w:rsid w:val="00E36085"/>
    <w:rsid w:val="00E36813"/>
    <w:rsid w:val="00E37248"/>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97211"/>
    <w:rsid w:val="00EA0283"/>
    <w:rsid w:val="00EA1967"/>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14A47"/>
    <w:rsid w:val="00F22013"/>
    <w:rsid w:val="00F22356"/>
    <w:rsid w:val="00F226E0"/>
    <w:rsid w:val="00F2522F"/>
    <w:rsid w:val="00F30180"/>
    <w:rsid w:val="00F31A29"/>
    <w:rsid w:val="00F3279A"/>
    <w:rsid w:val="00F37236"/>
    <w:rsid w:val="00F44634"/>
    <w:rsid w:val="00F505EC"/>
    <w:rsid w:val="00F5088F"/>
    <w:rsid w:val="00F51657"/>
    <w:rsid w:val="00F5223C"/>
    <w:rsid w:val="00F568C2"/>
    <w:rsid w:val="00F57787"/>
    <w:rsid w:val="00F61E82"/>
    <w:rsid w:val="00F6243A"/>
    <w:rsid w:val="00F63323"/>
    <w:rsid w:val="00F636FE"/>
    <w:rsid w:val="00F648B2"/>
    <w:rsid w:val="00F67EBD"/>
    <w:rsid w:val="00F70EA4"/>
    <w:rsid w:val="00F77851"/>
    <w:rsid w:val="00F80FAB"/>
    <w:rsid w:val="00F81E3B"/>
    <w:rsid w:val="00F827E1"/>
    <w:rsid w:val="00F927B5"/>
    <w:rsid w:val="00F94542"/>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berschrift1">
    <w:name w:val="heading 1"/>
    <w:basedOn w:val="Standard"/>
    <w:next w:val="Standard"/>
    <w:link w:val="berschrift1Zchn"/>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berschrift4">
    <w:name w:val="heading 4"/>
    <w:basedOn w:val="Standard"/>
    <w:next w:val="Standard"/>
    <w:link w:val="berschrift4Zchn"/>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rsid w:val="00020300"/>
    <w:rPr>
      <w:rFonts w:asciiTheme="majorHAnsi" w:eastAsiaTheme="majorEastAsia" w:hAnsiTheme="majorHAnsi" w:cstheme="majorBidi"/>
      <w:sz w:val="24"/>
      <w:szCs w:val="22"/>
      <w:lang w:val="en-GB" w:eastAsia="en-GB"/>
    </w:rPr>
  </w:style>
  <w:style w:type="character" w:customStyle="1" w:styleId="berschrift3Zchn">
    <w:name w:val="Überschrift 3 Zchn"/>
    <w:basedOn w:val="Absatz-Standardschriftart"/>
    <w:link w:val="berschrift3"/>
    <w:rsid w:val="00020300"/>
    <w:rPr>
      <w:rFonts w:asciiTheme="majorHAnsi" w:eastAsiaTheme="majorEastAsia" w:hAnsiTheme="majorHAnsi" w:cstheme="majorBidi"/>
      <w:sz w:val="24"/>
      <w:szCs w:val="24"/>
      <w:lang w:val="en-GB" w:eastAsia="en-GB"/>
    </w:rPr>
  </w:style>
  <w:style w:type="character" w:customStyle="1" w:styleId="berschrift1Zchn">
    <w:name w:val="Überschrift 1 Zchn"/>
    <w:basedOn w:val="Absatz-Standardschriftart"/>
    <w:link w:val="berschrift1"/>
    <w:rsid w:val="00FE0BD8"/>
    <w:rPr>
      <w:rFonts w:asciiTheme="majorHAnsi" w:eastAsiaTheme="majorEastAsia" w:hAnsiTheme="majorHAnsi" w:cstheme="majorBidi"/>
      <w:b/>
      <w:sz w:val="32"/>
      <w:szCs w:val="32"/>
      <w:lang w:val="en-GB" w:eastAsia="en-GB"/>
    </w:rPr>
  </w:style>
  <w:style w:type="character" w:customStyle="1" w:styleId="berschrift2Zchn">
    <w:name w:val="Überschrift 2 Zchn"/>
    <w:basedOn w:val="Absatz-Standardschriftart"/>
    <w:link w:val="berschrift2"/>
    <w:rsid w:val="003C167E"/>
    <w:rPr>
      <w:rFonts w:asciiTheme="majorHAnsi" w:eastAsiaTheme="majorEastAsia" w:hAnsiTheme="majorHAnsi" w:cstheme="majorBidi"/>
      <w:b/>
      <w:sz w:val="28"/>
      <w:szCs w:val="28"/>
      <w:lang w:val="en-GB" w:eastAsia="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numId w:val="2"/>
      </w:numPr>
    </w:pPr>
    <w:rPr>
      <w:b/>
      <w:sz w:val="28"/>
    </w:rPr>
  </w:style>
  <w:style w:type="character" w:customStyle="1" w:styleId="Title1Char">
    <w:name w:val="Title 1 Char"/>
    <w:basedOn w:val="Absatz-Standardschriftart"/>
    <w:link w:val="Title1"/>
    <w:rsid w:val="003C4EB5"/>
    <w:rPr>
      <w:rFonts w:eastAsiaTheme="majorEastAsia" w:cstheme="minorHAnsi"/>
      <w:b/>
      <w:sz w:val="28"/>
      <w:szCs w:val="22"/>
      <w:lang w:val="en-GB" w:eastAsia="en-GB"/>
    </w:rPr>
  </w:style>
  <w:style w:type="paragraph" w:styleId="Listenabsatz">
    <w:name w:val="List Paragraph"/>
    <w:aliases w:val="Paragraphe EI,Paragraphe de liste1,EC,Paragraphe de liste,Normal Nivel 1,List Paragraph Main,List first level,List Paragraph_Sections"/>
    <w:basedOn w:val="Standard"/>
    <w:link w:val="ListenabsatzZchn"/>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b/>
      <w:sz w:val="28"/>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4"/>
      <w:szCs w:val="22"/>
      <w:lang w:val="en-GB" w:eastAsia="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rsid w:val="00AA054E"/>
    <w:rPr>
      <w:rFonts w:asciiTheme="majorHAnsi" w:eastAsiaTheme="majorEastAsia" w:hAnsiTheme="majorHAnsi" w:cstheme="majorBidi"/>
      <w:i/>
      <w:iCs/>
      <w:color w:val="44546A" w:themeColor="text2"/>
      <w:sz w:val="21"/>
      <w:szCs w:val="21"/>
      <w:lang w:val="en-GB" w:eastAsia="en-GB"/>
    </w:rPr>
  </w:style>
  <w:style w:type="paragraph" w:styleId="Titel">
    <w:name w:val="Title"/>
    <w:basedOn w:val="Standard"/>
    <w:next w:val="Standard"/>
    <w:link w:val="TitelZchn"/>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pPr>
    <w:rPr>
      <w:rFonts w:asciiTheme="majorHAnsi" w:eastAsiaTheme="majorEastAsia" w:hAnsiTheme="majorHAnsi" w:cstheme="majorBidi"/>
      <w:b/>
      <w:sz w:val="28"/>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berschrift8Zchn">
    <w:name w:val="Überschrift 8 Zchn"/>
    <w:basedOn w:val="Absatz-Standardschriftart"/>
    <w:link w:val="berschrift8"/>
    <w:rsid w:val="00AA054E"/>
    <w:rPr>
      <w:rFonts w:asciiTheme="majorHAnsi" w:eastAsiaTheme="majorEastAsia" w:hAnsiTheme="majorHAnsi" w:cstheme="majorBidi"/>
      <w:b/>
      <w:bCs/>
      <w:color w:val="44546A" w:themeColor="text2"/>
      <w:sz w:val="24"/>
      <w:szCs w:val="24"/>
      <w:lang w:val="en-GB" w:eastAsia="en-GB"/>
    </w:rPr>
  </w:style>
  <w:style w:type="character" w:customStyle="1" w:styleId="berschrift9Zchn">
    <w:name w:val="Überschrift 9 Zchn"/>
    <w:basedOn w:val="Absatz-Standardschriftart"/>
    <w:link w:val="berschrift9"/>
    <w:rsid w:val="00AA054E"/>
    <w:rPr>
      <w:rFonts w:asciiTheme="majorHAnsi" w:eastAsiaTheme="majorEastAsia" w:hAnsiTheme="majorHAnsi" w:cstheme="majorBidi"/>
      <w:b/>
      <w:bCs/>
      <w:i/>
      <w:iCs/>
      <w:color w:val="44546A" w:themeColor="text2"/>
      <w:sz w:val="24"/>
      <w:szCs w:val="24"/>
      <w:lang w:val="en-GB" w:eastAsia="en-GB"/>
    </w:rPr>
  </w:style>
  <w:style w:type="paragraph" w:styleId="Beschriftung">
    <w:name w:val="caption"/>
    <w:basedOn w:val="Standard"/>
    <w:next w:val="Standard"/>
    <w:uiPriority w:val="35"/>
    <w:semiHidden/>
    <w:unhideWhenUsed/>
    <w:qFormat/>
    <w:rsid w:val="00AA054E"/>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aliases w:val="Text,Emphase pâle,Diskret betoning"/>
    <w:basedOn w:val="Absatz-Standardschriftart"/>
    <w:uiPriority w:val="19"/>
    <w:qFormat/>
    <w:rsid w:val="00287C8F"/>
    <w:rPr>
      <w:rFonts w:asciiTheme="majorHAnsi" w:hAnsiTheme="majorHAnsi"/>
      <w:i/>
      <w:iCs/>
      <w:color w:val="auto"/>
      <w:sz w:val="22"/>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rsid w:val="007E7997"/>
    <w:pPr>
      <w:tabs>
        <w:tab w:val="center" w:pos="4536"/>
        <w:tab w:val="right" w:pos="9072"/>
      </w:tabs>
    </w:pPr>
  </w:style>
  <w:style w:type="character" w:customStyle="1" w:styleId="KopfzeileZchn">
    <w:name w:val="Kopfzeile Zchn"/>
    <w:basedOn w:val="Absatz-Standardschriftart"/>
    <w:link w:val="Kopfzeile"/>
    <w:uiPriority w:val="99"/>
    <w:rsid w:val="007E7997"/>
    <w:rPr>
      <w:sz w:val="22"/>
    </w:rPr>
  </w:style>
  <w:style w:type="paragraph" w:styleId="Fuzeile">
    <w:name w:val="footer"/>
    <w:basedOn w:val="Standard"/>
    <w:link w:val="FuzeileZchn"/>
    <w:uiPriority w:val="99"/>
    <w:unhideWhenUsed/>
    <w:rsid w:val="007E7997"/>
    <w:pPr>
      <w:tabs>
        <w:tab w:val="center" w:pos="4536"/>
        <w:tab w:val="right" w:pos="9072"/>
      </w:tabs>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hAnsi="Georgia"/>
      <w:color w:val="000000"/>
      <w:lang w:eastAsia="de-DE"/>
    </w:rPr>
  </w:style>
  <w:style w:type="paragraph" w:customStyle="1" w:styleId="02Date">
    <w:name w:val="02_Date"/>
    <w:basedOn w:val="Standard"/>
    <w:rsid w:val="00636E02"/>
    <w:pPr>
      <w:spacing w:line="220" w:lineRule="exact"/>
    </w:pPr>
    <w:rPr>
      <w:rFonts w:ascii="Georgia" w:hAnsi="Georgia"/>
      <w:sz w:val="17"/>
      <w:lang w:eastAsia="de-DE"/>
    </w:rPr>
  </w:style>
  <w:style w:type="paragraph" w:styleId="Verzeichnis1">
    <w:name w:val="toc 1"/>
    <w:basedOn w:val="Standard"/>
    <w:next w:val="Standard"/>
    <w:autoRedefine/>
    <w:uiPriority w:val="39"/>
    <w:unhideWhenUsed/>
    <w:rsid w:val="00B81A44"/>
    <w:pPr>
      <w:tabs>
        <w:tab w:val="left" w:pos="440"/>
        <w:tab w:val="right" w:leader="dot" w:pos="9062"/>
      </w:tabs>
      <w:spacing w:after="100"/>
    </w:pPr>
  </w:style>
  <w:style w:type="paragraph" w:styleId="Verzeichnis2">
    <w:name w:val="toc 2"/>
    <w:basedOn w:val="Standard"/>
    <w:next w:val="Standard"/>
    <w:autoRedefine/>
    <w:uiPriority w:val="39"/>
    <w:unhideWhenUsed/>
    <w:rsid w:val="00BC422A"/>
    <w:pPr>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Absatz-Standardschriftart"/>
    <w:link w:val="Questionstyle"/>
    <w:rsid w:val="00F77851"/>
    <w:rPr>
      <w:rFonts w:eastAsia="Times New Roman" w:cstheme="minorHAnsi"/>
      <w:sz w:val="22"/>
      <w:szCs w:val="22"/>
      <w:lang w:val="en-GB" w:eastAsia="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semiHidden/>
    <w:unhideWhenUsed/>
    <w:qFormat/>
    <w:rsid w:val="006F53E8"/>
    <w:rPr>
      <w:sz w:val="16"/>
    </w:rPr>
  </w:style>
  <w:style w:type="character" w:customStyle="1" w:styleId="FunotentextZchn">
    <w:name w:val="Fußnotentext Zchn"/>
    <w:basedOn w:val="Absatz-Standardschriftart"/>
    <w:link w:val="Funotentext"/>
    <w:uiPriority w:val="99"/>
    <w:semiHidden/>
    <w:rsid w:val="006F53E8"/>
    <w:rPr>
      <w:sz w:val="16"/>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16 Point, BVI fnr"/>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rd"/>
    <w:rsid w:val="00287C8F"/>
    <w:pPr>
      <w:numPr>
        <w:numId w:val="5"/>
      </w:numPr>
      <w:tabs>
        <w:tab w:val="clear" w:pos="284"/>
        <w:tab w:val="num" w:pos="567"/>
      </w:tabs>
      <w:ind w:left="567" w:hanging="454"/>
    </w:pPr>
    <w:rPr>
      <w:rFonts w:ascii="Georgia" w:hAnsi="Georgia"/>
      <w:sz w:val="20"/>
      <w:lang w:eastAsia="de-DE"/>
    </w:rPr>
  </w:style>
  <w:style w:type="paragraph" w:styleId="Sprechblasentext">
    <w:name w:val="Balloon Text"/>
    <w:basedOn w:val="Standard"/>
    <w:link w:val="SprechblasentextZchn"/>
    <w:uiPriority w:val="99"/>
    <w:semiHidden/>
    <w:unhideWhenUsed/>
    <w:rsid w:val="003C167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167E"/>
    <w:rPr>
      <w:rFonts w:ascii="Tahoma" w:hAnsi="Tahoma" w:cs="Tahoma"/>
      <w:sz w:val="16"/>
      <w:szCs w:val="16"/>
      <w:lang w:val="en-GB"/>
    </w:rPr>
  </w:style>
  <w:style w:type="character" w:styleId="Kommentarzeichen">
    <w:name w:val="annotation reference"/>
    <w:basedOn w:val="Absatz-Standardschriftart"/>
    <w:uiPriority w:val="99"/>
    <w:semiHidden/>
    <w:unhideWhenUsed/>
    <w:rsid w:val="00FA2400"/>
    <w:rPr>
      <w:sz w:val="16"/>
      <w:szCs w:val="16"/>
    </w:rPr>
  </w:style>
  <w:style w:type="paragraph" w:styleId="Kommentartext">
    <w:name w:val="annotation text"/>
    <w:basedOn w:val="Standard"/>
    <w:link w:val="KommentartextZchn"/>
    <w:uiPriority w:val="99"/>
    <w:unhideWhenUsed/>
    <w:rsid w:val="00FA2400"/>
    <w:rPr>
      <w:sz w:val="20"/>
    </w:rPr>
  </w:style>
  <w:style w:type="character" w:customStyle="1" w:styleId="KommentartextZchn">
    <w:name w:val="Kommentartext Zchn"/>
    <w:basedOn w:val="Absatz-Standardschriftart"/>
    <w:link w:val="Kommentartext"/>
    <w:uiPriority w:val="99"/>
    <w:rsid w:val="00FA2400"/>
    <w:rPr>
      <w:lang w:val="en-GB"/>
    </w:rPr>
  </w:style>
  <w:style w:type="paragraph" w:styleId="Kommentarthema">
    <w:name w:val="annotation subject"/>
    <w:basedOn w:val="Kommentartext"/>
    <w:next w:val="Kommentartext"/>
    <w:link w:val="KommentarthemaZchn"/>
    <w:uiPriority w:val="99"/>
    <w:semiHidden/>
    <w:unhideWhenUsed/>
    <w:rsid w:val="00FA2400"/>
    <w:rPr>
      <w:b/>
      <w:bCs/>
    </w:rPr>
  </w:style>
  <w:style w:type="character" w:customStyle="1" w:styleId="KommentarthemaZchn">
    <w:name w:val="Kommentarthema Zchn"/>
    <w:basedOn w:val="KommentartextZchn"/>
    <w:link w:val="Kommentarthema"/>
    <w:uiPriority w:val="99"/>
    <w:semiHidden/>
    <w:rsid w:val="00FA2400"/>
    <w:rPr>
      <w:b/>
      <w:bCs/>
      <w:lang w:val="en-GB"/>
    </w:rPr>
  </w:style>
  <w:style w:type="paragraph" w:styleId="berarbeitung">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BesuchterLink">
    <w:name w:val="FollowedHyperlink"/>
    <w:basedOn w:val="Absatz-Standardschriftart"/>
    <w:uiPriority w:val="99"/>
    <w:semiHidden/>
    <w:unhideWhenUsed/>
    <w:rsid w:val="007B354B"/>
    <w:rPr>
      <w:color w:val="954F72" w:themeColor="followedHyperlink"/>
      <w:u w:val="single"/>
    </w:rPr>
  </w:style>
  <w:style w:type="paragraph" w:styleId="StandardWeb">
    <w:name w:val="Normal (Web)"/>
    <w:basedOn w:val="Standard"/>
    <w:uiPriority w:val="99"/>
    <w:semiHidden/>
    <w:unhideWhenUsed/>
    <w:rsid w:val="00B424F5"/>
    <w:pPr>
      <w:spacing w:before="100" w:beforeAutospacing="1" w:after="100" w:afterAutospacing="1"/>
    </w:pPr>
  </w:style>
  <w:style w:type="character" w:customStyle="1" w:styleId="outputecliaff">
    <w:name w:val="outputecliaff"/>
    <w:basedOn w:val="Absatz-Standardschriftart"/>
    <w:rsid w:val="00595F08"/>
  </w:style>
  <w:style w:type="paragraph" w:customStyle="1" w:styleId="05HeadlinenoIndex">
    <w:name w:val="05_Headline no Index"/>
    <w:basedOn w:val="Standard"/>
    <w:rsid w:val="005C7E1F"/>
    <w:pPr>
      <w:spacing w:after="250" w:line="300" w:lineRule="exact"/>
      <w:jc w:val="both"/>
    </w:pPr>
    <w:rPr>
      <w:rFonts w:ascii="Georgia" w:hAnsi="Georgia"/>
      <w:b/>
      <w:lang w:eastAsia="de-DE"/>
    </w:rPr>
  </w:style>
  <w:style w:type="paragraph" w:customStyle="1" w:styleId="04BodyText">
    <w:name w:val="04_Body Text"/>
    <w:basedOn w:val="Standard"/>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basedOn w:val="Absatz-Standardschriftart"/>
    <w:link w:val="Listenabsatz"/>
    <w:uiPriority w:val="34"/>
    <w:rsid w:val="00695AF2"/>
    <w:rPr>
      <w:rFonts w:eastAsiaTheme="majorEastAsia" w:cstheme="minorHAnsi"/>
      <w:sz w:val="22"/>
      <w:szCs w:val="22"/>
      <w:lang w:val="en-GB" w:eastAsia="en-GB"/>
    </w:rPr>
  </w:style>
  <w:style w:type="table" w:customStyle="1" w:styleId="TableGrid3">
    <w:name w:val="Table Grid3"/>
    <w:basedOn w:val="NormaleTabel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esma.europa.eu/legal-notice"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ftc.gov/PressRoom/PressReleases/8409-2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RES03\Proj\Misc\IBOR\70%20IBOR%20Reform%20in%20Other%20Jurisdictions\Tracking\&#8364;STR%20EONIA%20OIS%20NRA_v.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GB" sz="1200"/>
              <a:t>EONIA vs. €STR OIS Volume </a:t>
            </a:r>
            <a:r>
              <a:rPr lang="en-GB" sz="1000"/>
              <a:t>(Double Counted,</a:t>
            </a:r>
            <a:r>
              <a:rPr lang="en-GB" sz="1000" baseline="0"/>
              <a:t> </a:t>
            </a:r>
            <a:r>
              <a:rPr lang="en-GB" sz="1000"/>
              <a:t>EUR Billion)</a:t>
            </a:r>
            <a:endParaRPr lang="en-GB"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manualLayout>
          <c:layoutTarget val="inner"/>
          <c:xMode val="edge"/>
          <c:yMode val="edge"/>
          <c:x val="9.1914260717410323E-2"/>
          <c:y val="0.18689384742530499"/>
          <c:w val="0.87753018372703417"/>
          <c:h val="0.65756100082712987"/>
        </c:manualLayout>
      </c:layout>
      <c:barChart>
        <c:barDir val="col"/>
        <c:grouping val="stacked"/>
        <c:varyColors val="0"/>
        <c:ser>
          <c:idx val="0"/>
          <c:order val="0"/>
          <c:tx>
            <c:strRef>
              <c:f>'EONIA €STR'!$A$73</c:f>
              <c:strCache>
                <c:ptCount val="1"/>
                <c:pt idx="0">
                  <c:v>EONIA</c:v>
                </c:pt>
              </c:strCache>
            </c:strRef>
          </c:tx>
          <c:spPr>
            <a:solidFill>
              <a:schemeClr val="accent1"/>
            </a:solidFill>
            <a:ln>
              <a:noFill/>
            </a:ln>
            <a:effectLst/>
          </c:spPr>
          <c:invertIfNegative val="0"/>
          <c:cat>
            <c:strRef>
              <c:f>'EONIA €STR'!$K$72:$W$72</c:f>
              <c:strCache>
                <c:ptCount val="13"/>
                <c:pt idx="0">
                  <c:v>2020 Jul</c:v>
                </c:pt>
                <c:pt idx="1">
                  <c:v>2020 Aug</c:v>
                </c:pt>
                <c:pt idx="2">
                  <c:v>2020 Sep</c:v>
                </c:pt>
                <c:pt idx="3">
                  <c:v>2020 Oct</c:v>
                </c:pt>
                <c:pt idx="4">
                  <c:v>2020 Nov</c:v>
                </c:pt>
                <c:pt idx="5">
                  <c:v>2020 Dec</c:v>
                </c:pt>
                <c:pt idx="6">
                  <c:v>2021 Jan</c:v>
                </c:pt>
                <c:pt idx="7">
                  <c:v>2021 Feb</c:v>
                </c:pt>
                <c:pt idx="8">
                  <c:v>2021 Mar</c:v>
                </c:pt>
                <c:pt idx="9">
                  <c:v>2021 Apr</c:v>
                </c:pt>
                <c:pt idx="10">
                  <c:v>2021 May</c:v>
                </c:pt>
                <c:pt idx="11">
                  <c:v>2021 Jun</c:v>
                </c:pt>
                <c:pt idx="12">
                  <c:v>2021 Jul</c:v>
                </c:pt>
              </c:strCache>
            </c:strRef>
          </c:cat>
          <c:val>
            <c:numRef>
              <c:f>'EONIA €STR'!$K$73:$W$73</c:f>
              <c:numCache>
                <c:formatCode>General</c:formatCode>
                <c:ptCount val="13"/>
                <c:pt idx="0">
                  <c:v>4529118</c:v>
                </c:pt>
                <c:pt idx="1">
                  <c:v>2571613</c:v>
                </c:pt>
                <c:pt idx="2">
                  <c:v>4887447</c:v>
                </c:pt>
                <c:pt idx="3">
                  <c:v>5304030</c:v>
                </c:pt>
                <c:pt idx="4">
                  <c:v>5883031</c:v>
                </c:pt>
                <c:pt idx="5">
                  <c:v>4302036</c:v>
                </c:pt>
                <c:pt idx="6">
                  <c:v>3695522</c:v>
                </c:pt>
                <c:pt idx="7">
                  <c:v>3643693</c:v>
                </c:pt>
                <c:pt idx="8">
                  <c:v>3913711</c:v>
                </c:pt>
                <c:pt idx="9">
                  <c:v>2644779</c:v>
                </c:pt>
                <c:pt idx="10">
                  <c:v>3753099</c:v>
                </c:pt>
                <c:pt idx="11">
                  <c:v>2873039</c:v>
                </c:pt>
                <c:pt idx="12">
                  <c:v>2186569</c:v>
                </c:pt>
              </c:numCache>
            </c:numRef>
          </c:val>
          <c:extLst>
            <c:ext xmlns:c16="http://schemas.microsoft.com/office/drawing/2014/chart" uri="{C3380CC4-5D6E-409C-BE32-E72D297353CC}">
              <c16:uniqueId val="{00000000-EA90-4398-A28B-B10398638385}"/>
            </c:ext>
          </c:extLst>
        </c:ser>
        <c:ser>
          <c:idx val="1"/>
          <c:order val="1"/>
          <c:tx>
            <c:strRef>
              <c:f>'EONIA €STR'!$A$74</c:f>
              <c:strCache>
                <c:ptCount val="1"/>
                <c:pt idx="0">
                  <c:v>€STR</c:v>
                </c:pt>
              </c:strCache>
            </c:strRef>
          </c:tx>
          <c:spPr>
            <a:solidFill>
              <a:schemeClr val="accent2"/>
            </a:solidFill>
            <a:ln>
              <a:noFill/>
            </a:ln>
            <a:effectLst/>
          </c:spPr>
          <c:invertIfNegative val="0"/>
          <c:cat>
            <c:strRef>
              <c:f>'EONIA €STR'!$K$72:$W$72</c:f>
              <c:strCache>
                <c:ptCount val="13"/>
                <c:pt idx="0">
                  <c:v>2020 Jul</c:v>
                </c:pt>
                <c:pt idx="1">
                  <c:v>2020 Aug</c:v>
                </c:pt>
                <c:pt idx="2">
                  <c:v>2020 Sep</c:v>
                </c:pt>
                <c:pt idx="3">
                  <c:v>2020 Oct</c:v>
                </c:pt>
                <c:pt idx="4">
                  <c:v>2020 Nov</c:v>
                </c:pt>
                <c:pt idx="5">
                  <c:v>2020 Dec</c:v>
                </c:pt>
                <c:pt idx="6">
                  <c:v>2021 Jan</c:v>
                </c:pt>
                <c:pt idx="7">
                  <c:v>2021 Feb</c:v>
                </c:pt>
                <c:pt idx="8">
                  <c:v>2021 Mar</c:v>
                </c:pt>
                <c:pt idx="9">
                  <c:v>2021 Apr</c:v>
                </c:pt>
                <c:pt idx="10">
                  <c:v>2021 May</c:v>
                </c:pt>
                <c:pt idx="11">
                  <c:v>2021 Jun</c:v>
                </c:pt>
                <c:pt idx="12">
                  <c:v>2021 Jul</c:v>
                </c:pt>
              </c:strCache>
            </c:strRef>
          </c:cat>
          <c:val>
            <c:numRef>
              <c:f>'EONIA €STR'!$K$74:$W$74</c:f>
              <c:numCache>
                <c:formatCode>General</c:formatCode>
                <c:ptCount val="13"/>
                <c:pt idx="0">
                  <c:v>119036</c:v>
                </c:pt>
                <c:pt idx="1">
                  <c:v>79331</c:v>
                </c:pt>
                <c:pt idx="2">
                  <c:v>107633</c:v>
                </c:pt>
                <c:pt idx="3">
                  <c:v>170990</c:v>
                </c:pt>
                <c:pt idx="4">
                  <c:v>193859</c:v>
                </c:pt>
                <c:pt idx="5">
                  <c:v>320138</c:v>
                </c:pt>
                <c:pt idx="6">
                  <c:v>228087</c:v>
                </c:pt>
                <c:pt idx="7">
                  <c:v>280147</c:v>
                </c:pt>
                <c:pt idx="8">
                  <c:v>555342</c:v>
                </c:pt>
                <c:pt idx="9">
                  <c:v>548590</c:v>
                </c:pt>
                <c:pt idx="10">
                  <c:v>517601</c:v>
                </c:pt>
                <c:pt idx="11">
                  <c:v>603861</c:v>
                </c:pt>
                <c:pt idx="12">
                  <c:v>571962</c:v>
                </c:pt>
              </c:numCache>
            </c:numRef>
          </c:val>
          <c:extLst>
            <c:ext xmlns:c16="http://schemas.microsoft.com/office/drawing/2014/chart" uri="{C3380CC4-5D6E-409C-BE32-E72D297353CC}">
              <c16:uniqueId val="{00000001-EA90-4398-A28B-B10398638385}"/>
            </c:ext>
          </c:extLst>
        </c:ser>
        <c:dLbls>
          <c:showLegendKey val="0"/>
          <c:showVal val="0"/>
          <c:showCatName val="0"/>
          <c:showSerName val="0"/>
          <c:showPercent val="0"/>
          <c:showBubbleSize val="0"/>
        </c:dLbls>
        <c:gapWidth val="150"/>
        <c:overlap val="100"/>
        <c:axId val="391071168"/>
        <c:axId val="390078096"/>
      </c:barChart>
      <c:lineChart>
        <c:grouping val="standard"/>
        <c:varyColors val="0"/>
        <c:ser>
          <c:idx val="2"/>
          <c:order val="2"/>
          <c:tx>
            <c:v>€STR Market %</c:v>
          </c:tx>
          <c:spPr>
            <a:ln w="28575" cap="rnd">
              <a:solidFill>
                <a:schemeClr val="accent4"/>
              </a:solidFill>
              <a:round/>
            </a:ln>
            <a:effectLst/>
          </c:spPr>
          <c:marker>
            <c:symbol val="none"/>
          </c:marker>
          <c:val>
            <c:numRef>
              <c:f>'EONIA €STR'!$K$78:$W$78</c:f>
              <c:numCache>
                <c:formatCode>0.00%</c:formatCode>
                <c:ptCount val="13"/>
                <c:pt idx="0">
                  <c:v>2.5609306404219826E-2</c:v>
                </c:pt>
                <c:pt idx="1">
                  <c:v>2.9925566137949351E-2</c:v>
                </c:pt>
                <c:pt idx="2">
                  <c:v>2.1547803038189577E-2</c:v>
                </c:pt>
                <c:pt idx="3">
                  <c:v>3.1230936142699024E-2</c:v>
                </c:pt>
                <c:pt idx="4">
                  <c:v>3.1901021739738585E-2</c:v>
                </c:pt>
                <c:pt idx="5">
                  <c:v>6.9261347582328145E-2</c:v>
                </c:pt>
                <c:pt idx="6">
                  <c:v>5.8131939242671737E-2</c:v>
                </c:pt>
                <c:pt idx="7">
                  <c:v>7.1396132360137005E-2</c:v>
                </c:pt>
                <c:pt idx="8">
                  <c:v>0.12426391004984724</c:v>
                </c:pt>
                <c:pt idx="9">
                  <c:v>0.17179035683004376</c:v>
                </c:pt>
                <c:pt idx="10">
                  <c:v>0.12119816423537125</c:v>
                </c:pt>
                <c:pt idx="11">
                  <c:v>0.17367798901320142</c:v>
                </c:pt>
                <c:pt idx="12">
                  <c:v>0.20734296623818982</c:v>
                </c:pt>
              </c:numCache>
            </c:numRef>
          </c:val>
          <c:smooth val="0"/>
          <c:extLst>
            <c:ext xmlns:c16="http://schemas.microsoft.com/office/drawing/2014/chart" uri="{C3380CC4-5D6E-409C-BE32-E72D297353CC}">
              <c16:uniqueId val="{00000002-EA90-4398-A28B-B10398638385}"/>
            </c:ext>
          </c:extLst>
        </c:ser>
        <c:dLbls>
          <c:showLegendKey val="0"/>
          <c:showVal val="0"/>
          <c:showCatName val="0"/>
          <c:showSerName val="0"/>
          <c:showPercent val="0"/>
          <c:showBubbleSize val="0"/>
        </c:dLbls>
        <c:marker val="1"/>
        <c:smooth val="0"/>
        <c:axId val="839191168"/>
        <c:axId val="839193136"/>
      </c:lineChart>
      <c:catAx>
        <c:axId val="391071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crossAx val="390078096"/>
        <c:crosses val="autoZero"/>
        <c:auto val="1"/>
        <c:lblAlgn val="ctr"/>
        <c:lblOffset val="100"/>
        <c:noMultiLvlLbl val="0"/>
      </c:catAx>
      <c:valAx>
        <c:axId val="390078096"/>
        <c:scaling>
          <c:orientation val="minMax"/>
        </c:scaling>
        <c:delete val="0"/>
        <c:axPos val="l"/>
        <c:majorGridlines>
          <c:spPr>
            <a:ln w="9525" cap="flat" cmpd="sng" algn="ctr">
              <a:solidFill>
                <a:schemeClr val="tx1">
                  <a:lumMod val="15000"/>
                  <a:lumOff val="85000"/>
                </a:schemeClr>
              </a:solidFill>
              <a:round/>
            </a:ln>
            <a:effectLst/>
          </c:spPr>
        </c:majorGridlines>
        <c:numFmt formatCode="[$€-2]\ #,##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de-DE"/>
          </a:p>
        </c:txPr>
        <c:crossAx val="391071168"/>
        <c:crosses val="autoZero"/>
        <c:crossBetween val="between"/>
        <c:dispUnits>
          <c:builtInUnit val="thousands"/>
        </c:dispUnits>
      </c:valAx>
      <c:valAx>
        <c:axId val="839193136"/>
        <c:scaling>
          <c:orientation val="minMax"/>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839191168"/>
        <c:crosses val="max"/>
        <c:crossBetween val="between"/>
      </c:valAx>
      <c:catAx>
        <c:axId val="839191168"/>
        <c:scaling>
          <c:orientation val="minMax"/>
        </c:scaling>
        <c:delete val="1"/>
        <c:axPos val="b"/>
        <c:majorTickMark val="out"/>
        <c:minorTickMark val="none"/>
        <c:tickLblPos val="nextTo"/>
        <c:crossAx val="839193136"/>
        <c:crosses val="autoZero"/>
        <c:auto val="1"/>
        <c:lblAlgn val="ctr"/>
        <c:lblOffset val="100"/>
        <c:noMultiLvlLbl val="0"/>
      </c:catAx>
      <c:spPr>
        <a:noFill/>
        <a:ln>
          <a:noFill/>
        </a:ln>
        <a:effectLst/>
      </c:spPr>
    </c:plotArea>
    <c:legend>
      <c:legendPos val="t"/>
      <c:layout>
        <c:manualLayout>
          <c:xMode val="edge"/>
          <c:yMode val="edge"/>
          <c:x val="0.27004818168401495"/>
          <c:y val="0.12201199886905431"/>
          <c:w val="0.45990363663197009"/>
          <c:h val="7.3023072066803252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de-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94B317DAD32741A5D5AE32680E4E20" ma:contentTypeVersion="4" ma:contentTypeDescription="Create a new document." ma:contentTypeScope="" ma:versionID="53065f5786265e4ec3185be4b623fbd3">
  <xsd:schema xmlns:xsd="http://www.w3.org/2001/XMLSchema" xmlns:xs="http://www.w3.org/2001/XMLSchema" xmlns:p="http://schemas.microsoft.com/office/2006/metadata/properties" xmlns:ns2="1ad7381c-fbb9-4efd-82b8-96ce0732ab07" targetNamespace="http://schemas.microsoft.com/office/2006/metadata/properties" ma:root="true" ma:fieldsID="ce4247fc87b91667688b71757dd4c63d" ns2:_="">
    <xsd:import namespace="1ad7381c-fbb9-4efd-82b8-96ce0732ab0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7381c-fbb9-4efd-82b8-96ce0732ab07"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2328A-9DCC-4027-85DA-ABA0C57EA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7381c-fbb9-4efd-82b8-96ce0732a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8337F5EE-E87B-49CE-96B5-F95CE63A0DF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ad7381c-fbb9-4efd-82b8-96ce0732ab07"/>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0</TotalTime>
  <Pages>9</Pages>
  <Words>1881</Words>
  <Characters>11854</Characters>
  <Application>Microsoft Office Word</Application>
  <DocSecurity>8</DocSecurity>
  <Lines>98</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13708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Viktoria Hackenberg</cp:lastModifiedBy>
  <cp:revision>2</cp:revision>
  <cp:lastPrinted>2017-07-24T14:47:00Z</cp:lastPrinted>
  <dcterms:created xsi:type="dcterms:W3CDTF">2021-09-01T14:33:00Z</dcterms:created>
  <dcterms:modified xsi:type="dcterms:W3CDTF">2021-09-01T14:33:00Z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0x0101007094B317DAD32741A5D5AE32680E4E20</vt:lpwstr>
  </property>
  <property fmtid="{D5CDD505-2E9C-101B-9397-08002B2CF9AE}" pid="5" name="_dlc_DocIdItemGuid">
    <vt:lpwstr>da41af48-8004-49e2-b53f-177962124504</vt:lpwstr>
  </property>
  <property fmtid="{D5CDD505-2E9C-101B-9397-08002B2CF9AE}" pid="6" name="DocumentType">
    <vt:lpwstr>12;#Report|78753201-1e9e-4a21-a088-6ff602b5c999</vt:lpwstr>
  </property>
  <property fmtid="{D5CDD505-2E9C-101B-9397-08002B2CF9AE}" pid="7" name="Topic">
    <vt:lpwstr>832;#EMIR - Clearing Obbligation|0bb3118f-23b5-4afc-b0fc-946893a4d1d6</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833;#EMIR - Clearing Obbligation - Amendements|b02e17f3-fe5b-4971-a303-faa191b0e9d0</vt:lpwstr>
  </property>
  <property fmtid="{D5CDD505-2E9C-101B-9397-08002B2CF9AE}" pid="18" name="TeamTopic">
    <vt:lpwstr>87;#Other Work|f1a52b52-917d-42ef-9667-945839604bb2</vt:lpwstr>
  </property>
  <property fmtid="{D5CDD505-2E9C-101B-9397-08002B2CF9AE}" pid="19" name="MSIP_Label_2e952e98-911c-4aff-840a-f71bc6baaf7f_Enabled">
    <vt:lpwstr>true</vt:lpwstr>
  </property>
  <property fmtid="{D5CDD505-2E9C-101B-9397-08002B2CF9AE}" pid="20" name="MSIP_Label_2e952e98-911c-4aff-840a-f71bc6baaf7f_SetDate">
    <vt:lpwstr>2021-09-01T14:33:07Z</vt:lpwstr>
  </property>
  <property fmtid="{D5CDD505-2E9C-101B-9397-08002B2CF9AE}" pid="21" name="MSIP_Label_2e952e98-911c-4aff-840a-f71bc6baaf7f_Method">
    <vt:lpwstr>Standard</vt:lpwstr>
  </property>
  <property fmtid="{D5CDD505-2E9C-101B-9397-08002B2CF9AE}" pid="22" name="MSIP_Label_2e952e98-911c-4aff-840a-f71bc6baaf7f_Name">
    <vt:lpwstr>2e952e98-911c-4aff-840a-f71bc6baaf7f</vt:lpwstr>
  </property>
  <property fmtid="{D5CDD505-2E9C-101B-9397-08002B2CF9AE}" pid="23" name="MSIP_Label_2e952e98-911c-4aff-840a-f71bc6baaf7f_SiteId">
    <vt:lpwstr>e00ddcdf-1e0f-4be5-a37a-894a4731986a</vt:lpwstr>
  </property>
  <property fmtid="{D5CDD505-2E9C-101B-9397-08002B2CF9AE}" pid="24" name="MSIP_Label_2e952e98-911c-4aff-840a-f71bc6baaf7f_ActionId">
    <vt:lpwstr>5f1a0d42-3b1a-40e0-b355-c9b9eeede1b8</vt:lpwstr>
  </property>
  <property fmtid="{D5CDD505-2E9C-101B-9397-08002B2CF9AE}" pid="25" name="MSIP_Label_2e952e98-911c-4aff-840a-f71bc6baaf7f_ContentBits">
    <vt:lpwstr>2</vt:lpwstr>
  </property>
</Properties>
</file>