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57371023" w:rsidR="00AF2EF7" w:rsidRPr="00B16706" w:rsidRDefault="00C1698A" w:rsidP="00D13661">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8B2AF1" w:rsidRPr="00B16706">
                  <w:rPr>
                    <w:rFonts w:asciiTheme="minorHAnsi" w:hAnsiTheme="minorHAnsi" w:cstheme="minorHAnsi"/>
                    <w:sz w:val="40"/>
                    <w:szCs w:val="40"/>
                  </w:rPr>
                  <w:t xml:space="preserve">Consultation Paper </w:t>
                </w:r>
                <w:r w:rsidR="00B16706" w:rsidRPr="00B16706">
                  <w:rPr>
                    <w:rFonts w:asciiTheme="minorHAnsi" w:hAnsiTheme="minorHAnsi" w:cstheme="minorHAnsi"/>
                    <w:sz w:val="40"/>
                    <w:szCs w:val="40"/>
                  </w:rPr>
                  <w:t>on the clearing and derivative trading obligations in view of the benchmark transition</w:t>
                </w:r>
              </w:p>
            </w:tc>
          </w:tr>
          <w:tr w:rsidR="00AB6157" w:rsidRPr="00B16706" w14:paraId="76D253F5" w14:textId="77777777" w:rsidTr="00D13661">
            <w:trPr>
              <w:trHeight w:hRule="exact" w:val="747"/>
            </w:trPr>
            <w:tc>
              <w:tcPr>
                <w:tcW w:w="10490" w:type="dxa"/>
                <w:tcMar>
                  <w:top w:w="142" w:type="dxa"/>
                </w:tcMar>
              </w:tcPr>
              <w:p w14:paraId="26CF3934" w14:textId="7EE83A86" w:rsidR="00AB6157" w:rsidRPr="00B16706" w:rsidRDefault="00AB6157" w:rsidP="001F23C9">
                <w:pPr>
                  <w:pStyle w:val="Heading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3930A39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 September 2021</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A409C2" w:rsidRDefault="008279D3" w:rsidP="00A409C2">
          <w:pPr>
            <w:pStyle w:val="ListParagraph"/>
            <w:numPr>
              <w:ilvl w:val="0"/>
              <w:numId w:val="29"/>
            </w:numPr>
            <w:spacing w:after="250" w:line="276" w:lineRule="auto"/>
            <w:rPr>
              <w:rFonts w:eastAsiaTheme="minorEastAsia" w:cstheme="minorBidi"/>
              <w:sz w:val="18"/>
              <w:szCs w:val="16"/>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A409C2">
            <w:rPr>
              <w:rFonts w:eastAsiaTheme="minorEastAsia" w:cstheme="minorBidi"/>
              <w:b/>
              <w:bCs/>
              <w:sz w:val="18"/>
              <w:szCs w:val="16"/>
              <w:lang w:eastAsia="en-US"/>
            </w:rPr>
            <w:t>pdf documents will not be considered except for annexes</w:t>
          </w:r>
          <w:r w:rsidR="00A409C2" w:rsidRPr="00A409C2">
            <w:rPr>
              <w:rFonts w:eastAsiaTheme="minorEastAsia" w:cstheme="minorBidi"/>
              <w:sz w:val="18"/>
              <w:szCs w:val="16"/>
              <w:lang w:eastAsia="en-US"/>
            </w:rPr>
            <w:t>);</w:t>
          </w:r>
        </w:p>
        <w:p w14:paraId="6692798E" w14:textId="17C922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_RFRS_1&gt;.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F2D8BB"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ESMA_RFRS_nameofrespondent_RESPONSEFORM. For example, for a respondent named ABCD, the response form would be entitled ESMA_RFRS_ABCD_RESPONSEFORM.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F9F5BAB" w:rsidR="00C85C8B" w:rsidRPr="00B16706" w:rsidRDefault="00DC41DC" w:rsidP="00C85C8B">
                <w:pPr>
                  <w:rPr>
                    <w:rFonts w:ascii="Arial" w:hAnsi="Arial" w:cs="Arial"/>
                    <w:color w:val="808080"/>
                    <w:sz w:val="16"/>
                    <w:szCs w:val="20"/>
                    <w:lang w:eastAsia="de-DE"/>
                  </w:rPr>
                </w:pPr>
                <w:r w:rsidRPr="00DC41DC">
                  <w:rPr>
                    <w:rFonts w:ascii="Arial" w:hAnsi="Arial" w:cs="Arial"/>
                    <w:color w:val="808080"/>
                    <w:sz w:val="16"/>
                    <w:szCs w:val="20"/>
                    <w:lang w:eastAsia="de-DE"/>
                  </w:rPr>
                  <w:t>CCP12 - The Global Association of Central Counterpartie</w:t>
                </w:r>
                <w:r w:rsidR="00AC3248">
                  <w:rPr>
                    <w:rFonts w:ascii="Arial" w:hAnsi="Arial" w:cs="Arial"/>
                    <w:color w:val="808080"/>
                    <w:sz w:val="16"/>
                    <w:szCs w:val="20"/>
                    <w:lang w:eastAsia="de-DE"/>
                  </w:rPr>
                  <w:t>s</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5EAB621" w:rsidR="00C85C8B" w:rsidRPr="00B16706" w:rsidRDefault="00F74FD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C41DC">
                  <w:rPr>
                    <w:rFonts w:ascii="Arial" w:hAnsi="Arial" w:cs="Arial"/>
                    <w:sz w:val="16"/>
                    <w:szCs w:val="20"/>
                    <w:lang w:eastAsia="de-DE"/>
                  </w:rPr>
                  <w:t>Central Counterparty</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0D2CEF1" w:rsidR="00C85C8B" w:rsidRPr="00B16706" w:rsidRDefault="00DC41DC"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BC7B3E1" w:rsidR="00C85C8B" w:rsidRPr="00B16706" w:rsidRDefault="00DC41DC" w:rsidP="00C85C8B">
                <w:pPr>
                  <w:rPr>
                    <w:rFonts w:ascii="Arial" w:hAnsi="Arial" w:cs="Arial"/>
                    <w:sz w:val="16"/>
                    <w:szCs w:val="20"/>
                    <w:lang w:eastAsia="de-DE"/>
                  </w:rPr>
                </w:pPr>
                <w:r>
                  <w:rPr>
                    <w:rFonts w:ascii="Arial" w:hAnsi="Arial" w:cs="Arial"/>
                    <w:sz w:val="16"/>
                    <w:szCs w:val="20"/>
                    <w:lang w:eastAsia="de-DE"/>
                  </w:rPr>
                  <w:t>Other</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25073A77" w14:textId="77777777" w:rsidR="00D57019" w:rsidRPr="009835AD" w:rsidRDefault="00D57019">
      <w:pPr>
        <w:spacing w:after="120" w:line="264" w:lineRule="auto"/>
        <w:rPr>
          <w:rFonts w:ascii="Arial" w:hAnsi="Arial" w:cs="Arial"/>
          <w:b/>
          <w:sz w:val="22"/>
          <w:szCs w:val="22"/>
          <w:lang w:val="en-US" w:eastAsia="en-US"/>
        </w:rPr>
      </w:pPr>
    </w:p>
    <w:p w14:paraId="4E4E869C" w14:textId="01ED431C" w:rsidR="009835AD" w:rsidRPr="00B16706" w:rsidRDefault="00D57019">
      <w:pPr>
        <w:spacing w:after="120" w:line="264" w:lineRule="auto"/>
        <w:rPr>
          <w:rFonts w:asciiTheme="minorHAnsi" w:hAnsiTheme="minorHAnsi" w:cstheme="minorHAnsi"/>
          <w:b/>
          <w:sz w:val="22"/>
          <w:szCs w:val="22"/>
        </w:rPr>
      </w:pPr>
      <w:r>
        <w:rPr>
          <w:rFonts w:asciiTheme="minorHAnsi" w:hAnsiTheme="minorHAnsi" w:cstheme="minorHAnsi"/>
          <w:b/>
          <w:sz w:val="22"/>
          <w:szCs w:val="22"/>
        </w:rPr>
        <w:t>General comments</w:t>
      </w:r>
    </w:p>
    <w:bookmarkEnd w:id="0"/>
    <w:p w14:paraId="14366AC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general comments you would need to raise?</w:t>
      </w:r>
    </w:p>
    <w:p w14:paraId="06AC05B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6605FCE8" w14:textId="77777777" w:rsidR="00555D66" w:rsidRPr="00D349BA" w:rsidRDefault="00555D66" w:rsidP="00555D66">
      <w:pPr>
        <w:autoSpaceDE w:val="0"/>
        <w:autoSpaceDN w:val="0"/>
        <w:adjustRightInd w:val="0"/>
        <w:spacing w:after="120" w:line="276" w:lineRule="auto"/>
        <w:jc w:val="both"/>
        <w:rPr>
          <w:rFonts w:ascii="Arial" w:eastAsiaTheme="minorHAnsi" w:hAnsi="Arial" w:cs="Arial"/>
          <w:color w:val="000000"/>
          <w:sz w:val="22"/>
          <w:szCs w:val="22"/>
          <w:lang w:eastAsia="en-US"/>
        </w:rPr>
      </w:pPr>
      <w:permStart w:id="1592684246" w:edGrp="everyone"/>
      <w:r w:rsidRPr="00D349BA">
        <w:rPr>
          <w:rFonts w:ascii="Arial" w:eastAsiaTheme="minorHAnsi" w:hAnsi="Arial" w:cs="Arial"/>
          <w:color w:val="000000"/>
          <w:sz w:val="22"/>
          <w:szCs w:val="22"/>
          <w:lang w:eastAsia="en-US"/>
        </w:rPr>
        <w:t>The Global Association of Central Counterparties (“CCP12”) appreciates the opportunity to comment on the European Securities Markets Authority’s (“ESMA”) Consultation Paper on the clearing and derivative trading obligations in view of the benchmark transition (“the Consultation Paper”).</w:t>
      </w:r>
      <w:r w:rsidRPr="00D349BA">
        <w:rPr>
          <w:rFonts w:eastAsiaTheme="minorHAnsi"/>
          <w:color w:val="000000"/>
          <w:vertAlign w:val="superscript"/>
          <w:lang w:eastAsia="en-US"/>
        </w:rPr>
        <w:footnoteReference w:id="2"/>
      </w:r>
      <w:r w:rsidRPr="00D349BA">
        <w:rPr>
          <w:rFonts w:ascii="Arial" w:eastAsiaTheme="minorHAnsi" w:hAnsi="Arial" w:cs="Arial"/>
          <w:color w:val="000000"/>
          <w:sz w:val="22"/>
          <w:szCs w:val="22"/>
          <w:vertAlign w:val="superscript"/>
          <w:lang w:eastAsia="en-US"/>
        </w:rPr>
        <w:t xml:space="preserve"> </w:t>
      </w:r>
      <w:r w:rsidRPr="00D349BA">
        <w:rPr>
          <w:rFonts w:ascii="Arial" w:eastAsiaTheme="minorHAnsi" w:hAnsi="Arial" w:cs="Arial"/>
          <w:color w:val="000000"/>
          <w:sz w:val="22"/>
          <w:szCs w:val="22"/>
          <w:lang w:eastAsia="en-US"/>
        </w:rPr>
        <w:t xml:space="preserve">  </w:t>
      </w:r>
    </w:p>
    <w:p w14:paraId="0EC43D15" w14:textId="77777777" w:rsidR="00555D66" w:rsidRPr="00D349BA" w:rsidRDefault="00555D66" w:rsidP="00555D66">
      <w:pPr>
        <w:autoSpaceDE w:val="0"/>
        <w:autoSpaceDN w:val="0"/>
        <w:adjustRightInd w:val="0"/>
        <w:spacing w:after="120" w:line="276" w:lineRule="auto"/>
        <w:jc w:val="both"/>
        <w:rPr>
          <w:rFonts w:ascii="Arial" w:eastAsiaTheme="minorHAnsi" w:hAnsi="Arial" w:cs="Arial"/>
          <w:color w:val="000000"/>
          <w:sz w:val="22"/>
          <w:szCs w:val="22"/>
          <w:lang w:eastAsia="en-US"/>
        </w:rPr>
      </w:pPr>
      <w:r w:rsidRPr="00D349BA">
        <w:rPr>
          <w:rFonts w:ascii="Arial" w:eastAsiaTheme="minorHAnsi" w:hAnsi="Arial" w:cs="Arial"/>
          <w:color w:val="000000"/>
          <w:sz w:val="22"/>
          <w:szCs w:val="22"/>
          <w:lang w:eastAsia="en-US"/>
        </w:rPr>
        <w:t xml:space="preserve">CCP12 is the global association for CCPs, representing 38 members who operate more than 60 individual central counterparties (CCPs) globally across the Americas, EMEA and the Asia-Pacific region. </w:t>
      </w:r>
    </w:p>
    <w:p w14:paraId="1967F837" w14:textId="77777777" w:rsidR="00555D66" w:rsidRPr="00D349BA" w:rsidRDefault="00555D66" w:rsidP="00555D66">
      <w:pPr>
        <w:autoSpaceDE w:val="0"/>
        <w:autoSpaceDN w:val="0"/>
        <w:adjustRightInd w:val="0"/>
        <w:spacing w:after="120" w:line="276" w:lineRule="auto"/>
        <w:jc w:val="both"/>
        <w:rPr>
          <w:rFonts w:ascii="Arial" w:eastAsiaTheme="minorHAnsi" w:hAnsi="Arial" w:cs="Arial"/>
          <w:color w:val="000000"/>
          <w:sz w:val="22"/>
          <w:szCs w:val="22"/>
          <w:lang w:eastAsia="en-US"/>
        </w:rPr>
      </w:pPr>
      <w:r w:rsidRPr="00D349BA">
        <w:rPr>
          <w:rFonts w:ascii="Arial" w:eastAsiaTheme="minorHAnsi" w:hAnsi="Arial" w:cs="Arial"/>
          <w:color w:val="000000"/>
          <w:sz w:val="22"/>
          <w:szCs w:val="22"/>
          <w:lang w:eastAsia="en-US"/>
        </w:rPr>
        <w:t xml:space="preserve">CCP12 generally supports ESMA’s proposals to adapt the clearing mandates to reflect the transition to the new </w:t>
      </w:r>
      <w:r>
        <w:rPr>
          <w:rFonts w:ascii="Arial" w:eastAsiaTheme="minorHAnsi" w:hAnsi="Arial" w:cs="Arial"/>
          <w:color w:val="000000"/>
          <w:sz w:val="22"/>
          <w:szCs w:val="22"/>
          <w:lang w:eastAsia="en-US"/>
        </w:rPr>
        <w:t>R</w:t>
      </w:r>
      <w:r w:rsidRPr="00D349BA">
        <w:rPr>
          <w:rFonts w:ascii="Arial" w:eastAsiaTheme="minorHAnsi" w:hAnsi="Arial" w:cs="Arial"/>
          <w:color w:val="000000"/>
          <w:sz w:val="22"/>
          <w:szCs w:val="22"/>
          <w:lang w:eastAsia="en-US"/>
        </w:rPr>
        <w:t>isk</w:t>
      </w:r>
      <w:r>
        <w:rPr>
          <w:rFonts w:ascii="Arial" w:eastAsiaTheme="minorHAnsi" w:hAnsi="Arial" w:cs="Arial"/>
          <w:color w:val="000000"/>
          <w:sz w:val="22"/>
          <w:szCs w:val="22"/>
          <w:lang w:eastAsia="en-US"/>
        </w:rPr>
        <w:t>-F</w:t>
      </w:r>
      <w:r w:rsidRPr="00D349BA">
        <w:rPr>
          <w:rFonts w:ascii="Arial" w:eastAsiaTheme="minorHAnsi" w:hAnsi="Arial" w:cs="Arial"/>
          <w:color w:val="000000"/>
          <w:sz w:val="22"/>
          <w:szCs w:val="22"/>
          <w:lang w:eastAsia="en-US"/>
        </w:rPr>
        <w:t xml:space="preserve">ree </w:t>
      </w:r>
      <w:r>
        <w:rPr>
          <w:rFonts w:ascii="Arial" w:eastAsiaTheme="minorHAnsi" w:hAnsi="Arial" w:cs="Arial"/>
          <w:color w:val="000000"/>
          <w:sz w:val="22"/>
          <w:szCs w:val="22"/>
          <w:lang w:eastAsia="en-US"/>
        </w:rPr>
        <w:t>R</w:t>
      </w:r>
      <w:r w:rsidRPr="00D349BA">
        <w:rPr>
          <w:rFonts w:ascii="Arial" w:eastAsiaTheme="minorHAnsi" w:hAnsi="Arial" w:cs="Arial"/>
          <w:color w:val="000000"/>
          <w:sz w:val="22"/>
          <w:szCs w:val="22"/>
          <w:lang w:eastAsia="en-US"/>
        </w:rPr>
        <w:t>ates preparing for the cessation of the GBP and JPY LIBORs and EONIA.</w:t>
      </w:r>
    </w:p>
    <w:p w14:paraId="44AA288D" w14:textId="77777777" w:rsidR="00555D66" w:rsidRPr="00D349BA" w:rsidRDefault="00555D66" w:rsidP="00555D66">
      <w:pPr>
        <w:autoSpaceDE w:val="0"/>
        <w:autoSpaceDN w:val="0"/>
        <w:adjustRightInd w:val="0"/>
        <w:spacing w:after="120" w:line="276" w:lineRule="auto"/>
        <w:jc w:val="both"/>
        <w:rPr>
          <w:rFonts w:ascii="Arial" w:eastAsiaTheme="minorHAnsi" w:hAnsi="Arial" w:cs="Arial"/>
          <w:color w:val="000000"/>
          <w:sz w:val="22"/>
          <w:szCs w:val="22"/>
          <w:lang w:eastAsia="en-US"/>
        </w:rPr>
      </w:pPr>
      <w:r w:rsidRPr="00D349BA">
        <w:rPr>
          <w:rFonts w:ascii="Arial" w:eastAsiaTheme="minorHAnsi" w:hAnsi="Arial" w:cs="Arial"/>
          <w:color w:val="000000"/>
          <w:sz w:val="22"/>
          <w:szCs w:val="22"/>
          <w:lang w:eastAsia="en-US"/>
        </w:rPr>
        <w:t>CCP12 would like to emphasize in this context the importance of clearing and is supportive of a smooth transition, which is aligned between global standard setting bodies.</w:t>
      </w:r>
    </w:p>
    <w:permEnd w:id="1592684246"/>
    <w:p w14:paraId="55FCE70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6237099F" w14:textId="06344591" w:rsidR="009835AD" w:rsidRDefault="009835AD" w:rsidP="009835AD">
      <w:pPr>
        <w:spacing w:after="160" w:line="259" w:lineRule="auto"/>
        <w:rPr>
          <w:rFonts w:ascii="Calibri" w:eastAsia="Calibri" w:hAnsi="Calibri"/>
          <w:sz w:val="22"/>
          <w:szCs w:val="22"/>
          <w:lang w:eastAsia="en-US"/>
        </w:rPr>
      </w:pPr>
    </w:p>
    <w:p w14:paraId="1E5D8E97" w14:textId="7957D24E" w:rsidR="00D57019"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State of progress with the transition</w:t>
      </w:r>
    </w:p>
    <w:p w14:paraId="7479070E"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other aspects of the transition that need to be taken into account? Please share any data that would help qualify further the progress with the transition or any other aspects that you think should be considered.</w:t>
      </w:r>
    </w:p>
    <w:p w14:paraId="62108C4F"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57C360C1" w14:textId="43EA0A63" w:rsidR="009505DB" w:rsidRDefault="009505DB" w:rsidP="009505DB">
      <w:pPr>
        <w:spacing w:after="120" w:line="276" w:lineRule="auto"/>
        <w:contextualSpacing/>
        <w:jc w:val="both"/>
        <w:rPr>
          <w:rFonts w:ascii="Arial" w:eastAsia="DengXian" w:hAnsi="Arial" w:cs="Arial"/>
          <w:sz w:val="22"/>
          <w:szCs w:val="22"/>
        </w:rPr>
      </w:pPr>
      <w:permStart w:id="1960970536" w:edGrp="everyone"/>
      <w:r>
        <w:rPr>
          <w:rFonts w:ascii="Arial" w:eastAsia="DengXian" w:hAnsi="Arial" w:cs="Arial"/>
          <w:sz w:val="22"/>
          <w:szCs w:val="22"/>
        </w:rPr>
        <w:t xml:space="preserve">CCP12 </w:t>
      </w:r>
      <w:r w:rsidRPr="00375CAD">
        <w:rPr>
          <w:rFonts w:ascii="Arial" w:eastAsia="DengXian" w:hAnsi="Arial" w:cs="Arial"/>
          <w:sz w:val="22"/>
          <w:szCs w:val="22"/>
        </w:rPr>
        <w:t xml:space="preserve">acknowledges that at the time ESMA was preparing this </w:t>
      </w:r>
      <w:r>
        <w:rPr>
          <w:rFonts w:ascii="Arial" w:eastAsia="DengXian" w:hAnsi="Arial" w:cs="Arial"/>
          <w:sz w:val="22"/>
          <w:szCs w:val="22"/>
        </w:rPr>
        <w:t>C</w:t>
      </w:r>
      <w:r w:rsidRPr="00375CAD">
        <w:rPr>
          <w:rFonts w:ascii="Arial" w:eastAsia="DengXian" w:hAnsi="Arial" w:cs="Arial"/>
          <w:sz w:val="22"/>
          <w:szCs w:val="22"/>
        </w:rPr>
        <w:t>onsultation</w:t>
      </w:r>
      <w:r>
        <w:rPr>
          <w:rFonts w:ascii="Arial" w:eastAsia="DengXian" w:hAnsi="Arial" w:cs="Arial"/>
          <w:sz w:val="22"/>
          <w:szCs w:val="22"/>
        </w:rPr>
        <w:t xml:space="preserve"> Paper</w:t>
      </w:r>
      <w:r w:rsidRPr="00375CAD">
        <w:rPr>
          <w:rFonts w:ascii="Arial" w:eastAsia="DengXian" w:hAnsi="Arial" w:cs="Arial"/>
          <w:sz w:val="22"/>
          <w:szCs w:val="22"/>
        </w:rPr>
        <w:t>, the future direction of JPY interest rate markets was not sufficiently clear, because the shift of JPY IRS liquidity to the RFR</w:t>
      </w:r>
      <w:r>
        <w:rPr>
          <w:rFonts w:ascii="Arial" w:eastAsia="DengXian" w:hAnsi="Arial" w:cs="Arial"/>
          <w:sz w:val="22"/>
          <w:szCs w:val="22"/>
        </w:rPr>
        <w:t xml:space="preserve"> swap</w:t>
      </w:r>
      <w:r w:rsidRPr="00375CAD">
        <w:rPr>
          <w:rFonts w:ascii="Arial" w:eastAsia="DengXian" w:hAnsi="Arial" w:cs="Arial"/>
          <w:sz w:val="22"/>
          <w:szCs w:val="22"/>
        </w:rPr>
        <w:t xml:space="preserve">, TONA (Tokyo Overnight Average Rate) OIS, was not </w:t>
      </w:r>
      <w:proofErr w:type="gramStart"/>
      <w:r w:rsidRPr="00375CAD">
        <w:rPr>
          <w:rFonts w:ascii="Arial" w:eastAsia="DengXian" w:hAnsi="Arial" w:cs="Arial"/>
          <w:sz w:val="22"/>
          <w:szCs w:val="22"/>
        </w:rPr>
        <w:t>clearly evident</w:t>
      </w:r>
      <w:proofErr w:type="gramEnd"/>
      <w:r w:rsidRPr="00375CAD">
        <w:rPr>
          <w:rFonts w:ascii="Arial" w:eastAsia="DengXian" w:hAnsi="Arial" w:cs="Arial"/>
          <w:sz w:val="22"/>
          <w:szCs w:val="22"/>
        </w:rPr>
        <w:t xml:space="preserve">. </w:t>
      </w:r>
      <w:r>
        <w:rPr>
          <w:rFonts w:ascii="Arial" w:eastAsia="DengXian" w:hAnsi="Arial" w:cs="Arial"/>
          <w:sz w:val="22"/>
          <w:szCs w:val="22"/>
        </w:rPr>
        <w:t xml:space="preserve">This uncertainty was stated in section </w:t>
      </w:r>
      <w:r w:rsidRPr="00375CAD">
        <w:rPr>
          <w:rFonts w:ascii="Arial" w:eastAsia="DengXian" w:hAnsi="Arial" w:cs="Arial"/>
          <w:sz w:val="22"/>
          <w:szCs w:val="22"/>
        </w:rPr>
        <w:t>3.2.2.4 JPY</w:t>
      </w:r>
      <w:r>
        <w:rPr>
          <w:rFonts w:ascii="Arial" w:eastAsia="DengXian" w:hAnsi="Arial" w:cs="Arial"/>
          <w:sz w:val="22"/>
          <w:szCs w:val="22"/>
        </w:rPr>
        <w:t xml:space="preserve">, paragraph </w:t>
      </w:r>
      <w:r w:rsidRPr="00375CAD">
        <w:rPr>
          <w:rFonts w:ascii="Arial" w:eastAsia="DengXian" w:hAnsi="Arial" w:cs="Arial"/>
          <w:sz w:val="22"/>
          <w:szCs w:val="22"/>
        </w:rPr>
        <w:t>39</w:t>
      </w:r>
      <w:r>
        <w:rPr>
          <w:rFonts w:ascii="Arial" w:eastAsia="DengXian" w:hAnsi="Arial" w:cs="Arial"/>
          <w:sz w:val="22"/>
          <w:szCs w:val="22"/>
        </w:rPr>
        <w:t xml:space="preserve"> of the Consultation Paper as “(t)</w:t>
      </w:r>
      <w:r w:rsidRPr="00375CAD">
        <w:rPr>
          <w:rFonts w:ascii="Arial" w:eastAsia="DengXian" w:hAnsi="Arial" w:cs="Arial"/>
          <w:sz w:val="22"/>
          <w:szCs w:val="22"/>
        </w:rPr>
        <w:t xml:space="preserve">he </w:t>
      </w:r>
      <w:proofErr w:type="gramStart"/>
      <w:r w:rsidRPr="00375CAD">
        <w:rPr>
          <w:rFonts w:ascii="Arial" w:eastAsia="DengXian" w:hAnsi="Arial" w:cs="Arial"/>
          <w:sz w:val="22"/>
          <w:szCs w:val="22"/>
        </w:rPr>
        <w:t>transition</w:t>
      </w:r>
      <w:proofErr w:type="gramEnd"/>
      <w:r w:rsidRPr="00375CAD">
        <w:rPr>
          <w:rFonts w:ascii="Arial" w:eastAsia="DengXian" w:hAnsi="Arial" w:cs="Arial"/>
          <w:sz w:val="22"/>
          <w:szCs w:val="22"/>
        </w:rPr>
        <w:t xml:space="preserve"> to RFR for JPY is the least advanced compared to the other major</w:t>
      </w:r>
      <w:r>
        <w:rPr>
          <w:rFonts w:ascii="Arial" w:eastAsia="DengXian" w:hAnsi="Arial" w:cs="Arial"/>
          <w:sz w:val="22"/>
          <w:szCs w:val="22"/>
        </w:rPr>
        <w:t xml:space="preserve"> </w:t>
      </w:r>
      <w:r w:rsidRPr="00375CAD">
        <w:rPr>
          <w:rFonts w:ascii="Arial" w:eastAsia="DengXian" w:hAnsi="Arial" w:cs="Arial"/>
          <w:sz w:val="22"/>
          <w:szCs w:val="22"/>
        </w:rPr>
        <w:t>currencies discussed in the CP. JPY LIBOR is due to cease at the end of the year, but it</w:t>
      </w:r>
      <w:r>
        <w:rPr>
          <w:rFonts w:ascii="Arial" w:eastAsia="DengXian" w:hAnsi="Arial" w:cs="Arial"/>
          <w:sz w:val="22"/>
          <w:szCs w:val="22"/>
        </w:rPr>
        <w:t xml:space="preserve"> </w:t>
      </w:r>
      <w:r w:rsidRPr="00375CAD">
        <w:rPr>
          <w:rFonts w:ascii="Arial" w:eastAsia="DengXian" w:hAnsi="Arial" w:cs="Arial"/>
          <w:sz w:val="22"/>
          <w:szCs w:val="22"/>
        </w:rPr>
        <w:t>remains uncertain which index will be used instead</w:t>
      </w:r>
      <w:r>
        <w:rPr>
          <w:rFonts w:ascii="Arial" w:eastAsia="DengXian" w:hAnsi="Arial" w:cs="Arial"/>
          <w:sz w:val="22"/>
          <w:szCs w:val="22"/>
        </w:rPr>
        <w:t>…”</w:t>
      </w:r>
    </w:p>
    <w:p w14:paraId="7D63AB0B" w14:textId="77777777" w:rsidR="009505DB" w:rsidRDefault="009505DB" w:rsidP="009505DB">
      <w:pPr>
        <w:spacing w:after="120" w:line="276" w:lineRule="auto"/>
        <w:contextualSpacing/>
        <w:jc w:val="both"/>
        <w:rPr>
          <w:rFonts w:ascii="Arial" w:eastAsia="DengXian" w:hAnsi="Arial" w:cs="Arial"/>
          <w:sz w:val="22"/>
          <w:szCs w:val="22"/>
        </w:rPr>
      </w:pPr>
    </w:p>
    <w:p w14:paraId="73A5CA84" w14:textId="77777777" w:rsidR="009505DB" w:rsidRPr="00375CAD" w:rsidRDefault="009505DB" w:rsidP="009505DB">
      <w:pPr>
        <w:spacing w:after="120" w:line="276" w:lineRule="auto"/>
        <w:contextualSpacing/>
        <w:jc w:val="both"/>
        <w:rPr>
          <w:rFonts w:ascii="Arial" w:eastAsia="DengXian" w:hAnsi="Arial" w:cs="Arial"/>
          <w:sz w:val="22"/>
          <w:szCs w:val="22"/>
        </w:rPr>
      </w:pPr>
      <w:r w:rsidRPr="00375CAD">
        <w:rPr>
          <w:rFonts w:ascii="Arial" w:eastAsia="DengXian" w:hAnsi="Arial" w:cs="Arial"/>
          <w:sz w:val="22"/>
          <w:szCs w:val="22"/>
        </w:rPr>
        <w:t>However, recently, market liquidity has been migrating away from JPY LIBOR, to the TONA RFR. The reasons for this migration are detailed below.</w:t>
      </w:r>
    </w:p>
    <w:p w14:paraId="3A571E2B" w14:textId="77777777" w:rsidR="009505DB" w:rsidRPr="00375CAD" w:rsidRDefault="009505DB" w:rsidP="009505DB">
      <w:pPr>
        <w:spacing w:after="120" w:line="276" w:lineRule="auto"/>
        <w:contextualSpacing/>
        <w:jc w:val="both"/>
        <w:rPr>
          <w:rFonts w:ascii="Arial" w:eastAsia="DengXian" w:hAnsi="Arial" w:cs="Arial"/>
          <w:sz w:val="22"/>
          <w:szCs w:val="22"/>
        </w:rPr>
      </w:pPr>
    </w:p>
    <w:p w14:paraId="3B2D26F9" w14:textId="77777777" w:rsidR="009505DB" w:rsidRDefault="009505DB" w:rsidP="009505DB">
      <w:pPr>
        <w:pStyle w:val="ListParagraph"/>
        <w:numPr>
          <w:ilvl w:val="0"/>
          <w:numId w:val="31"/>
        </w:numPr>
        <w:tabs>
          <w:tab w:val="clear" w:pos="0"/>
          <w:tab w:val="clear" w:pos="142"/>
          <w:tab w:val="clear" w:pos="284"/>
          <w:tab w:val="clear" w:pos="567"/>
        </w:tabs>
        <w:autoSpaceDE/>
        <w:autoSpaceDN/>
        <w:adjustRightInd/>
        <w:spacing w:after="120" w:line="276" w:lineRule="auto"/>
        <w:contextualSpacing/>
        <w:rPr>
          <w:rFonts w:ascii="Arial" w:eastAsia="DengXian" w:hAnsi="Arial"/>
        </w:rPr>
      </w:pPr>
      <w:r w:rsidRPr="00FD5E45">
        <w:rPr>
          <w:rFonts w:ascii="Arial" w:eastAsia="DengXian" w:hAnsi="Arial"/>
        </w:rPr>
        <w:t>Conversion of JPY IRS by CCPs from Libor to TONA</w:t>
      </w:r>
    </w:p>
    <w:p w14:paraId="4E3CDFA5" w14:textId="77777777" w:rsidR="009505DB" w:rsidRPr="00157822" w:rsidRDefault="009505DB" w:rsidP="009505DB">
      <w:pPr>
        <w:pStyle w:val="ListParagraph"/>
        <w:numPr>
          <w:ilvl w:val="0"/>
          <w:numId w:val="0"/>
        </w:numPr>
        <w:spacing w:after="120" w:line="276" w:lineRule="auto"/>
        <w:ind w:left="357"/>
        <w:rPr>
          <w:rFonts w:ascii="Arial" w:eastAsia="DengXian" w:hAnsi="Arial"/>
        </w:rPr>
      </w:pPr>
      <w:r w:rsidRPr="00157822">
        <w:rPr>
          <w:rFonts w:ascii="Arial" w:eastAsia="DengXian" w:hAnsi="Arial"/>
        </w:rPr>
        <w:t xml:space="preserve">As highlighted by ESMA in the Consultation Paper, </w:t>
      </w:r>
      <w:proofErr w:type="gramStart"/>
      <w:r w:rsidRPr="00157822">
        <w:rPr>
          <w:rFonts w:ascii="Arial" w:eastAsia="DengXian" w:hAnsi="Arial"/>
        </w:rPr>
        <w:t>all of</w:t>
      </w:r>
      <w:proofErr w:type="gramEnd"/>
      <w:r w:rsidRPr="00157822">
        <w:rPr>
          <w:rFonts w:ascii="Arial" w:eastAsia="DengXian" w:hAnsi="Arial"/>
        </w:rPr>
        <w:t xml:space="preserve"> the major CCPs clearing JPY LIBOR IRS plan to fully transition JPY LIBOR IRS cleared at each of their CCPs to JPY </w:t>
      </w:r>
      <w:r w:rsidRPr="00157822">
        <w:rPr>
          <w:rFonts w:ascii="Arial" w:eastAsia="DengXian" w:hAnsi="Arial"/>
        </w:rPr>
        <w:lastRenderedPageBreak/>
        <w:t xml:space="preserve">TONA OIS on the weekend of December </w:t>
      </w:r>
      <w:r>
        <w:rPr>
          <w:rFonts w:ascii="Arial" w:eastAsia="DengXian" w:hAnsi="Arial"/>
        </w:rPr>
        <w:t xml:space="preserve">04, </w:t>
      </w:r>
      <w:r w:rsidRPr="00157822">
        <w:rPr>
          <w:rFonts w:ascii="Arial" w:eastAsia="DengXian" w:hAnsi="Arial"/>
        </w:rPr>
        <w:t>2021. On that weekend, existing cleared JPY LIBOR IRS will undergo a conversion to JPY TONA IRS. It is expected that this migration will concentrate market trading and liquidity on TONA OIS as the replacement for JPY LIBOR.</w:t>
      </w:r>
    </w:p>
    <w:p w14:paraId="105C97D5" w14:textId="77777777" w:rsidR="009505DB" w:rsidRPr="00375CAD" w:rsidRDefault="009505DB" w:rsidP="009505DB">
      <w:pPr>
        <w:autoSpaceDE w:val="0"/>
        <w:autoSpaceDN w:val="0"/>
        <w:adjustRightInd w:val="0"/>
        <w:spacing w:after="120" w:line="276" w:lineRule="auto"/>
        <w:jc w:val="both"/>
        <w:rPr>
          <w:rFonts w:ascii="Arial" w:eastAsia="DengXian" w:hAnsi="Arial" w:cs="Arial"/>
          <w:sz w:val="22"/>
          <w:szCs w:val="22"/>
        </w:rPr>
      </w:pPr>
    </w:p>
    <w:p w14:paraId="4B398684" w14:textId="77777777" w:rsidR="009505DB" w:rsidRDefault="009505DB" w:rsidP="009505DB">
      <w:pPr>
        <w:pStyle w:val="ListParagraph"/>
        <w:numPr>
          <w:ilvl w:val="0"/>
          <w:numId w:val="31"/>
        </w:numPr>
        <w:tabs>
          <w:tab w:val="clear" w:pos="0"/>
          <w:tab w:val="clear" w:pos="142"/>
          <w:tab w:val="clear" w:pos="284"/>
          <w:tab w:val="clear" w:pos="567"/>
        </w:tabs>
        <w:autoSpaceDE/>
        <w:autoSpaceDN/>
        <w:adjustRightInd/>
        <w:spacing w:after="120" w:line="276" w:lineRule="auto"/>
        <w:contextualSpacing/>
        <w:rPr>
          <w:rFonts w:ascii="Arial" w:eastAsia="DengXian" w:hAnsi="Arial"/>
        </w:rPr>
      </w:pPr>
      <w:r w:rsidRPr="00157822">
        <w:rPr>
          <w:rFonts w:ascii="Arial" w:eastAsia="DengXian" w:hAnsi="Arial"/>
        </w:rPr>
        <w:t>General Support for Conversion to TONA on IRS with “TONA FIRST”</w:t>
      </w:r>
    </w:p>
    <w:p w14:paraId="78EA625F" w14:textId="77777777" w:rsidR="009505DB" w:rsidRPr="00157822" w:rsidRDefault="009505DB" w:rsidP="009505DB">
      <w:pPr>
        <w:pStyle w:val="ListParagraph"/>
        <w:numPr>
          <w:ilvl w:val="0"/>
          <w:numId w:val="0"/>
        </w:numPr>
        <w:spacing w:after="120" w:line="276" w:lineRule="auto"/>
        <w:ind w:left="360"/>
        <w:rPr>
          <w:rFonts w:ascii="Arial" w:eastAsia="DengXian" w:hAnsi="Arial"/>
        </w:rPr>
      </w:pPr>
      <w:r w:rsidRPr="00157822">
        <w:rPr>
          <w:rFonts w:ascii="Arial" w:eastAsia="DengXian" w:hAnsi="Arial"/>
        </w:rPr>
        <w:t>Secondly, the report published by the Cross-Industry Committee on Japanese Yen Interest Rate Benchmarks, an industry forum organized by the Bank of Japan with a view to providing market views on the transition of interest rate benchmark for JPY, stated that a large majority of respondents supported TONA as a desirable alternative benchmark to JPY LIBOR, with a view to maintaining consistency with global discussions</w:t>
      </w:r>
      <w:r>
        <w:rPr>
          <w:rStyle w:val="FootnoteReference"/>
          <w:rFonts w:ascii="Arial" w:eastAsia="DengXian" w:hAnsi="Arial"/>
        </w:rPr>
        <w:footnoteReference w:id="3"/>
      </w:r>
      <w:r w:rsidRPr="00157822">
        <w:rPr>
          <w:rFonts w:ascii="Arial" w:eastAsia="DengXian" w:hAnsi="Arial"/>
        </w:rPr>
        <w:t xml:space="preserve">. </w:t>
      </w:r>
    </w:p>
    <w:p w14:paraId="52CCD058" w14:textId="77777777" w:rsidR="009505DB" w:rsidRPr="00375CAD" w:rsidRDefault="009505DB" w:rsidP="009505DB">
      <w:pPr>
        <w:spacing w:after="120" w:line="276" w:lineRule="auto"/>
        <w:contextualSpacing/>
        <w:jc w:val="both"/>
        <w:rPr>
          <w:rFonts w:ascii="Arial" w:eastAsia="DengXian" w:hAnsi="Arial" w:cs="Arial"/>
          <w:sz w:val="22"/>
          <w:szCs w:val="22"/>
        </w:rPr>
      </w:pPr>
    </w:p>
    <w:p w14:paraId="1661A74C" w14:textId="77777777" w:rsidR="009505DB" w:rsidRPr="00375CAD" w:rsidRDefault="009505DB" w:rsidP="009505DB">
      <w:pPr>
        <w:spacing w:after="120" w:line="276" w:lineRule="auto"/>
        <w:contextualSpacing/>
        <w:jc w:val="both"/>
        <w:rPr>
          <w:rFonts w:ascii="Arial" w:eastAsia="DengXian" w:hAnsi="Arial" w:cs="Arial"/>
          <w:sz w:val="22"/>
          <w:szCs w:val="22"/>
        </w:rPr>
      </w:pPr>
      <w:r w:rsidRPr="00375CAD">
        <w:rPr>
          <w:rFonts w:ascii="Arial" w:eastAsia="DengXian" w:hAnsi="Arial" w:cs="Arial"/>
          <w:sz w:val="22"/>
          <w:szCs w:val="22"/>
        </w:rPr>
        <w:t>On July 26</w:t>
      </w:r>
      <w:r>
        <w:rPr>
          <w:rFonts w:ascii="Arial" w:eastAsia="DengXian" w:hAnsi="Arial" w:cs="Arial"/>
          <w:sz w:val="22"/>
          <w:szCs w:val="22"/>
        </w:rPr>
        <w:t xml:space="preserve">, </w:t>
      </w:r>
      <w:r w:rsidRPr="00375CAD">
        <w:rPr>
          <w:rFonts w:ascii="Arial" w:eastAsia="DengXian" w:hAnsi="Arial" w:cs="Arial"/>
          <w:sz w:val="22"/>
          <w:szCs w:val="22"/>
        </w:rPr>
        <w:t>2021, the Sub-Group for the Development of Term Reference Rates reached a consensus on "TONA First”</w:t>
      </w:r>
      <w:r>
        <w:rPr>
          <w:rStyle w:val="FootnoteReference"/>
          <w:rFonts w:ascii="Arial" w:eastAsia="DengXian" w:hAnsi="Arial" w:cs="Arial"/>
        </w:rPr>
        <w:footnoteReference w:id="4"/>
      </w:r>
      <w:r w:rsidRPr="00375CAD">
        <w:rPr>
          <w:rFonts w:ascii="Arial" w:eastAsia="DengXian" w:hAnsi="Arial" w:cs="Arial"/>
          <w:sz w:val="22"/>
          <w:szCs w:val="22"/>
        </w:rPr>
        <w:t>, an initiative to recommend liquidity providers to change the</w:t>
      </w:r>
      <w:r>
        <w:rPr>
          <w:rFonts w:ascii="Arial" w:eastAsia="DengXian" w:hAnsi="Arial" w:cs="Arial"/>
          <w:sz w:val="22"/>
          <w:szCs w:val="22"/>
        </w:rPr>
        <w:t>ir</w:t>
      </w:r>
      <w:r w:rsidRPr="00375CAD">
        <w:rPr>
          <w:rFonts w:ascii="Arial" w:eastAsia="DengXian" w:hAnsi="Arial" w:cs="Arial"/>
          <w:sz w:val="22"/>
          <w:szCs w:val="22"/>
        </w:rPr>
        <w:t xml:space="preserve"> quoting conventions from JPY LIBOR to TONA in the JPY </w:t>
      </w:r>
      <w:r>
        <w:rPr>
          <w:rFonts w:ascii="Arial" w:eastAsia="DengXian" w:hAnsi="Arial" w:cs="Arial"/>
          <w:sz w:val="22"/>
          <w:szCs w:val="22"/>
        </w:rPr>
        <w:t>IRS</w:t>
      </w:r>
      <w:r w:rsidRPr="00375CAD">
        <w:rPr>
          <w:rFonts w:ascii="Arial" w:eastAsia="DengXian" w:hAnsi="Arial" w:cs="Arial"/>
          <w:sz w:val="22"/>
          <w:szCs w:val="22"/>
        </w:rPr>
        <w:t xml:space="preserve"> market, after the </w:t>
      </w:r>
      <w:r>
        <w:rPr>
          <w:rFonts w:ascii="Arial" w:eastAsia="DengXian" w:hAnsi="Arial" w:cs="Arial"/>
          <w:sz w:val="22"/>
          <w:szCs w:val="22"/>
        </w:rPr>
        <w:t xml:space="preserve">market </w:t>
      </w:r>
      <w:r w:rsidRPr="00375CAD">
        <w:rPr>
          <w:rFonts w:ascii="Arial" w:eastAsia="DengXian" w:hAnsi="Arial" w:cs="Arial"/>
          <w:sz w:val="22"/>
          <w:szCs w:val="22"/>
        </w:rPr>
        <w:t>close on July 30</w:t>
      </w:r>
      <w:r>
        <w:rPr>
          <w:rFonts w:ascii="Arial" w:eastAsia="DengXian" w:hAnsi="Arial" w:cs="Arial"/>
          <w:sz w:val="22"/>
          <w:szCs w:val="22"/>
        </w:rPr>
        <w:t>,</w:t>
      </w:r>
      <w:r w:rsidRPr="00375CAD">
        <w:rPr>
          <w:rFonts w:ascii="Arial" w:eastAsia="DengXian" w:hAnsi="Arial" w:cs="Arial"/>
          <w:sz w:val="22"/>
          <w:szCs w:val="22"/>
        </w:rPr>
        <w:t xml:space="preserve"> 2021. </w:t>
      </w:r>
    </w:p>
    <w:p w14:paraId="3B5BD498" w14:textId="77777777" w:rsidR="009505DB" w:rsidRPr="00375CAD" w:rsidRDefault="009505DB" w:rsidP="009505DB">
      <w:pPr>
        <w:spacing w:after="120" w:line="276" w:lineRule="auto"/>
        <w:contextualSpacing/>
        <w:jc w:val="both"/>
        <w:rPr>
          <w:rFonts w:ascii="Arial" w:eastAsia="DengXian" w:hAnsi="Arial" w:cs="Arial"/>
          <w:sz w:val="22"/>
          <w:szCs w:val="22"/>
        </w:rPr>
      </w:pPr>
    </w:p>
    <w:p w14:paraId="4CF797B8" w14:textId="77777777" w:rsidR="009505DB" w:rsidRDefault="009505DB" w:rsidP="009505DB">
      <w:pPr>
        <w:pStyle w:val="ListParagraph"/>
        <w:numPr>
          <w:ilvl w:val="0"/>
          <w:numId w:val="31"/>
        </w:numPr>
        <w:tabs>
          <w:tab w:val="clear" w:pos="0"/>
          <w:tab w:val="clear" w:pos="142"/>
          <w:tab w:val="clear" w:pos="284"/>
          <w:tab w:val="clear" w:pos="567"/>
        </w:tabs>
        <w:autoSpaceDE/>
        <w:autoSpaceDN/>
        <w:adjustRightInd/>
        <w:spacing w:after="120" w:line="276" w:lineRule="auto"/>
        <w:contextualSpacing/>
        <w:rPr>
          <w:rFonts w:ascii="Arial" w:eastAsia="DengXian" w:hAnsi="Arial"/>
        </w:rPr>
      </w:pPr>
      <w:r w:rsidRPr="00FD5E45">
        <w:rPr>
          <w:rFonts w:ascii="Arial" w:eastAsia="DengXian" w:hAnsi="Arial"/>
        </w:rPr>
        <w:t>Accelerating Shift of Cleared Volume from Libor IRS to OIS</w:t>
      </w:r>
    </w:p>
    <w:p w14:paraId="51845924" w14:textId="77777777" w:rsidR="009505DB" w:rsidRPr="00157822" w:rsidRDefault="009505DB" w:rsidP="009505DB">
      <w:pPr>
        <w:pStyle w:val="ListParagraph"/>
        <w:numPr>
          <w:ilvl w:val="0"/>
          <w:numId w:val="0"/>
        </w:numPr>
        <w:spacing w:after="120" w:line="276" w:lineRule="auto"/>
        <w:ind w:left="360"/>
        <w:rPr>
          <w:rFonts w:ascii="Arial" w:eastAsia="DengXian" w:hAnsi="Arial"/>
        </w:rPr>
      </w:pPr>
      <w:r w:rsidRPr="00157822">
        <w:rPr>
          <w:rFonts w:ascii="Arial" w:eastAsia="DengXian" w:hAnsi="Arial"/>
        </w:rPr>
        <w:t xml:space="preserve">Thirdly, now that most of the CCPs clearing JPY IRS have finalized, or almost finalized, drafting of their conversion plans, the market is beginning to organically migrate away from JPY LIBOR. It is becoming clear that the market is </w:t>
      </w:r>
      <w:proofErr w:type="spellStart"/>
      <w:r w:rsidRPr="00157822">
        <w:rPr>
          <w:rFonts w:ascii="Arial" w:eastAsia="DengXian" w:hAnsi="Arial"/>
        </w:rPr>
        <w:t>favoring</w:t>
      </w:r>
      <w:proofErr w:type="spellEnd"/>
      <w:r w:rsidRPr="00157822">
        <w:rPr>
          <w:rFonts w:ascii="Arial" w:eastAsia="DengXian" w:hAnsi="Arial"/>
        </w:rPr>
        <w:t xml:space="preserve"> TONA OIS as the replacement for JPY LIBOR</w:t>
      </w:r>
      <w:r>
        <w:rPr>
          <w:rStyle w:val="FootnoteReference"/>
          <w:rFonts w:ascii="Arial" w:eastAsia="DengXian" w:hAnsi="Arial"/>
        </w:rPr>
        <w:footnoteReference w:id="5"/>
      </w:r>
      <w:r w:rsidRPr="00157822">
        <w:rPr>
          <w:rFonts w:ascii="Arial" w:eastAsia="DengXian" w:hAnsi="Arial"/>
        </w:rPr>
        <w:t xml:space="preserve">. </w:t>
      </w:r>
    </w:p>
    <w:p w14:paraId="5D5C981D" w14:textId="77777777" w:rsidR="009505DB" w:rsidRPr="00375CAD" w:rsidRDefault="009505DB" w:rsidP="009505DB">
      <w:pPr>
        <w:spacing w:after="120" w:line="276" w:lineRule="auto"/>
        <w:contextualSpacing/>
        <w:jc w:val="both"/>
        <w:rPr>
          <w:rFonts w:ascii="Arial" w:eastAsia="DengXian" w:hAnsi="Arial" w:cs="Arial"/>
          <w:sz w:val="22"/>
          <w:szCs w:val="22"/>
        </w:rPr>
      </w:pPr>
    </w:p>
    <w:p w14:paraId="444468CD" w14:textId="77777777" w:rsidR="009505DB" w:rsidRDefault="009505DB" w:rsidP="009505DB">
      <w:pPr>
        <w:pStyle w:val="ListParagraph"/>
        <w:numPr>
          <w:ilvl w:val="0"/>
          <w:numId w:val="31"/>
        </w:numPr>
        <w:tabs>
          <w:tab w:val="clear" w:pos="0"/>
          <w:tab w:val="clear" w:pos="142"/>
          <w:tab w:val="clear" w:pos="284"/>
          <w:tab w:val="clear" w:pos="567"/>
        </w:tabs>
        <w:autoSpaceDE/>
        <w:autoSpaceDN/>
        <w:adjustRightInd/>
        <w:spacing w:after="120" w:line="276" w:lineRule="auto"/>
        <w:contextualSpacing/>
        <w:rPr>
          <w:rFonts w:ascii="Arial" w:eastAsia="DengXian" w:hAnsi="Arial"/>
        </w:rPr>
      </w:pPr>
      <w:r w:rsidRPr="000152EF">
        <w:rPr>
          <w:rFonts w:ascii="Arial" w:eastAsia="DengXian" w:hAnsi="Arial"/>
        </w:rPr>
        <w:t>More than one CCP is available for clearing TONA OIS</w:t>
      </w:r>
    </w:p>
    <w:p w14:paraId="0F755944" w14:textId="77777777" w:rsidR="009505DB" w:rsidRPr="00157822" w:rsidRDefault="009505DB" w:rsidP="009505DB">
      <w:pPr>
        <w:pStyle w:val="ListParagraph"/>
        <w:numPr>
          <w:ilvl w:val="0"/>
          <w:numId w:val="0"/>
        </w:numPr>
        <w:spacing w:after="120" w:line="276" w:lineRule="auto"/>
        <w:ind w:left="360"/>
        <w:rPr>
          <w:rFonts w:ascii="Arial" w:eastAsia="DengXian" w:hAnsi="Arial"/>
        </w:rPr>
      </w:pPr>
      <w:r w:rsidRPr="00157822">
        <w:rPr>
          <w:rFonts w:ascii="Arial" w:eastAsia="DengXian" w:hAnsi="Arial"/>
        </w:rPr>
        <w:t>Clearing of TONA OIS is available in JSCC, Eurex, LCH, and CME. Thus, there would be little, if any, concern on the availability of clearing service for those entities subject to a clearing mandate for JPY TONA OIS.</w:t>
      </w:r>
    </w:p>
    <w:permEnd w:id="1960970536"/>
    <w:p w14:paraId="4B64AFD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70BA6A0C" w14:textId="392BF9B7" w:rsidR="009835AD" w:rsidRDefault="009835AD" w:rsidP="009835AD">
      <w:pPr>
        <w:spacing w:after="160" w:line="259" w:lineRule="auto"/>
        <w:rPr>
          <w:rFonts w:ascii="Calibri" w:eastAsia="Calibri" w:hAnsi="Calibri"/>
          <w:sz w:val="22"/>
          <w:szCs w:val="22"/>
          <w:lang w:eastAsia="en-US"/>
        </w:rPr>
      </w:pPr>
    </w:p>
    <w:p w14:paraId="6717B33A" w14:textId="645BA4E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 xml:space="preserve">General approach </w:t>
      </w:r>
    </w:p>
    <w:p w14:paraId="3A834F3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Are there any other aspects that you think that ESMA should take into account or that might justify a</w:t>
      </w:r>
      <w:r w:rsidRPr="009835AD">
        <w:rPr>
          <w:rFonts w:ascii="Arial" w:hAnsi="Arial" w:cs="Arial"/>
          <w:b/>
          <w:sz w:val="22"/>
          <w:szCs w:val="22"/>
          <w:lang w:val="en-US" w:eastAsia="en-US"/>
        </w:rPr>
        <w:t xml:space="preserve"> different approach?</w:t>
      </w:r>
    </w:p>
    <w:p w14:paraId="5A839AD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C62F002" w14:textId="427A9726" w:rsidR="00787CE4" w:rsidRPr="005C170F" w:rsidRDefault="00787CE4" w:rsidP="00787CE4">
      <w:pPr>
        <w:jc w:val="both"/>
        <w:rPr>
          <w:rFonts w:ascii="Arial" w:hAnsi="Arial" w:cs="Arial"/>
          <w:sz w:val="22"/>
          <w:szCs w:val="22"/>
        </w:rPr>
      </w:pPr>
      <w:permStart w:id="2091866080" w:edGrp="everyone"/>
      <w:r>
        <w:rPr>
          <w:rFonts w:ascii="Arial" w:hAnsi="Arial" w:cs="Arial"/>
          <w:sz w:val="22"/>
          <w:szCs w:val="22"/>
        </w:rPr>
        <w:t>C</w:t>
      </w:r>
      <w:r w:rsidRPr="005C170F">
        <w:rPr>
          <w:rFonts w:ascii="Arial" w:hAnsi="Arial" w:cs="Arial"/>
          <w:sz w:val="22"/>
          <w:szCs w:val="22"/>
        </w:rPr>
        <w:t xml:space="preserve">CP12 </w:t>
      </w:r>
      <w:r>
        <w:rPr>
          <w:rFonts w:ascii="Arial" w:hAnsi="Arial" w:cs="Arial"/>
          <w:sz w:val="22"/>
          <w:szCs w:val="22"/>
        </w:rPr>
        <w:t xml:space="preserve">appreciates that ESMA is coordinating the transition to the new rates with regulators in other jurisdictions to the extent possible. However, we </w:t>
      </w:r>
      <w:r w:rsidRPr="005C170F">
        <w:rPr>
          <w:rFonts w:ascii="Arial" w:hAnsi="Arial" w:cs="Arial"/>
          <w:sz w:val="22"/>
          <w:szCs w:val="22"/>
        </w:rPr>
        <w:t xml:space="preserve">would like to emphasize the </w:t>
      </w:r>
      <w:r w:rsidRPr="005C170F">
        <w:rPr>
          <w:rFonts w:ascii="Arial" w:hAnsi="Arial" w:cs="Arial"/>
          <w:sz w:val="22"/>
          <w:szCs w:val="22"/>
        </w:rPr>
        <w:lastRenderedPageBreak/>
        <w:t>importance of international cooperation and coordination to ensure a harmonized transition.</w:t>
      </w:r>
      <w:r>
        <w:rPr>
          <w:rFonts w:ascii="Arial" w:hAnsi="Arial" w:cs="Arial"/>
          <w:sz w:val="22"/>
          <w:szCs w:val="22"/>
        </w:rPr>
        <w:t xml:space="preserve"> Please also refer to our answer to Question 6.</w:t>
      </w:r>
    </w:p>
    <w:permEnd w:id="2091866080"/>
    <w:p w14:paraId="2E7D163D"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FCAF496" w14:textId="1A0A298E" w:rsidR="009835AD" w:rsidRDefault="009835AD" w:rsidP="009835AD">
      <w:pPr>
        <w:spacing w:after="160" w:line="259" w:lineRule="auto"/>
        <w:rPr>
          <w:rFonts w:ascii="Calibri" w:eastAsia="Calibri" w:hAnsi="Calibri"/>
          <w:sz w:val="22"/>
          <w:szCs w:val="22"/>
          <w:lang w:eastAsia="en-US"/>
        </w:rPr>
      </w:pPr>
    </w:p>
    <w:p w14:paraId="12E8EF5A" w14:textId="078DADA4"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Clearing obligation</w:t>
      </w:r>
    </w:p>
    <w:p w14:paraId="7815CA79"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Do you agree with the assessment of the EMIR criteria and with the proposed classes (except for USD which is dealt with in a dedicated Question 5)? If not please detail how the assessment could differ and please also provide data and information to justify a different assessment. </w:t>
      </w:r>
    </w:p>
    <w:p w14:paraId="770575B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47ED155A" w14:textId="77777777" w:rsidR="008300C2" w:rsidRDefault="008300C2" w:rsidP="009835AD">
      <w:pPr>
        <w:spacing w:after="160" w:line="259" w:lineRule="auto"/>
        <w:rPr>
          <w:rFonts w:ascii="Arial" w:eastAsia="DengXian" w:hAnsi="Arial" w:cs="Arial"/>
          <w:sz w:val="22"/>
          <w:szCs w:val="22"/>
        </w:rPr>
      </w:pPr>
      <w:permStart w:id="625810741" w:edGrp="everyone"/>
      <w:r>
        <w:rPr>
          <w:rFonts w:ascii="Arial" w:eastAsia="DengXian" w:hAnsi="Arial" w:cs="Arial"/>
          <w:sz w:val="22"/>
          <w:szCs w:val="22"/>
        </w:rPr>
        <w:t xml:space="preserve">CCP12 agrees with </w:t>
      </w:r>
      <w:proofErr w:type="gramStart"/>
      <w:r w:rsidRPr="000152EF">
        <w:rPr>
          <w:rFonts w:ascii="Arial" w:eastAsia="DengXian" w:hAnsi="Arial" w:cs="Arial"/>
          <w:sz w:val="22"/>
          <w:szCs w:val="22"/>
        </w:rPr>
        <w:t xml:space="preserve">the </w:t>
      </w:r>
      <w:r>
        <w:rPr>
          <w:rFonts w:ascii="Arial" w:eastAsia="DengXian" w:hAnsi="Arial" w:cs="Arial"/>
          <w:sz w:val="22"/>
          <w:szCs w:val="22"/>
        </w:rPr>
        <w:t>majority of</w:t>
      </w:r>
      <w:proofErr w:type="gramEnd"/>
      <w:r>
        <w:rPr>
          <w:rFonts w:ascii="Arial" w:eastAsia="DengXian" w:hAnsi="Arial" w:cs="Arial"/>
          <w:sz w:val="22"/>
          <w:szCs w:val="22"/>
        </w:rPr>
        <w:t xml:space="preserve"> the </w:t>
      </w:r>
      <w:r w:rsidRPr="000152EF">
        <w:rPr>
          <w:rFonts w:ascii="Arial" w:eastAsia="DengXian" w:hAnsi="Arial" w:cs="Arial"/>
          <w:sz w:val="22"/>
          <w:szCs w:val="22"/>
        </w:rPr>
        <w:t xml:space="preserve">assessment of the EMIR criteria </w:t>
      </w:r>
      <w:r>
        <w:rPr>
          <w:rFonts w:ascii="Arial" w:eastAsia="DengXian" w:hAnsi="Arial" w:cs="Arial"/>
          <w:sz w:val="22"/>
          <w:szCs w:val="22"/>
        </w:rPr>
        <w:t xml:space="preserve">stated in paragraph 85 </w:t>
      </w:r>
      <w:r w:rsidRPr="000152EF">
        <w:rPr>
          <w:rFonts w:ascii="Arial" w:eastAsia="DengXian" w:hAnsi="Arial" w:cs="Arial"/>
          <w:sz w:val="22"/>
          <w:szCs w:val="22"/>
        </w:rPr>
        <w:t>and with the proposed classes</w:t>
      </w:r>
      <w:r>
        <w:rPr>
          <w:rFonts w:ascii="Arial" w:eastAsia="DengXian" w:hAnsi="Arial" w:cs="Arial"/>
          <w:sz w:val="22"/>
          <w:szCs w:val="22"/>
        </w:rPr>
        <w:t>.</w:t>
      </w:r>
      <w:r>
        <w:rPr>
          <w:rFonts w:ascii="Arial" w:hAnsi="Arial" w:cs="Arial"/>
          <w:sz w:val="22"/>
          <w:szCs w:val="22"/>
        </w:rPr>
        <w:t xml:space="preserve"> However, </w:t>
      </w:r>
      <w:r>
        <w:rPr>
          <w:rFonts w:ascii="Arial" w:eastAsia="DengXian" w:hAnsi="Arial" w:cs="Arial"/>
          <w:sz w:val="22"/>
          <w:szCs w:val="22"/>
        </w:rPr>
        <w:t>a</w:t>
      </w:r>
      <w:r w:rsidRPr="000152EF">
        <w:rPr>
          <w:rFonts w:ascii="Arial" w:eastAsia="DengXian" w:hAnsi="Arial" w:cs="Arial"/>
          <w:sz w:val="22"/>
          <w:szCs w:val="22"/>
        </w:rPr>
        <w:t>s detailed in</w:t>
      </w:r>
      <w:r>
        <w:rPr>
          <w:rFonts w:ascii="Arial" w:eastAsia="DengXian" w:hAnsi="Arial" w:cs="Arial"/>
          <w:sz w:val="22"/>
          <w:szCs w:val="22"/>
        </w:rPr>
        <w:t xml:space="preserve"> our</w:t>
      </w:r>
      <w:r w:rsidRPr="000152EF">
        <w:rPr>
          <w:rFonts w:ascii="Arial" w:eastAsia="DengXian" w:hAnsi="Arial" w:cs="Arial"/>
          <w:sz w:val="22"/>
          <w:szCs w:val="22"/>
        </w:rPr>
        <w:t xml:space="preserve"> response to </w:t>
      </w:r>
      <w:r>
        <w:rPr>
          <w:rFonts w:ascii="Arial" w:eastAsia="DengXian" w:hAnsi="Arial" w:cs="Arial"/>
          <w:sz w:val="22"/>
          <w:szCs w:val="22"/>
        </w:rPr>
        <w:t>Q</w:t>
      </w:r>
      <w:r w:rsidRPr="000152EF">
        <w:rPr>
          <w:rFonts w:ascii="Arial" w:eastAsia="DengXian" w:hAnsi="Arial" w:cs="Arial"/>
          <w:sz w:val="22"/>
          <w:szCs w:val="22"/>
        </w:rPr>
        <w:t>uestion</w:t>
      </w:r>
      <w:r>
        <w:rPr>
          <w:rFonts w:ascii="Arial" w:eastAsia="DengXian" w:hAnsi="Arial" w:cs="Arial"/>
          <w:sz w:val="22"/>
          <w:szCs w:val="22"/>
        </w:rPr>
        <w:t xml:space="preserve"> 2</w:t>
      </w:r>
      <w:r w:rsidRPr="000152EF">
        <w:rPr>
          <w:rFonts w:ascii="Arial" w:eastAsia="DengXian" w:hAnsi="Arial" w:cs="Arial"/>
          <w:sz w:val="22"/>
          <w:szCs w:val="22"/>
        </w:rPr>
        <w:t>,</w:t>
      </w:r>
      <w:r>
        <w:rPr>
          <w:rFonts w:ascii="Arial" w:eastAsia="DengXian" w:hAnsi="Arial" w:cs="Arial"/>
          <w:sz w:val="22"/>
          <w:szCs w:val="22"/>
        </w:rPr>
        <w:t xml:space="preserve"> </w:t>
      </w:r>
      <w:r w:rsidRPr="000152EF">
        <w:rPr>
          <w:rFonts w:ascii="Arial" w:eastAsia="DengXian" w:hAnsi="Arial" w:cs="Arial"/>
          <w:sz w:val="22"/>
          <w:szCs w:val="22"/>
        </w:rPr>
        <w:t xml:space="preserve">the data for </w:t>
      </w:r>
      <w:r>
        <w:rPr>
          <w:rFonts w:ascii="Arial" w:eastAsia="DengXian" w:hAnsi="Arial" w:cs="Arial"/>
          <w:sz w:val="22"/>
          <w:szCs w:val="22"/>
        </w:rPr>
        <w:t xml:space="preserve">the </w:t>
      </w:r>
      <w:r w:rsidRPr="000152EF">
        <w:rPr>
          <w:rFonts w:ascii="Arial" w:eastAsia="DengXian" w:hAnsi="Arial" w:cs="Arial"/>
          <w:sz w:val="22"/>
          <w:szCs w:val="22"/>
        </w:rPr>
        <w:t xml:space="preserve">assessment on JPY OIS, including those listed in “3.2.2.4 JPY” of the Consultation Paper, does not reflect the current situation. </w:t>
      </w:r>
      <w:r>
        <w:rPr>
          <w:rFonts w:ascii="Arial" w:eastAsia="DengXian" w:hAnsi="Arial" w:cs="Arial"/>
          <w:sz w:val="22"/>
          <w:szCs w:val="22"/>
        </w:rPr>
        <w:t>Therefore, CCP12</w:t>
      </w:r>
      <w:r w:rsidRPr="000152EF">
        <w:rPr>
          <w:rFonts w:ascii="Arial" w:eastAsia="DengXian" w:hAnsi="Arial" w:cs="Arial"/>
          <w:sz w:val="22"/>
          <w:szCs w:val="22"/>
        </w:rPr>
        <w:t xml:space="preserve"> recommends that a JPY RFR </w:t>
      </w:r>
      <w:r>
        <w:rPr>
          <w:rFonts w:ascii="Arial" w:eastAsia="DengXian" w:hAnsi="Arial" w:cs="Arial"/>
          <w:sz w:val="22"/>
          <w:szCs w:val="22"/>
        </w:rPr>
        <w:t xml:space="preserve">swap, </w:t>
      </w:r>
      <w:r w:rsidRPr="00FC0BAE">
        <w:rPr>
          <w:rFonts w:ascii="Arial" w:eastAsia="DengXian" w:hAnsi="Arial" w:cs="Arial"/>
          <w:sz w:val="22"/>
          <w:szCs w:val="22"/>
        </w:rPr>
        <w:t>JPY TONA OIS</w:t>
      </w:r>
      <w:r>
        <w:rPr>
          <w:rFonts w:ascii="Arial" w:eastAsia="DengXian" w:hAnsi="Arial" w:cs="Arial"/>
          <w:sz w:val="22"/>
          <w:szCs w:val="22"/>
        </w:rPr>
        <w:t>,</w:t>
      </w:r>
      <w:r w:rsidRPr="00FC0BAE">
        <w:rPr>
          <w:rFonts w:ascii="Arial" w:eastAsia="DengXian" w:hAnsi="Arial" w:cs="Arial"/>
          <w:sz w:val="22"/>
          <w:szCs w:val="22"/>
        </w:rPr>
        <w:t xml:space="preserve"> </w:t>
      </w:r>
      <w:r w:rsidRPr="000152EF">
        <w:rPr>
          <w:rFonts w:ascii="Arial" w:eastAsia="DengXian" w:hAnsi="Arial" w:cs="Arial"/>
          <w:sz w:val="22"/>
          <w:szCs w:val="22"/>
        </w:rPr>
        <w:t>should be included in the modified IRS clearing obligation, as a replacement for JPY LIBOR</w:t>
      </w:r>
      <w:r>
        <w:rPr>
          <w:rFonts w:ascii="Arial" w:eastAsia="DengXian" w:hAnsi="Arial" w:cs="Arial"/>
          <w:sz w:val="22"/>
          <w:szCs w:val="22"/>
        </w:rPr>
        <w:t xml:space="preserve"> swap</w:t>
      </w:r>
      <w:r w:rsidRPr="000152EF">
        <w:rPr>
          <w:rFonts w:ascii="Arial" w:eastAsia="DengXian" w:hAnsi="Arial" w:cs="Arial"/>
          <w:sz w:val="22"/>
          <w:szCs w:val="22"/>
        </w:rPr>
        <w:t>.</w:t>
      </w:r>
    </w:p>
    <w:permEnd w:id="625810741"/>
    <w:p w14:paraId="204280FC" w14:textId="3DA6ED5E"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325B14EC" w14:textId="77777777" w:rsidR="009835AD" w:rsidRPr="009835AD" w:rsidRDefault="009835AD" w:rsidP="009835AD">
      <w:pPr>
        <w:spacing w:after="160" w:line="259" w:lineRule="auto"/>
        <w:rPr>
          <w:rFonts w:ascii="Calibri" w:eastAsia="Calibri" w:hAnsi="Calibri"/>
          <w:sz w:val="22"/>
          <w:szCs w:val="22"/>
          <w:lang w:eastAsia="en-US"/>
        </w:rPr>
      </w:pPr>
    </w:p>
    <w:p w14:paraId="6B3E5F40"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Will the transition regarding USD have made sufficient progress by this Autumn to decide on whether to maintain or remove USD LIBOR classes. Will there be sufficient liquidity to introduce SOFR OIS to the CO and for which maturity range? Please provide the relevant data and information to explain your </w:t>
      </w:r>
      <w:r w:rsidRPr="009835AD">
        <w:rPr>
          <w:rFonts w:ascii="Arial" w:hAnsi="Arial" w:cs="Arial"/>
          <w:b/>
          <w:sz w:val="22"/>
          <w:szCs w:val="22"/>
          <w:lang w:val="en-US" w:eastAsia="en-US"/>
        </w:rPr>
        <w:t xml:space="preserve">assessment, in accordance with the EMIR framework. </w:t>
      </w:r>
    </w:p>
    <w:p w14:paraId="52D8F8F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24C3F783" w14:textId="77777777" w:rsidR="00C14FD5" w:rsidRDefault="00C14FD5" w:rsidP="00C14FD5">
      <w:pPr>
        <w:spacing w:after="120" w:line="276" w:lineRule="auto"/>
        <w:contextualSpacing/>
        <w:jc w:val="both"/>
        <w:rPr>
          <w:rFonts w:ascii="Arial" w:hAnsi="Arial" w:cs="Arial"/>
          <w:sz w:val="22"/>
          <w:szCs w:val="22"/>
        </w:rPr>
      </w:pPr>
      <w:permStart w:id="1185625336" w:edGrp="everyone"/>
      <w:r w:rsidRPr="0076379D">
        <w:rPr>
          <w:rFonts w:ascii="Arial" w:hAnsi="Arial" w:cs="Arial"/>
          <w:sz w:val="22"/>
          <w:szCs w:val="22"/>
        </w:rPr>
        <w:t>We encourage ESMA to closely monitor the developments in the US and await any action from the primary regulator before adapting the EU clearing mandate in relation to the USD LIBOR and SOFR.</w:t>
      </w:r>
    </w:p>
    <w:permEnd w:id="1185625336"/>
    <w:p w14:paraId="1E6B10D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0C71553C" w14:textId="614B2EE3" w:rsidR="009835AD" w:rsidRDefault="009835AD" w:rsidP="009835AD">
      <w:pPr>
        <w:spacing w:after="160" w:line="259" w:lineRule="auto"/>
        <w:rPr>
          <w:rFonts w:ascii="Calibri" w:eastAsia="Calibri" w:hAnsi="Calibri"/>
          <w:sz w:val="22"/>
          <w:szCs w:val="22"/>
          <w:lang w:eastAsia="en-US"/>
        </w:rPr>
      </w:pPr>
    </w:p>
    <w:p w14:paraId="72DF8575"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proposed implementation of the changes? If not please provide details that could justify a different implementation. </w:t>
      </w:r>
    </w:p>
    <w:p w14:paraId="040FCF38"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41488DBD" w14:textId="77777777" w:rsidR="001E4C3C" w:rsidRPr="00642D2C" w:rsidRDefault="001E4C3C" w:rsidP="001E4C3C">
      <w:pPr>
        <w:autoSpaceDE w:val="0"/>
        <w:autoSpaceDN w:val="0"/>
        <w:adjustRightInd w:val="0"/>
        <w:spacing w:after="120" w:line="276" w:lineRule="auto"/>
        <w:jc w:val="both"/>
        <w:rPr>
          <w:rFonts w:ascii="Arial" w:eastAsiaTheme="minorHAnsi" w:hAnsi="Arial" w:cs="Arial"/>
          <w:color w:val="000000"/>
          <w:sz w:val="22"/>
          <w:szCs w:val="22"/>
          <w:lang w:eastAsia="en-US"/>
        </w:rPr>
      </w:pPr>
      <w:permStart w:id="88494692" w:edGrp="everyone"/>
      <w:r>
        <w:rPr>
          <w:rFonts w:ascii="Arial" w:eastAsiaTheme="minorHAnsi" w:hAnsi="Arial" w:cs="Arial"/>
          <w:color w:val="000000"/>
          <w:sz w:val="22"/>
          <w:szCs w:val="22"/>
          <w:lang w:eastAsia="en-US"/>
        </w:rPr>
        <w:t>CCP12</w:t>
      </w:r>
      <w:r w:rsidRPr="000152EF">
        <w:rPr>
          <w:rFonts w:ascii="Arial" w:eastAsiaTheme="minorHAnsi" w:hAnsi="Arial" w:cs="Arial"/>
          <w:color w:val="000000"/>
          <w:sz w:val="22"/>
          <w:szCs w:val="22"/>
          <w:lang w:eastAsia="en-US"/>
        </w:rPr>
        <w:t xml:space="preserve"> agrees with ESMA’s proposed approach to modify the annex of the current Commission Delegated Regulation, instead of a new RTS that could lead to a brand-new Commission Delegated Regulat</w:t>
      </w:r>
      <w:r w:rsidRPr="00642D2C">
        <w:rPr>
          <w:rFonts w:ascii="Arial" w:eastAsiaTheme="minorHAnsi" w:hAnsi="Arial" w:cs="Arial"/>
          <w:color w:val="000000"/>
          <w:sz w:val="22"/>
          <w:szCs w:val="22"/>
          <w:lang w:eastAsia="en-US"/>
        </w:rPr>
        <w:t>ion.</w:t>
      </w:r>
    </w:p>
    <w:p w14:paraId="1772528C" w14:textId="77777777" w:rsidR="001E4C3C" w:rsidRPr="00642D2C" w:rsidRDefault="001E4C3C" w:rsidP="001E4C3C">
      <w:pPr>
        <w:autoSpaceDE w:val="0"/>
        <w:autoSpaceDN w:val="0"/>
        <w:adjustRightInd w:val="0"/>
        <w:spacing w:after="120" w:line="276" w:lineRule="auto"/>
        <w:jc w:val="both"/>
        <w:rPr>
          <w:rFonts w:ascii="Arial" w:eastAsiaTheme="minorHAnsi" w:hAnsi="Arial" w:cs="Arial"/>
          <w:color w:val="000000"/>
          <w:sz w:val="22"/>
          <w:szCs w:val="22"/>
          <w:lang w:eastAsia="en-US"/>
        </w:rPr>
      </w:pPr>
      <w:r w:rsidRPr="00642D2C">
        <w:rPr>
          <w:rFonts w:ascii="Arial" w:eastAsiaTheme="minorHAnsi" w:hAnsi="Arial" w:cs="Arial"/>
          <w:color w:val="000000"/>
          <w:sz w:val="22"/>
          <w:szCs w:val="22"/>
          <w:lang w:eastAsia="en-US"/>
        </w:rPr>
        <w:t>However, in terms of timing, CCP12 beli</w:t>
      </w:r>
      <w:r>
        <w:rPr>
          <w:rFonts w:ascii="Arial" w:eastAsiaTheme="minorHAnsi" w:hAnsi="Arial" w:cs="Arial"/>
          <w:color w:val="000000"/>
          <w:sz w:val="22"/>
          <w:szCs w:val="22"/>
          <w:lang w:eastAsia="en-US"/>
        </w:rPr>
        <w:t>e</w:t>
      </w:r>
      <w:r w:rsidRPr="00642D2C">
        <w:rPr>
          <w:rFonts w:ascii="Arial" w:eastAsiaTheme="minorHAnsi" w:hAnsi="Arial" w:cs="Arial"/>
          <w:color w:val="000000"/>
          <w:sz w:val="22"/>
          <w:szCs w:val="22"/>
          <w:lang w:eastAsia="en-US"/>
        </w:rPr>
        <w:t xml:space="preserve">ves the modifications could reasonably come into force on dates that coincide with the contractual conversion of contracts referencing soon-to-be discontinued LIBOR benchmarks by </w:t>
      </w:r>
      <w:proofErr w:type="gramStart"/>
      <w:r w:rsidRPr="00642D2C">
        <w:rPr>
          <w:rFonts w:ascii="Arial" w:eastAsiaTheme="minorHAnsi" w:hAnsi="Arial" w:cs="Arial"/>
          <w:color w:val="000000"/>
          <w:sz w:val="22"/>
          <w:szCs w:val="22"/>
          <w:lang w:eastAsia="en-US"/>
        </w:rPr>
        <w:t>a number of</w:t>
      </w:r>
      <w:proofErr w:type="gramEnd"/>
      <w:r w:rsidRPr="00642D2C">
        <w:rPr>
          <w:rFonts w:ascii="Arial" w:eastAsiaTheme="minorHAnsi" w:hAnsi="Arial" w:cs="Arial"/>
          <w:color w:val="000000"/>
          <w:sz w:val="22"/>
          <w:szCs w:val="22"/>
          <w:lang w:eastAsia="en-US"/>
        </w:rPr>
        <w:t xml:space="preserve"> CCPs. To be specific, the timing of entry into force could be set on Monday October </w:t>
      </w:r>
      <w:r>
        <w:rPr>
          <w:rFonts w:ascii="Arial" w:eastAsiaTheme="minorHAnsi" w:hAnsi="Arial" w:cs="Arial"/>
          <w:color w:val="000000"/>
          <w:sz w:val="22"/>
          <w:szCs w:val="22"/>
          <w:lang w:eastAsia="en-US"/>
        </w:rPr>
        <w:t xml:space="preserve">18, </w:t>
      </w:r>
      <w:r w:rsidRPr="00642D2C">
        <w:rPr>
          <w:rFonts w:ascii="Arial" w:eastAsiaTheme="minorHAnsi" w:hAnsi="Arial" w:cs="Arial"/>
          <w:color w:val="000000"/>
          <w:sz w:val="22"/>
          <w:szCs w:val="22"/>
          <w:lang w:eastAsia="en-US"/>
        </w:rPr>
        <w:t xml:space="preserve">2021 for the removal of the contract types referencing EONIA, Monday December </w:t>
      </w:r>
      <w:r>
        <w:rPr>
          <w:rFonts w:ascii="Arial" w:eastAsiaTheme="minorHAnsi" w:hAnsi="Arial" w:cs="Arial"/>
          <w:color w:val="000000"/>
          <w:sz w:val="22"/>
          <w:szCs w:val="22"/>
          <w:lang w:eastAsia="en-US"/>
        </w:rPr>
        <w:t xml:space="preserve">06, </w:t>
      </w:r>
      <w:r w:rsidRPr="00642D2C">
        <w:rPr>
          <w:rFonts w:ascii="Arial" w:eastAsiaTheme="minorHAnsi" w:hAnsi="Arial" w:cs="Arial"/>
          <w:color w:val="000000"/>
          <w:sz w:val="22"/>
          <w:szCs w:val="22"/>
          <w:lang w:eastAsia="en-US"/>
        </w:rPr>
        <w:t xml:space="preserve">2021 for the removal of the contract types referencing JPY Libor, and it should be </w:t>
      </w:r>
      <w:r>
        <w:rPr>
          <w:rFonts w:ascii="Arial" w:eastAsiaTheme="minorHAnsi" w:hAnsi="Arial" w:cs="Arial"/>
          <w:color w:val="000000"/>
          <w:sz w:val="22"/>
          <w:szCs w:val="22"/>
          <w:lang w:eastAsia="en-US"/>
        </w:rPr>
        <w:t xml:space="preserve">Monday </w:t>
      </w:r>
      <w:r w:rsidRPr="00642D2C">
        <w:rPr>
          <w:rFonts w:ascii="Arial" w:eastAsiaTheme="minorHAnsi" w:hAnsi="Arial" w:cs="Arial"/>
          <w:color w:val="000000"/>
          <w:sz w:val="22"/>
          <w:szCs w:val="22"/>
          <w:lang w:eastAsia="en-US"/>
        </w:rPr>
        <w:t>December</w:t>
      </w:r>
      <w:r>
        <w:rPr>
          <w:rFonts w:ascii="Arial" w:eastAsiaTheme="minorHAnsi" w:hAnsi="Arial" w:cs="Arial"/>
          <w:color w:val="000000"/>
          <w:sz w:val="22"/>
          <w:szCs w:val="22"/>
          <w:lang w:eastAsia="en-US"/>
        </w:rPr>
        <w:t xml:space="preserve"> 20, 2021</w:t>
      </w:r>
      <w:r w:rsidRPr="00642D2C">
        <w:rPr>
          <w:rFonts w:ascii="Arial" w:eastAsiaTheme="minorHAnsi" w:hAnsi="Arial" w:cs="Arial"/>
          <w:color w:val="000000"/>
          <w:sz w:val="22"/>
          <w:szCs w:val="22"/>
          <w:lang w:eastAsia="en-US"/>
        </w:rPr>
        <w:t xml:space="preserve"> for the removal of the </w:t>
      </w:r>
      <w:r w:rsidRPr="00642D2C">
        <w:rPr>
          <w:rFonts w:ascii="Arial" w:eastAsiaTheme="minorHAnsi" w:hAnsi="Arial" w:cs="Arial"/>
          <w:color w:val="000000"/>
          <w:sz w:val="22"/>
          <w:szCs w:val="22"/>
          <w:lang w:eastAsia="en-US"/>
        </w:rPr>
        <w:lastRenderedPageBreak/>
        <w:t xml:space="preserve">contract types referencing GBP Libor. As noted in the Consultation Paper, it is expected that liquidity of EONIA (EUR), GBP LIBOR, and JPY LIBOR “would sharply decrease” after the CCP transition has been completed. </w:t>
      </w:r>
    </w:p>
    <w:p w14:paraId="17D571E5" w14:textId="77777777" w:rsidR="001E4C3C" w:rsidRPr="00642D2C" w:rsidRDefault="001E4C3C" w:rsidP="001E4C3C">
      <w:pPr>
        <w:autoSpaceDE w:val="0"/>
        <w:autoSpaceDN w:val="0"/>
        <w:adjustRightInd w:val="0"/>
        <w:spacing w:after="120" w:line="276" w:lineRule="auto"/>
        <w:jc w:val="both"/>
        <w:rPr>
          <w:rFonts w:ascii="Arial" w:eastAsiaTheme="minorHAnsi" w:hAnsi="Arial" w:cs="Arial"/>
          <w:color w:val="000000"/>
          <w:sz w:val="22"/>
          <w:szCs w:val="22"/>
          <w:lang w:eastAsia="en-US"/>
        </w:rPr>
      </w:pPr>
      <w:r w:rsidRPr="00642D2C">
        <w:rPr>
          <w:rFonts w:ascii="Arial" w:eastAsiaTheme="minorHAnsi" w:hAnsi="Arial" w:cs="Arial"/>
          <w:color w:val="000000"/>
          <w:sz w:val="22"/>
          <w:szCs w:val="22"/>
          <w:lang w:eastAsia="en-US"/>
        </w:rPr>
        <w:t xml:space="preserve">Furthermore, as explained in our responses to previous </w:t>
      </w:r>
      <w:r>
        <w:rPr>
          <w:rFonts w:ascii="Arial" w:eastAsiaTheme="minorHAnsi" w:hAnsi="Arial" w:cs="Arial"/>
          <w:color w:val="000000"/>
          <w:sz w:val="22"/>
          <w:szCs w:val="22"/>
          <w:lang w:eastAsia="en-US"/>
        </w:rPr>
        <w:t>q</w:t>
      </w:r>
      <w:r w:rsidRPr="00642D2C">
        <w:rPr>
          <w:rFonts w:ascii="Arial" w:eastAsiaTheme="minorHAnsi" w:hAnsi="Arial" w:cs="Arial"/>
          <w:color w:val="000000"/>
          <w:sz w:val="22"/>
          <w:szCs w:val="22"/>
          <w:lang w:eastAsia="en-US"/>
        </w:rPr>
        <w:t>uestions, CCP12 would recommend the removal should be implemented in conjunction with the inclusion of RFR swaps, including JPY TONA OIS, in the scope of the clearing mandate.</w:t>
      </w:r>
    </w:p>
    <w:p w14:paraId="727F1809" w14:textId="77777777" w:rsidR="001E4C3C" w:rsidRPr="00BE201D" w:rsidRDefault="001E4C3C" w:rsidP="001E4C3C">
      <w:pPr>
        <w:spacing w:after="120" w:line="276" w:lineRule="auto"/>
        <w:contextualSpacing/>
        <w:jc w:val="both"/>
        <w:rPr>
          <w:rFonts w:ascii="Arial" w:hAnsi="Arial" w:cs="Arial"/>
          <w:sz w:val="22"/>
          <w:szCs w:val="22"/>
        </w:rPr>
      </w:pPr>
      <w:r w:rsidRPr="00BE201D">
        <w:rPr>
          <w:rFonts w:ascii="Arial" w:hAnsi="Arial" w:cs="Arial"/>
          <w:sz w:val="22"/>
          <w:szCs w:val="22"/>
        </w:rPr>
        <w:t>It would be desirable for regulators to harmonize the timing globally, as this would significantly reduce further complexity for the industry, which is already working hard to ensure a smooth transition.</w:t>
      </w:r>
    </w:p>
    <w:permEnd w:id="88494692"/>
    <w:p w14:paraId="628D142A"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594B71CA" w14:textId="50FF831B" w:rsidR="009835AD" w:rsidRDefault="009835AD" w:rsidP="009835AD">
      <w:pPr>
        <w:spacing w:after="160" w:line="259" w:lineRule="auto"/>
        <w:rPr>
          <w:rFonts w:ascii="Calibri" w:eastAsia="Calibri" w:hAnsi="Calibri"/>
          <w:sz w:val="22"/>
          <w:szCs w:val="22"/>
          <w:lang w:eastAsia="en-US"/>
        </w:rPr>
      </w:pPr>
    </w:p>
    <w:p w14:paraId="755594D9" w14:textId="133EE23F"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Derivatives trading obligation</w:t>
      </w:r>
    </w:p>
    <w:p w14:paraId="3E5926C1"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proposal to not include OIS referencing €STR, SONIA nor SOFR to the DTO at this point in time? In case you disagree with ESMA’s proposal, please justify and support your assessment with qualitative and quantitative data. </w:t>
      </w:r>
    </w:p>
    <w:p w14:paraId="7D3081D1"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48F1289C" w14:textId="77777777" w:rsidR="009835AD" w:rsidRPr="009835AD" w:rsidRDefault="009835AD" w:rsidP="009835AD">
      <w:pPr>
        <w:spacing w:after="160" w:line="259" w:lineRule="auto"/>
        <w:rPr>
          <w:rFonts w:ascii="Calibri" w:eastAsia="Calibri" w:hAnsi="Calibri"/>
          <w:sz w:val="22"/>
          <w:szCs w:val="22"/>
          <w:lang w:eastAsia="en-US"/>
        </w:rPr>
      </w:pPr>
      <w:permStart w:id="1781297155" w:edGrp="everyone"/>
      <w:r w:rsidRPr="009835AD">
        <w:rPr>
          <w:rFonts w:ascii="Calibri" w:eastAsia="Calibri" w:hAnsi="Calibri"/>
          <w:sz w:val="22"/>
          <w:szCs w:val="22"/>
          <w:lang w:eastAsia="en-US"/>
        </w:rPr>
        <w:t>TYPE YOUR TEXT HERE</w:t>
      </w:r>
    </w:p>
    <w:permEnd w:id="1781297155"/>
    <w:p w14:paraId="66AFC1E9"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7FAEEE4B" w14:textId="77777777" w:rsidR="009835AD" w:rsidRPr="009835AD" w:rsidRDefault="009835AD" w:rsidP="009835AD">
      <w:pPr>
        <w:spacing w:after="160" w:line="259" w:lineRule="auto"/>
        <w:rPr>
          <w:rFonts w:ascii="Calibri" w:eastAsia="Calibri" w:hAnsi="Calibri"/>
          <w:sz w:val="22"/>
          <w:szCs w:val="22"/>
          <w:lang w:eastAsia="en-US"/>
        </w:rPr>
      </w:pPr>
    </w:p>
    <w:p w14:paraId="74F8AD9A"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consider that IRS referencing USD LIBOR should continue to be subject to the DTO? </w:t>
      </w:r>
    </w:p>
    <w:p w14:paraId="0328DE9E"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51F0F5A4" w14:textId="77777777" w:rsidR="009835AD" w:rsidRPr="009835AD" w:rsidRDefault="009835AD" w:rsidP="009835AD">
      <w:pPr>
        <w:spacing w:after="160" w:line="259" w:lineRule="auto"/>
        <w:rPr>
          <w:rFonts w:ascii="Calibri" w:eastAsia="Calibri" w:hAnsi="Calibri"/>
          <w:sz w:val="22"/>
          <w:szCs w:val="22"/>
          <w:lang w:eastAsia="en-US"/>
        </w:rPr>
      </w:pPr>
      <w:permStart w:id="334326387" w:edGrp="everyone"/>
      <w:r w:rsidRPr="009835AD">
        <w:rPr>
          <w:rFonts w:ascii="Calibri" w:eastAsia="Calibri" w:hAnsi="Calibri"/>
          <w:sz w:val="22"/>
          <w:szCs w:val="22"/>
          <w:lang w:eastAsia="en-US"/>
        </w:rPr>
        <w:t>TYPE YOUR TEXT HERE</w:t>
      </w:r>
    </w:p>
    <w:permEnd w:id="334326387"/>
    <w:p w14:paraId="240C6EC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0C0346E7" w14:textId="2BBFAEED" w:rsidR="009835AD" w:rsidRDefault="009835AD" w:rsidP="009835AD">
      <w:pPr>
        <w:spacing w:after="160" w:line="259" w:lineRule="auto"/>
        <w:rPr>
          <w:rFonts w:ascii="Calibri" w:eastAsia="Calibri" w:hAnsi="Calibri"/>
          <w:sz w:val="22"/>
          <w:szCs w:val="22"/>
          <w:lang w:eastAsia="en-US"/>
        </w:rPr>
      </w:pPr>
    </w:p>
    <w:p w14:paraId="73A694AF" w14:textId="6C55CC3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Cost Benefit Analysis</w:t>
      </w:r>
    </w:p>
    <w:p w14:paraId="74C3C7A2"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Are there other elements that should be taken into account and that would impact the outcome of the cost-benefit analysis?  Please provide quantitative and qualitative details. </w:t>
      </w:r>
    </w:p>
    <w:p w14:paraId="15CE892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2F6FE426" w14:textId="77777777" w:rsidR="009835AD" w:rsidRPr="009835AD" w:rsidRDefault="009835AD" w:rsidP="009835AD">
      <w:pPr>
        <w:spacing w:after="160" w:line="259" w:lineRule="auto"/>
        <w:rPr>
          <w:rFonts w:ascii="Calibri" w:eastAsia="Calibri" w:hAnsi="Calibri"/>
          <w:sz w:val="22"/>
          <w:szCs w:val="22"/>
          <w:lang w:eastAsia="en-US"/>
        </w:rPr>
      </w:pPr>
      <w:permStart w:id="822749787" w:edGrp="everyone"/>
      <w:r w:rsidRPr="009835AD">
        <w:rPr>
          <w:rFonts w:ascii="Calibri" w:eastAsia="Calibri" w:hAnsi="Calibri"/>
          <w:sz w:val="22"/>
          <w:szCs w:val="22"/>
          <w:lang w:eastAsia="en-US"/>
        </w:rPr>
        <w:t>TYPE YOUR TEXT HERE</w:t>
      </w:r>
    </w:p>
    <w:permEnd w:id="822749787"/>
    <w:p w14:paraId="729056E0"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E706" w14:textId="77777777" w:rsidR="00F74FD2" w:rsidRDefault="00F74FD2" w:rsidP="007E7997">
      <w:r>
        <w:separator/>
      </w:r>
    </w:p>
  </w:endnote>
  <w:endnote w:type="continuationSeparator" w:id="0">
    <w:p w14:paraId="284A9FF0" w14:textId="77777777" w:rsidR="00F74FD2" w:rsidRDefault="00F74FD2" w:rsidP="007E7997">
      <w:r>
        <w:continuationSeparator/>
      </w:r>
    </w:p>
  </w:endnote>
  <w:endnote w:type="continuationNotice" w:id="1">
    <w:p w14:paraId="116894A8" w14:textId="77777777" w:rsidR="00F74FD2" w:rsidRDefault="00F7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2AD671B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51F68">
      <w:rPr>
        <w:rFonts w:asciiTheme="majorHAnsi" w:hAnsiTheme="majorHAnsi"/>
        <w:color w:val="FFFFFF" w:themeColor="background1"/>
      </w:rPr>
      <w:t>9</w:t>
    </w:r>
    <w:r w:rsidR="0037358E">
      <w:rPr>
        <w:rFonts w:asciiTheme="majorHAnsi" w:hAnsiTheme="majorHAnsi"/>
        <w:color w:val="FFFFFF" w:themeColor="background1"/>
      </w:rPr>
      <w:t xml:space="preserve"> </w:t>
    </w:r>
    <w:r w:rsidR="008279D3">
      <w:rPr>
        <w:rFonts w:asciiTheme="majorHAnsi" w:hAnsiTheme="majorHAnsi"/>
        <w:color w:val="FFFFFF" w:themeColor="background1"/>
      </w:rPr>
      <w:t>July</w:t>
    </w:r>
    <w:r w:rsidR="00AB6157">
      <w:rPr>
        <w:rFonts w:asciiTheme="majorHAnsi" w:hAnsiTheme="majorHAnsi"/>
        <w:color w:val="FFFFFF" w:themeColor="background1"/>
      </w:rPr>
      <w:t xml:space="preserve">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21</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70-156-4704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B1CC" w14:textId="77777777" w:rsidR="00F74FD2" w:rsidRDefault="00F74FD2" w:rsidP="007E7997">
      <w:r>
        <w:separator/>
      </w:r>
    </w:p>
  </w:footnote>
  <w:footnote w:type="continuationSeparator" w:id="0">
    <w:p w14:paraId="138FEEB5" w14:textId="77777777" w:rsidR="00F74FD2" w:rsidRDefault="00F74FD2" w:rsidP="007E7997">
      <w:r>
        <w:continuationSeparator/>
      </w:r>
    </w:p>
  </w:footnote>
  <w:footnote w:type="continuationNotice" w:id="1">
    <w:p w14:paraId="12E1EABF" w14:textId="77777777" w:rsidR="00F74FD2" w:rsidRDefault="00F74FD2"/>
  </w:footnote>
  <w:footnote w:id="2">
    <w:p w14:paraId="4EE28981" w14:textId="77777777" w:rsidR="00555D66" w:rsidRPr="00290FCE" w:rsidRDefault="00555D66" w:rsidP="00555D66">
      <w:pPr>
        <w:pStyle w:val="FootnoteText"/>
        <w:contextualSpacing/>
        <w:rPr>
          <w:rFonts w:ascii="Arial" w:hAnsi="Arial"/>
          <w:sz w:val="18"/>
          <w:szCs w:val="18"/>
        </w:rPr>
      </w:pPr>
      <w:r w:rsidRPr="00DE405E">
        <w:rPr>
          <w:rStyle w:val="FootnoteReference"/>
          <w:rFonts w:ascii="Arial" w:eastAsiaTheme="majorEastAsia" w:hAnsi="Arial"/>
          <w:sz w:val="18"/>
          <w:szCs w:val="18"/>
        </w:rPr>
        <w:footnoteRef/>
      </w:r>
      <w:r w:rsidRPr="00DE405E">
        <w:rPr>
          <w:rFonts w:ascii="Arial" w:hAnsi="Arial"/>
          <w:sz w:val="18"/>
          <w:szCs w:val="18"/>
        </w:rPr>
        <w:t xml:space="preserve"> </w:t>
      </w:r>
      <w:r>
        <w:rPr>
          <w:rFonts w:ascii="Arial" w:hAnsi="Arial"/>
          <w:sz w:val="18"/>
          <w:szCs w:val="18"/>
        </w:rPr>
        <w:t>ESMA, Consultation Paper</w:t>
      </w:r>
      <w:r w:rsidRPr="00DE405E">
        <w:rPr>
          <w:rFonts w:ascii="Arial" w:hAnsi="Arial"/>
          <w:iCs/>
          <w:sz w:val="18"/>
          <w:szCs w:val="18"/>
        </w:rPr>
        <w:t xml:space="preserve">, </w:t>
      </w:r>
      <w:r w:rsidRPr="00A65A8A">
        <w:rPr>
          <w:rFonts w:ascii="Arial" w:hAnsi="Arial"/>
          <w:iCs/>
          <w:sz w:val="18"/>
          <w:szCs w:val="18"/>
        </w:rPr>
        <w:t>clearing and derivative trading obligations in view of the benchmark transition</w:t>
      </w:r>
      <w:r w:rsidRPr="00DE405E">
        <w:rPr>
          <w:rFonts w:ascii="Arial" w:hAnsi="Arial"/>
          <w:iCs/>
          <w:sz w:val="18"/>
          <w:szCs w:val="18"/>
        </w:rPr>
        <w:t xml:space="preserve"> (</w:t>
      </w:r>
      <w:r>
        <w:rPr>
          <w:rFonts w:ascii="Arial" w:hAnsi="Arial"/>
          <w:iCs/>
          <w:sz w:val="18"/>
          <w:szCs w:val="18"/>
        </w:rPr>
        <w:t>Jul</w:t>
      </w:r>
      <w:r w:rsidRPr="00DE405E">
        <w:rPr>
          <w:rFonts w:ascii="Arial" w:hAnsi="Arial"/>
          <w:iCs/>
          <w:sz w:val="18"/>
          <w:szCs w:val="18"/>
        </w:rPr>
        <w:t>. 202</w:t>
      </w:r>
      <w:r>
        <w:rPr>
          <w:rFonts w:ascii="Arial" w:hAnsi="Arial"/>
          <w:iCs/>
          <w:sz w:val="18"/>
          <w:szCs w:val="18"/>
        </w:rPr>
        <w:t>1</w:t>
      </w:r>
      <w:r w:rsidRPr="00DE405E">
        <w:rPr>
          <w:rFonts w:ascii="Arial" w:hAnsi="Arial"/>
          <w:iCs/>
          <w:sz w:val="18"/>
          <w:szCs w:val="18"/>
        </w:rPr>
        <w:t>), available at</w:t>
      </w:r>
      <w:r w:rsidRPr="00DE405E">
        <w:rPr>
          <w:rFonts w:ascii="Arial" w:hAnsi="Arial"/>
          <w:i/>
          <w:sz w:val="18"/>
          <w:szCs w:val="18"/>
        </w:rPr>
        <w:t xml:space="preserve"> </w:t>
      </w:r>
      <w:hyperlink r:id="rId1" w:history="1">
        <w:r w:rsidRPr="00A65A8A">
          <w:rPr>
            <w:rStyle w:val="Hyperlink"/>
            <w:rFonts w:ascii="Arial" w:hAnsi="Arial"/>
            <w:sz w:val="18"/>
            <w:szCs w:val="18"/>
          </w:rPr>
          <w:t>https://www.esma.europa.eu/press-news/consultations/public-consultation-clearing-and-derivative-trading-obligations-in-view</w:t>
        </w:r>
      </w:hyperlink>
      <w:r w:rsidRPr="00DE405E">
        <w:rPr>
          <w:rFonts w:ascii="Arial" w:hAnsi="Arial"/>
          <w:sz w:val="18"/>
          <w:szCs w:val="18"/>
        </w:rPr>
        <w:t>.</w:t>
      </w:r>
    </w:p>
  </w:footnote>
  <w:footnote w:id="3">
    <w:p w14:paraId="23EE428C" w14:textId="77777777" w:rsidR="009505DB" w:rsidRPr="008216DD" w:rsidRDefault="009505DB" w:rsidP="009505DB">
      <w:pPr>
        <w:pStyle w:val="FootnoteText"/>
        <w:rPr>
          <w:rFonts w:ascii="Arial" w:hAnsi="Arial"/>
          <w:sz w:val="18"/>
          <w:szCs w:val="18"/>
        </w:rPr>
      </w:pPr>
      <w:r w:rsidRPr="005E38DF">
        <w:rPr>
          <w:rStyle w:val="FootnoteReference"/>
          <w:rFonts w:ascii="Arial" w:eastAsiaTheme="majorEastAsia" w:hAnsi="Arial"/>
          <w:sz w:val="18"/>
          <w:szCs w:val="18"/>
        </w:rPr>
        <w:footnoteRef/>
      </w:r>
      <w:r w:rsidRPr="005E38DF">
        <w:rPr>
          <w:rFonts w:ascii="Arial" w:hAnsi="Arial"/>
          <w:sz w:val="18"/>
          <w:szCs w:val="18"/>
        </w:rPr>
        <w:t xml:space="preserve"> Report from the Sub-Group for the Development of Term Reference Rates on 26</w:t>
      </w:r>
      <w:r>
        <w:rPr>
          <w:rFonts w:ascii="Arial" w:hAnsi="Arial"/>
          <w:sz w:val="18"/>
          <w:szCs w:val="18"/>
        </w:rPr>
        <w:t>.03.</w:t>
      </w:r>
      <w:r w:rsidRPr="005E38DF">
        <w:rPr>
          <w:rFonts w:ascii="Arial" w:hAnsi="Arial"/>
          <w:sz w:val="18"/>
          <w:szCs w:val="18"/>
        </w:rPr>
        <w:t>2021 is available in the following link</w:t>
      </w:r>
      <w:r>
        <w:rPr>
          <w:rFonts w:ascii="Arial" w:hAnsi="Arial"/>
          <w:sz w:val="18"/>
          <w:szCs w:val="18"/>
        </w:rPr>
        <w:t xml:space="preserve"> </w:t>
      </w:r>
      <w:r w:rsidRPr="005E38DF">
        <w:rPr>
          <w:rFonts w:ascii="Arial" w:hAnsi="Arial"/>
          <w:sz w:val="18"/>
          <w:szCs w:val="18"/>
        </w:rPr>
        <w:t xml:space="preserve">(See “2. Alternative benchmark in the JPY interest rate swaps market”): </w:t>
      </w:r>
      <w:hyperlink r:id="rId2" w:history="1">
        <w:r w:rsidRPr="008216DD">
          <w:rPr>
            <w:rStyle w:val="Hyperlink"/>
            <w:rFonts w:ascii="Arial" w:hAnsi="Arial"/>
            <w:sz w:val="18"/>
            <w:szCs w:val="18"/>
          </w:rPr>
          <w:t>Link</w:t>
        </w:r>
      </w:hyperlink>
    </w:p>
  </w:footnote>
  <w:footnote w:id="4">
    <w:p w14:paraId="067BBB39" w14:textId="77777777" w:rsidR="009505DB" w:rsidRPr="00A15454" w:rsidRDefault="009505DB" w:rsidP="009505DB">
      <w:pPr>
        <w:pStyle w:val="FootnoteText"/>
        <w:rPr>
          <w:rFonts w:ascii="Arial" w:hAnsi="Arial"/>
          <w:sz w:val="18"/>
          <w:szCs w:val="18"/>
        </w:rPr>
      </w:pPr>
      <w:r w:rsidRPr="008216DD">
        <w:rPr>
          <w:rStyle w:val="FootnoteReference"/>
          <w:rFonts w:ascii="Arial" w:eastAsiaTheme="majorEastAsia" w:hAnsi="Arial"/>
          <w:sz w:val="18"/>
          <w:szCs w:val="18"/>
        </w:rPr>
        <w:footnoteRef/>
      </w:r>
      <w:r w:rsidRPr="008216DD">
        <w:rPr>
          <w:rFonts w:ascii="Arial" w:hAnsi="Arial"/>
          <w:sz w:val="18"/>
          <w:szCs w:val="18"/>
        </w:rPr>
        <w:t xml:space="preserve"> “TONA First” is available in the following link:</w:t>
      </w:r>
      <w:r>
        <w:rPr>
          <w:rFonts w:ascii="Arial" w:hAnsi="Arial"/>
          <w:sz w:val="18"/>
          <w:szCs w:val="18"/>
        </w:rPr>
        <w:t xml:space="preserve"> </w:t>
      </w:r>
      <w:hyperlink r:id="rId3" w:history="1">
        <w:r w:rsidRPr="00A15454">
          <w:rPr>
            <w:rStyle w:val="Hyperlink"/>
            <w:rFonts w:ascii="Arial" w:hAnsi="Arial"/>
            <w:sz w:val="18"/>
            <w:szCs w:val="18"/>
          </w:rPr>
          <w:t>Link</w:t>
        </w:r>
      </w:hyperlink>
    </w:p>
  </w:footnote>
  <w:footnote w:id="5">
    <w:p w14:paraId="53CA1C53" w14:textId="77777777" w:rsidR="009505DB" w:rsidRPr="004D79FA" w:rsidRDefault="009505DB" w:rsidP="009505DB">
      <w:pPr>
        <w:pStyle w:val="FootnoteText"/>
        <w:rPr>
          <w:rFonts w:ascii="Arial" w:hAnsi="Arial"/>
          <w:sz w:val="18"/>
          <w:szCs w:val="18"/>
        </w:rPr>
      </w:pPr>
      <w:r w:rsidRPr="004D79FA">
        <w:rPr>
          <w:rStyle w:val="FootnoteReference"/>
          <w:rFonts w:ascii="Arial" w:eastAsiaTheme="majorEastAsia" w:hAnsi="Arial"/>
          <w:sz w:val="18"/>
          <w:szCs w:val="18"/>
        </w:rPr>
        <w:footnoteRef/>
      </w:r>
      <w:r w:rsidRPr="004D79FA">
        <w:rPr>
          <w:rFonts w:ascii="Arial" w:hAnsi="Arial"/>
          <w:sz w:val="18"/>
          <w:szCs w:val="18"/>
        </w:rPr>
        <w:t xml:space="preserve"> According to ISDA-Clarus RFR Adoption Indicator (July 2021), the percentage of IRD DV01 traded as an RFR in JPY was 23.4%, which was higher than for both USD (7.4%) and EUR (2.1%). The percentage of RFR-linked IRD DV01 traded with a tenor longer than 2 years in JPY was 93.9%, which was also the highest among the currencies covered in the report - USD (40.5%), EUR (65.1%), GBP (57.8%), AUD (1.2%), and CHF (74.3%).</w:t>
      </w:r>
    </w:p>
    <w:p w14:paraId="0BAD72D9" w14:textId="77777777" w:rsidR="009505DB" w:rsidRPr="004D79FA" w:rsidRDefault="009505DB" w:rsidP="009505DB">
      <w:pPr>
        <w:pStyle w:val="FootnoteText"/>
        <w:rPr>
          <w:rFonts w:ascii="Arial" w:hAnsi="Arial"/>
          <w:sz w:val="18"/>
          <w:szCs w:val="18"/>
        </w:rPr>
      </w:pPr>
      <w:r w:rsidRPr="004D79FA">
        <w:rPr>
          <w:rFonts w:ascii="Arial" w:hAnsi="Arial"/>
          <w:sz w:val="18"/>
          <w:szCs w:val="18"/>
        </w:rPr>
        <w:t>ISDA-Clarus RFR Adoption Indicator (July 2021) is available in the website link:</w:t>
      </w:r>
      <w:r>
        <w:rPr>
          <w:rFonts w:ascii="Arial" w:hAnsi="Arial"/>
          <w:sz w:val="18"/>
          <w:szCs w:val="18"/>
        </w:rPr>
        <w:t xml:space="preserve"> </w:t>
      </w:r>
      <w:hyperlink r:id="rId4" w:history="1">
        <w:r w:rsidRPr="004D79FA">
          <w:rPr>
            <w:rStyle w:val="Hyperlink"/>
            <w:rFonts w:ascii="Arial" w:hAnsi="Arial"/>
            <w:sz w:val="18"/>
            <w:szCs w:val="18"/>
          </w:rPr>
          <w:t>Link</w:t>
        </w:r>
      </w:hyperlink>
    </w:p>
    <w:p w14:paraId="181BA861" w14:textId="77777777" w:rsidR="009505DB" w:rsidRPr="004D79FA" w:rsidRDefault="009505DB" w:rsidP="009505DB">
      <w:pPr>
        <w:pStyle w:val="FootnoteText"/>
        <w:rPr>
          <w:rFonts w:ascii="Arial" w:hAnsi="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5DAA"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2FCF61F4"/>
    <w:multiLevelType w:val="hybridMultilevel"/>
    <w:tmpl w:val="C7E08FF0"/>
    <w:lvl w:ilvl="0" w:tplc="1AC4421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2"/>
  </w:num>
  <w:num w:numId="4">
    <w:abstractNumId w:val="3"/>
  </w:num>
  <w:num w:numId="5">
    <w:abstractNumId w:val="13"/>
  </w:num>
  <w:num w:numId="6">
    <w:abstractNumId w:val="24"/>
  </w:num>
  <w:num w:numId="7">
    <w:abstractNumId w:val="12"/>
  </w:num>
  <w:num w:numId="8">
    <w:abstractNumId w:val="5"/>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11"/>
  </w:num>
  <w:num w:numId="21">
    <w:abstractNumId w:val="21"/>
  </w:num>
  <w:num w:numId="22">
    <w:abstractNumId w:val="14"/>
  </w:num>
  <w:num w:numId="23">
    <w:abstractNumId w:val="18"/>
  </w:num>
  <w:num w:numId="24">
    <w:abstractNumId w:val="0"/>
  </w:num>
  <w:num w:numId="25">
    <w:abstractNumId w:val="17"/>
  </w:num>
  <w:num w:numId="26">
    <w:abstractNumId w:val="15"/>
  </w:num>
  <w:num w:numId="27">
    <w:abstractNumId w:val="10"/>
  </w:num>
  <w:num w:numId="28">
    <w:abstractNumId w:val="1"/>
  </w:num>
  <w:num w:numId="29">
    <w:abstractNumId w:val="16"/>
  </w:num>
  <w:num w:numId="30">
    <w:abstractNumId w:val="4"/>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boWPkncn5aAn36Z/9u5UWwI9gkZmtAfpA0ajWP7f5CXo7Uy3WeRE/DDEiYgaDqZSioGnOFpdz++piwj9ADcUNg==" w:salt="46iGyQanSHMK1gnKqpfQa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4703"/>
    <w:rsid w:val="001C56C3"/>
    <w:rsid w:val="001C5D8C"/>
    <w:rsid w:val="001C7E0A"/>
    <w:rsid w:val="001D0112"/>
    <w:rsid w:val="001D19F5"/>
    <w:rsid w:val="001D385A"/>
    <w:rsid w:val="001D6B39"/>
    <w:rsid w:val="001E1ECD"/>
    <w:rsid w:val="001E3E0D"/>
    <w:rsid w:val="001E4A45"/>
    <w:rsid w:val="001E4C3C"/>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1F87"/>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55D66"/>
    <w:rsid w:val="00560A96"/>
    <w:rsid w:val="005619CB"/>
    <w:rsid w:val="00561B71"/>
    <w:rsid w:val="00561F98"/>
    <w:rsid w:val="00564607"/>
    <w:rsid w:val="00565193"/>
    <w:rsid w:val="005725BD"/>
    <w:rsid w:val="005730B0"/>
    <w:rsid w:val="00575DCC"/>
    <w:rsid w:val="005821B0"/>
    <w:rsid w:val="0058353A"/>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4E60"/>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87CE4"/>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00C2"/>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505D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3248"/>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4FD5"/>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46DB"/>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41DC"/>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123D"/>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4FD2"/>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oj.or.jp/en/paym/market/jpy_cmte/data/cmt210726b.pdf" TargetMode="External"/><Relationship Id="rId2" Type="http://schemas.openxmlformats.org/officeDocument/2006/relationships/hyperlink" Target="https://www.boj.or.jp/en/paym/market/jpy_cmte/cmt210326b.pdf" TargetMode="External"/><Relationship Id="rId1" Type="http://schemas.openxmlformats.org/officeDocument/2006/relationships/hyperlink" Target="https://www.esma.europa.eu/press-news/consultations/public-consultation-clearing-and-derivative-trading-obligations-in-view" TargetMode="External"/><Relationship Id="rId4" Type="http://schemas.openxmlformats.org/officeDocument/2006/relationships/hyperlink" Target="https://www.isda.org/a/DCMgE/ISDA-Clarus-RFR-Adoption-Indicator-July-202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ESMA70-156-4704</_dlc_DocId>
    <TaxCatchAll xmlns="20fbe147-bbda-4e53-b6b1-7e8bbff3fe19">
      <Value>832</Value>
      <Value>5</Value>
      <Value>14</Value>
      <Value>12</Value>
      <Value>833</Value>
    </TaxCatchAll>
    <_dlc_DocIdUrl xmlns="20fbe147-bbda-4e53-b6b1-7e8bbff3fe19">
      <Url>https://sherpa.esma.europa.eu/sites/MKT/SMK/_layouts/15/DocIdRedir.aspx?ID=ESMA70-156-4704</Url>
      <Description>ESMA70-156-4704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 Clearing Obbligation</TermName>
          <TermId xmlns="http://schemas.microsoft.com/office/infopath/2007/PartnerControls">0bb3118f-23b5-4afc-b0fc-946893a4d1d6</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EMIR - Clearing Obbligation - Amendements</TermName>
          <TermId xmlns="http://schemas.microsoft.com/office/infopath/2007/PartnerControls">b02e17f3-fe5b-4971-a303-faa191b0e9d0</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8</Pages>
  <Words>1697</Words>
  <Characters>9676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Nadine pique</cp:lastModifiedBy>
  <cp:revision>11</cp:revision>
  <cp:lastPrinted>2017-07-24T14:47:00Z</cp:lastPrinted>
  <dcterms:created xsi:type="dcterms:W3CDTF">2021-09-01T17:22:00Z</dcterms:created>
  <dcterms:modified xsi:type="dcterms:W3CDTF">2021-09-02T09:54:00Z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da41af48-8004-49e2-b53f-177962124504</vt:lpwstr>
  </property>
  <property fmtid="{D5CDD505-2E9C-101B-9397-08002B2CF9AE}" pid="6" name="DocumentType">
    <vt:lpwstr>12;#Report|78753201-1e9e-4a21-a088-6ff602b5c999</vt:lpwstr>
  </property>
  <property fmtid="{D5CDD505-2E9C-101B-9397-08002B2CF9AE}" pid="7" name="Topic">
    <vt:lpwstr>832;#EMIR - Clearing Obbligation|0bb3118f-23b5-4afc-b0fc-946893a4d1d6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833;#EMIR - Clearing Obbligation - Amendements|b02e17f3-fe5b-4971-a303-faa191b0e9d0</vt:lpwstr>
  </property>
  <property fmtid="{D5CDD505-2E9C-101B-9397-08002B2CF9AE}" pid="18" name="TeamTopic">
    <vt:lpwstr>87;#Other Work|f1a52b52-917d-42ef-9667-945839604bb2</vt:lpwstr>
  </property>
</Properties>
</file>