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ooter"/>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Paragraph"/>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5CDAE194" w:rsidR="00C2682A" w:rsidRPr="00AB6D88" w:rsidRDefault="0087648E" w:rsidP="00FA5524">
                <w:pPr>
                  <w:rPr>
                    <w:rStyle w:val="PlaceholderText"/>
                    <w:rFonts w:cs="Arial"/>
                  </w:rPr>
                </w:pPr>
                <w:r>
                  <w:rPr>
                    <w:rStyle w:val="PlaceholderText"/>
                    <w:rFonts w:cs="Arial"/>
                  </w:rPr>
                  <w:t>OSTTRA</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1D742311" w:rsidR="00C2682A" w:rsidRPr="00AB6D88" w:rsidRDefault="00B70534"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87648E">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4037CCFE" w:rsidR="00C2682A" w:rsidRPr="00AB6D88" w:rsidRDefault="0087648E" w:rsidP="00FA5524">
                <w:pPr>
                  <w:rPr>
                    <w:rFonts w:cs="Arial"/>
                  </w:rPr>
                </w:pPr>
                <w:r>
                  <w:rPr>
                    <w:rFonts w:cs="Arial"/>
                  </w:rPr>
                  <w:t>International</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77C6500A" w14:textId="77777777" w:rsidR="001772F3" w:rsidRDefault="001772F3" w:rsidP="00F87897">
      <w:permStart w:id="1454525006" w:edGrp="everyone"/>
    </w:p>
    <w:p w14:paraId="530F378D" w14:textId="77777777" w:rsidR="001634B3" w:rsidRDefault="001634B3" w:rsidP="001634B3">
      <w:r>
        <w:t xml:space="preserve">OSTTRA, 50/50 owned by CME Group and IHS Markit, is a leading provider of progressive post-trade solutions for the global OTC markets across interest rate, FX, </w:t>
      </w:r>
      <w:proofErr w:type="gramStart"/>
      <w:r>
        <w:t>equity</w:t>
      </w:r>
      <w:proofErr w:type="gramEnd"/>
      <w:r>
        <w:t xml:space="preserve"> and credit asset classes. It incorporates CME Group's optimization businesses – Traiana, TriOptima, and Reset – and IHS Markit's MarkitSERV. OSTTRA brings together the people, </w:t>
      </w:r>
      <w:proofErr w:type="gramStart"/>
      <w:r>
        <w:t>processes</w:t>
      </w:r>
      <w:proofErr w:type="gramEnd"/>
      <w:r>
        <w:t xml:space="preserve"> and networks to solve the market's most pressing problems through innovating, integrating and optimising the post-trade workflow. The combined force of the product suite ensures a streamlined post-trade ecosystem that helps clients drive even greater efficiencies. As the demands for automation continue to transform the post-trade landscape, OSTTRA is at the forefront of helping market participants build a secure and sustainable market infrastructure.</w:t>
      </w:r>
    </w:p>
    <w:p w14:paraId="09D2F4B7" w14:textId="77777777" w:rsidR="001634B3" w:rsidRDefault="001634B3" w:rsidP="001634B3"/>
    <w:p w14:paraId="7D02D7CF" w14:textId="77777777" w:rsidR="001634B3" w:rsidRDefault="001634B3" w:rsidP="001634B3">
      <w:r>
        <w:t xml:space="preserve">A global company </w:t>
      </w:r>
      <w:proofErr w:type="spellStart"/>
      <w:r>
        <w:t>emplying</w:t>
      </w:r>
      <w:proofErr w:type="spellEnd"/>
      <w:r>
        <w:t xml:space="preserve"> almost 1,200 staff in 16 countries, including regulated entities in the UK and Sweden, OSTTRA is the new home of:</w:t>
      </w:r>
    </w:p>
    <w:p w14:paraId="711E1D67" w14:textId="77777777" w:rsidR="001634B3" w:rsidRDefault="001634B3" w:rsidP="001634B3"/>
    <w:p w14:paraId="2B5AE657" w14:textId="77777777" w:rsidR="001634B3" w:rsidRDefault="001634B3" w:rsidP="002F1E18">
      <w:pPr>
        <w:pStyle w:val="ListParagraph"/>
        <w:numPr>
          <w:ilvl w:val="0"/>
          <w:numId w:val="38"/>
        </w:numPr>
      </w:pPr>
      <w:r w:rsidRPr="001634B3">
        <w:rPr>
          <w:u w:val="single"/>
        </w:rPr>
        <w:t>MarkitServ</w:t>
      </w:r>
      <w:r>
        <w:t>: Our end-to-end trade processing and workflow solutions connect more than 2,500 counterparties across the global derivatives and FX markets. We process 10 million trades per month and have $500 trillion in notional outstanding.</w:t>
      </w:r>
    </w:p>
    <w:p w14:paraId="59435D10" w14:textId="77777777" w:rsidR="001634B3" w:rsidRDefault="001634B3" w:rsidP="002F1E18">
      <w:pPr>
        <w:pStyle w:val="ListParagraph"/>
        <w:numPr>
          <w:ilvl w:val="0"/>
          <w:numId w:val="38"/>
        </w:numPr>
      </w:pPr>
      <w:r w:rsidRPr="001634B3">
        <w:rPr>
          <w:u w:val="single"/>
        </w:rPr>
        <w:t>Traiana</w:t>
      </w:r>
      <w:r>
        <w:t>: A network of over 2,000 counterparties, Traiana processes 37 million trades and $22 trillion in notional per month.</w:t>
      </w:r>
    </w:p>
    <w:p w14:paraId="364FC1AF" w14:textId="77FBF4A1" w:rsidR="001772F3" w:rsidRDefault="001634B3" w:rsidP="002F1E18">
      <w:pPr>
        <w:pStyle w:val="ListParagraph"/>
        <w:numPr>
          <w:ilvl w:val="0"/>
          <w:numId w:val="38"/>
        </w:numPr>
      </w:pPr>
      <w:r w:rsidRPr="001634B3">
        <w:rPr>
          <w:u w:val="single"/>
        </w:rPr>
        <w:t>TriOptima</w:t>
      </w:r>
      <w:r>
        <w:t>: We’ve supported the OTC industry for over 20 years, compressing more than 2 quadrillion gross notional across 28 currencies and connecting 2,000 counterparties to reconcile 34 million trades per month. We are the market leader in counterparty risk optimisation and collateral management.</w:t>
      </w:r>
    </w:p>
    <w:p w14:paraId="17E4CDFC" w14:textId="7EFC3AC8" w:rsidR="004C4CE1" w:rsidRDefault="004C4CE1" w:rsidP="002F1E18">
      <w:pPr>
        <w:pStyle w:val="ListParagraph"/>
        <w:numPr>
          <w:ilvl w:val="0"/>
          <w:numId w:val="38"/>
        </w:numPr>
      </w:pPr>
      <w:r w:rsidRPr="004C4CE1">
        <w:rPr>
          <w:u w:val="single"/>
        </w:rPr>
        <w:t>Reset</w:t>
      </w:r>
      <w:r>
        <w:t>: Reset provides leading risk mitigation services in the derivatives marketplace.</w:t>
      </w:r>
      <w:r w:rsidR="00E91F62">
        <w:t xml:space="preserve"> </w:t>
      </w:r>
      <w:r>
        <w:t>We connect 2,500 counterparties, 145 banking groups and 38 countries with our state</w:t>
      </w:r>
      <w:r w:rsidR="00E91F62">
        <w:t>-</w:t>
      </w:r>
      <w:r>
        <w:t>of-the-art matching engine.</w:t>
      </w:r>
    </w:p>
    <w:p w14:paraId="5E0189BB" w14:textId="77777777" w:rsidR="001634B3" w:rsidRDefault="001634B3" w:rsidP="00F87897"/>
    <w:permEnd w:id="1454525006"/>
    <w:p w14:paraId="6A22288E" w14:textId="3E866DAA" w:rsidR="00F87897" w:rsidRDefault="00F87897" w:rsidP="00F87897"/>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60B01533" w14:textId="77777777" w:rsidR="0007208A" w:rsidRDefault="0007208A" w:rsidP="004F7B49">
      <w:permStart w:id="1601852493" w:edGrp="everyone"/>
    </w:p>
    <w:p w14:paraId="7E9D4061" w14:textId="77777777" w:rsidR="0007208A" w:rsidRDefault="0007208A" w:rsidP="0007208A">
      <w:r>
        <w:t>Paragraph 27 states that “In the case where a derivative has two or more legs … all legs of the contract should be reported in one report, where the combination of fields allows for this.”</w:t>
      </w:r>
    </w:p>
    <w:p w14:paraId="3125FCA0" w14:textId="77777777" w:rsidR="0007208A" w:rsidRDefault="0007208A" w:rsidP="0007208A"/>
    <w:p w14:paraId="02F3C5A3" w14:textId="0AD1217A" w:rsidR="0007208A" w:rsidRDefault="003C5976" w:rsidP="0007208A">
      <w:r>
        <w:t xml:space="preserve">ESMA should look to clarify how </w:t>
      </w:r>
      <w:r w:rsidR="0007208A">
        <w:t>trades that have already been reported utilising two, or more, reports as per the current regulations</w:t>
      </w:r>
      <w:r w:rsidR="004F4BAD">
        <w:t>.</w:t>
      </w:r>
      <w:r w:rsidR="0007208A">
        <w:t xml:space="preserve"> </w:t>
      </w:r>
      <w:r w:rsidR="004F4BAD">
        <w:t>I</w:t>
      </w:r>
      <w:r w:rsidR="0007208A">
        <w:t>s the expectation that the existing trades are to be closed, and a new single report sent during the transition period?</w:t>
      </w:r>
    </w:p>
    <w:p w14:paraId="15C32CE5" w14:textId="77777777" w:rsidR="0007208A" w:rsidRDefault="0007208A" w:rsidP="0007208A"/>
    <w:p w14:paraId="5CF1B55C" w14:textId="7DDECC36" w:rsidR="0007208A" w:rsidRDefault="0007208A" w:rsidP="0007208A">
      <w:r>
        <w:t xml:space="preserve">Given the need to update the existing positions in such a way, </w:t>
      </w:r>
      <w:r w:rsidR="00167E61">
        <w:t xml:space="preserve">ESMA should clarify its </w:t>
      </w:r>
      <w:r>
        <w:t>expectation</w:t>
      </w:r>
      <w:r w:rsidR="00167E61">
        <w:t>s</w:t>
      </w:r>
      <w:r>
        <w:t xml:space="preserve"> with regards to UTI</w:t>
      </w:r>
      <w:r w:rsidR="00167E61">
        <w:t>. Para</w:t>
      </w:r>
      <w:r>
        <w:t>graph 13 specifies that “The counterparties should not create a new UTI for outstanding derivatives…”</w:t>
      </w:r>
      <w:r w:rsidR="00167E61">
        <w:t xml:space="preserve"> H</w:t>
      </w:r>
      <w:r>
        <w:t>owever, where multiple trades are being replaced with a single trade, it would make sense to utilise the UTI already reported for other regimes – even if this does not meet the new validations.</w:t>
      </w:r>
    </w:p>
    <w:p w14:paraId="674D2D39" w14:textId="77777777" w:rsidR="00167E61" w:rsidRDefault="00167E61" w:rsidP="0007208A"/>
    <w:p w14:paraId="11D40162" w14:textId="0CB18637" w:rsidR="0007208A" w:rsidRDefault="0007208A" w:rsidP="0007208A">
      <w:r>
        <w:t xml:space="preserve">If multiple leg trades are to be cancelled and re-reported as a single transaction, </w:t>
      </w:r>
      <w:r w:rsidR="00167E61">
        <w:t>ES</w:t>
      </w:r>
      <w:r w:rsidR="00B70534">
        <w:t>M</w:t>
      </w:r>
      <w:r w:rsidR="00167E61">
        <w:t xml:space="preserve">A should clarify its </w:t>
      </w:r>
      <w:r>
        <w:t>expectation</w:t>
      </w:r>
      <w:r w:rsidR="00167E61">
        <w:t>s</w:t>
      </w:r>
      <w:r>
        <w:t xml:space="preserve"> </w:t>
      </w:r>
      <w:r w:rsidR="00167E61">
        <w:t xml:space="preserve">around </w:t>
      </w:r>
      <w:r w:rsidR="00523E97">
        <w:t xml:space="preserve">whether </w:t>
      </w:r>
      <w:r>
        <w:t>the Event type should be ‘Update’ on both the terminations and the new trades</w:t>
      </w:r>
      <w:r w:rsidR="00523E97">
        <w:t>. T</w:t>
      </w:r>
      <w:r>
        <w:t>his is not currently included as a valid combination on Table 4</w:t>
      </w:r>
      <w:r w:rsidR="00523E97">
        <w:t>.</w:t>
      </w:r>
    </w:p>
    <w:p w14:paraId="1C59F756" w14:textId="42726726" w:rsidR="00C47AF0" w:rsidRDefault="00C47AF0" w:rsidP="0007208A"/>
    <w:p w14:paraId="2ADDDB13" w14:textId="2EC2095A" w:rsidR="00C47AF0" w:rsidRDefault="00C47AF0" w:rsidP="00C47AF0">
      <w:r>
        <w:t>Without the above</w:t>
      </w:r>
      <w:r w:rsidRPr="003D3617">
        <w:t xml:space="preserve"> clari</w:t>
      </w:r>
      <w:r>
        <w:t xml:space="preserve">fications, </w:t>
      </w:r>
      <w:r w:rsidRPr="003D3617">
        <w:t>the two sides</w:t>
      </w:r>
      <w:r>
        <w:t xml:space="preserve"> reporting</w:t>
      </w:r>
      <w:r w:rsidRPr="003D3617">
        <w:t xml:space="preserve"> </w:t>
      </w:r>
      <w:r>
        <w:t xml:space="preserve">could approach the report </w:t>
      </w:r>
      <w:r w:rsidRPr="003D3617">
        <w:t>differently</w:t>
      </w:r>
      <w:r>
        <w:t xml:space="preserve">, leading to </w:t>
      </w:r>
      <w:r w:rsidRPr="003D3617">
        <w:t xml:space="preserve">mismatches </w:t>
      </w:r>
      <w:r>
        <w:t>in the data.</w:t>
      </w:r>
    </w:p>
    <w:p w14:paraId="39EBEC87" w14:textId="77777777" w:rsidR="00C47AF0" w:rsidRDefault="00C47AF0" w:rsidP="0007208A"/>
    <w:p w14:paraId="50A785C6" w14:textId="3628F953" w:rsidR="004F7B49" w:rsidRPr="004F7B49" w:rsidRDefault="004F7B49" w:rsidP="004F7B49"/>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6F5D4295" w14:textId="77777777" w:rsidR="004F7B49" w:rsidRPr="004F7B49" w:rsidRDefault="004F7B49" w:rsidP="004F7B49">
      <w:permStart w:id="836638972" w:edGrp="everyone"/>
      <w:r w:rsidRPr="004F7B49">
        <w:t>TYPE YOUR TEXT HERE</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77777777" w:rsidR="004F7B49" w:rsidRPr="004F7B49" w:rsidRDefault="004F7B49" w:rsidP="004F7B49">
      <w:permStart w:id="1824522265" w:edGrp="everyone"/>
      <w:r w:rsidRPr="004F7B49">
        <w:t>TYPE YOUR TEXT HERE</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325FEDEA" w:rsidR="004F7B49" w:rsidRPr="004F7B49" w:rsidRDefault="004F7B49" w:rsidP="004F7B49">
      <w:permStart w:id="443634530" w:edGrp="everyone"/>
      <w:r w:rsidRPr="004F7B49">
        <w:t>TYPE YOUR TEXT HERE</w:t>
      </w:r>
    </w:p>
    <w:permEnd w:id="443634530"/>
    <w:p w14:paraId="77364F07" w14:textId="77777777" w:rsidR="004F7B49" w:rsidRPr="004F7B49" w:rsidRDefault="004F7B49" w:rsidP="004F7B49">
      <w:r w:rsidRPr="004F7B49">
        <w:lastRenderedPageBreak/>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77777777" w:rsidR="004F7B49" w:rsidRPr="004F7B49" w:rsidRDefault="004F7B49" w:rsidP="004F7B49">
      <w:permStart w:id="440870711" w:edGrp="everyone"/>
      <w:r w:rsidRPr="004F7B49">
        <w:t>TYPE YOUR TEXT HERE</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77777777" w:rsidR="004F7B49" w:rsidRPr="004F7B49" w:rsidRDefault="004F7B49" w:rsidP="004F7B49">
      <w:permStart w:id="1871339001" w:edGrp="everyone"/>
      <w:r w:rsidRPr="004F7B49">
        <w:t>TYPE YOUR TEXT HERE</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77777777" w:rsidR="004F7B49" w:rsidRPr="004F7B49" w:rsidRDefault="004F7B49" w:rsidP="004F7B49">
      <w:permStart w:id="805204607" w:edGrp="everyone"/>
      <w:r w:rsidRPr="004F7B49">
        <w:t>TYPE YOUR TEXT HERE</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77777777" w:rsidR="004F7B49" w:rsidRPr="004F7B49" w:rsidRDefault="004F7B49" w:rsidP="004F7B49">
      <w:permStart w:id="1388006760" w:edGrp="everyone"/>
      <w:r w:rsidRPr="004F7B49">
        <w:t>TYPE YOUR TEXT HERE</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7DD5FC5A" w14:textId="77777777" w:rsidR="00F15936" w:rsidRDefault="00F15936" w:rsidP="004F7B49">
      <w:permStart w:id="140709788" w:edGrp="everyone"/>
    </w:p>
    <w:p w14:paraId="3C1DB96D" w14:textId="3249C11F" w:rsidR="00F15936" w:rsidRDefault="00F15936" w:rsidP="00F15936">
      <w:r>
        <w:t xml:space="preserve">Paragraph 41 specifies “where a counterparty… steps into the derivative contract and becomes a new counterparty to the derivative, the contract should be reported with action type ‘New’ and event type ‘Step-in’.” </w:t>
      </w:r>
    </w:p>
    <w:p w14:paraId="528293C8" w14:textId="77777777" w:rsidR="00D812A4" w:rsidRDefault="00D812A4" w:rsidP="00F15936"/>
    <w:p w14:paraId="2EDAAA94" w14:textId="7CF7BFB4" w:rsidR="00F15936" w:rsidRDefault="00F15936" w:rsidP="00F15936">
      <w:r>
        <w:t xml:space="preserve">This makes clear the reporting requirements for the Stepping-in Party of a novation. </w:t>
      </w:r>
      <w:r w:rsidR="00D812A4">
        <w:t>It seems natural to assume</w:t>
      </w:r>
      <w:r>
        <w:t xml:space="preserve"> that the same requirements will apply to the Remaining Party of the novation when reporting the contract facing the Stepping-in Party</w:t>
      </w:r>
      <w:r w:rsidR="00921A22">
        <w:t>, but ESMA should provide clarification</w:t>
      </w:r>
      <w:r>
        <w:t>.</w:t>
      </w:r>
    </w:p>
    <w:p w14:paraId="36B4CC87" w14:textId="77777777" w:rsidR="00F15936" w:rsidRDefault="00F15936" w:rsidP="004F7B49"/>
    <w:p w14:paraId="6A43BBF1" w14:textId="47826177" w:rsidR="004F7B49" w:rsidRPr="004F7B49" w:rsidRDefault="004F7B49" w:rsidP="004F7B49"/>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77777777" w:rsidR="004F7B49" w:rsidRPr="004F7B49" w:rsidRDefault="004F7B49" w:rsidP="004F7B49">
      <w:permStart w:id="1190423857" w:edGrp="everyone"/>
      <w:r w:rsidRPr="004F7B49">
        <w:t>TYPE YOUR TEXT HERE</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5F30942D" w14:textId="77777777" w:rsidR="004F7B49" w:rsidRPr="004F7B49" w:rsidRDefault="004F7B49" w:rsidP="004F7B49">
      <w:permStart w:id="215301547" w:edGrp="everyone"/>
      <w:r w:rsidRPr="004F7B49">
        <w:t>TYPE YOUR TEXT HERE</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6C12BDBC" w14:textId="77777777" w:rsidR="004F7B49" w:rsidRPr="004F7B49" w:rsidRDefault="004F7B49" w:rsidP="004F7B49">
      <w:permStart w:id="104465324" w:edGrp="everyone"/>
      <w:r w:rsidRPr="004F7B49">
        <w:t>TYPE YOUR TEXT HERE</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7777777" w:rsidR="004F7B49" w:rsidRPr="004F7B49" w:rsidRDefault="004F7B49" w:rsidP="004F7B49">
      <w:permStart w:id="1120406469" w:edGrp="everyone"/>
      <w:r w:rsidRPr="004F7B49">
        <w:t>TYPE YOUR TEXT HERE</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5AC56E66" w14:textId="77777777" w:rsidR="00A141D2" w:rsidRDefault="00A141D2" w:rsidP="004F7B49">
      <w:permStart w:id="754133959" w:edGrp="everyone"/>
    </w:p>
    <w:p w14:paraId="1177A8C3" w14:textId="1B76B6F8" w:rsidR="00A141D2" w:rsidRDefault="00A141D2" w:rsidP="00A141D2">
      <w:r>
        <w:t xml:space="preserve">Paragraph 86 states that “RSEs should inform the reporting counterparties and ERRs about relevant reporting and data quality issues (including data submitted on its behalf, all the rejections, reconciliation breaks as well as other data quality issues pertaining to the relevant data)”. However, where the report submitting entity is a third party, the TR may not be able to provide </w:t>
      </w:r>
      <w:proofErr w:type="gramStart"/>
      <w:r>
        <w:t>all of</w:t>
      </w:r>
      <w:proofErr w:type="gramEnd"/>
      <w:r>
        <w:t xml:space="preserve"> the information to third party due to client data privacy concerns</w:t>
      </w:r>
      <w:r w:rsidR="00B834C6">
        <w:t xml:space="preserve">, particularly around </w:t>
      </w:r>
      <w:r>
        <w:t>reconciliation breaks and other data quality issues.</w:t>
      </w:r>
    </w:p>
    <w:p w14:paraId="3455FB7F" w14:textId="77777777" w:rsidR="00575806" w:rsidRDefault="00575806" w:rsidP="00A141D2"/>
    <w:p w14:paraId="3EE2CA5E" w14:textId="43F17803" w:rsidR="00A141D2" w:rsidRDefault="00575806" w:rsidP="00A141D2">
      <w:r>
        <w:t xml:space="preserve">To provide a working example, </w:t>
      </w:r>
      <w:r w:rsidR="00A141D2">
        <w:t>MarkitSERV reporting would receive rejections</w:t>
      </w:r>
      <w:r>
        <w:t>,</w:t>
      </w:r>
      <w:r w:rsidR="00A141D2">
        <w:t xml:space="preserve"> which </w:t>
      </w:r>
      <w:r>
        <w:t>would be</w:t>
      </w:r>
      <w:r w:rsidR="00A141D2">
        <w:t xml:space="preserve"> pass</w:t>
      </w:r>
      <w:r>
        <w:t>ed</w:t>
      </w:r>
      <w:r w:rsidR="00A141D2">
        <w:t xml:space="preserve"> on</w:t>
      </w:r>
      <w:r>
        <w:t xml:space="preserve"> to the </w:t>
      </w:r>
      <w:r w:rsidR="003657D9">
        <w:t>reporting entities. However, MarkitSERV</w:t>
      </w:r>
      <w:r w:rsidR="00A141D2">
        <w:t xml:space="preserve"> would not receive</w:t>
      </w:r>
      <w:r w:rsidR="003657D9">
        <w:t xml:space="preserve"> the</w:t>
      </w:r>
      <w:r w:rsidR="00A141D2">
        <w:t xml:space="preserve"> transaction reports </w:t>
      </w:r>
      <w:r w:rsidR="003657D9">
        <w:t>or other pertinent information</w:t>
      </w:r>
      <w:r w:rsidR="00A141D2">
        <w:t xml:space="preserve"> from </w:t>
      </w:r>
      <w:r w:rsidR="003657D9">
        <w:t xml:space="preserve">the </w:t>
      </w:r>
      <w:r w:rsidR="00A141D2">
        <w:t>TR</w:t>
      </w:r>
      <w:r w:rsidR="003657D9">
        <w:t>. This would mean that MarkitSERV</w:t>
      </w:r>
      <w:r w:rsidR="00A141D2">
        <w:t xml:space="preserve"> would not be able to identify reconciliation breaks or other data quality issues as </w:t>
      </w:r>
      <w:r w:rsidR="003657D9">
        <w:t>they</w:t>
      </w:r>
      <w:r w:rsidR="00A141D2">
        <w:t xml:space="preserve"> would not have visibility of them.</w:t>
      </w:r>
    </w:p>
    <w:p w14:paraId="76F61C1B" w14:textId="77777777" w:rsidR="00A141D2" w:rsidRDefault="00A141D2" w:rsidP="004F7B49"/>
    <w:p w14:paraId="68246CA8" w14:textId="2195F32B" w:rsidR="004F7B49" w:rsidRPr="004F7B49" w:rsidRDefault="004F7B49" w:rsidP="004F7B49"/>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6040683B" w14:textId="77777777" w:rsidR="004F7B49" w:rsidRPr="004F7B49" w:rsidRDefault="004F7B49" w:rsidP="004F7B49">
      <w:permStart w:id="1560160754" w:edGrp="everyone"/>
      <w:r w:rsidRPr="004F7B49">
        <w:lastRenderedPageBreak/>
        <w:t>TYPE YOUR TEXT HERE</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59C7FBBF" w14:textId="77777777" w:rsidR="009C75D8" w:rsidRDefault="009C75D8" w:rsidP="004F7B49">
      <w:permStart w:id="1475099710" w:edGrp="everyone"/>
    </w:p>
    <w:p w14:paraId="1A9BA31A" w14:textId="77777777" w:rsidR="00040FC6" w:rsidRDefault="009C75D8" w:rsidP="009C75D8">
      <w:r>
        <w:t>ESMA should clarify its expectations when a report is sent with an incorrect Event Type</w:t>
      </w:r>
      <w:r w:rsidR="00040FC6">
        <w:t>.</w:t>
      </w:r>
      <w:r>
        <w:t xml:space="preserve"> </w:t>
      </w:r>
    </w:p>
    <w:p w14:paraId="5156CB20" w14:textId="77777777" w:rsidR="00040FC6" w:rsidRDefault="00040FC6" w:rsidP="009C75D8"/>
    <w:p w14:paraId="070B4E6F" w14:textId="577B2AE1" w:rsidR="009C75D8" w:rsidRDefault="009C75D8" w:rsidP="009C75D8">
      <w:r>
        <w:t>Currently Table 4 and Table 5 indicate “No Event Type required” when action type is “CORRECT”</w:t>
      </w:r>
      <w:r w:rsidR="00040FC6">
        <w:t xml:space="preserve">. Does </w:t>
      </w:r>
      <w:r w:rsidR="00A04CC8">
        <w:t>ESMA intend</w:t>
      </w:r>
      <w:r>
        <w:t xml:space="preserve"> that an incorrect event type previously reported should not be corrected</w:t>
      </w:r>
      <w:r w:rsidR="007C6232">
        <w:t xml:space="preserve">. For example, if </w:t>
      </w:r>
      <w:r>
        <w:t xml:space="preserve">“EARLY TERMINATION” was sent instead of “EXERCISE” on a report with Action Type “MODIFY”, should </w:t>
      </w:r>
      <w:r w:rsidR="00B24216">
        <w:t>there be no</w:t>
      </w:r>
      <w:r>
        <w:t xml:space="preserve"> new report </w:t>
      </w:r>
      <w:r w:rsidR="00B24216">
        <w:t xml:space="preserve">sent that </w:t>
      </w:r>
      <w:r>
        <w:t>correct</w:t>
      </w:r>
      <w:r w:rsidR="00B24216">
        <w:t>s</w:t>
      </w:r>
      <w:r>
        <w:t xml:space="preserve"> Event Type as “EXERCISE”? If </w:t>
      </w:r>
      <w:r w:rsidR="00B5242F">
        <w:t>ESMA expects a</w:t>
      </w:r>
      <w:r>
        <w:t xml:space="preserve"> correct</w:t>
      </w:r>
      <w:r w:rsidR="00B5242F">
        <w:t>ion</w:t>
      </w:r>
      <w:r>
        <w:t xml:space="preserve">, </w:t>
      </w:r>
      <w:r w:rsidR="00603E1E">
        <w:t xml:space="preserve">how would </w:t>
      </w:r>
      <w:r>
        <w:t>firms to be able to do this?</w:t>
      </w:r>
    </w:p>
    <w:p w14:paraId="2B28DFA4" w14:textId="77777777" w:rsidR="00651F8F" w:rsidRDefault="00651F8F" w:rsidP="009C75D8"/>
    <w:p w14:paraId="18DE65AF" w14:textId="50307D21" w:rsidR="009C75D8" w:rsidRDefault="009C75D8" w:rsidP="009C75D8">
      <w:r>
        <w:t xml:space="preserve">Similarly, </w:t>
      </w:r>
      <w:r w:rsidR="009A2BE5">
        <w:t xml:space="preserve">what is ESMA’s expectation </w:t>
      </w:r>
      <w:r>
        <w:t>for Action Type “REVIVE”, where a previous report was sent to terminate the trade, but an incorrect Event Type</w:t>
      </w:r>
      <w:r w:rsidR="009A2BE5" w:rsidRPr="009A2BE5">
        <w:t xml:space="preserve"> </w:t>
      </w:r>
      <w:r w:rsidR="009A2BE5">
        <w:t>was provided</w:t>
      </w:r>
      <w:r>
        <w:t>.</w:t>
      </w:r>
    </w:p>
    <w:p w14:paraId="55EA7837" w14:textId="77777777" w:rsidR="009C75D8" w:rsidRDefault="009C75D8" w:rsidP="009C75D8"/>
    <w:p w14:paraId="64ED6EE1" w14:textId="2CB60887" w:rsidR="004F7B49" w:rsidRPr="004F7B49" w:rsidRDefault="004F7B49" w:rsidP="009C75D8"/>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72659D5F" w14:textId="77777777" w:rsidR="009B33DF" w:rsidRDefault="009B33DF" w:rsidP="004F7B49">
      <w:permStart w:id="1825854038" w:edGrp="everyone"/>
    </w:p>
    <w:p w14:paraId="2BE82672" w14:textId="36A9CDEB" w:rsidR="006251CC" w:rsidRDefault="00A47C2C" w:rsidP="009B33DF">
      <w:r>
        <w:t>I</w:t>
      </w:r>
      <w:r w:rsidR="009B33DF">
        <w:t>n paragraph 110,</w:t>
      </w:r>
      <w:r>
        <w:t xml:space="preserve"> ESMA indicated that</w:t>
      </w:r>
      <w:r w:rsidR="009B33DF">
        <w:t xml:space="preserve"> if a contract has been at a non-outstanding status for over 30 days, </w:t>
      </w:r>
      <w:proofErr w:type="gramStart"/>
      <w:r w:rsidR="009B33DF">
        <w:t>Revive</w:t>
      </w:r>
      <w:proofErr w:type="gramEnd"/>
      <w:r w:rsidR="009B33DF">
        <w:t xml:space="preserve"> cannot be used and instead counterparties must re-report the contract with a new UTI. </w:t>
      </w:r>
      <w:r w:rsidR="00820FBE">
        <w:t>We believe th</w:t>
      </w:r>
      <w:r w:rsidR="007C3007">
        <w:t>ere are some serious issues with adopting such an approach</w:t>
      </w:r>
      <w:r w:rsidR="00B055E4">
        <w:t xml:space="preserve"> from a practical </w:t>
      </w:r>
      <w:r w:rsidR="007E4B7D">
        <w:t xml:space="preserve">and jurisdictional </w:t>
      </w:r>
      <w:r w:rsidR="00B055E4">
        <w:t>basis</w:t>
      </w:r>
      <w:r w:rsidR="006251CC">
        <w:t xml:space="preserve">. </w:t>
      </w:r>
    </w:p>
    <w:p w14:paraId="01420B4F" w14:textId="4ED7125C" w:rsidR="009B33DF" w:rsidRDefault="00B055E4" w:rsidP="009B33DF">
      <w:r>
        <w:t xml:space="preserve"> </w:t>
      </w:r>
    </w:p>
    <w:p w14:paraId="03D6520D" w14:textId="28209AEC" w:rsidR="00842A14" w:rsidRDefault="00870775" w:rsidP="00842A14">
      <w:r>
        <w:t xml:space="preserve">Generating, </w:t>
      </w:r>
      <w:proofErr w:type="gramStart"/>
      <w:r>
        <w:t>exchanging</w:t>
      </w:r>
      <w:proofErr w:type="gramEnd"/>
      <w:r>
        <w:t xml:space="preserve"> and consuming </w:t>
      </w:r>
      <w:proofErr w:type="spellStart"/>
      <w:r w:rsidR="00EA20D6">
        <w:t>additonal</w:t>
      </w:r>
      <w:proofErr w:type="spellEnd"/>
      <w:r>
        <w:t xml:space="preserve"> UTIs which have not arisen due to a life-cycle event (for example a novation) will introduce additional layers of complexity and is likely to negatively impact data quality.</w:t>
      </w:r>
      <w:r w:rsidR="00842A14">
        <w:t xml:space="preserve"> This complexity will introduce </w:t>
      </w:r>
      <w:r w:rsidR="003B2F46">
        <w:t xml:space="preserve">significant </w:t>
      </w:r>
      <w:r w:rsidR="00842A14">
        <w:t>additional costs</w:t>
      </w:r>
      <w:r w:rsidR="003B2F46">
        <w:t xml:space="preserve"> without counterbalancing benefits. </w:t>
      </w:r>
      <w:r w:rsidR="004A56EC">
        <w:t>We would urge ESMA to r</w:t>
      </w:r>
      <w:r w:rsidR="00842A14">
        <w:t>emov</w:t>
      </w:r>
      <w:r w:rsidR="004A56EC">
        <w:t xml:space="preserve">e </w:t>
      </w:r>
      <w:r w:rsidR="00842A14">
        <w:t>this requirement within EMIR</w:t>
      </w:r>
      <w:r w:rsidR="004A56EC">
        <w:t xml:space="preserve"> and ensure that there is not </w:t>
      </w:r>
      <w:r w:rsidR="00842A14">
        <w:t xml:space="preserve">a </w:t>
      </w:r>
      <w:proofErr w:type="gramStart"/>
      <w:r w:rsidR="00842A14">
        <w:t>30 day</w:t>
      </w:r>
      <w:proofErr w:type="gramEnd"/>
      <w:r w:rsidR="00842A14">
        <w:t xml:space="preserve"> limit to reviving a contract.</w:t>
      </w:r>
    </w:p>
    <w:p w14:paraId="3C2158B5" w14:textId="77777777" w:rsidR="00870775" w:rsidRDefault="00870775" w:rsidP="009B33DF"/>
    <w:p w14:paraId="5DB87458" w14:textId="479B1C48" w:rsidR="009B33DF" w:rsidRDefault="009F612C" w:rsidP="009B33DF">
      <w:r>
        <w:t xml:space="preserve">Furthermore, this approach would be out of line with global practice. </w:t>
      </w:r>
      <w:r w:rsidR="009B33DF">
        <w:t>UTI</w:t>
      </w:r>
      <w:r w:rsidR="006251CC">
        <w:t xml:space="preserve">s are </w:t>
      </w:r>
      <w:r w:rsidR="00E71196">
        <w:t xml:space="preserve">designed </w:t>
      </w:r>
      <w:r w:rsidR="009B33DF">
        <w:t>to be fixed to a specific contract once it has been generated</w:t>
      </w:r>
      <w:r w:rsidR="00E71196">
        <w:t>. C</w:t>
      </w:r>
      <w:r w:rsidR="009B33DF">
        <w:t>reating a new UTI during the life of a contract</w:t>
      </w:r>
      <w:r w:rsidR="00E71196">
        <w:t>, therefore,</w:t>
      </w:r>
      <w:r w:rsidR="009B33DF">
        <w:t xml:space="preserve"> goes against the principles of </w:t>
      </w:r>
      <w:r w:rsidR="00E75E62">
        <w:t xml:space="preserve">the global regulatory community as expressed by </w:t>
      </w:r>
      <w:r w:rsidR="009B33DF">
        <w:t>CPMI-IOSCO. With UTIs to be applied globally, the impact of creating a new UTI</w:t>
      </w:r>
      <w:r w:rsidR="007147DF">
        <w:t xml:space="preserve"> in this manner within the EU</w:t>
      </w:r>
      <w:r w:rsidR="009B33DF">
        <w:t xml:space="preserve"> will not just be limited to EMIR reporting</w:t>
      </w:r>
      <w:r w:rsidR="009A04F3">
        <w:t>. It will lead to firms needing to maintain different data for different jurisdiction</w:t>
      </w:r>
      <w:r w:rsidR="00314BD0">
        <w:t>s</w:t>
      </w:r>
      <w:r w:rsidR="009A04F3">
        <w:t xml:space="preserve">, increasing burden and the likelihood of </w:t>
      </w:r>
      <w:r w:rsidR="00B70534">
        <w:t xml:space="preserve">inconsistent, </w:t>
      </w:r>
      <w:proofErr w:type="gramStart"/>
      <w:r w:rsidR="00D645DD">
        <w:t>substandard</w:t>
      </w:r>
      <w:proofErr w:type="gramEnd"/>
      <w:r w:rsidR="00D645DD">
        <w:t xml:space="preserve"> </w:t>
      </w:r>
      <w:r w:rsidR="00314BD0">
        <w:t xml:space="preserve">and erroneous </w:t>
      </w:r>
      <w:r w:rsidR="00D645DD">
        <w:t>data.</w:t>
      </w:r>
      <w:r w:rsidR="009B33DF">
        <w:t xml:space="preserve"> UTIs are intended to remain constant throughout the life of a contract, and incorrectly erroring or terminating the contract should not change this fundamental principle. </w:t>
      </w:r>
    </w:p>
    <w:p w14:paraId="4A8F82D3" w14:textId="668D58F0" w:rsidR="004F7B49" w:rsidRPr="004F7B49" w:rsidRDefault="004F7B49" w:rsidP="009B33DF"/>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1A246099" w14:textId="77777777" w:rsidR="008508B4" w:rsidRDefault="008508B4" w:rsidP="004F7B49">
      <w:permStart w:id="1341936864" w:edGrp="everyone"/>
    </w:p>
    <w:p w14:paraId="6D8D4872" w14:textId="4E37BC60" w:rsidR="008508B4" w:rsidRDefault="008508B4" w:rsidP="008508B4">
      <w:r>
        <w:t xml:space="preserve">We </w:t>
      </w:r>
      <w:r w:rsidR="00D0299C">
        <w:t xml:space="preserve">would </w:t>
      </w:r>
      <w:r>
        <w:t xml:space="preserve">agree that when Revive action type is used, counterparties should also report any missed submissions of life-cycle events that would otherwise have been reportable during the period the contact way at a non-outstanding status. However, we </w:t>
      </w:r>
      <w:r w:rsidR="00D0299C">
        <w:t xml:space="preserve">would </w:t>
      </w:r>
      <w:r>
        <w:t>disagree with the need to report corrections as indicated in paragraph 109: “reports with action type ‘Correction’ to correct any specific values in the report.”</w:t>
      </w:r>
    </w:p>
    <w:p w14:paraId="4B429633" w14:textId="77777777" w:rsidR="00D0299C" w:rsidRDefault="00D0299C" w:rsidP="008508B4"/>
    <w:p w14:paraId="60213A9E" w14:textId="6416697D" w:rsidR="008508B4" w:rsidRDefault="008508B4" w:rsidP="008508B4">
      <w:r>
        <w:t>As stated in paragraph 109 (and also paragraph 204 of the Final Report) “when reporting ‘</w:t>
      </w:r>
      <w:proofErr w:type="gramStart"/>
      <w:r>
        <w:t>Revive</w:t>
      </w:r>
      <w:proofErr w:type="gramEnd"/>
      <w:r>
        <w:t>’ [counterparties] should provide all applicable details of the contract as of the time of revival.” Therefore, as the correct contract details at the time of reporting are populate</w:t>
      </w:r>
      <w:r w:rsidR="00DC5A6C">
        <w:t>d</w:t>
      </w:r>
      <w:r>
        <w:t xml:space="preserve"> in the Revive submission, there </w:t>
      </w:r>
      <w:r w:rsidR="00DC5A6C">
        <w:t>would</w:t>
      </w:r>
      <w:r>
        <w:t xml:space="preserve"> be no requirement to subsequently submit a ‘Correction’ message. </w:t>
      </w:r>
    </w:p>
    <w:p w14:paraId="4AD9D898" w14:textId="77777777" w:rsidR="00DC5A6C" w:rsidRDefault="00DC5A6C" w:rsidP="008508B4"/>
    <w:p w14:paraId="75D2AD51" w14:textId="4EDF3E6C" w:rsidR="008508B4" w:rsidRDefault="00976911" w:rsidP="008508B4">
      <w:r>
        <w:t>We can illustrate in the below</w:t>
      </w:r>
      <w:r w:rsidR="008508B4">
        <w:t xml:space="preserve"> example:</w:t>
      </w:r>
    </w:p>
    <w:p w14:paraId="2E4FE82D" w14:textId="2257268C" w:rsidR="008508B4" w:rsidRDefault="008508B4" w:rsidP="002F1E18">
      <w:pPr>
        <w:pStyle w:val="ListParagraph"/>
        <w:numPr>
          <w:ilvl w:val="0"/>
          <w:numId w:val="39"/>
        </w:numPr>
      </w:pPr>
      <w:r>
        <w:t>A contract is reported with an incorrect maturity date.</w:t>
      </w:r>
    </w:p>
    <w:p w14:paraId="4A8AC19E" w14:textId="046E8ED9" w:rsidR="008508B4" w:rsidRDefault="008508B4" w:rsidP="002F1E18">
      <w:pPr>
        <w:pStyle w:val="ListParagraph"/>
        <w:numPr>
          <w:ilvl w:val="0"/>
          <w:numId w:val="39"/>
        </w:numPr>
      </w:pPr>
      <w:r>
        <w:t>The contract is terminated in error before the maturity date is amended (via a Correction).</w:t>
      </w:r>
    </w:p>
    <w:p w14:paraId="483297E0" w14:textId="206AC0F9" w:rsidR="008508B4" w:rsidRDefault="008508B4" w:rsidP="002F1E18">
      <w:pPr>
        <w:pStyle w:val="ListParagraph"/>
        <w:numPr>
          <w:ilvl w:val="0"/>
          <w:numId w:val="39"/>
        </w:numPr>
      </w:pPr>
      <w:r>
        <w:t xml:space="preserve">The counterparty identifies the contract was terminated in error </w:t>
      </w:r>
      <w:proofErr w:type="gramStart"/>
      <w:r>
        <w:t>and also</w:t>
      </w:r>
      <w:proofErr w:type="gramEnd"/>
      <w:r>
        <w:t xml:space="preserve"> identifies that the maturity date was originally reported incorrectly. </w:t>
      </w:r>
    </w:p>
    <w:p w14:paraId="57F93F2B" w14:textId="3A79D564" w:rsidR="008508B4" w:rsidRDefault="008508B4" w:rsidP="002F1E18">
      <w:pPr>
        <w:pStyle w:val="ListParagraph"/>
        <w:numPr>
          <w:ilvl w:val="0"/>
          <w:numId w:val="39"/>
        </w:numPr>
      </w:pPr>
      <w:r>
        <w:t xml:space="preserve">The counterparty submits a Revive action type to move the trade back to an outstanding status. Because a Revive action type should reflect the trade details as of the time of revival, the correct maturity date is populated. </w:t>
      </w:r>
    </w:p>
    <w:p w14:paraId="0FF949D0" w14:textId="6EFC3B5C" w:rsidR="008508B4" w:rsidRDefault="008508B4" w:rsidP="002F1E18">
      <w:pPr>
        <w:pStyle w:val="ListParagraph"/>
        <w:numPr>
          <w:ilvl w:val="0"/>
          <w:numId w:val="39"/>
        </w:numPr>
      </w:pPr>
      <w:r>
        <w:t xml:space="preserve">The contact is now at an outstanding status and reflects the correct maturity date. Therefore, there will be no need to submit a Correction action type. </w:t>
      </w:r>
    </w:p>
    <w:p w14:paraId="42EE4670" w14:textId="77777777" w:rsidR="0017551F" w:rsidRDefault="0017551F" w:rsidP="008508B4"/>
    <w:p w14:paraId="58CC6A38" w14:textId="0B3B5891" w:rsidR="008508B4" w:rsidRDefault="008508B4" w:rsidP="008508B4">
      <w:r>
        <w:t xml:space="preserve">If </w:t>
      </w:r>
      <w:r w:rsidR="0017551F">
        <w:t xml:space="preserve">ESMA believes </w:t>
      </w:r>
      <w:r>
        <w:t xml:space="preserve">there are scenarios where a Correction action type is to be reported immediately after a Revive, we </w:t>
      </w:r>
      <w:r w:rsidR="0017551F">
        <w:t xml:space="preserve">would </w:t>
      </w:r>
      <w:r>
        <w:t xml:space="preserve">request </w:t>
      </w:r>
      <w:r w:rsidR="00006C87">
        <w:t xml:space="preserve">that </w:t>
      </w:r>
      <w:r>
        <w:t xml:space="preserve">examples are </w:t>
      </w:r>
      <w:proofErr w:type="gramStart"/>
      <w:r>
        <w:t>provided .</w:t>
      </w:r>
      <w:proofErr w:type="gramEnd"/>
    </w:p>
    <w:p w14:paraId="23B816B7" w14:textId="3513D3E4" w:rsidR="004F7B49" w:rsidRPr="004F7B49" w:rsidRDefault="004F7B49" w:rsidP="008508B4"/>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214DC7C8" w14:textId="77777777" w:rsidR="005B343F" w:rsidRDefault="005B343F" w:rsidP="004F7B49">
      <w:permStart w:id="1133980479" w:edGrp="everyone"/>
    </w:p>
    <w:p w14:paraId="2CCA81CC" w14:textId="50F80EE4" w:rsidR="005B343F" w:rsidRDefault="005B343F" w:rsidP="005B343F">
      <w:r>
        <w:t xml:space="preserve">The guidance in Table 5 is to report the Action type / Event type combination of ‘Modify’ and ‘Step-in’ “when a derivative or position with an existing UTI is modified due to a Step-in event.” For a full novation, the UTI would </w:t>
      </w:r>
      <w:proofErr w:type="gramStart"/>
      <w:r>
        <w:t>change</w:t>
      </w:r>
      <w:proofErr w:type="gramEnd"/>
      <w:r>
        <w:t xml:space="preserve"> and both the Stepping-out party and the Remaining party would both be required to report a termination. This is clarified in paragraph 41 of the consultation paper. </w:t>
      </w:r>
    </w:p>
    <w:p w14:paraId="57601472" w14:textId="77777777" w:rsidR="00314BD0" w:rsidRDefault="00314BD0" w:rsidP="005B343F"/>
    <w:p w14:paraId="6FE229C7" w14:textId="6BDE5218" w:rsidR="005B343F" w:rsidRDefault="005B343F" w:rsidP="005B343F">
      <w:r>
        <w:t xml:space="preserve">Therefore, we conclude that the combination of ‘Modify’ and ‘Step-in’ </w:t>
      </w:r>
      <w:r w:rsidR="00314BD0">
        <w:t>sh</w:t>
      </w:r>
      <w:r>
        <w:t>ould only be used for a partial novation (where the notional amount would also be reduced accordingly) and is not to be used to report full novation.</w:t>
      </w:r>
      <w:r w:rsidR="00314BD0">
        <w:t xml:space="preserve"> ESMA could clarify this point.</w:t>
      </w:r>
    </w:p>
    <w:p w14:paraId="66FC8814" w14:textId="77777777" w:rsidR="00314BD0" w:rsidRDefault="00314BD0" w:rsidP="005B343F"/>
    <w:p w14:paraId="5C4FCB6A" w14:textId="1AC8182D" w:rsidR="005B343F" w:rsidRDefault="005B343F" w:rsidP="005B343F">
      <w:r>
        <w:t xml:space="preserve">This same guidance in Table 5 mentioned above is inconsistent with footnote 15 on page 36, which reads “The term ‘Step-in’ is used as novation may refer also to updates to the terms of the trade that do not transfer the derivative to a different counterparty”. This footnote </w:t>
      </w:r>
      <w:r w:rsidR="001532E0">
        <w:t>does not consider</w:t>
      </w:r>
      <w:r>
        <w:t xml:space="preserve"> the transfer of a trade to a different counterparty, which would mean the Remaining Party should not use </w:t>
      </w:r>
      <w:r w:rsidR="001532E0">
        <w:t xml:space="preserve">the </w:t>
      </w:r>
      <w:r>
        <w:t>Event type ‘Step-in’ when reporting a novation event. We assume this is not the intention of the footnote as both Table 5 and Table 11 show that Event type ‘Step-in’ is to be used by the Remaining Party. Therefore, footnote 15 should presumably read “…refer also to updates to the terms of the trade including the transfer the derivative to a different counterparty”.</w:t>
      </w:r>
    </w:p>
    <w:p w14:paraId="1519A76A" w14:textId="77777777" w:rsidR="005B343F" w:rsidRDefault="005B343F" w:rsidP="004F7B49"/>
    <w:p w14:paraId="75E8751B" w14:textId="29D95585" w:rsidR="004F7B49" w:rsidRPr="004F7B49" w:rsidRDefault="004F7B49" w:rsidP="004F7B49"/>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2FB6C703" w14:textId="77777777" w:rsidR="00C06285" w:rsidRDefault="00C06285" w:rsidP="004F7B49">
      <w:permStart w:id="2094935916" w:edGrp="everyone"/>
    </w:p>
    <w:p w14:paraId="6A1E4592" w14:textId="338CB502" w:rsidR="00C06285" w:rsidRDefault="00C06285" w:rsidP="00C06285">
      <w:r>
        <w:lastRenderedPageBreak/>
        <w:t xml:space="preserve">Paragraph 122 refers to the prior UTI being populated in field 4 of Table 2. However, the prior UTI field is field 3 of Table 2. Presumably this is an error in the text, but we wanted to highlight </w:t>
      </w:r>
      <w:proofErr w:type="gramStart"/>
      <w:r>
        <w:t>this</w:t>
      </w:r>
      <w:proofErr w:type="gramEnd"/>
      <w:r>
        <w:t xml:space="preserve"> nonetheless.</w:t>
      </w:r>
    </w:p>
    <w:p w14:paraId="3808EE63" w14:textId="77777777" w:rsidR="00C06285" w:rsidRDefault="00C06285" w:rsidP="00C06285"/>
    <w:p w14:paraId="265FF025" w14:textId="77777777" w:rsidR="00C06285" w:rsidRDefault="00C06285" w:rsidP="00C06285">
      <w:r>
        <w:t>We agree that linking IDs should be reported only for their specific lifecycle events.</w:t>
      </w:r>
    </w:p>
    <w:p w14:paraId="12EDD01C" w14:textId="77777777" w:rsidR="00C06285" w:rsidRDefault="00C06285" w:rsidP="00C06285"/>
    <w:p w14:paraId="2AA6FF8D" w14:textId="222803E2" w:rsidR="004F7B49" w:rsidRPr="004F7B49" w:rsidRDefault="004F7B49" w:rsidP="00C06285"/>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77777777" w:rsidR="004F7B49" w:rsidRPr="004F7B49" w:rsidRDefault="004F7B49" w:rsidP="004F7B49">
      <w:permStart w:id="2030509467" w:edGrp="everyone"/>
      <w:r w:rsidRPr="004F7B49">
        <w:t>TYPE YOUR TEXT HERE</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10CA5873" w14:textId="77777777" w:rsidR="004F7B49" w:rsidRPr="004F7B49" w:rsidRDefault="004F7B49" w:rsidP="004F7B49">
      <w:permStart w:id="838819497" w:edGrp="everyone"/>
      <w:r w:rsidRPr="004F7B49">
        <w:t>TYPE YOUR TEXT HERE</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77777777" w:rsidR="004F7B49" w:rsidRPr="004F7B49" w:rsidRDefault="004F7B49" w:rsidP="004F7B49">
      <w:permStart w:id="487798687" w:edGrp="everyone"/>
      <w:r w:rsidRPr="004F7B49">
        <w:t>TYPE YOUR TEXT HERE</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77777777" w:rsidR="004F7B49" w:rsidRPr="004F7B49" w:rsidRDefault="004F7B49" w:rsidP="004F7B49">
      <w:permStart w:id="773726107" w:edGrp="everyone"/>
      <w:r w:rsidRPr="004F7B49">
        <w:t>TYPE YOUR TEXT HERE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77777777" w:rsidR="004F7B49" w:rsidRPr="004F7B49" w:rsidRDefault="004F7B49" w:rsidP="004F7B49">
      <w:permStart w:id="1903586040" w:edGrp="everyone"/>
      <w:r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3DB544CA" w14:textId="77777777" w:rsidR="007B0FAF" w:rsidRDefault="007B0FAF" w:rsidP="004F7B49">
      <w:permStart w:id="699138572" w:edGrp="everyone"/>
    </w:p>
    <w:p w14:paraId="2C1B52C8" w14:textId="77777777" w:rsidR="00482CB9" w:rsidRDefault="007B0FAF" w:rsidP="007B0FAF">
      <w:r>
        <w:t>In paragraph 178, ESMA states that the reporting of modifications should be delayed if the change is effective on a future date. We would disagree that any reportable events should be delayed until a future date</w:t>
      </w:r>
      <w:r w:rsidR="00482CB9">
        <w:t xml:space="preserve">. </w:t>
      </w:r>
      <w:proofErr w:type="gramStart"/>
      <w:r w:rsidR="00482CB9">
        <w:t>In</w:t>
      </w:r>
      <w:r>
        <w:t>stead</w:t>
      </w:r>
      <w:proofErr w:type="gramEnd"/>
      <w:r>
        <w:t xml:space="preserve"> the relevant report should be submitted at the time the event </w:t>
      </w:r>
      <w:r w:rsidR="00482CB9">
        <w:t xml:space="preserve">is </w:t>
      </w:r>
      <w:r>
        <w:t xml:space="preserve">agreed and the changes are made to the counterparties booking systems. </w:t>
      </w:r>
    </w:p>
    <w:p w14:paraId="4ED7B151" w14:textId="77777777" w:rsidR="00482CB9" w:rsidRDefault="00482CB9" w:rsidP="007B0FAF"/>
    <w:p w14:paraId="4CF427A8" w14:textId="3F7F0D06" w:rsidR="007B0FAF" w:rsidRDefault="00482CB9" w:rsidP="007B0FAF">
      <w:r>
        <w:t>W</w:t>
      </w:r>
      <w:r w:rsidR="007B0FAF">
        <w:t>ithhold</w:t>
      </w:r>
      <w:r>
        <w:t>ing</w:t>
      </w:r>
      <w:r w:rsidR="007B0FAF">
        <w:t xml:space="preserve"> reporting agreed lifecycle events </w:t>
      </w:r>
      <w:r>
        <w:t>would</w:t>
      </w:r>
      <w:r w:rsidR="007B0FAF">
        <w:t xml:space="preserve"> require all market participants to develop and implement processes that </w:t>
      </w:r>
      <w:r>
        <w:t>were</w:t>
      </w:r>
      <w:r w:rsidR="007B0FAF">
        <w:t xml:space="preserve"> able to identify when reporting should be delayed and on </w:t>
      </w:r>
      <w:r>
        <w:t>the</w:t>
      </w:r>
      <w:r w:rsidR="007B0FAF">
        <w:t xml:space="preserve"> future date </w:t>
      </w:r>
      <w:r>
        <w:t xml:space="preserve">of the </w:t>
      </w:r>
      <w:r w:rsidR="007B0FAF">
        <w:t xml:space="preserve">report. This will introduce additional cost and complexities to reporting </w:t>
      </w:r>
      <w:proofErr w:type="gramStart"/>
      <w:r w:rsidR="007B0FAF">
        <w:t>infrastructure, and</w:t>
      </w:r>
      <w:proofErr w:type="gramEnd"/>
      <w:r w:rsidR="007B0FAF">
        <w:t xml:space="preserve"> increase the risk of reporting errors and reconciliation breaks. </w:t>
      </w:r>
      <w:r w:rsidR="00F16E86">
        <w:t>Furthermore, th</w:t>
      </w:r>
      <w:r w:rsidR="007B0FAF">
        <w:t xml:space="preserve">ere would be no transparency benefits to delaying reporting of modifications, and it could be argued that by delaying reporting, </w:t>
      </w:r>
      <w:r w:rsidR="00B70534">
        <w:t xml:space="preserve">regulatory </w:t>
      </w:r>
      <w:r w:rsidR="007B0FAF">
        <w:t>transparency is hindered.</w:t>
      </w:r>
    </w:p>
    <w:p w14:paraId="0D5F7D18" w14:textId="77777777" w:rsidR="00F16E86" w:rsidRDefault="00F16E86" w:rsidP="007B0FAF"/>
    <w:p w14:paraId="6F30618F" w14:textId="06780C04" w:rsidR="001C3A5D" w:rsidRDefault="001C338F" w:rsidP="007B0FAF">
      <w:r>
        <w:t>Withholding</w:t>
      </w:r>
      <w:r w:rsidR="007B0FAF">
        <w:t xml:space="preserve"> modification events until the change is effective is inconsistent with how other lifecycle events are reported</w:t>
      </w:r>
      <w:r>
        <w:t>. F</w:t>
      </w:r>
      <w:r w:rsidR="007B0FAF">
        <w:t xml:space="preserve">or </w:t>
      </w:r>
      <w:r>
        <w:t>example,</w:t>
      </w:r>
      <w:r w:rsidR="007B0FAF">
        <w:t xml:space="preserve"> a </w:t>
      </w:r>
      <w:r w:rsidR="001C3A5D">
        <w:t>n</w:t>
      </w:r>
      <w:r w:rsidR="007B0FAF">
        <w:t xml:space="preserve">ew trade is reported as of the execution date </w:t>
      </w:r>
      <w:r w:rsidR="00B70534">
        <w:t xml:space="preserve">not the effective date, which can be well into the future, </w:t>
      </w:r>
      <w:r w:rsidR="007B0FAF">
        <w:t xml:space="preserve">and a termination is reported as of the date the termination is agreed even if the termination is </w:t>
      </w:r>
      <w:r w:rsidR="00B70534">
        <w:t xml:space="preserve">effective </w:t>
      </w:r>
      <w:r w:rsidR="007B0FAF">
        <w:t xml:space="preserve">in the future. Delaying the reporting of </w:t>
      </w:r>
      <w:proofErr w:type="gramStart"/>
      <w:r w:rsidR="007B0FAF">
        <w:t>modifications</w:t>
      </w:r>
      <w:proofErr w:type="gramEnd"/>
      <w:r w:rsidR="007B0FAF">
        <w:t xml:space="preserve"> therefore, would be inconsistent with how all other events are events are processe</w:t>
      </w:r>
      <w:r w:rsidR="0072539A">
        <w:t>s, again adding costs and complexity</w:t>
      </w:r>
      <w:r w:rsidR="007B0FAF">
        <w:t>.</w:t>
      </w:r>
    </w:p>
    <w:p w14:paraId="4DA229EE" w14:textId="4C8D98EC" w:rsidR="007B0FAF" w:rsidRDefault="007B0FAF" w:rsidP="007B0FAF">
      <w:r>
        <w:t xml:space="preserve"> </w:t>
      </w:r>
    </w:p>
    <w:p w14:paraId="612F6E65" w14:textId="0EADFF8B" w:rsidR="007B0FAF" w:rsidRDefault="007B0FAF" w:rsidP="007B0FAF">
      <w:r>
        <w:t xml:space="preserve">In addition to </w:t>
      </w:r>
      <w:r w:rsidR="0072539A">
        <w:t>this inconsistency</w:t>
      </w:r>
      <w:r>
        <w:t>, withholding modification events until the change is effective would mean that the reported position would not accurately reflect the outstanding contractual position</w:t>
      </w:r>
      <w:r w:rsidR="00480955">
        <w:t>. F</w:t>
      </w:r>
      <w:r>
        <w:t xml:space="preserve">or example </w:t>
      </w:r>
      <w:r w:rsidR="00E64B8E">
        <w:t xml:space="preserve">if there was </w:t>
      </w:r>
      <w:r>
        <w:t>a swap with 30 years remaining that has a cancellation effective in a week</w:t>
      </w:r>
      <w:r w:rsidR="00480955">
        <w:t xml:space="preserve"> </w:t>
      </w:r>
      <w:proofErr w:type="gramStart"/>
      <w:r w:rsidR="00B70534">
        <w:t>‘ time</w:t>
      </w:r>
      <w:proofErr w:type="gramEnd"/>
      <w:r w:rsidR="00B70534">
        <w:t xml:space="preserve">, </w:t>
      </w:r>
      <w:r>
        <w:t>following the next payment, the firm</w:t>
      </w:r>
      <w:r w:rsidR="00E64B8E">
        <w:t>’</w:t>
      </w:r>
      <w:r>
        <w:t xml:space="preserve">s exposure </w:t>
      </w:r>
      <w:r w:rsidR="00B70534">
        <w:t xml:space="preserve">is to just the next </w:t>
      </w:r>
      <w:r>
        <w:t xml:space="preserve">cashflow </w:t>
      </w:r>
      <w:r w:rsidR="00B70534">
        <w:t>(</w:t>
      </w:r>
      <w:r>
        <w:t>payment</w:t>
      </w:r>
      <w:r w:rsidR="00B70534">
        <w:t>)</w:t>
      </w:r>
      <w:r>
        <w:t xml:space="preserve">, not to the </w:t>
      </w:r>
      <w:r w:rsidR="00B70534">
        <w:t xml:space="preserve">risk associated to the </w:t>
      </w:r>
      <w:r>
        <w:t xml:space="preserve">whole of the remaining 30 years of the </w:t>
      </w:r>
      <w:r w:rsidR="00B70534">
        <w:t xml:space="preserve">previously remaining </w:t>
      </w:r>
      <w:r>
        <w:t>contract</w:t>
      </w:r>
      <w:r w:rsidR="00E64B8E">
        <w:t xml:space="preserve"> as would appear in the reported position.</w:t>
      </w:r>
    </w:p>
    <w:p w14:paraId="56D55B4A" w14:textId="77777777" w:rsidR="00E64B8E" w:rsidRDefault="00E64B8E" w:rsidP="007B0FAF"/>
    <w:p w14:paraId="29E3F95B" w14:textId="47A2931C" w:rsidR="004F7B49" w:rsidRDefault="007B0FAF" w:rsidP="007B0FAF">
      <w:r>
        <w:t xml:space="preserve">Delaying modification reporting until the effective date would potentially assist with the reconciliation against valuation reporting, but the reconciliation risks, processing complexity and inconsistency with other event types that would be introduced </w:t>
      </w:r>
      <w:r w:rsidR="00BF19B9">
        <w:t xml:space="preserve">would far </w:t>
      </w:r>
      <w:r>
        <w:t xml:space="preserve">outweigh any such benefits. Therefore, we </w:t>
      </w:r>
      <w:r w:rsidR="002E2FC8">
        <w:t xml:space="preserve">would </w:t>
      </w:r>
      <w:r>
        <w:t xml:space="preserve">propose that modifications should be reported as of the time they are agreed between the counterparties and not withheld if the modification is effective </w:t>
      </w:r>
      <w:proofErr w:type="gramStart"/>
      <w:r>
        <w:t>at a later date</w:t>
      </w:r>
      <w:proofErr w:type="gramEnd"/>
      <w:r>
        <w:t>.</w:t>
      </w:r>
    </w:p>
    <w:p w14:paraId="42F271E3" w14:textId="1552B730" w:rsidR="002E2FC8" w:rsidRDefault="002E2FC8" w:rsidP="007B0FAF"/>
    <w:p w14:paraId="214A7139" w14:textId="77777777" w:rsidR="002E2FC8" w:rsidRPr="004F7B49" w:rsidRDefault="002E2FC8" w:rsidP="007B0FAF"/>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74C05DF5" w14:textId="77777777" w:rsidR="003B6F84" w:rsidRDefault="003B6F84" w:rsidP="004F7B49">
      <w:permStart w:id="1905620869" w:edGrp="everyone"/>
    </w:p>
    <w:p w14:paraId="3092B82C" w14:textId="77777777" w:rsidR="003B6F84" w:rsidRDefault="003B6F84" w:rsidP="004F7B49">
      <w:r w:rsidRPr="003B6F84">
        <w:t>We agree with the specification of the Event date for different Action Types</w:t>
      </w:r>
      <w:r>
        <w:t>.</w:t>
      </w:r>
    </w:p>
    <w:p w14:paraId="49B54448" w14:textId="105D9D37" w:rsidR="004F7B49" w:rsidRDefault="004F7B49" w:rsidP="004F7B49"/>
    <w:p w14:paraId="72650F35" w14:textId="77777777" w:rsidR="003B6F84" w:rsidRPr="004F7B49" w:rsidRDefault="003B6F84" w:rsidP="004F7B49"/>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624C66C7" w14:textId="77777777" w:rsidR="00194FC6" w:rsidRDefault="00194FC6" w:rsidP="004F7B49">
      <w:permStart w:id="1579104281" w:edGrp="everyone"/>
    </w:p>
    <w:p w14:paraId="481459D2" w14:textId="77777777" w:rsidR="00194FC6" w:rsidRDefault="00194FC6" w:rsidP="00194FC6">
      <w:r>
        <w:t>Table 11 shows for a Full Novation, the Remaining Party should report a Modify and Step-in. However, the new trade between the Remaining Party and Stepping-in Party will be assigned a new UTI and therefore instead of reporting a Modify action type, the Remaining Party would need to:</w:t>
      </w:r>
    </w:p>
    <w:p w14:paraId="1B507CC7" w14:textId="77777777" w:rsidR="00FB2B50" w:rsidRDefault="00194FC6" w:rsidP="002F1E18">
      <w:pPr>
        <w:pStyle w:val="ListParagraph"/>
        <w:numPr>
          <w:ilvl w:val="0"/>
          <w:numId w:val="40"/>
        </w:numPr>
      </w:pPr>
      <w:r>
        <w:t xml:space="preserve">Terminate the original trade between the Remaining Party and Stepping-out Party with ‘Terminate’ and ‘Step-in’, </w:t>
      </w:r>
    </w:p>
    <w:p w14:paraId="11F27B14" w14:textId="5F355025" w:rsidR="00194FC6" w:rsidRDefault="00194FC6" w:rsidP="002F1E18">
      <w:pPr>
        <w:pStyle w:val="ListParagraph"/>
        <w:numPr>
          <w:ilvl w:val="0"/>
          <w:numId w:val="40"/>
        </w:numPr>
      </w:pPr>
      <w:r>
        <w:t>Report the new trade against the Stepping-in Party under the new UTI with ‘New’ and ‘Step-in’.</w:t>
      </w:r>
    </w:p>
    <w:p w14:paraId="1E686D48" w14:textId="77777777" w:rsidR="00194FC6" w:rsidRDefault="00194FC6" w:rsidP="00194FC6"/>
    <w:p w14:paraId="273533C8" w14:textId="77777777" w:rsidR="00194FC6" w:rsidRDefault="00194FC6" w:rsidP="00194FC6">
      <w:r>
        <w:t>This is specified in paragraph 41 of the consultation paper and we believe Table 11 should be amended accordingly.</w:t>
      </w:r>
    </w:p>
    <w:p w14:paraId="715E440A" w14:textId="1980743C" w:rsidR="00194FC6" w:rsidRDefault="00194FC6" w:rsidP="00194FC6">
      <w:r>
        <w:t xml:space="preserve">As </w:t>
      </w:r>
      <w:r w:rsidR="004827E2">
        <w:t>set out</w:t>
      </w:r>
      <w:r>
        <w:t xml:space="preserve"> in our answer to question 23, footnote 15 provides alternative guidance to Table 5 and Table 11, advising that the Remaining Party would not report a novation with Event type ‘Step-in’. Our assumption is that a Remaining Party is expected to use ‘Step-in’ Event type when reporting novation events</w:t>
      </w:r>
    </w:p>
    <w:p w14:paraId="69A2B72E" w14:textId="77777777" w:rsidR="00194FC6" w:rsidRDefault="00194FC6" w:rsidP="00194FC6"/>
    <w:p w14:paraId="56401C5B" w14:textId="225A495D" w:rsidR="004F7B49" w:rsidRPr="004F7B49" w:rsidRDefault="004F7B49" w:rsidP="00194FC6"/>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53F64BD8" w14:textId="77777777" w:rsidR="00994F90" w:rsidRDefault="00994F90" w:rsidP="004F7B49">
      <w:permStart w:id="1955139634" w:edGrp="everyone"/>
    </w:p>
    <w:p w14:paraId="6E9BFF8F" w14:textId="77777777" w:rsidR="00994F90" w:rsidRDefault="00994F90" w:rsidP="00994F90">
      <w:r>
        <w:t xml:space="preserve">Table 11 includes a scenario for Allocation where the original Block trade is reported with ‘Terminate/Modify’ and ‘Allocation’. However, the table does not include a Business Event for reporting the subsequent Allocation trades. These would presumably be in the ‘Trade events’ category and would be reported as ‘New’ and ‘Allocation’. </w:t>
      </w:r>
    </w:p>
    <w:p w14:paraId="5AA524F0" w14:textId="36C21D12" w:rsidR="00994F90" w:rsidRDefault="00480EA4" w:rsidP="00994F90">
      <w:r>
        <w:t>ESMA should</w:t>
      </w:r>
      <w:r w:rsidR="00994F90">
        <w:t xml:space="preserve"> include the reporting of Allocation trades in Table 11.</w:t>
      </w:r>
    </w:p>
    <w:p w14:paraId="6CD84FFA" w14:textId="2DB1135B" w:rsidR="004F7B49" w:rsidRDefault="004F7B49" w:rsidP="00994F90"/>
    <w:p w14:paraId="7D404DDE" w14:textId="77777777" w:rsidR="00994F90" w:rsidRPr="004F7B49" w:rsidRDefault="00994F90" w:rsidP="00994F90"/>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39A125B6" w14:textId="77777777" w:rsidR="004F7B49" w:rsidRPr="004F7B49" w:rsidRDefault="004F7B49" w:rsidP="004F7B49">
      <w:permStart w:id="1677329523" w:edGrp="everyone"/>
      <w:r w:rsidRPr="004F7B49">
        <w:t>TYPE YOUR TEXT HERE</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131E3C49" w14:textId="77777777" w:rsidR="00DF20D6" w:rsidRDefault="00DF20D6" w:rsidP="004F7B49">
      <w:permStart w:id="1383475364" w:edGrp="everyone"/>
    </w:p>
    <w:p w14:paraId="56B0FB8C" w14:textId="77777777" w:rsidR="006F7133" w:rsidRDefault="00DF20D6" w:rsidP="004F7B49">
      <w:r w:rsidRPr="00DF20D6">
        <w:t>Paragraph 4 of Article 7 in the draft ITS identifies that a third party can be identified as the UTI generator</w:t>
      </w:r>
      <w:r w:rsidR="006F7133">
        <w:t>:</w:t>
      </w:r>
      <w:r w:rsidRPr="00DF20D6">
        <w:t xml:space="preserve"> “Notwithstanding paragraph 2, the generation of the UTI can be delegated to an entity different from that determined in accordance with paragraph 2.” </w:t>
      </w:r>
    </w:p>
    <w:p w14:paraId="7BA67644" w14:textId="77777777" w:rsidR="006F7133" w:rsidRDefault="006F7133" w:rsidP="004F7B49"/>
    <w:p w14:paraId="0205AFA0" w14:textId="7C22EE3A" w:rsidR="00DF20D6" w:rsidRDefault="00DF20D6" w:rsidP="004F7B49">
      <w:r w:rsidRPr="00DF20D6">
        <w:t xml:space="preserve">This is not mentioned in the consultation, so we </w:t>
      </w:r>
      <w:r w:rsidR="006F7133">
        <w:t xml:space="preserve">would </w:t>
      </w:r>
      <w:r w:rsidRPr="00DF20D6">
        <w:t>recommend the guidance identifies the option to delegate UTI generation to a third party along with clarification of how UTI delegation would work alongside the UTI generation flowchart.</w:t>
      </w:r>
    </w:p>
    <w:p w14:paraId="0350FD98" w14:textId="3FA38A17" w:rsidR="004F7B49" w:rsidRDefault="004F7B49" w:rsidP="004F7B49"/>
    <w:p w14:paraId="7FF5699F" w14:textId="77777777" w:rsidR="00DF20D6" w:rsidRPr="004F7B49" w:rsidRDefault="00DF20D6" w:rsidP="004F7B49"/>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77777777" w:rsidR="004F7B49" w:rsidRPr="004F7B49" w:rsidRDefault="004F7B49" w:rsidP="004F7B49">
      <w:permStart w:id="1657813238" w:edGrp="everyone"/>
      <w:r w:rsidRPr="004F7B49">
        <w:t>TYPE YOUR TEXT HERE</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77777777" w:rsidR="004F7B49" w:rsidRPr="004F7B49" w:rsidRDefault="004F7B49" w:rsidP="004F7B49">
      <w:permStart w:id="1065617603" w:edGrp="everyone"/>
      <w:r w:rsidRPr="004F7B49">
        <w:t>TYPE YOUR TEXT HERE</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07D59DA2" w14:textId="77777777" w:rsidR="00A204B5" w:rsidRDefault="00A204B5" w:rsidP="004F7B49">
      <w:permStart w:id="739080107" w:edGrp="everyone"/>
    </w:p>
    <w:p w14:paraId="1701BF01" w14:textId="551ED664" w:rsidR="00A204B5" w:rsidRDefault="00A204B5" w:rsidP="00A204B5">
      <w:r>
        <w:t xml:space="preserve">Paragraph 218 confirms that the only case where Counterparty 1 or the entity responsible for reporting can successfully report with a lapsed LEI is for Action types ‘Terminate’ and ‘Error’. Were an entity with a lapsed LEI to report one of these Action types in error and move a trade to a non-outstanding status, it should be possible to revive the trade without having to re-new the LEI first. </w:t>
      </w:r>
    </w:p>
    <w:p w14:paraId="1B13985E" w14:textId="77777777" w:rsidR="00577330" w:rsidRDefault="00577330" w:rsidP="00A204B5"/>
    <w:p w14:paraId="268EE284" w14:textId="77777777" w:rsidR="00A204B5" w:rsidRDefault="00A204B5" w:rsidP="00A204B5">
      <w:r>
        <w:t>Therefore, we recommend that Action type ‘Revive’ is included as one of the Action types where a lapsed LEI is permitted.</w:t>
      </w:r>
    </w:p>
    <w:p w14:paraId="39A0C6C7" w14:textId="44D8C2DB" w:rsidR="004F7B49" w:rsidRDefault="004F7B49" w:rsidP="00A204B5"/>
    <w:p w14:paraId="4AB8179C" w14:textId="77777777" w:rsidR="00577330" w:rsidRPr="004F7B49" w:rsidRDefault="00577330" w:rsidP="00A204B5"/>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36EAB556" w14:textId="77777777" w:rsidR="00152323" w:rsidRDefault="00152323" w:rsidP="004F7B49">
      <w:permStart w:id="927873555" w:edGrp="everyone"/>
    </w:p>
    <w:p w14:paraId="3747E736" w14:textId="1C0BAD59" w:rsidR="006C21B4" w:rsidRDefault="006C21B4" w:rsidP="006C21B4">
      <w:r>
        <w:t>Clarification on the following points would be extremely helpful:</w:t>
      </w:r>
    </w:p>
    <w:p w14:paraId="2A9BED4C" w14:textId="77777777" w:rsidR="006C21B4" w:rsidRDefault="006C21B4" w:rsidP="002F1E18">
      <w:pPr>
        <w:pStyle w:val="ListParagraph"/>
        <w:numPr>
          <w:ilvl w:val="0"/>
          <w:numId w:val="41"/>
        </w:numPr>
      </w:pPr>
      <w:r>
        <w:t>Paragraph 228 refers to the communication expected between the “entity involved in the update and its TR”. A more specific definition for the ‘entity involved’ would provide additional clarity on the regulatory expectations.</w:t>
      </w:r>
    </w:p>
    <w:p w14:paraId="64C0DEA3" w14:textId="77777777" w:rsidR="006C21B4" w:rsidRDefault="006C21B4" w:rsidP="002F1E18">
      <w:pPr>
        <w:pStyle w:val="ListParagraph"/>
        <w:numPr>
          <w:ilvl w:val="0"/>
          <w:numId w:val="41"/>
        </w:numPr>
      </w:pPr>
      <w:r>
        <w:t xml:space="preserve">Paragraph 238 specifies “[t]he responsibility for indicating which UTIs are affected by the change should remain with the counterparties or entities responsible for reporting.” We request this is made more explicit as to whether TRs only need one counterparty or entity to indicate what UTIs are affected, or whether both counterparties </w:t>
      </w:r>
      <w:proofErr w:type="gramStart"/>
      <w:r>
        <w:t>or</w:t>
      </w:r>
      <w:proofErr w:type="gramEnd"/>
      <w:r>
        <w:t xml:space="preserve"> entities need to agree. The current wording in the guidance could be interpreted either way.</w:t>
      </w:r>
    </w:p>
    <w:p w14:paraId="0A1228F0" w14:textId="55B69C51" w:rsidR="00634C8A" w:rsidRDefault="006C21B4" w:rsidP="002F1E18">
      <w:pPr>
        <w:pStyle w:val="ListParagraph"/>
        <w:numPr>
          <w:ilvl w:val="0"/>
          <w:numId w:val="41"/>
        </w:numPr>
      </w:pPr>
      <w:r>
        <w:t xml:space="preserve">Paragraphs 239 to 241 says trades that were errored or terminated by mistake need to be revived prior to the corporate event, and if they are not revived before the event the counterparties need to re-report those trades with a new UTI. As expressed in our answer to question 21, a UTI is intended to be persisted for the full life of a trade. To generate a new UTI </w:t>
      </w:r>
      <w:r w:rsidR="00855D37">
        <w:t xml:space="preserve">in this way </w:t>
      </w:r>
      <w:r>
        <w:t>goes against one of the basic principles for global UTIs</w:t>
      </w:r>
      <w:r w:rsidR="00855D37">
        <w:t xml:space="preserve">, </w:t>
      </w:r>
      <w:r>
        <w:t>can lead to misreporting and have a negative impact on data quality. Therefore, we</w:t>
      </w:r>
      <w:r w:rsidR="00855D37">
        <w:t xml:space="preserve"> would</w:t>
      </w:r>
      <w:r>
        <w:t xml:space="preserve"> request that the requirement for new UTIs to be generated in the </w:t>
      </w:r>
      <w:proofErr w:type="gramStart"/>
      <w:r>
        <w:t>above mentioned</w:t>
      </w:r>
      <w:proofErr w:type="gramEnd"/>
      <w:r>
        <w:t xml:space="preserve"> scenario is removed from the guidance and that the UTI remains constant.</w:t>
      </w:r>
    </w:p>
    <w:p w14:paraId="0FB5E0D6" w14:textId="75B9476A" w:rsidR="006C21B4" w:rsidRDefault="006C21B4" w:rsidP="002F1E18">
      <w:pPr>
        <w:pStyle w:val="ListParagraph"/>
        <w:numPr>
          <w:ilvl w:val="0"/>
          <w:numId w:val="41"/>
        </w:numPr>
      </w:pPr>
      <w:r>
        <w:t xml:space="preserve">Paragraph 242 says TRs are to provide information on updated LEIs in a </w:t>
      </w:r>
      <w:proofErr w:type="gramStart"/>
      <w:r>
        <w:t>machine readable</w:t>
      </w:r>
      <w:proofErr w:type="gramEnd"/>
      <w:r>
        <w:t xml:space="preserve"> format. We request additional clarification on the expectations for the </w:t>
      </w:r>
      <w:proofErr w:type="gramStart"/>
      <w:r>
        <w:t>machine readable</w:t>
      </w:r>
      <w:proofErr w:type="gramEnd"/>
      <w:r>
        <w:t xml:space="preserve"> format, for example, what format should be used, how would it be communicated, etc.</w:t>
      </w:r>
    </w:p>
    <w:p w14:paraId="5FF5B19B" w14:textId="77777777" w:rsidR="00634C8A" w:rsidRDefault="00634C8A" w:rsidP="00634C8A"/>
    <w:p w14:paraId="08E57D5E" w14:textId="77777777" w:rsidR="00C94301" w:rsidRDefault="006C21B4" w:rsidP="006C21B4">
      <w:r>
        <w:t xml:space="preserve">Where a third party is being used for reporting services, paragraph 230 states “In case of delegation, the responsibility for communicating the change to the TR should belong to the report submitting entity.” This puts the responsibility to inform the TR of an LEI change on the third party, we believe that the intention is to ensure a trading party has performed due diligence in </w:t>
      </w:r>
      <w:proofErr w:type="gramStart"/>
      <w:r>
        <w:t>its</w:t>
      </w:r>
      <w:proofErr w:type="gramEnd"/>
      <w:r>
        <w:t xml:space="preserve"> know your client obligations, and as such the obligation should remain with the Entity Responsible for Reporting rather than the report submitting entity.</w:t>
      </w:r>
    </w:p>
    <w:p w14:paraId="4A4ECA43" w14:textId="67074342" w:rsidR="004F7B49" w:rsidRPr="004F7B49" w:rsidRDefault="004F7B49" w:rsidP="006C21B4"/>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77777777" w:rsidR="004F7B49" w:rsidRPr="004F7B49" w:rsidRDefault="004F7B49" w:rsidP="004F7B49">
      <w:permStart w:id="1741248523" w:edGrp="everyone"/>
      <w:r w:rsidRPr="004F7B49">
        <w:t>TYPE YOUR TEXT HERE</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lastRenderedPageBreak/>
        <w:t>&lt;ESMA_QUESTION_REPO_41&gt;</w:t>
      </w:r>
    </w:p>
    <w:p w14:paraId="7E9F2945" w14:textId="77777777" w:rsidR="00EC486A" w:rsidRDefault="00EC486A" w:rsidP="004F7B49">
      <w:permStart w:id="1829988511" w:edGrp="everyone"/>
    </w:p>
    <w:p w14:paraId="0DB6F95B" w14:textId="77777777" w:rsidR="00FA4583" w:rsidRDefault="00EC486A" w:rsidP="00EC486A">
      <w:r>
        <w:t xml:space="preserve">The UPI has been designed to be a global standard identifier and will be adopted by other jurisdictions as the product identifier. Paragraph 244 confirms derivatives admitted to trading or traded on a trading venue or a SI are to have an </w:t>
      </w:r>
      <w:proofErr w:type="gramStart"/>
      <w:r>
        <w:t>ISIN</w:t>
      </w:r>
      <w:proofErr w:type="gramEnd"/>
      <w:r w:rsidR="00FA4583">
        <w:t xml:space="preserve"> and</w:t>
      </w:r>
      <w:r>
        <w:t xml:space="preserve"> this </w:t>
      </w:r>
      <w:r w:rsidR="00FA4583">
        <w:t>is</w:t>
      </w:r>
      <w:r>
        <w:t xml:space="preserve"> to be reported instead of a UPI. </w:t>
      </w:r>
    </w:p>
    <w:p w14:paraId="7BDE707E" w14:textId="77777777" w:rsidR="00FA4583" w:rsidRDefault="00FA4583" w:rsidP="00EC486A"/>
    <w:p w14:paraId="3D2B1CF8" w14:textId="7441B58A" w:rsidR="00EC486A" w:rsidRDefault="00EC486A" w:rsidP="00EC486A">
      <w:r>
        <w:t>With many cont</w:t>
      </w:r>
      <w:r w:rsidR="00FA4583">
        <w:t>r</w:t>
      </w:r>
      <w:r>
        <w:t>acts in scope for</w:t>
      </w:r>
      <w:r w:rsidR="00FA4583">
        <w:t xml:space="preserve"> reporting in</w:t>
      </w:r>
      <w:r>
        <w:t xml:space="preserve"> multiple jurisdictions, derivatives </w:t>
      </w:r>
      <w:r w:rsidR="00FA4583">
        <w:t xml:space="preserve">will be </w:t>
      </w:r>
      <w:r>
        <w:t xml:space="preserve">reported with an ISIN for EMIR and with a UPI for other reporting regimes. This differing approach to the application of product identifiers introduces divergence between </w:t>
      </w:r>
      <w:r w:rsidR="00FA4583">
        <w:t>the EU</w:t>
      </w:r>
      <w:r>
        <w:t xml:space="preserve"> and</w:t>
      </w:r>
      <w:r w:rsidR="00224266">
        <w:t xml:space="preserve"> virtually all </w:t>
      </w:r>
      <w:r>
        <w:t>other jurisdictions that could be avoided if UPIs were to be reported for all OTC derivative contracts</w:t>
      </w:r>
      <w:r w:rsidR="00224266">
        <w:t xml:space="preserve"> in the European Union</w:t>
      </w:r>
      <w:r>
        <w:t>.</w:t>
      </w:r>
    </w:p>
    <w:p w14:paraId="3F17E330" w14:textId="77777777" w:rsidR="00FA4583" w:rsidRDefault="00FA4583" w:rsidP="00EC486A"/>
    <w:p w14:paraId="3A033720" w14:textId="4A06FBA9" w:rsidR="00EC486A" w:rsidRDefault="00EC486A" w:rsidP="00EC486A">
      <w:r>
        <w:t xml:space="preserve">Paragraph 246 advises only a valid CFI code should be </w:t>
      </w:r>
      <w:proofErr w:type="gramStart"/>
      <w:r>
        <w:t>reported, but</w:t>
      </w:r>
      <w:proofErr w:type="gramEnd"/>
      <w:r>
        <w:t xml:space="preserve"> goes on to say that if “the CFI does not exist in the official sources, then it should be agreed between the counterparties”. We believe that if the counterparties need to agree on the CFI code between themselves, it cannot be a valid CFI. </w:t>
      </w:r>
      <w:r w:rsidR="00FA4583">
        <w:t>Instead, we would</w:t>
      </w:r>
      <w:r>
        <w:t xml:space="preserve"> propose that the guidance should simply be to report a valid CFI and the second sentence in paragraph 246 </w:t>
      </w:r>
      <w:r w:rsidR="00FA4583">
        <w:t>should be</w:t>
      </w:r>
      <w:r>
        <w:t xml:space="preserve"> removed.</w:t>
      </w:r>
    </w:p>
    <w:p w14:paraId="2DA5E465" w14:textId="77777777" w:rsidR="00FA4583" w:rsidRDefault="00FA4583" w:rsidP="00EC486A"/>
    <w:p w14:paraId="7007F569" w14:textId="2DC2D7CD" w:rsidR="00EC486A" w:rsidRDefault="00FA4583" w:rsidP="00EC486A">
      <w:r>
        <w:t>More generally</w:t>
      </w:r>
      <w:r w:rsidR="00EC486A">
        <w:t xml:space="preserve">, the information available from CFI codes can be derived from both the UPI and ISIN. </w:t>
      </w:r>
      <w:r w:rsidR="002E46BA">
        <w:t xml:space="preserve">Arguably, </w:t>
      </w:r>
      <w:r w:rsidR="00EC486A">
        <w:t xml:space="preserve">reporting a CFI code in addition to the UPI or ISIN </w:t>
      </w:r>
      <w:r w:rsidR="002E46BA">
        <w:t>will</w:t>
      </w:r>
      <w:r w:rsidR="00EC486A">
        <w:t xml:space="preserve"> not provide </w:t>
      </w:r>
      <w:r w:rsidR="002E46BA">
        <w:t xml:space="preserve">any </w:t>
      </w:r>
      <w:r w:rsidR="00EC486A">
        <w:t xml:space="preserve">data that is not already available. </w:t>
      </w:r>
    </w:p>
    <w:p w14:paraId="586ABE53" w14:textId="77777777" w:rsidR="00EC486A" w:rsidRDefault="00EC486A" w:rsidP="00EC486A"/>
    <w:p w14:paraId="4B907723" w14:textId="26DD9EC7" w:rsidR="004F7B49" w:rsidRPr="004F7B49" w:rsidRDefault="004F7B49" w:rsidP="00EC486A"/>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37D90419" w14:textId="77777777" w:rsidR="00955E9D" w:rsidRDefault="00955E9D" w:rsidP="004F7B49">
      <w:permStart w:id="1913861282" w:edGrp="everyone"/>
    </w:p>
    <w:p w14:paraId="634F277C" w14:textId="7B6CD7FD" w:rsidR="00955E9D" w:rsidRDefault="00955E9D" w:rsidP="00955E9D">
      <w:r>
        <w:t xml:space="preserve">Paragraph 248 states that once UPIs are fully in place, reference data fields </w:t>
      </w:r>
      <w:r w:rsidR="00042F96">
        <w:t>will</w:t>
      </w:r>
      <w:r>
        <w:t xml:space="preserve"> not </w:t>
      </w:r>
      <w:r w:rsidR="00042F96">
        <w:t xml:space="preserve">be </w:t>
      </w:r>
      <w:r>
        <w:t>required to be reported if they are covered by the attributes of the UPI. We</w:t>
      </w:r>
      <w:r w:rsidR="00042F96">
        <w:t xml:space="preserve"> would</w:t>
      </w:r>
      <w:r>
        <w:t xml:space="preserve"> request clarification on whether this means reporting these reference data fields is not ‘required’ but can be populated if the counterparty wants </w:t>
      </w:r>
      <w:proofErr w:type="gramStart"/>
      <w:r>
        <w:t>to, or</w:t>
      </w:r>
      <w:proofErr w:type="gramEnd"/>
      <w:r>
        <w:t xml:space="preserve"> is not ‘allowed’ and would result in the message failing the validation checks.</w:t>
      </w:r>
    </w:p>
    <w:p w14:paraId="19A6F335" w14:textId="77777777" w:rsidR="00042F96" w:rsidRDefault="00042F96" w:rsidP="00955E9D"/>
    <w:p w14:paraId="6EAA9A68" w14:textId="4C710379" w:rsidR="00955E9D" w:rsidRDefault="00955E9D" w:rsidP="00955E9D">
      <w:r>
        <w:t xml:space="preserve">If the reference data fields can be reported if the counterparties prefer to do so, there could be a scenario where the data populated in the message fields do not match the data attributes of the UPI. </w:t>
      </w:r>
      <w:r w:rsidR="00107D4B">
        <w:t>For</w:t>
      </w:r>
      <w:r>
        <w:t xml:space="preserve"> this circumstance, </w:t>
      </w:r>
      <w:r w:rsidR="00107D4B">
        <w:t xml:space="preserve">ESMA should </w:t>
      </w:r>
      <w:r>
        <w:t xml:space="preserve">advise </w:t>
      </w:r>
      <w:r w:rsidR="00107D4B">
        <w:t xml:space="preserve">as to </w:t>
      </w:r>
      <w:r>
        <w:t xml:space="preserve">which value would take precedence and whether the message </w:t>
      </w:r>
      <w:r w:rsidR="00107D4B">
        <w:t>would be</w:t>
      </w:r>
      <w:r>
        <w:t xml:space="preserve"> expected to fail the validation checks. </w:t>
      </w:r>
    </w:p>
    <w:p w14:paraId="2C545907" w14:textId="77777777" w:rsidR="00427F20" w:rsidRDefault="00427F20" w:rsidP="00955E9D"/>
    <w:p w14:paraId="6F8B4CDA" w14:textId="77777777" w:rsidR="00D7323C" w:rsidRDefault="00955E9D" w:rsidP="00955E9D">
      <w:r>
        <w:t>Only derivatives reported with a UPI will not need to populate the reference data fields. However, except for a small number of exceptions, ISINs will be linked to a UPI and therefore it should be possible to collect the relevant reference data using the ISIN. Therefore, we request that ESMA consider permitting reference data fields to be left blank when either a UPI or an ISIN is reported.</w:t>
      </w:r>
    </w:p>
    <w:p w14:paraId="21F28A3C" w14:textId="6CE385A7" w:rsidR="00955E9D" w:rsidRDefault="00955E9D" w:rsidP="00955E9D">
      <w:r>
        <w:t xml:space="preserve"> </w:t>
      </w:r>
    </w:p>
    <w:p w14:paraId="70ADDC69" w14:textId="2B0B34EE" w:rsidR="00955E9D" w:rsidRDefault="00955E9D" w:rsidP="00955E9D">
      <w:r>
        <w:t xml:space="preserve">Paragraph 249 explains that the validation rules will be amended at a future time to accommodate UPI reference data. We welcome the proposed changes, but we urge caution that the updates should only be made after reporting has started under the new technical standards. This </w:t>
      </w:r>
      <w:r w:rsidR="004F21F5">
        <w:t>would</w:t>
      </w:r>
      <w:r>
        <w:t xml:space="preserve"> avoid market participants having to make alterations to reporting processes close to the go-live date.</w:t>
      </w:r>
    </w:p>
    <w:p w14:paraId="67FA5B7C" w14:textId="77777777" w:rsidR="004F21F5" w:rsidRDefault="004F21F5" w:rsidP="00955E9D"/>
    <w:p w14:paraId="58EDA653" w14:textId="7A70AB42" w:rsidR="00955E9D" w:rsidRDefault="00955E9D" w:rsidP="00955E9D">
      <w:r>
        <w:t xml:space="preserve">It is understood that only one of the ISIN or UPI should be reported. We propose that the validation rules are updated to make it clear that if an ISIN is populated in field 2.7, the UPI must not be reported, </w:t>
      </w:r>
      <w:proofErr w:type="gramStart"/>
      <w:r w:rsidR="004F21F5">
        <w:t>i.e</w:t>
      </w:r>
      <w:r>
        <w:t>.</w:t>
      </w:r>
      <w:proofErr w:type="gramEnd"/>
      <w:r>
        <w:t xml:space="preserve"> the validation rule for field 2.8 </w:t>
      </w:r>
      <w:r w:rsidR="004F21F5">
        <w:t>sh</w:t>
      </w:r>
      <w:r>
        <w:t>ould read “If the field 2.7 is populated, this field must be blank.”</w:t>
      </w:r>
    </w:p>
    <w:p w14:paraId="3B512BB8" w14:textId="77777777" w:rsidR="004F21F5" w:rsidRDefault="004F21F5" w:rsidP="00955E9D"/>
    <w:p w14:paraId="5ADD84C4" w14:textId="3F19D890" w:rsidR="00955E9D" w:rsidRDefault="00955E9D" w:rsidP="00955E9D">
      <w:r>
        <w:t xml:space="preserve">The validation rule for field 2.7 reads “If field 2.41 is populated with a MIC of a trading venue (RM, MTF or OTF), this field shall be populated.” We interpret this to mean that where the MIC is for an EU trading </w:t>
      </w:r>
      <w:r>
        <w:lastRenderedPageBreak/>
        <w:t xml:space="preserve">venue an ISIN should be populated, but in all other circumstances the UPI </w:t>
      </w:r>
      <w:r w:rsidR="004F21F5">
        <w:t>should be</w:t>
      </w:r>
      <w:r>
        <w:t xml:space="preserve"> reported. Therefore, if a MIC is reported for a non-EU trading venue, the UPI rather than the ISIN should be reported. We</w:t>
      </w:r>
      <w:r w:rsidR="00DE6A9B">
        <w:t xml:space="preserve"> would</w:t>
      </w:r>
      <w:r>
        <w:t xml:space="preserve"> request the guidance clarifies that the ‘MIC of a trading venue’ validation rule for ISIN applies to EU-trading venues only, and that the ISIN </w:t>
      </w:r>
      <w:r w:rsidR="00DE6A9B">
        <w:t>should be</w:t>
      </w:r>
      <w:r>
        <w:t xml:space="preserve"> left blank in all other circumstances.</w:t>
      </w:r>
    </w:p>
    <w:p w14:paraId="1DB17FDC" w14:textId="77777777" w:rsidR="00955E9D" w:rsidRDefault="00955E9D" w:rsidP="00955E9D"/>
    <w:p w14:paraId="65FED3D8" w14:textId="3D82CF4C" w:rsidR="004F7B49" w:rsidRPr="004F7B49" w:rsidRDefault="004F7B49" w:rsidP="00955E9D"/>
    <w:permEnd w:id="1913861282"/>
    <w:p w14:paraId="7C11EB4B" w14:textId="77777777"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7FA2B681" w14:textId="77777777" w:rsidR="00B542C9" w:rsidRDefault="00B542C9" w:rsidP="004F7B49">
      <w:permStart w:id="1935019154" w:edGrp="everyone"/>
    </w:p>
    <w:p w14:paraId="2E7F04C5" w14:textId="2E03CB68" w:rsidR="00B542C9" w:rsidRDefault="00B542C9" w:rsidP="004F7B49">
      <w:r>
        <w:t>We would like to see further c</w:t>
      </w:r>
      <w:r w:rsidRPr="00B542C9">
        <w:t xml:space="preserve">larification </w:t>
      </w:r>
      <w:r>
        <w:t>around</w:t>
      </w:r>
      <w:r w:rsidRPr="00B542C9">
        <w:t xml:space="preserve"> the reporting of the underlier for Credit trades. For example, are market participants to populate the underlying identification fields with the Reference Entity or the underl</w:t>
      </w:r>
      <w:r>
        <w:t>yi</w:t>
      </w:r>
      <w:r w:rsidRPr="00B542C9">
        <w:t xml:space="preserve">ng, and could this change </w:t>
      </w:r>
      <w:proofErr w:type="gramStart"/>
      <w:r w:rsidRPr="00B542C9">
        <w:t>depending</w:t>
      </w:r>
      <w:proofErr w:type="gramEnd"/>
      <w:r w:rsidRPr="00B542C9">
        <w:t xml:space="preserve"> on the product and/or circumstances</w:t>
      </w:r>
      <w:r>
        <w:t>.</w:t>
      </w:r>
      <w:r w:rsidRPr="00B542C9">
        <w:t xml:space="preserve"> </w:t>
      </w:r>
    </w:p>
    <w:p w14:paraId="1637D604" w14:textId="59E6BEB9" w:rsidR="004F7B49" w:rsidRPr="004F7B49" w:rsidRDefault="004F7B49" w:rsidP="004F7B49"/>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02A0DE9C" w14:textId="49AD4638" w:rsidR="006C343D" w:rsidRDefault="006C343D" w:rsidP="004F7B49">
      <w:permStart w:id="1780942797" w:edGrp="everyone"/>
    </w:p>
    <w:p w14:paraId="59570027" w14:textId="1E2903D4" w:rsidR="006C343D" w:rsidRDefault="006C343D" w:rsidP="006C343D">
      <w:r>
        <w:t>The CPMI IOSCO CDE guidance for ‘Notional Amount Schedule’ says this data is not required if the “end date of a given schedule’s period is back-to-back with the unadjusted effective date of the subsequent period”. However, the EMIR validation rules for the ‘end date’ of notional schedules are conditional on the notional amount schedule field being populated. For example, the field “End date of the notional amount of leg 1” has the validation rule of “If field 2.59 is populated, this field shall be populated”.</w:t>
      </w:r>
    </w:p>
    <w:p w14:paraId="2684951D" w14:textId="77777777" w:rsidR="006C343D" w:rsidRDefault="006C343D" w:rsidP="006C343D"/>
    <w:p w14:paraId="176BA8E4" w14:textId="26E5B723" w:rsidR="006C343D" w:rsidRDefault="006C343D" w:rsidP="006C343D">
      <w:r>
        <w:t>For EMIR reporting to align with the CDE guidance, we would propose that the validation rules for the ‘end date’ of notional schedule fields are only conditional if the notional amount field is populated and the end date is not back-to-back with the effective date of the subsequent period.</w:t>
      </w:r>
    </w:p>
    <w:p w14:paraId="1C07C23D" w14:textId="77777777" w:rsidR="006C343D" w:rsidRDefault="006C343D" w:rsidP="006C343D"/>
    <w:p w14:paraId="77D9D60D" w14:textId="70B35514" w:rsidR="004F7B49" w:rsidRPr="004F7B49" w:rsidRDefault="004F7B49" w:rsidP="004F7B49"/>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10A527A5" w14:textId="77777777" w:rsidR="000F253A" w:rsidRDefault="000F253A" w:rsidP="004F7B49">
      <w:permStart w:id="362359717" w:edGrp="everyone"/>
    </w:p>
    <w:p w14:paraId="0961E083" w14:textId="19F12AB2" w:rsidR="000F253A" w:rsidRDefault="000F253A" w:rsidP="004F7B49">
      <w:r w:rsidRPr="000F253A">
        <w:t xml:space="preserve">The </w:t>
      </w:r>
      <w:r w:rsidR="00F5358F">
        <w:t>T</w:t>
      </w:r>
      <w:r w:rsidRPr="000F253A">
        <w:t>otal notional quantity fields are mandatory for all products</w:t>
      </w:r>
      <w:r w:rsidR="008F56C0">
        <w:t>. H</w:t>
      </w:r>
      <w:r w:rsidRPr="000F253A">
        <w:t>owever, this data is only relevant for equity and commodity products</w:t>
      </w:r>
      <w:r w:rsidR="008F56C0">
        <w:t xml:space="preserve">. It </w:t>
      </w:r>
      <w:proofErr w:type="gramStart"/>
      <w:r w:rsidR="008F56C0">
        <w:t>is</w:t>
      </w:r>
      <w:r w:rsidR="00F5358F">
        <w:t>,</w:t>
      </w:r>
      <w:proofErr w:type="gramEnd"/>
      <w:r w:rsidR="00F5358F">
        <w:t xml:space="preserve"> therefore,</w:t>
      </w:r>
      <w:r w:rsidR="008F56C0">
        <w:t xml:space="preserve"> </w:t>
      </w:r>
      <w:r w:rsidR="00F5358F">
        <w:t xml:space="preserve">unclear </w:t>
      </w:r>
      <w:r w:rsidRPr="000F253A">
        <w:t xml:space="preserve">what value is to be reported for products in other asset classes. </w:t>
      </w:r>
      <w:r w:rsidR="00F5358F">
        <w:t>W</w:t>
      </w:r>
      <w:r w:rsidRPr="000F253A">
        <w:t>e</w:t>
      </w:r>
      <w:r w:rsidR="00F5358F">
        <w:t xml:space="preserve"> would</w:t>
      </w:r>
      <w:r w:rsidRPr="000F253A">
        <w:t xml:space="preserve"> propose that the Total notional quantity fields are conditional on the asset class being Equities or Commodities.</w:t>
      </w:r>
    </w:p>
    <w:p w14:paraId="6821F4B2" w14:textId="14B0A613" w:rsidR="004F7B49" w:rsidRPr="004F7B49" w:rsidRDefault="004F7B49" w:rsidP="004F7B49"/>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77777777" w:rsidR="004F7B49" w:rsidRPr="004F7B49" w:rsidRDefault="004F7B49" w:rsidP="004F7B49">
      <w:permStart w:id="465711427" w:edGrp="everyone"/>
      <w:r w:rsidRPr="004F7B49">
        <w:t>TYPE YOUR TEXT HERE</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35B965D2" w14:textId="77777777" w:rsidR="004F7B49" w:rsidRPr="004F7B49" w:rsidRDefault="004F7B49" w:rsidP="004F7B49">
      <w:permStart w:id="1867064134" w:edGrp="everyone"/>
      <w:r w:rsidRPr="004F7B49">
        <w:t>TYPE YOUR TEXT HERE</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77777777" w:rsidR="004F7B49" w:rsidRPr="004F7B49" w:rsidRDefault="004F7B49" w:rsidP="004F7B49">
      <w:permStart w:id="1506410867" w:edGrp="everyone"/>
      <w:r w:rsidRPr="004F7B49">
        <w:t>TYPE YOUR TEXT HERE</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203C1226" w14:textId="77777777" w:rsidR="004F7B49" w:rsidRPr="004F7B49" w:rsidRDefault="004F7B49" w:rsidP="004F7B49">
      <w:permStart w:id="912810068" w:edGrp="everyone"/>
      <w:r w:rsidRPr="004F7B49">
        <w:t>TYPE YOUR TEXT HERE</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bookmarkStart w:id="3" w:name="_Hlk83888342"/>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45852E67" w14:textId="77777777" w:rsidR="00B4310E" w:rsidRDefault="00B4310E" w:rsidP="004F7B49">
      <w:permStart w:id="747795471" w:edGrp="everyone"/>
    </w:p>
    <w:p w14:paraId="0E8922B2" w14:textId="77777777" w:rsidR="003A62F2" w:rsidRDefault="00B4310E" w:rsidP="00B4310E">
      <w:r>
        <w:t xml:space="preserve">Paragraph 320 states “…the counterparty executing the derivative should request the trading venue or the clearing house that matches the counterparties to disclose the identity of the other counterparty…” </w:t>
      </w:r>
    </w:p>
    <w:p w14:paraId="57431ECA" w14:textId="77777777" w:rsidR="003A62F2" w:rsidRDefault="003A62F2" w:rsidP="00B4310E"/>
    <w:p w14:paraId="4C8E8176" w14:textId="77775CF3" w:rsidR="00B4310E" w:rsidRDefault="003A62F2" w:rsidP="00B4310E">
      <w:r>
        <w:t>H</w:t>
      </w:r>
      <w:r w:rsidR="00B4310E">
        <w:t>owever, the CFTC No Name Give Up (NNGU) rule prohibits SEFs from “directly or indirectly, including through a third-party service provide, disclose the identity of a counterparty to a swap.”</w:t>
      </w:r>
      <w:r w:rsidR="00224266">
        <w:t xml:space="preserve"> For </w:t>
      </w:r>
      <w:r w:rsidR="00224266">
        <w:t xml:space="preserve">certain </w:t>
      </w:r>
      <w:r w:rsidR="00224266">
        <w:t xml:space="preserve">anonymous swaps </w:t>
      </w:r>
    </w:p>
    <w:p w14:paraId="57511DEA" w14:textId="77777777" w:rsidR="003A62F2" w:rsidRDefault="003A62F2" w:rsidP="00B4310E"/>
    <w:p w14:paraId="12097957" w14:textId="4CED8A8B" w:rsidR="00B4310E" w:rsidRDefault="003A62F2" w:rsidP="00B4310E">
      <w:r>
        <w:t xml:space="preserve">Clearly there is a </w:t>
      </w:r>
      <w:r w:rsidR="004D1C52">
        <w:t>conflict between the rules and clarification is required. F</w:t>
      </w:r>
      <w:r w:rsidR="00B4310E">
        <w:t>or ITBC trades anonymously executed on an organi</w:t>
      </w:r>
      <w:r>
        <w:t>s</w:t>
      </w:r>
      <w:r w:rsidR="00B4310E">
        <w:t>ed trading venue recogni</w:t>
      </w:r>
      <w:r>
        <w:t>s</w:t>
      </w:r>
      <w:r w:rsidR="00B4310E">
        <w:t xml:space="preserve">ed by the CFTC that are subject to US execution and reporting rules (by one or more trade parties), </w:t>
      </w:r>
      <w:r w:rsidR="004D1C52">
        <w:t>we believe there</w:t>
      </w:r>
      <w:r w:rsidR="00B4310E">
        <w:t xml:space="preserve"> are three choices:</w:t>
      </w:r>
    </w:p>
    <w:p w14:paraId="071FAAF7" w14:textId="77777777" w:rsidR="00A871CE" w:rsidRDefault="00B4310E" w:rsidP="002F1E18">
      <w:pPr>
        <w:pStyle w:val="ListParagraph"/>
        <w:numPr>
          <w:ilvl w:val="0"/>
          <w:numId w:val="42"/>
        </w:numPr>
      </w:pPr>
      <w:r w:rsidRPr="00A871CE">
        <w:rPr>
          <w:u w:val="single"/>
        </w:rPr>
        <w:t>Fail to comply with CFTC rules</w:t>
      </w:r>
      <w:r w:rsidRPr="004D1C52">
        <w:rPr>
          <w:b/>
          <w:bCs/>
        </w:rPr>
        <w:t>.</w:t>
      </w:r>
      <w:r>
        <w:t xml:space="preserve">  The reporting party is informed of the identity of the counterparty by either the SEF or their third-party service provider </w:t>
      </w:r>
      <w:proofErr w:type="gramStart"/>
      <w:r>
        <w:t>in order to</w:t>
      </w:r>
      <w:proofErr w:type="gramEnd"/>
      <w:r>
        <w:t xml:space="preserve"> report both parties to the trade in compliance with EMIR or </w:t>
      </w:r>
      <w:r w:rsidR="00245359">
        <w:t>similar</w:t>
      </w:r>
      <w:r>
        <w:t xml:space="preserve"> reporting requirements.  This would </w:t>
      </w:r>
      <w:r w:rsidR="00A871CE">
        <w:t>lead to</w:t>
      </w:r>
      <w:r>
        <w:t xml:space="preserve"> non-compliance with the NNGU rules that prohibit “directly or indirectly…</w:t>
      </w:r>
      <w:proofErr w:type="spellStart"/>
      <w:r>
        <w:t>disclos</w:t>
      </w:r>
      <w:proofErr w:type="spellEnd"/>
      <w:r>
        <w:t>[</w:t>
      </w:r>
      <w:proofErr w:type="spellStart"/>
      <w:r>
        <w:t>ing</w:t>
      </w:r>
      <w:proofErr w:type="spellEnd"/>
      <w:r>
        <w:t>] the identity of a counterparty” or</w:t>
      </w:r>
    </w:p>
    <w:p w14:paraId="01FE9FA5" w14:textId="77777777" w:rsidR="008D2CB9" w:rsidRDefault="00B4310E" w:rsidP="002F1E18">
      <w:pPr>
        <w:pStyle w:val="ListParagraph"/>
        <w:numPr>
          <w:ilvl w:val="0"/>
          <w:numId w:val="42"/>
        </w:numPr>
      </w:pPr>
      <w:r w:rsidRPr="00A871CE">
        <w:rPr>
          <w:u w:val="single"/>
        </w:rPr>
        <w:t>Fail to comply with EMIR</w:t>
      </w:r>
      <w:r w:rsidR="000A70BD">
        <w:rPr>
          <w:u w:val="single"/>
        </w:rPr>
        <w:t xml:space="preserve"> or similar </w:t>
      </w:r>
      <w:r w:rsidRPr="00A871CE">
        <w:rPr>
          <w:u w:val="single"/>
        </w:rPr>
        <w:t>rules.</w:t>
      </w:r>
      <w:r>
        <w:t xml:space="preserve">  The reporting party is not informed who the counterparty is </w:t>
      </w:r>
      <w:proofErr w:type="gramStart"/>
      <w:r>
        <w:t>in order to</w:t>
      </w:r>
      <w:proofErr w:type="gramEnd"/>
      <w:r>
        <w:t xml:space="preserve"> be compliant with the NNGU rules – thereby being non-compliant with reporting requirements in EMIR/EMIR-like jurisdictions.</w:t>
      </w:r>
      <w:r w:rsidR="00637754">
        <w:t xml:space="preserve"> There would be </w:t>
      </w:r>
      <w:r w:rsidR="008D2CB9">
        <w:t>two further potential outcomes:</w:t>
      </w:r>
    </w:p>
    <w:p w14:paraId="5C0076CF" w14:textId="77777777" w:rsidR="0041516A" w:rsidRDefault="00B4310E" w:rsidP="002F1E18">
      <w:pPr>
        <w:pStyle w:val="ListParagraph"/>
        <w:numPr>
          <w:ilvl w:val="1"/>
          <w:numId w:val="42"/>
        </w:numPr>
      </w:pPr>
      <w:r>
        <w:t xml:space="preserve">If trades are reported without a counterparty LEI, the </w:t>
      </w:r>
      <w:r w:rsidR="008D2CB9">
        <w:t xml:space="preserve">TRs </w:t>
      </w:r>
      <w:r>
        <w:t>outside the US will reject all the impacted trades as noncompliant because counterparty names are required by regulators, and regulators will lose visibility of all impacted trades</w:t>
      </w:r>
      <w:r w:rsidR="0041516A">
        <w:t>;</w:t>
      </w:r>
      <w:r>
        <w:t xml:space="preserve"> or </w:t>
      </w:r>
    </w:p>
    <w:p w14:paraId="239B3329" w14:textId="11BB6E53" w:rsidR="000A70BD" w:rsidRDefault="00B4310E" w:rsidP="002F1E18">
      <w:pPr>
        <w:pStyle w:val="ListParagraph"/>
        <w:numPr>
          <w:ilvl w:val="1"/>
          <w:numId w:val="42"/>
        </w:numPr>
      </w:pPr>
      <w:r>
        <w:t xml:space="preserve">If trades are reported with the counterparty identifier as a dummy identifier, or the LEI of the SEF or the CCP, the trades will be accepted by the TRs, but they will be reported in a manner generally not compliant with EMIR and </w:t>
      </w:r>
      <w:r w:rsidR="0041516A">
        <w:t>similar</w:t>
      </w:r>
      <w:r>
        <w:t xml:space="preserve"> rules.</w:t>
      </w:r>
    </w:p>
    <w:p w14:paraId="565CD077" w14:textId="77777777" w:rsidR="000A70BD" w:rsidRDefault="000A70BD" w:rsidP="00B4310E"/>
    <w:p w14:paraId="256E830F" w14:textId="117684AF" w:rsidR="00B4310E" w:rsidRDefault="00B4310E" w:rsidP="002F1E18">
      <w:pPr>
        <w:pStyle w:val="ListParagraph"/>
        <w:numPr>
          <w:ilvl w:val="0"/>
          <w:numId w:val="42"/>
        </w:numPr>
      </w:pPr>
      <w:r w:rsidRPr="005B48D5">
        <w:rPr>
          <w:u w:val="single"/>
        </w:rPr>
        <w:lastRenderedPageBreak/>
        <w:t>Comply with CFTC AND EMIR</w:t>
      </w:r>
      <w:r w:rsidR="005B48D5" w:rsidRPr="005B48D5">
        <w:rPr>
          <w:u w:val="single"/>
        </w:rPr>
        <w:t xml:space="preserve"> (or similar)</w:t>
      </w:r>
      <w:r w:rsidRPr="005B48D5">
        <w:rPr>
          <w:u w:val="single"/>
        </w:rPr>
        <w:t xml:space="preserve"> rules by executing on a non-US exempt SEF.</w:t>
      </w:r>
      <w:r>
        <w:t xml:space="preserve">  The parties </w:t>
      </w:r>
      <w:r w:rsidR="005B48D5">
        <w:t xml:space="preserve">would </w:t>
      </w:r>
      <w:r>
        <w:t>execute the transaction on an exempt SEF</w:t>
      </w:r>
      <w:r w:rsidR="005B48D5">
        <w:t xml:space="preserve"> (such as </w:t>
      </w:r>
      <w:r>
        <w:t>a CFTC-recognised MTF or OTF</w:t>
      </w:r>
      <w:r w:rsidR="005B48D5">
        <w:t>)</w:t>
      </w:r>
      <w:r>
        <w:t xml:space="preserve"> </w:t>
      </w:r>
      <w:bookmarkEnd w:id="3"/>
      <w:r>
        <w:t xml:space="preserve">whereby the </w:t>
      </w:r>
      <w:r w:rsidR="005B48D5">
        <w:t>venue</w:t>
      </w:r>
      <w:r>
        <w:t xml:space="preserve"> can comply with CFTC reporting rules since </w:t>
      </w:r>
      <w:r w:rsidR="005B48D5">
        <w:t xml:space="preserve">it </w:t>
      </w:r>
      <w:r>
        <w:t xml:space="preserve">is not subject to NNGU.  </w:t>
      </w:r>
      <w:r w:rsidR="005B48D5">
        <w:t>ESMA should</w:t>
      </w:r>
      <w:r>
        <w:t xml:space="preserve"> note that this is the only approach that ensures compliance with CFTC and EMIR</w:t>
      </w:r>
      <w:r w:rsidR="005B48D5">
        <w:t xml:space="preserve"> (or similar) </w:t>
      </w:r>
      <w:r>
        <w:t>rules.</w:t>
      </w:r>
    </w:p>
    <w:p w14:paraId="5E2839BE" w14:textId="77777777" w:rsidR="005B48D5" w:rsidRDefault="005B48D5" w:rsidP="00B4310E"/>
    <w:p w14:paraId="2BAA1323" w14:textId="6B292377" w:rsidR="004F7B49" w:rsidRDefault="00B4310E" w:rsidP="00B4310E">
      <w:r>
        <w:t xml:space="preserve">A significant proportion of the global swaps market will be affected by this issue. The scale of the issue will depend on how much of the OTC IRD SEF cleared flow is subject to both the anonymous trading and NNGU. Currently MarkitSERV observes that approximately two thirds of OTC Interest Rate Derivatives traded on a SEF are subject to at least one other jurisdiction besides the CFTC. </w:t>
      </w:r>
    </w:p>
    <w:p w14:paraId="24428EAF" w14:textId="77777777" w:rsidR="005B48D5" w:rsidRPr="004F7B49" w:rsidRDefault="005B48D5" w:rsidP="00B4310E"/>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77777777" w:rsidR="004F7B49" w:rsidRPr="004F7B49" w:rsidRDefault="004F7B49" w:rsidP="004F7B49">
      <w:permStart w:id="1616984997" w:edGrp="everyone"/>
      <w:r w:rsidRPr="004F7B49">
        <w:t>TYPE YOUR TEXT HERE</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1867F411" w14:textId="77777777" w:rsidR="007F564C" w:rsidRDefault="007F564C" w:rsidP="004F7B49">
      <w:permStart w:id="1495089631" w:edGrp="everyone"/>
    </w:p>
    <w:p w14:paraId="360FF673" w14:textId="77777777" w:rsidR="007F564C" w:rsidRDefault="007F564C" w:rsidP="007F564C">
      <w:r>
        <w:t>The guidelines and validation rules currently lead to duplicative reporting of the floating rate identifier. This should be simplified so that floating rates only need to be identified once. The duplicative reporting is as follows:</w:t>
      </w:r>
    </w:p>
    <w:p w14:paraId="5E8E074F" w14:textId="77777777" w:rsidR="007F564C" w:rsidRDefault="007F564C" w:rsidP="002F1E18">
      <w:pPr>
        <w:pStyle w:val="ListParagraph"/>
        <w:numPr>
          <w:ilvl w:val="0"/>
          <w:numId w:val="43"/>
        </w:numPr>
      </w:pPr>
      <w:r>
        <w:t xml:space="preserve">Paragraph 332 and the validation rules state that “Floating rates could be identified with an ISIN and/or with a 4-letter standardized code”. If the floating rate is identified with an ISIN, the 4-letter code should not be required. </w:t>
      </w:r>
    </w:p>
    <w:p w14:paraId="314226FA" w14:textId="25EF0B37" w:rsidR="007F564C" w:rsidRDefault="007F564C" w:rsidP="002F1E18">
      <w:pPr>
        <w:pStyle w:val="ListParagraph"/>
        <w:numPr>
          <w:ilvl w:val="0"/>
          <w:numId w:val="43"/>
        </w:numPr>
      </w:pPr>
      <w:r>
        <w:t>Paragraph 333 states that the official name of a floating rate should be reported in addition to reporting the ISIN or 4-letter code. This is a duplication of data already identified by the ISIN or 4-letter code.</w:t>
      </w:r>
    </w:p>
    <w:p w14:paraId="6D04E165" w14:textId="77777777" w:rsidR="00E522C3" w:rsidRDefault="00E522C3" w:rsidP="007F564C"/>
    <w:p w14:paraId="51DE14B1" w14:textId="4DF938CD" w:rsidR="007F564C" w:rsidRDefault="007F564C" w:rsidP="007F564C">
      <w:r>
        <w:t>The validation rules should be clear what fields are to be populated to identify the underlying floating rate, with only once such identifier field to be populated, with the others left blank. Without definitive clarification of such reporting requirements, there will be duplication of reported data and market participants may populate different identification fields which can lead to reconciliation breaks.</w:t>
      </w:r>
    </w:p>
    <w:p w14:paraId="6DD78141" w14:textId="77777777" w:rsidR="00721907" w:rsidRDefault="00721907" w:rsidP="007F564C"/>
    <w:p w14:paraId="4FCCBC44" w14:textId="3C83151B" w:rsidR="007F564C" w:rsidRDefault="007F564C" w:rsidP="007F564C">
      <w:r>
        <w:t xml:space="preserve">Therefore, we </w:t>
      </w:r>
      <w:r w:rsidR="00721907">
        <w:t xml:space="preserve">would </w:t>
      </w:r>
      <w:r>
        <w:t>propose the following changes:</w:t>
      </w:r>
    </w:p>
    <w:p w14:paraId="5EFCBA35" w14:textId="77777777" w:rsidR="00721907" w:rsidRDefault="007F564C" w:rsidP="002F1E18">
      <w:pPr>
        <w:pStyle w:val="ListParagraph"/>
        <w:numPr>
          <w:ilvl w:val="0"/>
          <w:numId w:val="44"/>
        </w:numPr>
      </w:pPr>
      <w:r>
        <w:t xml:space="preserve">Guidance and validation rules should be updated so that a floating rate is identified by an ISIN or a 4-letter code, (not “and/or”), </w:t>
      </w:r>
      <w:proofErr w:type="gramStart"/>
      <w:r>
        <w:t>i.e.</w:t>
      </w:r>
      <w:proofErr w:type="gramEnd"/>
      <w:r>
        <w:t xml:space="preserve"> if there is an ISIN for the floating rate, that should be reported in field 2.14 and field 2.85 can be left blank. </w:t>
      </w:r>
    </w:p>
    <w:p w14:paraId="721D31EE" w14:textId="594FA1BD" w:rsidR="007F564C" w:rsidRDefault="007F564C" w:rsidP="002F1E18">
      <w:pPr>
        <w:pStyle w:val="ListParagraph"/>
        <w:numPr>
          <w:ilvl w:val="0"/>
          <w:numId w:val="44"/>
        </w:numPr>
      </w:pPr>
      <w:r>
        <w:t xml:space="preserve">Guidance and validation rules should be updated so that the official name of a floating rate (fields 2.85 and 2.101) </w:t>
      </w:r>
      <w:proofErr w:type="gramStart"/>
      <w:r>
        <w:t>are</w:t>
      </w:r>
      <w:proofErr w:type="gramEnd"/>
      <w:r>
        <w:t xml:space="preserve"> only to be reported when both the ISIN field (2.14) and the 4-letter code field(s) (2.84 and 2.100) are blank.</w:t>
      </w:r>
    </w:p>
    <w:p w14:paraId="792F5FFD" w14:textId="77777777" w:rsidR="00721907" w:rsidRDefault="00721907" w:rsidP="007F564C"/>
    <w:p w14:paraId="651171AB" w14:textId="20806856" w:rsidR="007F564C" w:rsidRDefault="007F564C" w:rsidP="007F564C">
      <w:r>
        <w:t>We also note inaccuracies within the validation rules for identifying floating rate:</w:t>
      </w:r>
    </w:p>
    <w:p w14:paraId="0D835535" w14:textId="77777777" w:rsidR="00721907" w:rsidRDefault="007F564C" w:rsidP="002F1E18">
      <w:pPr>
        <w:pStyle w:val="ListParagraph"/>
        <w:numPr>
          <w:ilvl w:val="0"/>
          <w:numId w:val="45"/>
        </w:numPr>
      </w:pPr>
      <w:r>
        <w:lastRenderedPageBreak/>
        <w:t xml:space="preserve">Field 2.13 (Underlying identification type) has the validation condition “If field 2.11 is populated with "INTR", at least one of the following fields shall be populated: 2.13, 2.79, 2.84.” </w:t>
      </w:r>
    </w:p>
    <w:p w14:paraId="32B5D3A3" w14:textId="77777777" w:rsidR="00721907" w:rsidRDefault="007F564C" w:rsidP="002F1E18">
      <w:pPr>
        <w:pStyle w:val="ListParagraph"/>
        <w:numPr>
          <w:ilvl w:val="0"/>
          <w:numId w:val="45"/>
        </w:numPr>
      </w:pPr>
      <w:r>
        <w:t>However, this validation rule for field 2.79, refers to field 2.85 (Name of the floating rate of leg 1), and not 2.84 (Indicator of the floating rate of leg 1).</w:t>
      </w:r>
    </w:p>
    <w:p w14:paraId="748CBB96" w14:textId="34A82C3C" w:rsidR="007F564C" w:rsidRDefault="007F564C" w:rsidP="002F1E18">
      <w:pPr>
        <w:pStyle w:val="ListParagraph"/>
        <w:numPr>
          <w:ilvl w:val="0"/>
          <w:numId w:val="45"/>
        </w:numPr>
      </w:pPr>
      <w:r>
        <w:t xml:space="preserve">Field 2.85 has the same validation rule as 2.79, </w:t>
      </w:r>
      <w:proofErr w:type="gramStart"/>
      <w:r>
        <w:t>i.e.</w:t>
      </w:r>
      <w:proofErr w:type="gramEnd"/>
      <w:r>
        <w:t xml:space="preserve"> the conditionality is based on the fields 2.13, 2.79 and 2.85, (not 2.84).</w:t>
      </w:r>
    </w:p>
    <w:p w14:paraId="79740EDA" w14:textId="77777777" w:rsidR="00721907" w:rsidRDefault="00721907" w:rsidP="007F564C"/>
    <w:p w14:paraId="382014C1" w14:textId="3935BC55" w:rsidR="004F7B49" w:rsidRDefault="007F564C" w:rsidP="007F564C">
      <w:r>
        <w:t>The validation rules for fields 2.13, 2.79 and 2.85 should consistently refer to the same fields, and we believe the validation rule for field 2.13 needs to replace “2.84” with”2.85”.</w:t>
      </w:r>
    </w:p>
    <w:p w14:paraId="5D86CBA3" w14:textId="173F265A" w:rsidR="00224266" w:rsidRDefault="00224266" w:rsidP="007F564C"/>
    <w:p w14:paraId="6CAF0104" w14:textId="799331E0" w:rsidR="00224266" w:rsidRPr="00224266" w:rsidRDefault="00224266" w:rsidP="007F564C">
      <w:r w:rsidRPr="00224266">
        <w:t>ESMA had previously issued Q</w:t>
      </w:r>
      <w:r>
        <w:t xml:space="preserve">&amp;A to address this, which now appears to be contradicted. </w:t>
      </w:r>
    </w:p>
    <w:p w14:paraId="12E696FC" w14:textId="77777777" w:rsidR="00721907" w:rsidRPr="00224266" w:rsidRDefault="00721907" w:rsidP="007F564C"/>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1C066CD1" w14:textId="77777777" w:rsidR="00050D22" w:rsidRDefault="00050D22" w:rsidP="004F7B49">
      <w:permStart w:id="1012694255" w:edGrp="everyone"/>
    </w:p>
    <w:p w14:paraId="56E43405" w14:textId="47D9816C" w:rsidR="00050D22" w:rsidRDefault="00050D22" w:rsidP="00050D22">
      <w:r>
        <w:t xml:space="preserve">One of the types of ‘other payments’ is </w:t>
      </w:r>
      <w:proofErr w:type="gramStart"/>
      <w:r>
        <w:t>Principle</w:t>
      </w:r>
      <w:proofErr w:type="gramEnd"/>
      <w:r>
        <w:t xml:space="preserve"> Exchange, which is to be reported for cross currency swaps. Typically, a cross currency swap will have an initial </w:t>
      </w:r>
      <w:proofErr w:type="gramStart"/>
      <w:r>
        <w:t>principle</w:t>
      </w:r>
      <w:proofErr w:type="gramEnd"/>
      <w:r>
        <w:t xml:space="preserve"> exchange at the start of the trade (the effective date) and a final principle exchange at the end of the trade (the maturity date). The guidance clarifies that other payments should only be reported for the event the payment pertains to. </w:t>
      </w:r>
    </w:p>
    <w:p w14:paraId="7E46F07C" w14:textId="77777777" w:rsidR="00050D22" w:rsidRDefault="00050D22" w:rsidP="00050D22"/>
    <w:p w14:paraId="0BAC8AC5" w14:textId="77777777" w:rsidR="00050D22" w:rsidRDefault="00050D22" w:rsidP="00050D22">
      <w:r>
        <w:t xml:space="preserve">Based on the guidance provided, our interpretation of the reporting requirements for cross currency swaps is to report the initial </w:t>
      </w:r>
      <w:proofErr w:type="gramStart"/>
      <w:r>
        <w:t>principle</w:t>
      </w:r>
      <w:proofErr w:type="gramEnd"/>
      <w:r>
        <w:t xml:space="preserve"> exchange on a New trade message. However, it is unclear when or if to report the final </w:t>
      </w:r>
      <w:proofErr w:type="gramStart"/>
      <w:r>
        <w:t>principle</w:t>
      </w:r>
      <w:proofErr w:type="gramEnd"/>
      <w:r>
        <w:t xml:space="preserve"> exchange. For example:</w:t>
      </w:r>
    </w:p>
    <w:p w14:paraId="491876EB" w14:textId="77777777" w:rsidR="00050D22" w:rsidRDefault="00050D22" w:rsidP="002F1E18">
      <w:pPr>
        <w:pStyle w:val="ListParagraph"/>
        <w:numPr>
          <w:ilvl w:val="0"/>
          <w:numId w:val="46"/>
        </w:numPr>
      </w:pPr>
      <w:r>
        <w:t xml:space="preserve">A cross currency swap is traded on 1 November 2021, with an effective date of 3 November, and a maturity date of 3 November 2036. The initial </w:t>
      </w:r>
      <w:proofErr w:type="gramStart"/>
      <w:r>
        <w:t>principle</w:t>
      </w:r>
      <w:proofErr w:type="gramEnd"/>
      <w:r>
        <w:t xml:space="preserve"> exchange will take place on 3 November 2021 and the final principle exchange will take place on 3 November 2036.</w:t>
      </w:r>
    </w:p>
    <w:p w14:paraId="196AA09E" w14:textId="77777777" w:rsidR="00050D22" w:rsidRDefault="00050D22" w:rsidP="002F1E18">
      <w:pPr>
        <w:pStyle w:val="ListParagraph"/>
        <w:numPr>
          <w:ilvl w:val="0"/>
          <w:numId w:val="46"/>
        </w:numPr>
      </w:pPr>
      <w:r>
        <w:t xml:space="preserve">The initial </w:t>
      </w:r>
      <w:proofErr w:type="gramStart"/>
      <w:r>
        <w:t>principle</w:t>
      </w:r>
      <w:proofErr w:type="gramEnd"/>
      <w:r>
        <w:t xml:space="preserve"> Exchange will be included on the New trade message.</w:t>
      </w:r>
    </w:p>
    <w:p w14:paraId="0559C35F" w14:textId="5DE44652" w:rsidR="00050D22" w:rsidRDefault="00050D22" w:rsidP="002F1E18">
      <w:pPr>
        <w:pStyle w:val="ListParagraph"/>
        <w:numPr>
          <w:ilvl w:val="0"/>
          <w:numId w:val="46"/>
        </w:numPr>
      </w:pPr>
      <w:r>
        <w:t xml:space="preserve">Would the final principle Exchange be </w:t>
      </w:r>
      <w:proofErr w:type="gramStart"/>
      <w:r>
        <w:t>reported:</w:t>
      </w:r>
      <w:proofErr w:type="gramEnd"/>
    </w:p>
    <w:p w14:paraId="5FA8B66D" w14:textId="2AA0854C" w:rsidR="00050D22" w:rsidRDefault="00050D22" w:rsidP="002F1E18">
      <w:pPr>
        <w:pStyle w:val="ListParagraph"/>
        <w:numPr>
          <w:ilvl w:val="0"/>
          <w:numId w:val="47"/>
        </w:numPr>
      </w:pPr>
      <w:r>
        <w:t>On the New trade message with the ‘Other payment date’ populated with 3 November 2036?</w:t>
      </w:r>
    </w:p>
    <w:p w14:paraId="666B6629" w14:textId="6B267B6A" w:rsidR="00050D22" w:rsidRDefault="00050D22" w:rsidP="002F1E18">
      <w:pPr>
        <w:pStyle w:val="ListParagraph"/>
        <w:numPr>
          <w:ilvl w:val="0"/>
          <w:numId w:val="47"/>
        </w:numPr>
      </w:pPr>
      <w:r>
        <w:t>At maturity when the payment is made. However, the maturity of trades is not a reportable event.</w:t>
      </w:r>
    </w:p>
    <w:p w14:paraId="413B28AF" w14:textId="3E59844C" w:rsidR="00050D22" w:rsidRDefault="00050D22" w:rsidP="002F1E18">
      <w:pPr>
        <w:pStyle w:val="ListParagraph"/>
        <w:numPr>
          <w:ilvl w:val="0"/>
          <w:numId w:val="47"/>
        </w:numPr>
      </w:pPr>
      <w:r>
        <w:t xml:space="preserve">Not report the final </w:t>
      </w:r>
      <w:proofErr w:type="gramStart"/>
      <w:r>
        <w:t>principle</w:t>
      </w:r>
      <w:proofErr w:type="gramEnd"/>
      <w:r>
        <w:t xml:space="preserve"> exchange at all as it can be inferred from the initial principle exchange reported.</w:t>
      </w:r>
    </w:p>
    <w:p w14:paraId="6D331FBE" w14:textId="77777777" w:rsidR="00050D22" w:rsidRDefault="00050D22" w:rsidP="00050D22"/>
    <w:p w14:paraId="159489BC" w14:textId="14667604" w:rsidR="00050D22" w:rsidRDefault="00050D22" w:rsidP="00050D22">
      <w:r>
        <w:t xml:space="preserve">Clarification of the reporting expectations for reporting both the initial and final </w:t>
      </w:r>
      <w:proofErr w:type="gramStart"/>
      <w:r>
        <w:t>principle</w:t>
      </w:r>
      <w:proofErr w:type="gramEnd"/>
      <w:r>
        <w:t xml:space="preserve"> exchanges will be required.</w:t>
      </w:r>
    </w:p>
    <w:p w14:paraId="1BE09E02" w14:textId="77777777" w:rsidR="00050D22" w:rsidRDefault="00050D22" w:rsidP="00050D22"/>
    <w:p w14:paraId="7E74A1B2" w14:textId="131A61A2" w:rsidR="00050D22" w:rsidRDefault="00050D22" w:rsidP="00050D22">
      <w:r>
        <w:t>For forward starting cross currency swaps, where one notional is calculated as MTM, only the constant notional currency value would be known upfront for the reporting of the initial exchange, as such the initial exchange value of the MTM currency should not be mandatory.</w:t>
      </w:r>
    </w:p>
    <w:p w14:paraId="76205273" w14:textId="77777777" w:rsidR="00050D22" w:rsidRDefault="00050D22" w:rsidP="00050D22"/>
    <w:p w14:paraId="3936BE3F" w14:textId="77777777" w:rsidR="00050D22" w:rsidRDefault="00050D22" w:rsidP="00050D22">
      <w:r>
        <w:t>Similarly, the final exchange value of the MTM currency leg would also not be known upfront, and as such the final exchange value of the MTM currency should not be mandatory.</w:t>
      </w:r>
    </w:p>
    <w:p w14:paraId="62C91D04" w14:textId="042D59A5" w:rsidR="004F7B49" w:rsidRPr="004F7B49" w:rsidRDefault="004F7B49" w:rsidP="00050D22"/>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15FDAF5" w14:textId="77777777" w:rsidR="00BF3D22" w:rsidRDefault="00BF3D22" w:rsidP="004F7B49">
      <w:permStart w:id="1840729095" w:edGrp="everyone"/>
    </w:p>
    <w:p w14:paraId="380242D6" w14:textId="77777777" w:rsidR="00C14C71" w:rsidRDefault="00BF3D22" w:rsidP="00BF3D22">
      <w:proofErr w:type="spellStart"/>
      <w:r>
        <w:t>Novations</w:t>
      </w:r>
      <w:proofErr w:type="spellEnd"/>
      <w:r>
        <w:t>:</w:t>
      </w:r>
    </w:p>
    <w:p w14:paraId="05F12784" w14:textId="5673EAC4" w:rsidR="00BF3D22" w:rsidRDefault="00BF3D22" w:rsidP="00BF3D22">
      <w:r>
        <w:t xml:space="preserve"> </w:t>
      </w:r>
    </w:p>
    <w:p w14:paraId="130BACDD" w14:textId="482785F0" w:rsidR="00BF3D22" w:rsidRDefault="00BF3D22" w:rsidP="00BF3D22">
      <w:r>
        <w:lastRenderedPageBreak/>
        <w:t>For new trades (between Remaining Party/ Transferee or Transferee 1/ Transferee 2), either</w:t>
      </w:r>
      <w:r w:rsidR="00C14C71">
        <w:t>:</w:t>
      </w:r>
      <w:r>
        <w:t xml:space="preserve"> (1) if the effective date of the trade is in the past, then report the Novation Date of the novation agreement</w:t>
      </w:r>
      <w:r w:rsidR="00C14C71">
        <w:t>;</w:t>
      </w:r>
      <w:r>
        <w:t xml:space="preserve"> or (2) if the effective date of the trade is a future date and is yet to occur (</w:t>
      </w:r>
      <w:proofErr w:type="gramStart"/>
      <w:r>
        <w:t>i.e.</w:t>
      </w:r>
      <w:proofErr w:type="gramEnd"/>
      <w:r>
        <w:t xml:space="preserve"> a forward starting swap which has been novated between the Trade Date and the Effective Date), then report that future effective date of the trade.</w:t>
      </w:r>
    </w:p>
    <w:p w14:paraId="2F4A178A" w14:textId="77777777" w:rsidR="00C14C71" w:rsidRDefault="00C14C71" w:rsidP="00BF3D22"/>
    <w:p w14:paraId="41F348F7" w14:textId="77777777" w:rsidR="00BF3D22" w:rsidRDefault="00BF3D22" w:rsidP="00BF3D22">
      <w:r>
        <w:t>For partial novation between Remaining Party and the Transferor, the original Effective Date for the transaction is reported.</w:t>
      </w:r>
    </w:p>
    <w:p w14:paraId="69DF86AD" w14:textId="77777777" w:rsidR="00C14C71" w:rsidRDefault="00C14C71" w:rsidP="00BF3D22"/>
    <w:p w14:paraId="65D00295" w14:textId="77777777" w:rsidR="00C14C71" w:rsidRDefault="00BF3D22" w:rsidP="00BF3D22">
      <w:r>
        <w:t>Cash-settled commodities should reflect the effective date as specified on the confirmation</w:t>
      </w:r>
      <w:r w:rsidR="00C14C71">
        <w:t>.</w:t>
      </w:r>
    </w:p>
    <w:p w14:paraId="31728FBF" w14:textId="77777777" w:rsidR="00C14C71" w:rsidRDefault="00C14C71" w:rsidP="00BF3D22"/>
    <w:p w14:paraId="7890A346" w14:textId="13016722" w:rsidR="004F7B49" w:rsidRPr="004F7B49" w:rsidRDefault="004F7B49" w:rsidP="00BF3D22"/>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1E6A6164" w14:textId="77777777" w:rsidR="004F7B49" w:rsidRPr="004F7B49" w:rsidRDefault="004F7B49" w:rsidP="004F7B49">
      <w:permStart w:id="1317166044" w:edGrp="everyone"/>
      <w:r w:rsidRPr="004F7B49">
        <w:t>TYPE YOUR TEXT HERE</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64E7066B" w14:textId="77777777" w:rsidR="00A72282" w:rsidRDefault="00A72282" w:rsidP="004F7B49">
      <w:permStart w:id="595292525" w:edGrp="everyone"/>
    </w:p>
    <w:p w14:paraId="32F4745A" w14:textId="7B5B6A6E" w:rsidR="00A72282" w:rsidRDefault="00A72282" w:rsidP="00A72282">
      <w:r>
        <w:t xml:space="preserve">Paragraph 356 says that a package should be reported in its entirety, including any elements that would otherwise be non-reportable under EMIR. We are concerned that this will lead to non-derivative instruments being reported as OTC trades. For example, if a package trade is made up of OTC derivatives (in-scope for EMIR) and a Bond (out of scope for EMIR), the guidance requires the Bond to be reported. However, this cannot be done without submitted erroneous and misleading data, which will not be useful to regulators or to market participants. It is also likely that this will lead to a high level of reconciliation breaks as there will not be a standard way to report such instruments </w:t>
      </w:r>
      <w:proofErr w:type="gramStart"/>
      <w:r>
        <w:t>given</w:t>
      </w:r>
      <w:proofErr w:type="gramEnd"/>
      <w:r>
        <w:t xml:space="preserve"> they are out of scope for EMIR.</w:t>
      </w:r>
    </w:p>
    <w:p w14:paraId="6C5C87DB" w14:textId="77777777" w:rsidR="00A72282" w:rsidRDefault="00A72282" w:rsidP="00A72282"/>
    <w:p w14:paraId="0B1D828E" w14:textId="2AC8CFA3" w:rsidR="00A72282" w:rsidRDefault="00A72282" w:rsidP="00A72282">
      <w:proofErr w:type="gramStart"/>
      <w:r>
        <w:t>In order for</w:t>
      </w:r>
      <w:proofErr w:type="gramEnd"/>
      <w:r>
        <w:t xml:space="preserve"> the integrity of data being submitted for EMIR to be retained and to avoid inevitable erroneous reconciliation breaks, the non-reportable element of a package trade should not be reported. Only the elements of package trades that are in-scope for EMIR should be reported.</w:t>
      </w:r>
    </w:p>
    <w:p w14:paraId="1F21A56A" w14:textId="05AE5761" w:rsidR="004F7B49" w:rsidRDefault="004F7B49" w:rsidP="00A72282"/>
    <w:p w14:paraId="0C5AEA73" w14:textId="77777777" w:rsidR="00A72282" w:rsidRPr="004F7B49" w:rsidRDefault="00A72282" w:rsidP="00A72282"/>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001084BA" w14:textId="77777777" w:rsidR="002B0B08" w:rsidRDefault="002B0B08" w:rsidP="004F7B49">
      <w:permStart w:id="1789417857" w:edGrp="everyone"/>
    </w:p>
    <w:p w14:paraId="6A9DDB3E" w14:textId="77777777" w:rsidR="002B0B08" w:rsidRDefault="002B0B08" w:rsidP="004F7B49">
      <w:r w:rsidRPr="002B0B08">
        <w:lastRenderedPageBreak/>
        <w:t xml:space="preserve">Our preference is Alternative A. Using the average monthly numbers will capture more systematic errors and issues that arise and be less susceptible to issues that get resolved within a day, particularly where those errors are rectified within the reporting </w:t>
      </w:r>
      <w:proofErr w:type="gramStart"/>
      <w:r w:rsidRPr="002B0B08">
        <w:t>deadline..</w:t>
      </w:r>
      <w:proofErr w:type="gramEnd"/>
    </w:p>
    <w:p w14:paraId="1F222C78" w14:textId="44F0D3E2" w:rsidR="004F7B49" w:rsidRPr="004F7B49" w:rsidRDefault="004F7B49" w:rsidP="004F7B49"/>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77777777" w:rsidR="004F7B49" w:rsidRPr="004F7B49" w:rsidRDefault="004F7B49" w:rsidP="004F7B49">
      <w:permStart w:id="36243596" w:edGrp="everyone"/>
      <w:r w:rsidRPr="004F7B49">
        <w:t>TYPE YOUR TEXT HERE</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0185C2C8" w14:textId="77777777" w:rsidR="004F7B49" w:rsidRPr="004F7B49" w:rsidRDefault="004F7B49" w:rsidP="004F7B49">
      <w:permStart w:id="1418361629" w:edGrp="everyone"/>
      <w:r w:rsidRPr="004F7B49">
        <w:t>TYPE YOUR TEXT HERE</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1AF63FF3" w14:textId="77777777" w:rsidR="004F7B49" w:rsidRPr="004F7B49" w:rsidRDefault="004F7B49" w:rsidP="004F7B49">
      <w:permStart w:id="817460526" w:edGrp="everyone"/>
      <w:r w:rsidRPr="004F7B49">
        <w:t>TYPE YOUR TEXT HERE</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653B35AB" w14:textId="77777777" w:rsidR="00C12C65" w:rsidRDefault="00C12C65" w:rsidP="004F7B49">
      <w:permStart w:id="302869040" w:edGrp="everyone"/>
    </w:p>
    <w:p w14:paraId="41335AC6" w14:textId="77777777" w:rsidR="00E966F8" w:rsidRDefault="00C12C65" w:rsidP="00C12C65">
      <w:r>
        <w:t xml:space="preserve">Industry best practices have been produced to determine the leg 1 and leg 2 of swap trades. These are captured within the published best practice document (https://www.isda.org/2020/03/03/emir-reporting-best-practices/). We </w:t>
      </w:r>
      <w:r w:rsidR="00E966F8">
        <w:t xml:space="preserve">would suggest that </w:t>
      </w:r>
      <w:r>
        <w:t>these best practices are captured within the guidance document so that they are adopted consistently by market participants.</w:t>
      </w:r>
    </w:p>
    <w:p w14:paraId="78028169" w14:textId="48FA30EA" w:rsidR="00C12C65" w:rsidRDefault="00C12C65" w:rsidP="00C12C65">
      <w:r>
        <w:t xml:space="preserve"> </w:t>
      </w:r>
    </w:p>
    <w:p w14:paraId="132B94DB" w14:textId="07360B41" w:rsidR="00C12C65" w:rsidRDefault="00C12C65" w:rsidP="00C12C65">
      <w:r>
        <w:t xml:space="preserve">As previously identified </w:t>
      </w:r>
      <w:r w:rsidR="00E966F8">
        <w:t>in our</w:t>
      </w:r>
      <w:r>
        <w:t xml:space="preserve"> response to question 54, we believe that reporting a floating rate ISIN, 4-letter code and the full name is duplicative reporting and </w:t>
      </w:r>
      <w:r w:rsidR="00E966F8">
        <w:t>un</w:t>
      </w:r>
      <w:r>
        <w:t xml:space="preserve">necessary. As noted in paragraph 468 of the </w:t>
      </w:r>
      <w:proofErr w:type="gramStart"/>
      <w:r>
        <w:t>guidelines</w:t>
      </w:r>
      <w:proofErr w:type="gramEnd"/>
      <w:r>
        <w:t xml:space="preserve"> consultation, data fields are designed to provide the required information “without any unnecessary repetition”. The current proposal in the </w:t>
      </w:r>
      <w:proofErr w:type="gramStart"/>
      <w:r>
        <w:t>guidelines</w:t>
      </w:r>
      <w:proofErr w:type="gramEnd"/>
      <w:r>
        <w:t xml:space="preserve"> however, can result in a floating rate value being reporting three times.</w:t>
      </w:r>
    </w:p>
    <w:p w14:paraId="09FA44D8" w14:textId="50E53793" w:rsidR="00C12C65" w:rsidRDefault="00C12C65" w:rsidP="00C12C65">
      <w:r>
        <w:t xml:space="preserve">As an alternative, we </w:t>
      </w:r>
      <w:proofErr w:type="spellStart"/>
      <w:r w:rsidR="00E966F8">
        <w:t>proose</w:t>
      </w:r>
      <w:proofErr w:type="spellEnd"/>
      <w:r w:rsidR="00E966F8">
        <w:t xml:space="preserve"> that a</w:t>
      </w:r>
      <w:r>
        <w:t xml:space="preserve"> waterfall logic should be followed for determining how to identify a floating rate as follows:</w:t>
      </w:r>
    </w:p>
    <w:p w14:paraId="595B3C52" w14:textId="77777777" w:rsidR="00E966F8" w:rsidRDefault="00C12C65" w:rsidP="002F1E18">
      <w:pPr>
        <w:pStyle w:val="ListParagraph"/>
        <w:numPr>
          <w:ilvl w:val="0"/>
          <w:numId w:val="48"/>
        </w:numPr>
      </w:pPr>
      <w:r>
        <w:t>If the floating rate has an ISIN, report the ISIN in field 2.14 and fields 2.84 and 2.85 are left blank. If there is no ISIN, then:</w:t>
      </w:r>
    </w:p>
    <w:p w14:paraId="79F12C23" w14:textId="77777777" w:rsidR="00E966F8" w:rsidRDefault="00C12C65" w:rsidP="002F1E18">
      <w:pPr>
        <w:pStyle w:val="ListParagraph"/>
        <w:numPr>
          <w:ilvl w:val="0"/>
          <w:numId w:val="48"/>
        </w:numPr>
      </w:pPr>
      <w:r>
        <w:t>If the floating rate can be identified by one of the 4-letter codes, report the relevant code in field 2.84, and field 2.85 is left blank. If there is not a 4-letter code, then:</w:t>
      </w:r>
    </w:p>
    <w:p w14:paraId="0C33165B" w14:textId="4AF37C37" w:rsidR="00C12C65" w:rsidRDefault="00C12C65" w:rsidP="002F1E18">
      <w:pPr>
        <w:pStyle w:val="ListParagraph"/>
        <w:numPr>
          <w:ilvl w:val="0"/>
          <w:numId w:val="48"/>
        </w:numPr>
      </w:pPr>
      <w:r>
        <w:t>Report the full name of the floating rate in field 2.85.</w:t>
      </w:r>
    </w:p>
    <w:p w14:paraId="0FBA3580" w14:textId="77777777" w:rsidR="00C12C65" w:rsidRDefault="00C12C65" w:rsidP="00C12C65"/>
    <w:p w14:paraId="7BA5E8C2" w14:textId="75A321C6" w:rsidR="004F7B49" w:rsidRPr="004F7B49" w:rsidRDefault="004F7B49" w:rsidP="00C12C65"/>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436CEDE9" w14:textId="77777777" w:rsidR="00604486" w:rsidRDefault="00604486" w:rsidP="004F7B49">
      <w:permStart w:id="1828462512" w:edGrp="everyone"/>
    </w:p>
    <w:p w14:paraId="0F45AA4C" w14:textId="1BE902CF" w:rsidR="00604486" w:rsidRDefault="00604486" w:rsidP="00604486">
      <w:r>
        <w:t>The guidance for reporting the dates for FRA trades is in line with the Q&amp;A, but we would request additional clarification for Effective Date and Maturity Date.</w:t>
      </w:r>
    </w:p>
    <w:p w14:paraId="657D62C1" w14:textId="77777777" w:rsidR="00604486" w:rsidRDefault="00604486" w:rsidP="00604486"/>
    <w:p w14:paraId="7EA2EA04" w14:textId="551D70CE" w:rsidR="00604486" w:rsidRPr="00604486" w:rsidRDefault="00604486" w:rsidP="00604486">
      <w:pPr>
        <w:rPr>
          <w:u w:val="single"/>
        </w:rPr>
      </w:pPr>
      <w:r w:rsidRPr="00604486">
        <w:rPr>
          <w:u w:val="single"/>
        </w:rPr>
        <w:t>Effective Date</w:t>
      </w:r>
    </w:p>
    <w:p w14:paraId="25096137" w14:textId="77777777" w:rsidR="00604486" w:rsidRDefault="00604486" w:rsidP="00604486"/>
    <w:p w14:paraId="4AF89570" w14:textId="476F70C1" w:rsidR="00604486" w:rsidRDefault="00604486" w:rsidP="00604486">
      <w:r>
        <w:t xml:space="preserve">The guidance advises this date would be the “same as the date part of the execution timestamp” unless the counterparties agree to postpone. The guidance suggests the reported Effective Date would match the date reported for Execution Timestamp. </w:t>
      </w:r>
    </w:p>
    <w:p w14:paraId="19457D13" w14:textId="77777777" w:rsidR="005A1DB8" w:rsidRDefault="005A1DB8" w:rsidP="00604486"/>
    <w:p w14:paraId="3D89B870" w14:textId="77777777" w:rsidR="00604486" w:rsidRDefault="00604486" w:rsidP="00604486">
      <w:r>
        <w:t xml:space="preserve">However, this agreement to postpone can be interpreted to mean the future date on which the obligation between the parties arises. This is the date the industry would reference as an Effective Date of </w:t>
      </w:r>
      <w:proofErr w:type="gramStart"/>
      <w:r>
        <w:t>a</w:t>
      </w:r>
      <w:proofErr w:type="gramEnd"/>
      <w:r>
        <w:t xml:space="preserve"> FRA. </w:t>
      </w:r>
    </w:p>
    <w:p w14:paraId="677576DA" w14:textId="130C0599" w:rsidR="00604486" w:rsidRDefault="00604486" w:rsidP="00604486">
      <w:r>
        <w:t xml:space="preserve">As an example, </w:t>
      </w:r>
      <w:r w:rsidR="005A1DB8">
        <w:t>an</w:t>
      </w:r>
      <w:r>
        <w:t xml:space="preserve"> FRA </w:t>
      </w:r>
      <w:r w:rsidR="005A1DB8">
        <w:t xml:space="preserve">con be considered with </w:t>
      </w:r>
      <w:r>
        <w:t>the following details</w:t>
      </w:r>
      <w:r w:rsidR="005A1DB8">
        <w:t xml:space="preserve"> entered</w:t>
      </w:r>
      <w:r>
        <w:t>:</w:t>
      </w:r>
    </w:p>
    <w:p w14:paraId="205D850E" w14:textId="4F3F7D5F" w:rsidR="00604486" w:rsidRDefault="00604486" w:rsidP="002F1E18">
      <w:pPr>
        <w:pStyle w:val="ListParagraph"/>
        <w:numPr>
          <w:ilvl w:val="0"/>
          <w:numId w:val="49"/>
        </w:numPr>
      </w:pPr>
      <w:r>
        <w:t>Executed on 22 February</w:t>
      </w:r>
    </w:p>
    <w:p w14:paraId="3EC6273A" w14:textId="51B98798" w:rsidR="00604486" w:rsidRDefault="00604486" w:rsidP="002F1E18">
      <w:pPr>
        <w:pStyle w:val="ListParagraph"/>
        <w:numPr>
          <w:ilvl w:val="0"/>
          <w:numId w:val="49"/>
        </w:numPr>
      </w:pPr>
      <w:r>
        <w:t>Fixing Date (2 day fixing) 20 May</w:t>
      </w:r>
    </w:p>
    <w:p w14:paraId="52DBBE4D" w14:textId="5593A324" w:rsidR="00604486" w:rsidRDefault="00604486" w:rsidP="002F1E18">
      <w:pPr>
        <w:pStyle w:val="ListParagraph"/>
        <w:numPr>
          <w:ilvl w:val="0"/>
          <w:numId w:val="49"/>
        </w:numPr>
      </w:pPr>
      <w:r>
        <w:t>Effective Date (3M) 22 May</w:t>
      </w:r>
    </w:p>
    <w:p w14:paraId="53206ED5" w14:textId="1BE67C83" w:rsidR="00604486" w:rsidRDefault="00604486" w:rsidP="002F1E18">
      <w:pPr>
        <w:pStyle w:val="ListParagraph"/>
        <w:numPr>
          <w:ilvl w:val="0"/>
          <w:numId w:val="49"/>
        </w:numPr>
      </w:pPr>
      <w:r>
        <w:t>Maturity Date (6M) 22 August</w:t>
      </w:r>
    </w:p>
    <w:p w14:paraId="1E48B992" w14:textId="5C5F07C3" w:rsidR="00604486" w:rsidRDefault="00604486" w:rsidP="002F1E18">
      <w:pPr>
        <w:pStyle w:val="ListParagraph"/>
        <w:numPr>
          <w:ilvl w:val="0"/>
          <w:numId w:val="49"/>
        </w:numPr>
      </w:pPr>
      <w:r>
        <w:t>Settlement Date 22 May</w:t>
      </w:r>
    </w:p>
    <w:p w14:paraId="44B9B31C" w14:textId="77777777" w:rsidR="005A1DB8" w:rsidRDefault="005A1DB8" w:rsidP="00604486"/>
    <w:p w14:paraId="6703E7DC" w14:textId="62AB40FD" w:rsidR="00604486" w:rsidRDefault="00604486" w:rsidP="00604486">
      <w:r>
        <w:t>In this example, would the Effective Date be reported as 22 February or 22 May</w:t>
      </w:r>
      <w:r w:rsidR="00D32E20">
        <w:t>?</w:t>
      </w:r>
    </w:p>
    <w:p w14:paraId="5EE921B8" w14:textId="77777777" w:rsidR="00D32E20" w:rsidRDefault="00D32E20" w:rsidP="00604486"/>
    <w:p w14:paraId="1BE2CA40" w14:textId="77777777" w:rsidR="00604486" w:rsidRDefault="00604486" w:rsidP="00604486">
      <w:r>
        <w:t>For reference, the CPMI IOSCO CDE guidance says Effective Date is the date “as included on the confirmation”. In the above example, we believe this would be shown as 22 May.</w:t>
      </w:r>
    </w:p>
    <w:p w14:paraId="3CD2B2E4" w14:textId="77777777" w:rsidR="00D32E20" w:rsidRDefault="00D32E20" w:rsidP="00604486"/>
    <w:p w14:paraId="6675BF3B" w14:textId="30BF7AB1" w:rsidR="00604486" w:rsidRPr="00D32E20" w:rsidRDefault="00604486" w:rsidP="00604486">
      <w:pPr>
        <w:rPr>
          <w:u w:val="single"/>
        </w:rPr>
      </w:pPr>
      <w:r w:rsidRPr="00D32E20">
        <w:rPr>
          <w:u w:val="single"/>
        </w:rPr>
        <w:t>Maturity Date</w:t>
      </w:r>
    </w:p>
    <w:p w14:paraId="1063220D" w14:textId="77777777" w:rsidR="00D32E20" w:rsidRDefault="00D32E20" w:rsidP="00604486"/>
    <w:p w14:paraId="2297AEAA" w14:textId="77777777" w:rsidR="00D32E20" w:rsidRDefault="00604486" w:rsidP="00604486">
      <w:r>
        <w:t>The guidance says this is “the date on which the exposures between the counterparties are extinguished”. This is interpreted as the fixing date of the FRA, which in the above example would be 20 May.</w:t>
      </w:r>
    </w:p>
    <w:p w14:paraId="4E362D4C" w14:textId="22FB6D2A" w:rsidR="00604486" w:rsidRDefault="00604486" w:rsidP="00604486">
      <w:r>
        <w:t xml:space="preserve"> </w:t>
      </w:r>
    </w:p>
    <w:p w14:paraId="0F74A7E9" w14:textId="77777777" w:rsidR="00604486" w:rsidRDefault="00604486" w:rsidP="00604486">
      <w:r>
        <w:t>However, this can also be interpreted as the effective date as agreed at execution, which in the above example is 22 May.</w:t>
      </w:r>
    </w:p>
    <w:p w14:paraId="1B4F0E07" w14:textId="77777777" w:rsidR="00D32E20" w:rsidRDefault="00D32E20" w:rsidP="00604486"/>
    <w:p w14:paraId="61FA5749" w14:textId="77D99B61" w:rsidR="00D32E20" w:rsidRDefault="00604486" w:rsidP="00604486">
      <w:r>
        <w:t xml:space="preserve">The guidance does not include an example of how to report </w:t>
      </w:r>
      <w:proofErr w:type="gramStart"/>
      <w:r>
        <w:t>a</w:t>
      </w:r>
      <w:proofErr w:type="gramEnd"/>
      <w:r>
        <w:t xml:space="preserve"> FRA. We </w:t>
      </w:r>
      <w:r w:rsidR="00D32E20">
        <w:t>wou</w:t>
      </w:r>
      <w:r w:rsidR="00E5516C">
        <w:t xml:space="preserve">ld </w:t>
      </w:r>
      <w:r>
        <w:t xml:space="preserve">request that such an example is included as this should help to address the above points for clarification. </w:t>
      </w:r>
    </w:p>
    <w:p w14:paraId="276F7EF6" w14:textId="77777777" w:rsidR="00D32E20" w:rsidRDefault="00D32E20" w:rsidP="00604486"/>
    <w:p w14:paraId="7398EE08" w14:textId="7B6669F2" w:rsidR="004F7B49" w:rsidRPr="004F7B49" w:rsidRDefault="004F7B49" w:rsidP="00604486"/>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77777777" w:rsidR="004F7B49" w:rsidRPr="004F7B49" w:rsidRDefault="004F7B49" w:rsidP="004F7B49">
      <w:permStart w:id="778715077" w:edGrp="everyone"/>
      <w:r w:rsidRPr="004F7B49">
        <w:t>TYPE YOUR TEXT HERE</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77777777" w:rsidR="004F7B49" w:rsidRPr="004F7B49" w:rsidRDefault="004F7B49" w:rsidP="004F7B49">
      <w:permStart w:id="1275090120" w:edGrp="everyone"/>
      <w:r w:rsidRPr="004F7B49">
        <w:t>TYPE YOUR TEXT HERE</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77777777" w:rsidR="004F7B49" w:rsidRPr="004F7B49" w:rsidRDefault="004F7B49" w:rsidP="004F7B49">
      <w:permStart w:id="65958479" w:edGrp="everyone"/>
      <w:r w:rsidRPr="004F7B49">
        <w:t>TYPE YOUR TEXT HERE</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1C7AD27E" w14:textId="77777777" w:rsidR="004F7B49" w:rsidRPr="004F7B49" w:rsidRDefault="004F7B49" w:rsidP="004F7B49">
      <w:permStart w:id="1543464251" w:edGrp="everyone"/>
      <w:r w:rsidRPr="004F7B49">
        <w:t>TYPE YOUR TEXT HERE</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77777777" w:rsidR="004F7B49" w:rsidRPr="004F7B49" w:rsidRDefault="004F7B49" w:rsidP="004F7B49">
      <w:permStart w:id="1810104405" w:edGrp="everyone"/>
      <w:r w:rsidRPr="004F7B49">
        <w:t>TYPE YOUR TEXT HERE</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1717D469" w14:textId="77777777" w:rsidR="004F7B49" w:rsidRPr="004F7B49" w:rsidRDefault="004F7B49" w:rsidP="004F7B49">
      <w:permStart w:id="122694585" w:edGrp="everyone"/>
      <w:r w:rsidRPr="004F7B49">
        <w:t>TYPE YOUR TEXT HERE</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126A0DD0" w14:textId="77777777" w:rsidR="00D13D4C" w:rsidRDefault="00D13D4C" w:rsidP="004F7B49">
      <w:permStart w:id="1937984089" w:edGrp="everyone"/>
    </w:p>
    <w:p w14:paraId="522B7CA6" w14:textId="067E5976" w:rsidR="00D13D4C" w:rsidRDefault="00D13D4C" w:rsidP="00D13D4C">
      <w:r>
        <w:t xml:space="preserve">We understand that the initial and final </w:t>
      </w:r>
      <w:proofErr w:type="gramStart"/>
      <w:r>
        <w:t>principle</w:t>
      </w:r>
      <w:proofErr w:type="gramEnd"/>
      <w:r>
        <w:t xml:space="preserve"> exchange amounts of a Cross Currency Swap (CCS) are to be reported as other payments at the start of the trade (the New trade submission). </w:t>
      </w:r>
      <w:r w:rsidR="000A68AB">
        <w:t>It is</w:t>
      </w:r>
      <w:r>
        <w:t xml:space="preserve"> unclear</w:t>
      </w:r>
      <w:r w:rsidR="000A68AB">
        <w:t>,</w:t>
      </w:r>
      <w:r>
        <w:t xml:space="preserve"> however, whether the final </w:t>
      </w:r>
      <w:proofErr w:type="gramStart"/>
      <w:r>
        <w:t>principle</w:t>
      </w:r>
      <w:proofErr w:type="gramEnd"/>
      <w:r>
        <w:t xml:space="preserve"> exchange amount is to be persisted for the life of the trade</w:t>
      </w:r>
      <w:r w:rsidR="000A68AB">
        <w:t xml:space="preserve"> (</w:t>
      </w:r>
      <w:r>
        <w:t>i.e. included on all future submissions</w:t>
      </w:r>
      <w:r w:rsidR="000A68AB">
        <w:t>)</w:t>
      </w:r>
      <w:r>
        <w:t xml:space="preserve"> due to the payment date of the final principle exchange being at the maturity of the CCS. Or does the final </w:t>
      </w:r>
      <w:proofErr w:type="gramStart"/>
      <w:r>
        <w:t>principle</w:t>
      </w:r>
      <w:proofErr w:type="gramEnd"/>
      <w:r>
        <w:t xml:space="preserve"> exchange amount only need to be reported once for the NEWT submission and omitted from all future message for that trade despite the principle exchange would not have occurred</w:t>
      </w:r>
      <w:r w:rsidR="000A68AB">
        <w:t>. This should be clarified.</w:t>
      </w:r>
    </w:p>
    <w:p w14:paraId="7EE0665E" w14:textId="77777777" w:rsidR="000A68AB" w:rsidRDefault="000A68AB" w:rsidP="00D13D4C"/>
    <w:p w14:paraId="6959DA86" w14:textId="10B75207" w:rsidR="00D13D4C" w:rsidRDefault="00D13D4C" w:rsidP="00D13D4C">
      <w:r>
        <w:t xml:space="preserve">We also believe there are errors in Table 80 giving an example of how </w:t>
      </w:r>
      <w:proofErr w:type="gramStart"/>
      <w:r>
        <w:t>principle</w:t>
      </w:r>
      <w:proofErr w:type="gramEnd"/>
      <w:r>
        <w:t xml:space="preserve"> exchange is to be reported.</w:t>
      </w:r>
      <w:r w:rsidR="000A68AB">
        <w:t xml:space="preserve"> Specifically:</w:t>
      </w:r>
      <w:r>
        <w:t xml:space="preserve"> </w:t>
      </w:r>
    </w:p>
    <w:p w14:paraId="202EC91D" w14:textId="77777777" w:rsidR="000A68AB" w:rsidRDefault="00D13D4C" w:rsidP="002F1E18">
      <w:pPr>
        <w:pStyle w:val="ListParagraph"/>
        <w:numPr>
          <w:ilvl w:val="0"/>
          <w:numId w:val="50"/>
        </w:numPr>
      </w:pPr>
      <w:r>
        <w:t>The validation rules for fields 2.17, 2.18 and 2.19 states “Either field 1.17 or both fields 1.18 and 1.19 shall be populated.” However, all three of these fields are populated in the example. We believe that 2.17 (Direction) should be left blank.</w:t>
      </w:r>
    </w:p>
    <w:p w14:paraId="1B5CCA46" w14:textId="7CE287E9" w:rsidR="00D13D4C" w:rsidRDefault="00D13D4C" w:rsidP="002F1E18">
      <w:pPr>
        <w:pStyle w:val="ListParagraph"/>
        <w:numPr>
          <w:ilvl w:val="0"/>
          <w:numId w:val="50"/>
        </w:numPr>
      </w:pPr>
      <w:r>
        <w:t xml:space="preserve">The values for Direction of Leg 1 (2.18) and Direction of Leg 2 (2.19) appear to be shown the wrong way round. Direction of Leg 1 is populated with ‘MAKE’ which we interpret to mean Counterparty 1 is the payer of the leg 1 coupon amounts. If so, Counterparty pays the floating / fixed rate based on the EUR notional amount in this example. Therefore, Counterparty 1 would be expected to receive the EUR notional for the initial </w:t>
      </w:r>
      <w:proofErr w:type="gramStart"/>
      <w:r>
        <w:t>principle</w:t>
      </w:r>
      <w:proofErr w:type="gramEnd"/>
      <w:r>
        <w:t xml:space="preserve"> exchange and pay the EUR notional for </w:t>
      </w:r>
      <w:r>
        <w:lastRenderedPageBreak/>
        <w:t xml:space="preserve">the final principle exchange. However, the example shows Counterparty 1 pays the EUR notional amount for the initial notional exchange and receives the EUR notional for the final </w:t>
      </w:r>
      <w:proofErr w:type="gramStart"/>
      <w:r>
        <w:t>principle</w:t>
      </w:r>
      <w:proofErr w:type="gramEnd"/>
      <w:r>
        <w:t xml:space="preserve"> exchange.</w:t>
      </w:r>
      <w:r w:rsidR="000C62E4">
        <w:t xml:space="preserve"> </w:t>
      </w:r>
      <w:r>
        <w:t>Is this an error in the example, or is the Direction of Leg 1 and Leg 2 to be determined differently for CCS comparted to other Rates trades?</w:t>
      </w:r>
    </w:p>
    <w:p w14:paraId="5A3870EA" w14:textId="112484DD" w:rsidR="004F7B49" w:rsidRDefault="004F7B49" w:rsidP="004F7B49"/>
    <w:p w14:paraId="4109D353" w14:textId="77777777" w:rsidR="00D13D4C" w:rsidRPr="004F7B49" w:rsidRDefault="00D13D4C" w:rsidP="004F7B49"/>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77777777" w:rsidR="004F7B49" w:rsidRPr="004F7B49" w:rsidRDefault="004F7B49" w:rsidP="004F7B49">
      <w:permStart w:id="1105735570" w:edGrp="everyone"/>
      <w:r w:rsidRPr="004F7B49">
        <w:t>TYPE YOUR TEXT HERE</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A33561B" w14:textId="77777777" w:rsidR="004F7B49" w:rsidRPr="004F7B49" w:rsidRDefault="004F7B49" w:rsidP="004F7B49">
      <w:permStart w:id="160379486" w:edGrp="everyone"/>
      <w:r w:rsidRPr="004F7B49">
        <w:t>TYPE YOUR TEXT HERE</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307B49A" w14:textId="77777777" w:rsidR="004F7B49" w:rsidRPr="004F7B49" w:rsidRDefault="004F7B49" w:rsidP="004F7B49">
      <w:permStart w:id="23098055" w:edGrp="everyone"/>
      <w:r w:rsidRPr="004F7B49">
        <w:t>TYPE YOUR TEXT HERE</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77777777" w:rsidR="004F7B49" w:rsidRPr="004F7B49" w:rsidRDefault="004F7B49" w:rsidP="004F7B49">
      <w:permStart w:id="1148282978" w:edGrp="everyone"/>
      <w:r w:rsidRPr="004F7B49">
        <w:t>TYPE YOUR TEXT HERE</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77777777" w:rsidR="004F7B49" w:rsidRPr="004F7B49" w:rsidRDefault="004F7B49" w:rsidP="004F7B49">
      <w:permStart w:id="630807939" w:edGrp="everyone"/>
      <w:r w:rsidRPr="004F7B49">
        <w:t>TYPE YOUR TEXT HERE</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507591DD" w14:textId="77777777" w:rsidR="004F7B49" w:rsidRPr="004F7B49" w:rsidRDefault="004F7B49" w:rsidP="004F7B49">
      <w:permStart w:id="903745424" w:edGrp="everyone"/>
      <w:r w:rsidRPr="004F7B49">
        <w:t>TYPE YOUR TEXT HERE</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1E6D5ECC" w14:textId="77777777" w:rsidR="004F7B49" w:rsidRPr="004F7B49" w:rsidRDefault="004F7B49" w:rsidP="004F7B49">
      <w:permStart w:id="892158507" w:edGrp="everyone"/>
      <w:r w:rsidRPr="004F7B49">
        <w:t>TYPE YOUR TEXT HERE</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77777777" w:rsidR="004F7B49" w:rsidRPr="004F7B49" w:rsidRDefault="004F7B49" w:rsidP="004F7B49">
      <w:permStart w:id="778189251" w:edGrp="everyone"/>
      <w:r w:rsidRPr="004F7B49">
        <w:t>TYPE YOUR TEXT HERE</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6FB9AF3E" w14:textId="77777777" w:rsidR="004F7B49" w:rsidRPr="004F7B49" w:rsidRDefault="004F7B49" w:rsidP="004F7B49">
      <w:permStart w:id="177222125" w:edGrp="everyone"/>
      <w:r w:rsidRPr="004F7B49">
        <w:t>TYPE YOUR TEXT HERE</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77777777" w:rsidR="004F7B49" w:rsidRPr="004F7B49" w:rsidRDefault="004F7B49" w:rsidP="004F7B49">
      <w:permStart w:id="1930586842" w:edGrp="everyone"/>
      <w:r w:rsidRPr="004F7B49">
        <w:t>TYPE YOUR TEXT HERE</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77777777" w:rsidR="004F7B49" w:rsidRPr="004F7B49" w:rsidRDefault="004F7B49" w:rsidP="004F7B49">
      <w:permStart w:id="106646499" w:edGrp="everyone"/>
      <w:r w:rsidRPr="004F7B49">
        <w:t>TYPE YOUR TEXT HERE</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77777777" w:rsidR="004F7B49" w:rsidRPr="004F7B49" w:rsidRDefault="004F7B49" w:rsidP="004F7B49">
      <w:permStart w:id="1698656546" w:edGrp="everyone"/>
      <w:r w:rsidRPr="004F7B49">
        <w:t>TYPE YOUR TEXT HERE</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2F3104F7" w14:textId="77777777" w:rsidR="004F7B49" w:rsidRPr="004F7B49" w:rsidRDefault="004F7B49" w:rsidP="004F7B49">
      <w:permStart w:id="859136354" w:edGrp="everyone"/>
      <w:r w:rsidRPr="004F7B49">
        <w:t>TYPE YOUR TEXT HERE</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7AE0ACDE" w14:textId="77777777" w:rsidR="004F7B49" w:rsidRPr="004F7B49" w:rsidRDefault="004F7B49" w:rsidP="004F7B49">
      <w:permStart w:id="1132283836" w:edGrp="everyone"/>
      <w:r w:rsidRPr="004F7B49">
        <w:t>TYPE YOUR TEXT HERE</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35127EFA" w14:textId="77777777" w:rsidR="004F7B49" w:rsidRPr="004F7B49" w:rsidRDefault="004F7B49" w:rsidP="004F7B49">
      <w:permStart w:id="1274697568" w:edGrp="everyone"/>
      <w:r w:rsidRPr="004F7B49">
        <w:t>TYPE YOUR TEXT HERE</w:t>
      </w:r>
    </w:p>
    <w:permEnd w:id="1274697568"/>
    <w:p w14:paraId="219DFF5C" w14:textId="777777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1BD29EA" w14:textId="77777777" w:rsidR="004F7B49" w:rsidRPr="004F7B49" w:rsidRDefault="004F7B49" w:rsidP="004F7B49">
      <w:permStart w:id="794066036" w:edGrp="everyone"/>
      <w:r w:rsidRPr="004F7B49">
        <w:t>TYPE YOUR TEXT HERE</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5B4E291F" w14:textId="77777777" w:rsidR="004F7B49" w:rsidRPr="004F7B49" w:rsidRDefault="004F7B49" w:rsidP="004F7B49">
      <w:permStart w:id="1012422269" w:edGrp="everyone"/>
      <w:r w:rsidRPr="004F7B49">
        <w:t>TYPE YOUR TEXT HERE</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77777777" w:rsidR="004F7B49" w:rsidRPr="004F7B49" w:rsidRDefault="004F7B49" w:rsidP="004F7B49">
      <w:permStart w:id="416627592" w:edGrp="everyone"/>
      <w:r w:rsidRPr="004F7B49">
        <w:t>TYPE YOUR TEXT HERE</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36D7F681" w14:textId="77777777" w:rsidR="004F7B49" w:rsidRPr="004F7B49" w:rsidRDefault="004F7B49" w:rsidP="004F7B49">
      <w:permStart w:id="1281183597" w:edGrp="everyone"/>
      <w:r w:rsidRPr="004F7B49">
        <w:t>TYPE YOUR TEXT HERE</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113FF664" w14:textId="77777777" w:rsidR="004F7B49" w:rsidRPr="004F7B49" w:rsidRDefault="004F7B49" w:rsidP="004F7B49">
      <w:permStart w:id="528113517" w:edGrp="everyone"/>
      <w:r w:rsidRPr="004F7B49">
        <w:t>TYPE YOUR TEXT HERE</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55CCD35A" w14:textId="77777777" w:rsidR="004F7B49" w:rsidRPr="004F7B49" w:rsidRDefault="004F7B49" w:rsidP="004F7B49">
      <w:permStart w:id="678901143" w:edGrp="everyone"/>
      <w:r w:rsidRPr="004F7B49">
        <w:t>TYPE YOUR TEXT HERE</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0A8C942B" w14:textId="77777777" w:rsidR="004F7B49" w:rsidRPr="004F7B49" w:rsidRDefault="004F7B49" w:rsidP="004F7B49">
      <w:permStart w:id="339289437" w:edGrp="everyone"/>
      <w:r w:rsidRPr="004F7B49">
        <w:t>TYPE YOUR TEXT HERE</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D868F" w14:textId="77777777" w:rsidR="00B70534" w:rsidRDefault="00B70534">
      <w:r>
        <w:separator/>
      </w:r>
    </w:p>
    <w:p w14:paraId="2DC010EA" w14:textId="77777777" w:rsidR="00B70534" w:rsidRDefault="00B70534"/>
  </w:endnote>
  <w:endnote w:type="continuationSeparator" w:id="0">
    <w:p w14:paraId="3D4A66E5" w14:textId="77777777" w:rsidR="00B70534" w:rsidRDefault="00B70534">
      <w:r>
        <w:continuationSeparator/>
      </w:r>
    </w:p>
    <w:p w14:paraId="6A5A41F2" w14:textId="77777777" w:rsidR="00B70534" w:rsidRDefault="00B70534"/>
  </w:endnote>
  <w:endnote w:type="continuationNotice" w:id="1">
    <w:p w14:paraId="6A797524" w14:textId="77777777" w:rsidR="00B70534" w:rsidRDefault="00B70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70534" w:rsidRPr="00616B9B" w14:paraId="313FAE1A" w14:textId="77777777" w:rsidTr="00315E96">
      <w:trPr>
        <w:trHeight w:val="284"/>
      </w:trPr>
      <w:tc>
        <w:tcPr>
          <w:tcW w:w="8460" w:type="dxa"/>
        </w:tcPr>
        <w:p w14:paraId="0BEF8BC6" w14:textId="77777777" w:rsidR="00B70534" w:rsidRPr="00315E96" w:rsidRDefault="00B70534" w:rsidP="00315E96">
          <w:pPr>
            <w:pStyle w:val="00Footer"/>
            <w:rPr>
              <w:lang w:val="fr-FR"/>
            </w:rPr>
          </w:pPr>
        </w:p>
      </w:tc>
      <w:tc>
        <w:tcPr>
          <w:tcW w:w="952" w:type="dxa"/>
        </w:tcPr>
        <w:p w14:paraId="7FD1DE07" w14:textId="77777777" w:rsidR="00B70534" w:rsidRPr="00616B9B" w:rsidRDefault="00B7053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B70534" w:rsidRDefault="00B70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B70534" w:rsidRDefault="00B70534"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B70534" w:rsidRDefault="00B70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92E4F" w14:textId="77777777" w:rsidR="00B70534" w:rsidRDefault="00B70534">
      <w:r>
        <w:separator/>
      </w:r>
    </w:p>
    <w:p w14:paraId="4BF24784" w14:textId="77777777" w:rsidR="00B70534" w:rsidRDefault="00B70534"/>
  </w:footnote>
  <w:footnote w:type="continuationSeparator" w:id="0">
    <w:p w14:paraId="49F1B27E" w14:textId="77777777" w:rsidR="00B70534" w:rsidRDefault="00B70534">
      <w:r>
        <w:continuationSeparator/>
      </w:r>
    </w:p>
    <w:p w14:paraId="58595859" w14:textId="77777777" w:rsidR="00B70534" w:rsidRDefault="00B70534"/>
  </w:footnote>
  <w:footnote w:type="continuationNotice" w:id="1">
    <w:p w14:paraId="567E077F" w14:textId="77777777" w:rsidR="00B70534" w:rsidRDefault="00B70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B70534" w:rsidRDefault="00B70534">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B70534" w:rsidRDefault="00B70534"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B70534" w:rsidRDefault="00B705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70534" w:rsidRPr="002F4496" w14:paraId="60C7474C" w14:textId="77777777" w:rsidTr="000C06C9">
      <w:trPr>
        <w:trHeight w:val="284"/>
      </w:trPr>
      <w:tc>
        <w:tcPr>
          <w:tcW w:w="8460" w:type="dxa"/>
        </w:tcPr>
        <w:p w14:paraId="54B7E7F0" w14:textId="77777777" w:rsidR="00B70534" w:rsidRPr="000C3B6D" w:rsidRDefault="00B70534" w:rsidP="000C06C9">
          <w:pPr>
            <w:pStyle w:val="00Footer"/>
            <w:rPr>
              <w:lang w:val="fr-FR"/>
            </w:rPr>
          </w:pPr>
        </w:p>
      </w:tc>
      <w:tc>
        <w:tcPr>
          <w:tcW w:w="952" w:type="dxa"/>
        </w:tcPr>
        <w:p w14:paraId="2E49D042" w14:textId="77777777" w:rsidR="00B70534" w:rsidRPr="00146B34" w:rsidRDefault="00B70534" w:rsidP="000C06C9">
          <w:pPr>
            <w:pStyle w:val="00aPagenumber"/>
            <w:rPr>
              <w:lang w:val="fr-FR"/>
            </w:rPr>
          </w:pPr>
        </w:p>
      </w:tc>
    </w:tr>
  </w:tbl>
  <w:p w14:paraId="580707D9" w14:textId="77777777" w:rsidR="00B70534" w:rsidRPr="00DB46C3" w:rsidRDefault="00B70534">
    <w:pPr>
      <w:rPr>
        <w:lang w:val="fr-FR"/>
      </w:rPr>
    </w:pPr>
  </w:p>
  <w:p w14:paraId="20C4F67C" w14:textId="77777777" w:rsidR="00B70534" w:rsidRPr="002F4496" w:rsidRDefault="00B70534">
    <w:pPr>
      <w:pStyle w:val="Header"/>
      <w:rPr>
        <w:lang w:val="fr-FR"/>
      </w:rPr>
    </w:pPr>
  </w:p>
  <w:p w14:paraId="3F30C70B" w14:textId="77777777" w:rsidR="00B70534" w:rsidRPr="002F4496" w:rsidRDefault="00B70534" w:rsidP="000C06C9">
    <w:pPr>
      <w:pStyle w:val="Header"/>
      <w:tabs>
        <w:tab w:val="clear" w:pos="4536"/>
        <w:tab w:val="clear" w:pos="9072"/>
        <w:tab w:val="left" w:pos="8227"/>
      </w:tabs>
      <w:rPr>
        <w:lang w:val="fr-FR"/>
      </w:rPr>
    </w:pPr>
  </w:p>
  <w:p w14:paraId="4D50BC39" w14:textId="77777777" w:rsidR="00B70534" w:rsidRPr="002F4496" w:rsidRDefault="00B70534" w:rsidP="00583885">
    <w:pPr>
      <w:pStyle w:val="Header"/>
      <w:jc w:val="right"/>
      <w:rPr>
        <w:lang w:val="fr-FR"/>
      </w:rPr>
    </w:pPr>
  </w:p>
  <w:p w14:paraId="2D51BEA2" w14:textId="77777777" w:rsidR="00B70534" w:rsidRPr="002F4496" w:rsidRDefault="00B70534">
    <w:pPr>
      <w:pStyle w:val="Header"/>
      <w:rPr>
        <w:lang w:val="fr-FR"/>
      </w:rPr>
    </w:pPr>
  </w:p>
  <w:p w14:paraId="340B2438" w14:textId="77777777" w:rsidR="00B70534" w:rsidRPr="002F4496" w:rsidRDefault="00B70534">
    <w:pPr>
      <w:pStyle w:val="Header"/>
      <w:rPr>
        <w:lang w:val="fr-FR"/>
      </w:rPr>
    </w:pPr>
  </w:p>
  <w:p w14:paraId="2A794A3E" w14:textId="77777777" w:rsidR="00B70534" w:rsidRPr="002F4496" w:rsidRDefault="00B70534">
    <w:pPr>
      <w:pStyle w:val="Header"/>
      <w:rPr>
        <w:lang w:val="fr-FR"/>
      </w:rPr>
    </w:pPr>
  </w:p>
  <w:p w14:paraId="0A21F475" w14:textId="77777777" w:rsidR="00B70534" w:rsidRPr="002F4496" w:rsidRDefault="00B70534">
    <w:pPr>
      <w:pStyle w:val="Header"/>
      <w:rPr>
        <w:highlight w:val="yellow"/>
        <w:lang w:val="fr-FR"/>
      </w:rPr>
    </w:pPr>
  </w:p>
  <w:p w14:paraId="53ABEE5D" w14:textId="77777777" w:rsidR="00B70534" w:rsidRDefault="00B70534">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2D5C23"/>
    <w:multiLevelType w:val="hybridMultilevel"/>
    <w:tmpl w:val="C322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F02A7"/>
    <w:multiLevelType w:val="hybridMultilevel"/>
    <w:tmpl w:val="EC6E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81FD5"/>
    <w:multiLevelType w:val="hybridMultilevel"/>
    <w:tmpl w:val="E220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23181276"/>
    <w:multiLevelType w:val="hybridMultilevel"/>
    <w:tmpl w:val="FD4E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052B26"/>
    <w:multiLevelType w:val="hybridMultilevel"/>
    <w:tmpl w:val="95FEA0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C30169"/>
    <w:multiLevelType w:val="hybridMultilevel"/>
    <w:tmpl w:val="B484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15:restartNumberingAfterBreak="0">
    <w:nsid w:val="3E1A2A8F"/>
    <w:multiLevelType w:val="hybridMultilevel"/>
    <w:tmpl w:val="D07A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D7D4E12"/>
    <w:multiLevelType w:val="hybridMultilevel"/>
    <w:tmpl w:val="82B6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15:restartNumberingAfterBreak="0">
    <w:nsid w:val="6581614D"/>
    <w:multiLevelType w:val="hybridMultilevel"/>
    <w:tmpl w:val="0F36D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9C8751A"/>
    <w:multiLevelType w:val="hybridMultilevel"/>
    <w:tmpl w:val="A63CF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89A790D"/>
    <w:multiLevelType w:val="hybridMultilevel"/>
    <w:tmpl w:val="9018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98B19AE"/>
    <w:multiLevelType w:val="hybridMultilevel"/>
    <w:tmpl w:val="AF7E072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0" w15:restartNumberingAfterBreak="0">
    <w:nsid w:val="7CA77105"/>
    <w:multiLevelType w:val="hybridMultilevel"/>
    <w:tmpl w:val="56964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4"/>
  </w:num>
  <w:num w:numId="3">
    <w:abstractNumId w:val="16"/>
  </w:num>
  <w:num w:numId="4">
    <w:abstractNumId w:val="29"/>
  </w:num>
  <w:num w:numId="5">
    <w:abstractNumId w:val="31"/>
  </w:num>
  <w:num w:numId="6">
    <w:abstractNumId w:val="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7"/>
  </w:num>
  <w:num w:numId="14">
    <w:abstractNumId w:val="28"/>
  </w:num>
  <w:num w:numId="15">
    <w:abstractNumId w:val="14"/>
  </w:num>
  <w:num w:numId="16">
    <w:abstractNumId w:val="1"/>
  </w:num>
  <w:num w:numId="17">
    <w:abstractNumId w:val="18"/>
  </w:num>
  <w:num w:numId="18">
    <w:abstractNumId w:val="20"/>
  </w:num>
  <w:num w:numId="19">
    <w:abstractNumId w:val="22"/>
  </w:num>
  <w:num w:numId="20">
    <w:abstractNumId w:val="32"/>
  </w:num>
  <w:num w:numId="21">
    <w:abstractNumId w:val="45"/>
  </w:num>
  <w:num w:numId="22">
    <w:abstractNumId w:val="30"/>
  </w:num>
  <w:num w:numId="23">
    <w:abstractNumId w:val="13"/>
  </w:num>
  <w:num w:numId="24">
    <w:abstractNumId w:val="36"/>
  </w:num>
  <w:num w:numId="25">
    <w:abstractNumId w:val="35"/>
  </w:num>
  <w:num w:numId="26">
    <w:abstractNumId w:val="25"/>
  </w:num>
  <w:num w:numId="27">
    <w:abstractNumId w:val="40"/>
  </w:num>
  <w:num w:numId="28">
    <w:abstractNumId w:val="49"/>
  </w:num>
  <w:num w:numId="29">
    <w:abstractNumId w:val="11"/>
  </w:num>
  <w:num w:numId="30">
    <w:abstractNumId w:val="5"/>
  </w:num>
  <w:num w:numId="31">
    <w:abstractNumId w:val="27"/>
  </w:num>
  <w:num w:numId="32">
    <w:abstractNumId w:val="26"/>
  </w:num>
  <w:num w:numId="33">
    <w:abstractNumId w:val="43"/>
  </w:num>
  <w:num w:numId="34">
    <w:abstractNumId w:val="42"/>
  </w:num>
  <w:num w:numId="35">
    <w:abstractNumId w:val="7"/>
  </w:num>
  <w:num w:numId="36">
    <w:abstractNumId w:val="44"/>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4"/>
  </w:num>
  <w:num w:numId="40">
    <w:abstractNumId w:val="50"/>
  </w:num>
  <w:num w:numId="41">
    <w:abstractNumId w:val="3"/>
  </w:num>
  <w:num w:numId="42">
    <w:abstractNumId w:val="15"/>
  </w:num>
  <w:num w:numId="43">
    <w:abstractNumId w:val="2"/>
  </w:num>
  <w:num w:numId="44">
    <w:abstractNumId w:val="39"/>
  </w:num>
  <w:num w:numId="45">
    <w:abstractNumId w:val="4"/>
  </w:num>
  <w:num w:numId="46">
    <w:abstractNumId w:val="19"/>
  </w:num>
  <w:num w:numId="47">
    <w:abstractNumId w:val="48"/>
  </w:num>
  <w:num w:numId="48">
    <w:abstractNumId w:val="41"/>
  </w:num>
  <w:num w:numId="49">
    <w:abstractNumId w:val="10"/>
  </w:num>
  <w:num w:numId="5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6C87"/>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0FC6"/>
    <w:rsid w:val="00041858"/>
    <w:rsid w:val="00042F96"/>
    <w:rsid w:val="0004389E"/>
    <w:rsid w:val="00045CA6"/>
    <w:rsid w:val="000463A6"/>
    <w:rsid w:val="00046CC9"/>
    <w:rsid w:val="00046E91"/>
    <w:rsid w:val="00047350"/>
    <w:rsid w:val="000502FE"/>
    <w:rsid w:val="00050D22"/>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08A"/>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68AB"/>
    <w:rsid w:val="000A70BD"/>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62E4"/>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253A"/>
    <w:rsid w:val="000F4C59"/>
    <w:rsid w:val="000F55B7"/>
    <w:rsid w:val="000F604F"/>
    <w:rsid w:val="000F7399"/>
    <w:rsid w:val="00101BF1"/>
    <w:rsid w:val="001027F1"/>
    <w:rsid w:val="00104F2E"/>
    <w:rsid w:val="001072DD"/>
    <w:rsid w:val="00107D4B"/>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2323"/>
    <w:rsid w:val="001532E0"/>
    <w:rsid w:val="001544C8"/>
    <w:rsid w:val="00155FAB"/>
    <w:rsid w:val="001567A1"/>
    <w:rsid w:val="00156857"/>
    <w:rsid w:val="00157E79"/>
    <w:rsid w:val="00157EED"/>
    <w:rsid w:val="0016024A"/>
    <w:rsid w:val="0016087A"/>
    <w:rsid w:val="00160A5C"/>
    <w:rsid w:val="001613EC"/>
    <w:rsid w:val="001634B3"/>
    <w:rsid w:val="0016358A"/>
    <w:rsid w:val="001638D4"/>
    <w:rsid w:val="00163E8A"/>
    <w:rsid w:val="00164664"/>
    <w:rsid w:val="00164F15"/>
    <w:rsid w:val="001651A4"/>
    <w:rsid w:val="0016552B"/>
    <w:rsid w:val="00166B04"/>
    <w:rsid w:val="001670A6"/>
    <w:rsid w:val="00167E61"/>
    <w:rsid w:val="001701FA"/>
    <w:rsid w:val="00171183"/>
    <w:rsid w:val="001725A5"/>
    <w:rsid w:val="00172681"/>
    <w:rsid w:val="00173AC7"/>
    <w:rsid w:val="001745D7"/>
    <w:rsid w:val="0017551F"/>
    <w:rsid w:val="00175754"/>
    <w:rsid w:val="00176982"/>
    <w:rsid w:val="0017701C"/>
    <w:rsid w:val="001772F3"/>
    <w:rsid w:val="00181264"/>
    <w:rsid w:val="00181BD1"/>
    <w:rsid w:val="0018204A"/>
    <w:rsid w:val="00182F7C"/>
    <w:rsid w:val="001843B5"/>
    <w:rsid w:val="00186829"/>
    <w:rsid w:val="001868CA"/>
    <w:rsid w:val="00187304"/>
    <w:rsid w:val="001875BE"/>
    <w:rsid w:val="0019017A"/>
    <w:rsid w:val="00190B8C"/>
    <w:rsid w:val="00190FF8"/>
    <w:rsid w:val="0019311A"/>
    <w:rsid w:val="00194FC6"/>
    <w:rsid w:val="0019508A"/>
    <w:rsid w:val="001960D8"/>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338F"/>
    <w:rsid w:val="001C3A5D"/>
    <w:rsid w:val="001C4679"/>
    <w:rsid w:val="001C5770"/>
    <w:rsid w:val="001C6195"/>
    <w:rsid w:val="001D000A"/>
    <w:rsid w:val="001D0883"/>
    <w:rsid w:val="001D2205"/>
    <w:rsid w:val="001D3A1F"/>
    <w:rsid w:val="001D3FB6"/>
    <w:rsid w:val="001D4550"/>
    <w:rsid w:val="001D5498"/>
    <w:rsid w:val="001D5BAF"/>
    <w:rsid w:val="001D6401"/>
    <w:rsid w:val="001D65C3"/>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1467"/>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66"/>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426D"/>
    <w:rsid w:val="00244F1D"/>
    <w:rsid w:val="00245004"/>
    <w:rsid w:val="00245359"/>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0B08"/>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2FC8"/>
    <w:rsid w:val="002E387F"/>
    <w:rsid w:val="002E46BA"/>
    <w:rsid w:val="002E76FC"/>
    <w:rsid w:val="002E7F4B"/>
    <w:rsid w:val="002F0C91"/>
    <w:rsid w:val="002F0E3E"/>
    <w:rsid w:val="002F1683"/>
    <w:rsid w:val="002F1B19"/>
    <w:rsid w:val="002F1E18"/>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4BD0"/>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7D9"/>
    <w:rsid w:val="00365D12"/>
    <w:rsid w:val="003666EC"/>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396A"/>
    <w:rsid w:val="00395E7B"/>
    <w:rsid w:val="00395F4C"/>
    <w:rsid w:val="003A51C5"/>
    <w:rsid w:val="003A5DAC"/>
    <w:rsid w:val="003A62F2"/>
    <w:rsid w:val="003A6591"/>
    <w:rsid w:val="003A6E9A"/>
    <w:rsid w:val="003B08C8"/>
    <w:rsid w:val="003B2567"/>
    <w:rsid w:val="003B2F46"/>
    <w:rsid w:val="003B381A"/>
    <w:rsid w:val="003B4976"/>
    <w:rsid w:val="003B4B3F"/>
    <w:rsid w:val="003B6258"/>
    <w:rsid w:val="003B6F84"/>
    <w:rsid w:val="003B7A99"/>
    <w:rsid w:val="003C0343"/>
    <w:rsid w:val="003C1C32"/>
    <w:rsid w:val="003C214E"/>
    <w:rsid w:val="003C2760"/>
    <w:rsid w:val="003C40DA"/>
    <w:rsid w:val="003C42BA"/>
    <w:rsid w:val="003C462F"/>
    <w:rsid w:val="003C4A02"/>
    <w:rsid w:val="003C4F05"/>
    <w:rsid w:val="003C5976"/>
    <w:rsid w:val="003C6191"/>
    <w:rsid w:val="003C6E49"/>
    <w:rsid w:val="003D0CBF"/>
    <w:rsid w:val="003D0DD6"/>
    <w:rsid w:val="003D3617"/>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69"/>
    <w:rsid w:val="003F5C06"/>
    <w:rsid w:val="00400195"/>
    <w:rsid w:val="0040254B"/>
    <w:rsid w:val="00403086"/>
    <w:rsid w:val="00403460"/>
    <w:rsid w:val="004040FF"/>
    <w:rsid w:val="00404284"/>
    <w:rsid w:val="004042C4"/>
    <w:rsid w:val="00406E90"/>
    <w:rsid w:val="00410240"/>
    <w:rsid w:val="00410760"/>
    <w:rsid w:val="00412253"/>
    <w:rsid w:val="004142ED"/>
    <w:rsid w:val="0041516A"/>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27F20"/>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0955"/>
    <w:rsid w:val="00480EA4"/>
    <w:rsid w:val="0048104E"/>
    <w:rsid w:val="004814BB"/>
    <w:rsid w:val="004815DA"/>
    <w:rsid w:val="00482458"/>
    <w:rsid w:val="004827E2"/>
    <w:rsid w:val="00482CB9"/>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56EC"/>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4CE1"/>
    <w:rsid w:val="004C5766"/>
    <w:rsid w:val="004C5F54"/>
    <w:rsid w:val="004C6E76"/>
    <w:rsid w:val="004C77DD"/>
    <w:rsid w:val="004C7826"/>
    <w:rsid w:val="004C7B33"/>
    <w:rsid w:val="004D1410"/>
    <w:rsid w:val="004D1478"/>
    <w:rsid w:val="004D19EE"/>
    <w:rsid w:val="004D1C52"/>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49B0"/>
    <w:rsid w:val="004E62DE"/>
    <w:rsid w:val="004E6B05"/>
    <w:rsid w:val="004E76A1"/>
    <w:rsid w:val="004F05DE"/>
    <w:rsid w:val="004F21F5"/>
    <w:rsid w:val="004F4BAD"/>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AAB"/>
    <w:rsid w:val="00511E71"/>
    <w:rsid w:val="00514D10"/>
    <w:rsid w:val="00516783"/>
    <w:rsid w:val="005171FB"/>
    <w:rsid w:val="005172FD"/>
    <w:rsid w:val="00517EF8"/>
    <w:rsid w:val="00520083"/>
    <w:rsid w:val="0052029E"/>
    <w:rsid w:val="0052076A"/>
    <w:rsid w:val="00520A2C"/>
    <w:rsid w:val="00520E25"/>
    <w:rsid w:val="0052183D"/>
    <w:rsid w:val="00522A53"/>
    <w:rsid w:val="00522B01"/>
    <w:rsid w:val="00522F44"/>
    <w:rsid w:val="0052360A"/>
    <w:rsid w:val="00523E97"/>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7FB"/>
    <w:rsid w:val="00566C6A"/>
    <w:rsid w:val="00566CE5"/>
    <w:rsid w:val="00566D36"/>
    <w:rsid w:val="005711D9"/>
    <w:rsid w:val="00573569"/>
    <w:rsid w:val="00573871"/>
    <w:rsid w:val="0057389E"/>
    <w:rsid w:val="00575806"/>
    <w:rsid w:val="005765C0"/>
    <w:rsid w:val="0057733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1DB8"/>
    <w:rsid w:val="005A2B3E"/>
    <w:rsid w:val="005A3644"/>
    <w:rsid w:val="005A4087"/>
    <w:rsid w:val="005A4B18"/>
    <w:rsid w:val="005A537E"/>
    <w:rsid w:val="005A6F43"/>
    <w:rsid w:val="005A767D"/>
    <w:rsid w:val="005B00F1"/>
    <w:rsid w:val="005B0CE7"/>
    <w:rsid w:val="005B10E2"/>
    <w:rsid w:val="005B1803"/>
    <w:rsid w:val="005B343F"/>
    <w:rsid w:val="005B4079"/>
    <w:rsid w:val="005B428E"/>
    <w:rsid w:val="005B48D5"/>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3E1E"/>
    <w:rsid w:val="00604486"/>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1CC"/>
    <w:rsid w:val="00625F82"/>
    <w:rsid w:val="00627999"/>
    <w:rsid w:val="00630FF7"/>
    <w:rsid w:val="00633433"/>
    <w:rsid w:val="006341B5"/>
    <w:rsid w:val="006346C9"/>
    <w:rsid w:val="00634727"/>
    <w:rsid w:val="00634B64"/>
    <w:rsid w:val="00634C8A"/>
    <w:rsid w:val="0063578C"/>
    <w:rsid w:val="0063642C"/>
    <w:rsid w:val="0063681E"/>
    <w:rsid w:val="00636FF9"/>
    <w:rsid w:val="00637754"/>
    <w:rsid w:val="00640DCD"/>
    <w:rsid w:val="00641DC3"/>
    <w:rsid w:val="00642972"/>
    <w:rsid w:val="00644F4D"/>
    <w:rsid w:val="006469B1"/>
    <w:rsid w:val="00646C0D"/>
    <w:rsid w:val="00646C30"/>
    <w:rsid w:val="006476F7"/>
    <w:rsid w:val="0064779E"/>
    <w:rsid w:val="006501FA"/>
    <w:rsid w:val="0065058B"/>
    <w:rsid w:val="006509B0"/>
    <w:rsid w:val="00651F8F"/>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331E"/>
    <w:rsid w:val="006A4A3B"/>
    <w:rsid w:val="006A6B13"/>
    <w:rsid w:val="006B2D40"/>
    <w:rsid w:val="006B34DF"/>
    <w:rsid w:val="006B39B2"/>
    <w:rsid w:val="006B3AF9"/>
    <w:rsid w:val="006B45A0"/>
    <w:rsid w:val="006B5668"/>
    <w:rsid w:val="006B5F71"/>
    <w:rsid w:val="006B6E44"/>
    <w:rsid w:val="006B7059"/>
    <w:rsid w:val="006B7287"/>
    <w:rsid w:val="006B7F2E"/>
    <w:rsid w:val="006C0BF8"/>
    <w:rsid w:val="006C21B4"/>
    <w:rsid w:val="006C2253"/>
    <w:rsid w:val="006C2CCB"/>
    <w:rsid w:val="006C343D"/>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33"/>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47DF"/>
    <w:rsid w:val="007151A2"/>
    <w:rsid w:val="00716774"/>
    <w:rsid w:val="0071740A"/>
    <w:rsid w:val="007209DD"/>
    <w:rsid w:val="00721907"/>
    <w:rsid w:val="00722E49"/>
    <w:rsid w:val="00723A08"/>
    <w:rsid w:val="00723B5C"/>
    <w:rsid w:val="00724391"/>
    <w:rsid w:val="00724C18"/>
    <w:rsid w:val="0072539A"/>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3600"/>
    <w:rsid w:val="007A411B"/>
    <w:rsid w:val="007A45E6"/>
    <w:rsid w:val="007A4B28"/>
    <w:rsid w:val="007A5C2C"/>
    <w:rsid w:val="007A7678"/>
    <w:rsid w:val="007B0CD8"/>
    <w:rsid w:val="007B0DE0"/>
    <w:rsid w:val="007B0FAF"/>
    <w:rsid w:val="007B21DE"/>
    <w:rsid w:val="007B2BB9"/>
    <w:rsid w:val="007B43E8"/>
    <w:rsid w:val="007B4740"/>
    <w:rsid w:val="007B502C"/>
    <w:rsid w:val="007B5802"/>
    <w:rsid w:val="007B5F3B"/>
    <w:rsid w:val="007C02B0"/>
    <w:rsid w:val="007C063E"/>
    <w:rsid w:val="007C1901"/>
    <w:rsid w:val="007C3007"/>
    <w:rsid w:val="007C49C0"/>
    <w:rsid w:val="007C55C1"/>
    <w:rsid w:val="007C5738"/>
    <w:rsid w:val="007C5772"/>
    <w:rsid w:val="007C5AC3"/>
    <w:rsid w:val="007C6232"/>
    <w:rsid w:val="007C7233"/>
    <w:rsid w:val="007D10EE"/>
    <w:rsid w:val="007D1193"/>
    <w:rsid w:val="007D133C"/>
    <w:rsid w:val="007D21D5"/>
    <w:rsid w:val="007D3E8D"/>
    <w:rsid w:val="007D5915"/>
    <w:rsid w:val="007D5B4F"/>
    <w:rsid w:val="007D5C30"/>
    <w:rsid w:val="007E0660"/>
    <w:rsid w:val="007E1411"/>
    <w:rsid w:val="007E1882"/>
    <w:rsid w:val="007E1BB4"/>
    <w:rsid w:val="007E2077"/>
    <w:rsid w:val="007E3514"/>
    <w:rsid w:val="007E4AAA"/>
    <w:rsid w:val="007E4B7D"/>
    <w:rsid w:val="007E4BD2"/>
    <w:rsid w:val="007E4C29"/>
    <w:rsid w:val="007E5E44"/>
    <w:rsid w:val="007F0DDA"/>
    <w:rsid w:val="007F1939"/>
    <w:rsid w:val="007F365C"/>
    <w:rsid w:val="007F5066"/>
    <w:rsid w:val="007F564C"/>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FBE"/>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2A14"/>
    <w:rsid w:val="00844515"/>
    <w:rsid w:val="0084465A"/>
    <w:rsid w:val="00844DFF"/>
    <w:rsid w:val="00845D87"/>
    <w:rsid w:val="00846C3A"/>
    <w:rsid w:val="008477BF"/>
    <w:rsid w:val="008503DA"/>
    <w:rsid w:val="008508B4"/>
    <w:rsid w:val="00850B68"/>
    <w:rsid w:val="00850E82"/>
    <w:rsid w:val="0085122D"/>
    <w:rsid w:val="008519E8"/>
    <w:rsid w:val="008525FF"/>
    <w:rsid w:val="00852C03"/>
    <w:rsid w:val="0085590C"/>
    <w:rsid w:val="00855D37"/>
    <w:rsid w:val="008575EB"/>
    <w:rsid w:val="00862DDD"/>
    <w:rsid w:val="0086326D"/>
    <w:rsid w:val="00863CC1"/>
    <w:rsid w:val="00865B01"/>
    <w:rsid w:val="00866D7A"/>
    <w:rsid w:val="00866EE3"/>
    <w:rsid w:val="00870775"/>
    <w:rsid w:val="00871F04"/>
    <w:rsid w:val="008746C1"/>
    <w:rsid w:val="00875533"/>
    <w:rsid w:val="0087648E"/>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CB9"/>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56C0"/>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22"/>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E9D"/>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6911"/>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4F90"/>
    <w:rsid w:val="0099544B"/>
    <w:rsid w:val="009A04F3"/>
    <w:rsid w:val="009A07A6"/>
    <w:rsid w:val="009A0D56"/>
    <w:rsid w:val="009A2BE5"/>
    <w:rsid w:val="009A31B9"/>
    <w:rsid w:val="009A4D4F"/>
    <w:rsid w:val="009A53D8"/>
    <w:rsid w:val="009A597F"/>
    <w:rsid w:val="009A7B72"/>
    <w:rsid w:val="009A7F49"/>
    <w:rsid w:val="009B03C4"/>
    <w:rsid w:val="009B0AA2"/>
    <w:rsid w:val="009B1D02"/>
    <w:rsid w:val="009B33DF"/>
    <w:rsid w:val="009B6270"/>
    <w:rsid w:val="009B7133"/>
    <w:rsid w:val="009B7658"/>
    <w:rsid w:val="009B7CD1"/>
    <w:rsid w:val="009B7E22"/>
    <w:rsid w:val="009B7E78"/>
    <w:rsid w:val="009C10FE"/>
    <w:rsid w:val="009C13BC"/>
    <w:rsid w:val="009C1CA4"/>
    <w:rsid w:val="009C2532"/>
    <w:rsid w:val="009C2BA4"/>
    <w:rsid w:val="009C6091"/>
    <w:rsid w:val="009C634F"/>
    <w:rsid w:val="009C75D8"/>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12C"/>
    <w:rsid w:val="009F6321"/>
    <w:rsid w:val="009F6378"/>
    <w:rsid w:val="009F7669"/>
    <w:rsid w:val="009F7F45"/>
    <w:rsid w:val="009F7FD5"/>
    <w:rsid w:val="00A005D4"/>
    <w:rsid w:val="00A0083C"/>
    <w:rsid w:val="00A01A90"/>
    <w:rsid w:val="00A02370"/>
    <w:rsid w:val="00A04685"/>
    <w:rsid w:val="00A04C57"/>
    <w:rsid w:val="00A04CC8"/>
    <w:rsid w:val="00A06340"/>
    <w:rsid w:val="00A0684F"/>
    <w:rsid w:val="00A06867"/>
    <w:rsid w:val="00A10148"/>
    <w:rsid w:val="00A113FD"/>
    <w:rsid w:val="00A11DDE"/>
    <w:rsid w:val="00A127A7"/>
    <w:rsid w:val="00A129F4"/>
    <w:rsid w:val="00A136F4"/>
    <w:rsid w:val="00A141D2"/>
    <w:rsid w:val="00A160D3"/>
    <w:rsid w:val="00A161A6"/>
    <w:rsid w:val="00A16DC9"/>
    <w:rsid w:val="00A20225"/>
    <w:rsid w:val="00A204B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C2C"/>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2282"/>
    <w:rsid w:val="00A73623"/>
    <w:rsid w:val="00A74F9F"/>
    <w:rsid w:val="00A750B3"/>
    <w:rsid w:val="00A75559"/>
    <w:rsid w:val="00A7623D"/>
    <w:rsid w:val="00A8217C"/>
    <w:rsid w:val="00A824A7"/>
    <w:rsid w:val="00A83644"/>
    <w:rsid w:val="00A83C07"/>
    <w:rsid w:val="00A83F40"/>
    <w:rsid w:val="00A84945"/>
    <w:rsid w:val="00A85543"/>
    <w:rsid w:val="00A871CE"/>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55E4"/>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21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310E"/>
    <w:rsid w:val="00B4401C"/>
    <w:rsid w:val="00B44802"/>
    <w:rsid w:val="00B44A96"/>
    <w:rsid w:val="00B455D1"/>
    <w:rsid w:val="00B457BD"/>
    <w:rsid w:val="00B46135"/>
    <w:rsid w:val="00B472AB"/>
    <w:rsid w:val="00B47CE4"/>
    <w:rsid w:val="00B503A8"/>
    <w:rsid w:val="00B5121D"/>
    <w:rsid w:val="00B5242F"/>
    <w:rsid w:val="00B525C0"/>
    <w:rsid w:val="00B52FAB"/>
    <w:rsid w:val="00B5319A"/>
    <w:rsid w:val="00B539F9"/>
    <w:rsid w:val="00B53E56"/>
    <w:rsid w:val="00B542C9"/>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0534"/>
    <w:rsid w:val="00B71FB3"/>
    <w:rsid w:val="00B73492"/>
    <w:rsid w:val="00B7512A"/>
    <w:rsid w:val="00B76548"/>
    <w:rsid w:val="00B76BED"/>
    <w:rsid w:val="00B806E6"/>
    <w:rsid w:val="00B82DC1"/>
    <w:rsid w:val="00B834C6"/>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E19EF"/>
    <w:rsid w:val="00BE425B"/>
    <w:rsid w:val="00BE51BB"/>
    <w:rsid w:val="00BE7595"/>
    <w:rsid w:val="00BE77D3"/>
    <w:rsid w:val="00BF0138"/>
    <w:rsid w:val="00BF114B"/>
    <w:rsid w:val="00BF1620"/>
    <w:rsid w:val="00BF19B9"/>
    <w:rsid w:val="00BF1AC3"/>
    <w:rsid w:val="00BF373A"/>
    <w:rsid w:val="00BF3D22"/>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06D"/>
    <w:rsid w:val="00C06285"/>
    <w:rsid w:val="00C0654A"/>
    <w:rsid w:val="00C06DE3"/>
    <w:rsid w:val="00C06F97"/>
    <w:rsid w:val="00C10BE6"/>
    <w:rsid w:val="00C11296"/>
    <w:rsid w:val="00C11905"/>
    <w:rsid w:val="00C1234A"/>
    <w:rsid w:val="00C12661"/>
    <w:rsid w:val="00C126E3"/>
    <w:rsid w:val="00C12C65"/>
    <w:rsid w:val="00C1330F"/>
    <w:rsid w:val="00C13ED7"/>
    <w:rsid w:val="00C14615"/>
    <w:rsid w:val="00C14C71"/>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47AF0"/>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5387"/>
    <w:rsid w:val="00C85E52"/>
    <w:rsid w:val="00C86471"/>
    <w:rsid w:val="00C8677B"/>
    <w:rsid w:val="00C86F96"/>
    <w:rsid w:val="00C909C6"/>
    <w:rsid w:val="00C923B7"/>
    <w:rsid w:val="00C94301"/>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299C"/>
    <w:rsid w:val="00D045CE"/>
    <w:rsid w:val="00D05082"/>
    <w:rsid w:val="00D06163"/>
    <w:rsid w:val="00D06937"/>
    <w:rsid w:val="00D07AFD"/>
    <w:rsid w:val="00D11749"/>
    <w:rsid w:val="00D12A7D"/>
    <w:rsid w:val="00D13AB0"/>
    <w:rsid w:val="00D13D4C"/>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2E20"/>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45DD"/>
    <w:rsid w:val="00D67101"/>
    <w:rsid w:val="00D71B45"/>
    <w:rsid w:val="00D71F8A"/>
    <w:rsid w:val="00D7323C"/>
    <w:rsid w:val="00D75603"/>
    <w:rsid w:val="00D75FEE"/>
    <w:rsid w:val="00D76933"/>
    <w:rsid w:val="00D76D88"/>
    <w:rsid w:val="00D77CC9"/>
    <w:rsid w:val="00D812A4"/>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3728"/>
    <w:rsid w:val="00DC4D68"/>
    <w:rsid w:val="00DC54B0"/>
    <w:rsid w:val="00DC5A6C"/>
    <w:rsid w:val="00DC6463"/>
    <w:rsid w:val="00DC711C"/>
    <w:rsid w:val="00DC7822"/>
    <w:rsid w:val="00DC7AF1"/>
    <w:rsid w:val="00DD2CDA"/>
    <w:rsid w:val="00DD2D92"/>
    <w:rsid w:val="00DD3026"/>
    <w:rsid w:val="00DD33DC"/>
    <w:rsid w:val="00DD3BB0"/>
    <w:rsid w:val="00DD61F5"/>
    <w:rsid w:val="00DD6F32"/>
    <w:rsid w:val="00DD7418"/>
    <w:rsid w:val="00DE64A6"/>
    <w:rsid w:val="00DE66EB"/>
    <w:rsid w:val="00DE6A9B"/>
    <w:rsid w:val="00DE7035"/>
    <w:rsid w:val="00DF12E3"/>
    <w:rsid w:val="00DF20D6"/>
    <w:rsid w:val="00DF2A20"/>
    <w:rsid w:val="00DF3F1D"/>
    <w:rsid w:val="00DF595C"/>
    <w:rsid w:val="00DF7EA7"/>
    <w:rsid w:val="00E017BD"/>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2C3"/>
    <w:rsid w:val="00E526DF"/>
    <w:rsid w:val="00E53C15"/>
    <w:rsid w:val="00E54EE6"/>
    <w:rsid w:val="00E5516C"/>
    <w:rsid w:val="00E56715"/>
    <w:rsid w:val="00E56C2C"/>
    <w:rsid w:val="00E57F8E"/>
    <w:rsid w:val="00E611C8"/>
    <w:rsid w:val="00E6344A"/>
    <w:rsid w:val="00E64B8E"/>
    <w:rsid w:val="00E64E69"/>
    <w:rsid w:val="00E64FB7"/>
    <w:rsid w:val="00E669A1"/>
    <w:rsid w:val="00E679BA"/>
    <w:rsid w:val="00E70243"/>
    <w:rsid w:val="00E71196"/>
    <w:rsid w:val="00E72CC6"/>
    <w:rsid w:val="00E73D44"/>
    <w:rsid w:val="00E7494A"/>
    <w:rsid w:val="00E74BE2"/>
    <w:rsid w:val="00E74C66"/>
    <w:rsid w:val="00E75933"/>
    <w:rsid w:val="00E75E62"/>
    <w:rsid w:val="00E77A1B"/>
    <w:rsid w:val="00E808BE"/>
    <w:rsid w:val="00E81E36"/>
    <w:rsid w:val="00E81E40"/>
    <w:rsid w:val="00E82E84"/>
    <w:rsid w:val="00E82ECE"/>
    <w:rsid w:val="00E8713B"/>
    <w:rsid w:val="00E90774"/>
    <w:rsid w:val="00E90C61"/>
    <w:rsid w:val="00E91F62"/>
    <w:rsid w:val="00E92A82"/>
    <w:rsid w:val="00E92AA8"/>
    <w:rsid w:val="00E9344E"/>
    <w:rsid w:val="00E93E39"/>
    <w:rsid w:val="00E94391"/>
    <w:rsid w:val="00E966F8"/>
    <w:rsid w:val="00E97E2B"/>
    <w:rsid w:val="00EA08CA"/>
    <w:rsid w:val="00EA0C0C"/>
    <w:rsid w:val="00EA20D6"/>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86A"/>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2495"/>
    <w:rsid w:val="00F13200"/>
    <w:rsid w:val="00F13411"/>
    <w:rsid w:val="00F143BA"/>
    <w:rsid w:val="00F14D98"/>
    <w:rsid w:val="00F15936"/>
    <w:rsid w:val="00F16E86"/>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58F"/>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4583"/>
    <w:rsid w:val="00FA5524"/>
    <w:rsid w:val="00FA5535"/>
    <w:rsid w:val="00FA7206"/>
    <w:rsid w:val="00FA7EFB"/>
    <w:rsid w:val="00FB0816"/>
    <w:rsid w:val="00FB08C2"/>
    <w:rsid w:val="00FB2B50"/>
    <w:rsid w:val="00FB3DD1"/>
    <w:rsid w:val="00FB51FD"/>
    <w:rsid w:val="00FB5667"/>
    <w:rsid w:val="00FB7A97"/>
    <w:rsid w:val="00FC1601"/>
    <w:rsid w:val="00FC1B9B"/>
    <w:rsid w:val="00FC318D"/>
    <w:rsid w:val="00FC36CF"/>
    <w:rsid w:val="00FC40BC"/>
    <w:rsid w:val="00FC41FC"/>
    <w:rsid w:val="00FC4F6E"/>
    <w:rsid w:val="00FC506C"/>
    <w:rsid w:val="00FC5606"/>
    <w:rsid w:val="00FC578C"/>
    <w:rsid w:val="00FC5A37"/>
    <w:rsid w:val="00FC7836"/>
    <w:rsid w:val="00FD13EA"/>
    <w:rsid w:val="00FD5EC4"/>
    <w:rsid w:val="00FD7858"/>
    <w:rsid w:val="00FD7A8D"/>
    <w:rsid w:val="00FE1330"/>
    <w:rsid w:val="00FE1CE5"/>
    <w:rsid w:val="00FE1E88"/>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DefaultParagraphFon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ESMA74-362-2087</_dlc_DocId>
    <_dlc_DocIdUrl xmlns="20fbe147-bbda-4e53-b6b1-7e8bbff3fe19">
      <Url>https://sherpa.esma.europa.eu/sites/MKT/MDP/_layouts/15/DocIdRedir.aspx?ID=ESMA74-362-2087</Url>
      <Description>ESMA74-362-2087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5.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9617</Words>
  <Characters>52841</Characters>
  <Application>Microsoft Office Word</Application>
  <DocSecurity>12</DocSecurity>
  <Lines>440</Lines>
  <Paragraphs>124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62334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Kirston Winters</cp:lastModifiedBy>
  <cp:revision>2</cp:revision>
  <cp:lastPrinted>2015-02-18T11:01:00Z</cp:lastPrinted>
  <dcterms:created xsi:type="dcterms:W3CDTF">2021-09-30T09:05:00Z</dcterms:created>
  <dcterms:modified xsi:type="dcterms:W3CDTF">2021-09-30T09:05:00Z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