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BDEA09B" w:rsidR="00C2682A" w:rsidRPr="00AB6D88" w:rsidRDefault="0022000D" w:rsidP="00FA5524">
                <w:pPr>
                  <w:rPr>
                    <w:rStyle w:val="PlaceholderText"/>
                    <w:rFonts w:cs="Arial"/>
                  </w:rPr>
                </w:pPr>
                <w:r>
                  <w:rPr>
                    <w:rStyle w:val="PlaceholderText"/>
                    <w:rFonts w:cs="Arial"/>
                  </w:rPr>
                  <w:t>IHS Markit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EE19410" w:rsidR="00C2682A" w:rsidRPr="00AB6D88" w:rsidRDefault="00D80E9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2000D">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FD15A1E" w:rsidR="00C2682A" w:rsidRPr="00AB6D88" w:rsidRDefault="0022000D"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22A9E2BB" w14:textId="77777777" w:rsidR="0022000D" w:rsidRDefault="0022000D" w:rsidP="0022000D">
      <w:permStart w:id="1454525006" w:edGrp="everyone"/>
      <w:r>
        <w:t xml:space="preserve">IHS Markit (NYSE: INFO) is a world leader in critical information, analytics and solutions for the major industries and markets that drive economies worldwide. The company delivers next-generation information, </w:t>
      </w:r>
      <w:proofErr w:type="gramStart"/>
      <w:r>
        <w:t>analytics</w:t>
      </w:r>
      <w:proofErr w:type="gramEnd"/>
      <w:r>
        <w:t xml:space="preserve"> and solutions to customers in business, finance and government, improving their operational efficiency and providing deep insights that lead to well-informed, confident decisions. Headquartered in the UK with offices throughout the EU, </w:t>
      </w:r>
      <w:proofErr w:type="gramStart"/>
      <w:r>
        <w:t>US</w:t>
      </w:r>
      <w:proofErr w:type="gramEnd"/>
      <w:r>
        <w:t xml:space="preserve"> and Asia, IHS Markit has more than 50,000 key business and government customers, including 80 percent of the Fortune Global 500 and the world’s leading financial institutions. </w:t>
      </w:r>
    </w:p>
    <w:p w14:paraId="6A6BD881" w14:textId="77777777" w:rsidR="0022000D" w:rsidRDefault="0022000D" w:rsidP="0022000D">
      <w:r>
        <w:t>Our core competency is using our expertise to source and transform data into information and analytics that our customers can use when making operational and strategic decisions. By integrating and connecting our information and analytics with proprietary and widely used technology on scalable platforms, we produce critical information and insight designed to meet our customers’ needs. Our product development teams have also created proprietary web services and application interfaces that enhance access to information and allow our customers to integrate our offerings with other data, business processes, and applications (such as computer-aided design, enterprise resource planning, supply chain management, and product data/lifecycle management).</w:t>
      </w:r>
    </w:p>
    <w:p w14:paraId="465DAC06" w14:textId="77777777" w:rsidR="0022000D" w:rsidRDefault="0022000D" w:rsidP="0022000D">
      <w:r>
        <w:t xml:space="preserve">Employing over 16,000 people, IHS Markit provides participants with the tools and intelligence needed to successfully navigate financial market complexities and achieve success across the enterprise. Our leading data, analytics and workflow solutions enhance business-critical functions including risk management, portfolio management, reporting and regulatory compliance. </w:t>
      </w:r>
    </w:p>
    <w:p w14:paraId="129D2FE2" w14:textId="77777777" w:rsidR="0022000D" w:rsidRDefault="0022000D" w:rsidP="0022000D">
      <w:r>
        <w:t xml:space="preserve">On 11 January 2021, IHS Markit acquired </w:t>
      </w:r>
      <w:proofErr w:type="spellStart"/>
      <w:r>
        <w:t>Cappitech</w:t>
      </w:r>
      <w:proofErr w:type="spellEnd"/>
      <w:r>
        <w:t>, a compliance technology provider, to expand its suite of global, multi-asset class transaction regulatory reporting offerings to the financial industry.  We have a global regulatory reporting coverage across CFTC, EMIR, MIFID, SFTR, MAS, ASIC, HKMA https://www.cappitech.com/transaction-reporting/</w:t>
      </w:r>
    </w:p>
    <w:p w14:paraId="3342B271" w14:textId="77777777" w:rsidR="0022000D" w:rsidRDefault="0022000D" w:rsidP="0022000D"/>
    <w:p w14:paraId="6A22288E" w14:textId="4F983AB0" w:rsidR="00F87897" w:rsidRDefault="0022000D" w:rsidP="00F87897">
      <w:r>
        <w:t>IHS Markit is pleased to provide its comments to ESMA EMIR REFIT consultation paper</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45C3E1EF" w14:textId="45501BA0" w:rsidR="004F7B49" w:rsidRPr="004F7B49" w:rsidRDefault="0022000D" w:rsidP="004F7B49">
      <w:permStart w:id="1601852493" w:edGrp="everyone"/>
      <w:r w:rsidRPr="0022000D">
        <w:t xml:space="preserve">The section 5.1 on transition to reporting is sufficiently clear. Back-loading of all live contracts to new EMIR standard within six months of go-live may lead to divergent approaches across the market impacting pairing and </w:t>
      </w:r>
      <w:proofErr w:type="gramStart"/>
      <w:r w:rsidRPr="0022000D">
        <w:t>reconciliations.</w:t>
      </w:r>
      <w:permEnd w:id="1601852493"/>
      <w:r w:rsidR="004F7B49" w:rsidRPr="004F7B49">
        <w:t>&lt;</w:t>
      </w:r>
      <w:proofErr w:type="gramEnd"/>
      <w:r w:rsidR="004F7B49" w:rsidRPr="004F7B49">
        <w: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7D04650" w14:textId="44A6FCBF" w:rsidR="004F7B49" w:rsidRPr="004F7B49" w:rsidRDefault="00913A8F" w:rsidP="004F7B49">
      <w:permStart w:id="836638972" w:edGrp="everyone"/>
      <w:r w:rsidRPr="00913A8F">
        <w:t xml:space="preserve">The clarification of the three-day threshold for determining spot vs forward FX swap trades is helpful, as is the instruction to report swaps as swaps and not decompose them into </w:t>
      </w:r>
      <w:r>
        <w:t>two</w:t>
      </w:r>
      <w:r w:rsidRPr="00913A8F">
        <w:t xml:space="preserve"> forwards or </w:t>
      </w:r>
      <w:r>
        <w:t xml:space="preserve">into a </w:t>
      </w:r>
      <w:r w:rsidRPr="00913A8F">
        <w:t xml:space="preserve">spot </w:t>
      </w:r>
      <w:r>
        <w:t>and a</w:t>
      </w:r>
      <w:r w:rsidRPr="00913A8F">
        <w:t xml:space="preserve"> </w:t>
      </w:r>
      <w:proofErr w:type="gramStart"/>
      <w:r w:rsidRPr="00913A8F">
        <w:t>forward.</w:t>
      </w:r>
      <w:permEnd w:id="836638972"/>
      <w:r w:rsidR="004F7B49" w:rsidRPr="004F7B49">
        <w:t>&lt;</w:t>
      </w:r>
      <w:proofErr w:type="gramEnd"/>
      <w:r w:rsidR="004F7B49" w:rsidRPr="004F7B49">
        <w: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3D53F5CC" w14:textId="77777777" w:rsidR="00913A8F" w:rsidRDefault="00913A8F" w:rsidP="00913A8F">
      <w:permStart w:id="1824522265" w:edGrp="everyone"/>
      <w:r>
        <w:t>We would welcome further clarification on when and how crypto assets contracts should be reported with further examples.</w:t>
      </w:r>
    </w:p>
    <w:p w14:paraId="59096109" w14:textId="77777777" w:rsidR="00913A8F" w:rsidRDefault="00913A8F" w:rsidP="00913A8F"/>
    <w:p w14:paraId="57DC6C83" w14:textId="77777777" w:rsidR="00913A8F" w:rsidRDefault="00913A8F" w:rsidP="00913A8F"/>
    <w:p w14:paraId="3E3BBA0D" w14:textId="77777777" w:rsidR="00913A8F" w:rsidRDefault="00913A8F" w:rsidP="00913A8F">
      <w:r>
        <w:t xml:space="preserve">The flag added by ESMA to identify whether the derivative is a crypto asset may not be sufficient </w:t>
      </w:r>
    </w:p>
    <w:p w14:paraId="145D641C" w14:textId="77777777" w:rsidR="00913A8F" w:rsidRDefault="00913A8F" w:rsidP="00913A8F">
      <w:r>
        <w:t xml:space="preserve">We think a dedicated typology/ taxonomy should be developed to accurately identify crypto assets. </w:t>
      </w:r>
    </w:p>
    <w:p w14:paraId="5DD6426A" w14:textId="77777777" w:rsidR="00913A8F" w:rsidRDefault="00913A8F" w:rsidP="00913A8F"/>
    <w:p w14:paraId="7FBEB7D8" w14:textId="77777777" w:rsidR="00913A8F" w:rsidRDefault="00913A8F" w:rsidP="00913A8F"/>
    <w:p w14:paraId="529FC36B" w14:textId="6CB8D8C3" w:rsidR="00913A8F" w:rsidRDefault="00913A8F" w:rsidP="00913A8F">
      <w:r>
        <w:t>As the asset class for the derivative follow the categorisation of the underlying, crypto assets could be classed as securities (such as in the US) or utilities / commodity or currency assets</w:t>
      </w:r>
    </w:p>
    <w:p w14:paraId="5618B3B7" w14:textId="77777777" w:rsidR="00913A8F" w:rsidRDefault="00913A8F" w:rsidP="00913A8F"/>
    <w:p w14:paraId="0CB35723" w14:textId="77777777" w:rsidR="00913A8F" w:rsidRDefault="00913A8F" w:rsidP="00913A8F">
      <w:r>
        <w:t>•</w:t>
      </w:r>
      <w:r>
        <w:tab/>
        <w:t xml:space="preserve">Securities (giving equity-like exposure to a firm’s profits and losses, or a bond-like guarantee of fixed returns) </w:t>
      </w:r>
    </w:p>
    <w:p w14:paraId="5722A385" w14:textId="77777777" w:rsidR="00913A8F" w:rsidRDefault="00913A8F" w:rsidP="00913A8F">
      <w:r>
        <w:t>•</w:t>
      </w:r>
      <w:r>
        <w:tab/>
        <w:t>Utilities tokens (giving preferential access or pricing to future benefits, such as file storage or bandwidth)</w:t>
      </w:r>
    </w:p>
    <w:p w14:paraId="3F187243" w14:textId="66E7FBEE" w:rsidR="004F7B49" w:rsidRPr="004F7B49" w:rsidRDefault="00913A8F" w:rsidP="004F7B49">
      <w:r>
        <w:t>•</w:t>
      </w:r>
      <w:r>
        <w:tab/>
        <w:t xml:space="preserve">pure Currency traits (store of value, transferability, divisibility). </w:t>
      </w:r>
      <w:permEnd w:id="1824522265"/>
      <w:r w:rsidR="004F7B49"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77364F07" w14:textId="7A027280" w:rsidR="004F7B49" w:rsidRPr="004F7B49" w:rsidRDefault="00913A8F" w:rsidP="004F7B49">
      <w:permStart w:id="443634530" w:edGrp="everyone"/>
      <w:r w:rsidRPr="00913A8F">
        <w:t>Examples of the structure of liquidity and collateral swaps not reportable under EMIR would be helpful</w:t>
      </w:r>
      <w:permEnd w:id="443634530"/>
      <w:r w:rsidR="004F7B49"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lastRenderedPageBreak/>
        <w:t>&lt;ESMA_QUESTION_REPO_6&gt;</w:t>
      </w:r>
    </w:p>
    <w:p w14:paraId="19C263FC" w14:textId="7F44A1A1" w:rsidR="00913A8F" w:rsidRDefault="00913A8F" w:rsidP="00913A8F">
      <w:permStart w:id="440870711" w:edGrp="everyone"/>
      <w:r>
        <w:t xml:space="preserve">It will be useful for complex strategy structured trades identified with the field 2.6 ‘package identifier’, to be brought in line with </w:t>
      </w:r>
      <w:proofErr w:type="spellStart"/>
      <w:r>
        <w:t>MiFIR</w:t>
      </w:r>
      <w:proofErr w:type="spellEnd"/>
      <w:r>
        <w:t xml:space="preserve"> reporting.  We welcome the fact that the </w:t>
      </w:r>
      <w:proofErr w:type="spellStart"/>
      <w:r>
        <w:t>MiFIR</w:t>
      </w:r>
      <w:proofErr w:type="spellEnd"/>
      <w:r>
        <w:t xml:space="preserve"> rule is also followed in respect of reporting each leg with the price of the strategy rather than the price of individual leg.</w:t>
      </w:r>
    </w:p>
    <w:p w14:paraId="51827E35" w14:textId="77777777" w:rsidR="00913A8F" w:rsidRDefault="00913A8F" w:rsidP="00913A8F"/>
    <w:p w14:paraId="163091EC" w14:textId="77777777" w:rsidR="00913A8F" w:rsidRDefault="00913A8F" w:rsidP="00913A8F">
      <w:r>
        <w:t xml:space="preserve">We highlight the very complex approach to decompose a trade for one jurisdiction and recompose the package for the reporting in other jurisdictions. We would urge ESMA to bring those examples to international instances such as the CPMI IOSCO. We see participants reporting different ways package trades  </w:t>
      </w:r>
    </w:p>
    <w:p w14:paraId="605AB5F7" w14:textId="77777777" w:rsidR="00913A8F" w:rsidRDefault="00913A8F" w:rsidP="00913A8F"/>
    <w:p w14:paraId="1303BD85" w14:textId="77777777" w:rsidR="00913A8F" w:rsidRDefault="00913A8F" w:rsidP="00913A8F">
      <w:r>
        <w:t xml:space="preserve">For example, EMIR requires the reporting of a straddle or strangle or synthetic forward separately with a combination of put and call options linked by the package identifier (ex- ‘Complex trade component ID’) whereas we see CFTC participants would rather report a straddle as a single </w:t>
      </w:r>
      <w:proofErr w:type="gramStart"/>
      <w:r>
        <w:t>trade .</w:t>
      </w:r>
      <w:proofErr w:type="gramEnd"/>
      <w:r>
        <w:t xml:space="preserve"> FX swaps are required to be reported as a single trade whereas other jurisdictions would require FX swaps to be reported with 2 different legs linked by a Link ID.</w:t>
      </w:r>
    </w:p>
    <w:p w14:paraId="6594C831" w14:textId="77777777" w:rsidR="00913A8F" w:rsidRDefault="00913A8F" w:rsidP="00913A8F"/>
    <w:p w14:paraId="17D0F54B" w14:textId="77777777" w:rsidR="00913A8F" w:rsidRDefault="00913A8F" w:rsidP="00913A8F"/>
    <w:p w14:paraId="59C2FB0E" w14:textId="465EF8EA" w:rsidR="004F7B49" w:rsidRPr="004F7B49" w:rsidRDefault="00913A8F" w:rsidP="004F7B49">
      <w:r>
        <w:t xml:space="preserve">We stress the packaged structured trade under EMIR may include reportable and non-reportable transactions which is different from the definition within CFTC reporting   and CPMI IOSCO critical data elements. </w:t>
      </w:r>
      <w:permEnd w:id="440870711"/>
      <w:r w:rsidR="004F7B49"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5827B998" w14:textId="77777777" w:rsidR="00913A8F" w:rsidRDefault="00913A8F" w:rsidP="00913A8F">
      <w:permStart w:id="1871339001" w:edGrp="everyone"/>
      <w:r>
        <w:t xml:space="preserve">Some derivatives are hard to be assigned to a specific asset class and may not be reportable.  </w:t>
      </w:r>
    </w:p>
    <w:p w14:paraId="0707D098" w14:textId="77777777" w:rsidR="00913A8F" w:rsidRDefault="00913A8F" w:rsidP="00913A8F"/>
    <w:p w14:paraId="51D9F890" w14:textId="77777777" w:rsidR="00913A8F" w:rsidRDefault="00913A8F" w:rsidP="00913A8F">
      <w:r>
        <w:t xml:space="preserve">For example, could ESMA confirm that the securitised derivatives exemption is applicable to </w:t>
      </w:r>
    </w:p>
    <w:p w14:paraId="32217FA2" w14:textId="77777777" w:rsidR="00913A8F" w:rsidRDefault="00913A8F" w:rsidP="00913A8F">
      <w:r>
        <w:t xml:space="preserve">a) Swaps or other instruments providing income streams from property portfolios, either originating from sales or rentals and </w:t>
      </w:r>
    </w:p>
    <w:p w14:paraId="07BB4CF9" w14:textId="4A2A4317" w:rsidR="004F7B49" w:rsidRPr="004F7B49" w:rsidRDefault="00913A8F" w:rsidP="004F7B49">
      <w:r>
        <w:t>b) Swaps based on “death bonds” where surrendered life insurance products are packaged into instruments paying out on death of the original holder(s)</w:t>
      </w:r>
      <w:permEnd w:id="1871339001"/>
      <w:r w:rsidR="004F7B49"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306786C9" w14:textId="77777777" w:rsidR="00913A8F" w:rsidRDefault="00913A8F" w:rsidP="00913A8F">
      <w:permStart w:id="805204607" w:edGrp="everyone"/>
      <w:r>
        <w:t xml:space="preserve">If a fund manager in the EU has funds domiciled outside the EU, can ESMA confirm that as the funds have no reporting obligation, the fund manager is also exempt.  </w:t>
      </w:r>
    </w:p>
    <w:p w14:paraId="0EAAA00B" w14:textId="77777777" w:rsidR="00913A8F" w:rsidRDefault="00913A8F" w:rsidP="00913A8F"/>
    <w:p w14:paraId="42CA835D" w14:textId="77777777" w:rsidR="00913A8F" w:rsidRDefault="00913A8F" w:rsidP="00913A8F">
      <w:r>
        <w:t>Likewise, if a trade is allocated to multiple funds in various jurisdictions, could ESMA confirm that only the allocations to EU-domiciled funds should be reported?</w:t>
      </w:r>
    </w:p>
    <w:p w14:paraId="6E1E578E" w14:textId="77777777" w:rsidR="00913A8F" w:rsidRDefault="00913A8F" w:rsidP="00913A8F"/>
    <w:p w14:paraId="6760AEB1" w14:textId="1D11DB73" w:rsidR="004F7B49" w:rsidRPr="004F7B49" w:rsidRDefault="00913A8F" w:rsidP="004F7B49">
      <w:r>
        <w:t>Can ESMA confirm where there is cross-jurisdiction fund management (for example, an AIFM based in the UK and the Fund/AIF based in the EU, or vice-versa), ideally the transaction should not be reported to both ESMA and FCA under EMIR. We believe that only the location of the underlying fund should trigger a reporting obligation in order to avoid duplicative reporting</w:t>
      </w:r>
      <w:permEnd w:id="805204607"/>
      <w:r w:rsidR="004F7B49"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lastRenderedPageBreak/>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438DECE9" w14:textId="256C2981" w:rsidR="004F7B49" w:rsidRPr="004F7B49" w:rsidRDefault="00913A8F" w:rsidP="004F7B49">
      <w:permStart w:id="140709788" w:edGrp="everyone"/>
      <w:r w:rsidRPr="00913A8F">
        <w:t xml:space="preserve">The clarification of novation reporting protocol is welcomed.  “the details of the reported derivative should be consistent across both reports” should perhaps stipulate that only the common fields, </w:t>
      </w:r>
      <w:proofErr w:type="spellStart"/>
      <w:proofErr w:type="gramStart"/>
      <w:r w:rsidRPr="00913A8F">
        <w:t>ie</w:t>
      </w:r>
      <w:proofErr w:type="spellEnd"/>
      <w:proofErr w:type="gramEnd"/>
      <w:r w:rsidRPr="00913A8F">
        <w:t xml:space="preserve"> trade details, are required to match between paired reports</w:t>
      </w:r>
      <w:permEnd w:id="140709788"/>
      <w:r w:rsidR="004F7B49"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23313573" w14:textId="77777777" w:rsidR="0027233D" w:rsidRPr="004F7B49" w:rsidRDefault="0027233D" w:rsidP="0027233D">
      <w:permStart w:id="1190423857" w:edGrp="everyone"/>
      <w:r w:rsidRPr="004F7B49">
        <w:t>TYPE YOUR TEXT HERE</w:t>
      </w:r>
    </w:p>
    <w:permEnd w:id="1190423857"/>
    <w:p w14:paraId="33A74C51" w14:textId="236837E0"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361E09FD" w14:textId="77777777" w:rsidR="0008405B" w:rsidRDefault="0008405B" w:rsidP="0008405B">
      <w:permStart w:id="104465324" w:edGrp="everyone"/>
      <w:r>
        <w:t>The further clarification that reporting obligation only passes to FC for OTC derivatives and not ETDs is welcomed. There can be instances where the reporting is delegated through more than one intermediary. Field Submitting Agent would not seem to be sufficient to capture all scenarios</w:t>
      </w:r>
    </w:p>
    <w:p w14:paraId="39720228" w14:textId="77777777" w:rsidR="0008405B" w:rsidRDefault="0008405B" w:rsidP="0008405B">
      <w:r>
        <w:t xml:space="preserve">Identification of Executing Agent allows the manager to view and monitor the reporting of its funds </w:t>
      </w:r>
    </w:p>
    <w:p w14:paraId="65C98ACD" w14:textId="77777777" w:rsidR="0008405B" w:rsidRDefault="0008405B" w:rsidP="0008405B"/>
    <w:p w14:paraId="7FDEC53E" w14:textId="77777777" w:rsidR="0008405B" w:rsidRDefault="0008405B" w:rsidP="0008405B">
      <w:r>
        <w:t>Trade repositories feedback that this executing agent field will be added in the wrapper of the message sent to Trade repositories which seems to be a technical workaround whereas identifying the executing agent is useful in some scenarios.  We stress that this data is not mandatory but should only added in scenarios where is it applicable.</w:t>
      </w:r>
    </w:p>
    <w:p w14:paraId="2041D582" w14:textId="77777777" w:rsidR="0008405B" w:rsidRDefault="0008405B" w:rsidP="0008405B"/>
    <w:p w14:paraId="1A0E4568" w14:textId="463D41FF" w:rsidR="0008405B" w:rsidRDefault="0008405B" w:rsidP="004F7B49">
      <w:r>
        <w:t xml:space="preserve">Below a table where in line 3 and 4, we show the case where the submitting agent and the entity executing trades and wishing to monitor and control the trades are not the same. The </w:t>
      </w:r>
      <w:proofErr w:type="gramStart"/>
      <w:r>
        <w:t>third party</w:t>
      </w:r>
      <w:proofErr w:type="gramEnd"/>
      <w:r>
        <w:t xml:space="preserve"> provider is not the intermediary amending data as mentioned in question 18</w:t>
      </w:r>
    </w:p>
    <w:p w14:paraId="23CDBFD1" w14:textId="77777777" w:rsidR="0008405B" w:rsidRDefault="0008405B" w:rsidP="004F7B49"/>
    <w:p w14:paraId="2605C758" w14:textId="27448B05" w:rsidR="004F7B49" w:rsidRPr="004F7B49" w:rsidRDefault="0008405B" w:rsidP="004F7B49">
      <w:r>
        <w:rPr>
          <w:rFonts w:asciiTheme="minorHAnsi" w:hAnsiTheme="minorHAnsi" w:cstheme="minorHAnsi"/>
          <w:noProof/>
          <w:sz w:val="22"/>
          <w:szCs w:val="22"/>
          <w:lang w:val="en-US"/>
        </w:rPr>
        <w:lastRenderedPageBreak/>
        <w:drawing>
          <wp:inline distT="0" distB="0" distL="0" distR="0" wp14:anchorId="0B960D58" wp14:editId="578E9954">
            <wp:extent cx="5976620" cy="320294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620" cy="3202940"/>
                    </a:xfrm>
                    <a:prstGeom prst="rect">
                      <a:avLst/>
                    </a:prstGeom>
                    <a:noFill/>
                  </pic:spPr>
                </pic:pic>
              </a:graphicData>
            </a:graphic>
          </wp:inline>
        </w:drawing>
      </w:r>
      <w:proofErr w:type="gramStart"/>
      <w:r>
        <w:t>.</w:t>
      </w:r>
      <w:permEnd w:id="104465324"/>
      <w:r w:rsidR="004F7B49" w:rsidRPr="004F7B49">
        <w:t>&lt;</w:t>
      </w:r>
      <w:proofErr w:type="gramEnd"/>
      <w:r w:rsidR="004F7B49" w:rsidRPr="004F7B49">
        <w: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2AF801CF" w14:textId="77777777" w:rsidR="0008405B" w:rsidRDefault="0008405B" w:rsidP="0008405B">
      <w:permStart w:id="1120406469" w:edGrp="everyone"/>
      <w:r>
        <w:t xml:space="preserve">We observe in practice fund managers reporting on behalf of funds, even for ETDs, as the funds themselves do not typically have the IT or operational capabilities to take on this task </w:t>
      </w:r>
    </w:p>
    <w:p w14:paraId="43457485" w14:textId="076A2497" w:rsidR="004F7B49" w:rsidRPr="004F7B49" w:rsidRDefault="0008405B" w:rsidP="004F7B49">
      <w:r>
        <w:t>We understand that in case the manager is located in UK with a fund in EU, there is no double reporting obligation required as only the underlying fund should drive the reporting obligation</w:t>
      </w:r>
      <w:permEnd w:id="1120406469"/>
      <w:r w:rsidR="004F7B49"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3F4C4811" w14:textId="77777777" w:rsidR="0008405B" w:rsidRDefault="0008405B" w:rsidP="0008405B">
      <w:permStart w:id="754133959" w:edGrp="everyone"/>
      <w:r>
        <w:t xml:space="preserve">We note ESMA feedback that final party to touch the trade is reported as submitting entity (Field 2) “reporting is carried out by a chain of entities- Field 2 should be populated with the LEI of the entity ultimately submitting the report to the TR. </w:t>
      </w:r>
    </w:p>
    <w:p w14:paraId="6C759BCD" w14:textId="77777777" w:rsidR="0008405B" w:rsidRDefault="0008405B" w:rsidP="0008405B"/>
    <w:p w14:paraId="76E6E953" w14:textId="77777777" w:rsidR="0008405B" w:rsidRDefault="0008405B" w:rsidP="0008405B">
      <w:r>
        <w:t>However as mentioned in question 14, we observe scenarios where an agent could use a data provider as the conduit for reporting their clients trade to a TR, and where we have to choose between using the intermediary agent LEI or the data provider LEI as report submitting entity, we lose the identification of one party in the chain as there are not sufficient granularity in the ISO 20022 schema</w:t>
      </w:r>
    </w:p>
    <w:p w14:paraId="13921E0D" w14:textId="77777777" w:rsidR="0008405B" w:rsidRDefault="0008405B" w:rsidP="0008405B"/>
    <w:p w14:paraId="679786CD" w14:textId="77777777" w:rsidR="0008405B" w:rsidRDefault="0008405B" w:rsidP="0008405B">
      <w:r>
        <w:t>As an analogy, if one receives a letter (</w:t>
      </w:r>
      <w:proofErr w:type="spellStart"/>
      <w:r>
        <w:t>i.</w:t>
      </w:r>
      <w:proofErr w:type="gramStart"/>
      <w:r>
        <w:t>e.report</w:t>
      </w:r>
      <w:proofErr w:type="spellEnd"/>
      <w:proofErr w:type="gramEnd"/>
      <w:r>
        <w:t xml:space="preserve"> sent to the TR), would anyone really care who the postman is, or would we care more about who sent it, like the website shop such as Amazon etc. (i.e. the agent), on behalf of a underlying seller (reporting party or entity responsible for the report) ….</w:t>
      </w:r>
    </w:p>
    <w:p w14:paraId="3B1B5B83" w14:textId="77777777" w:rsidR="0008405B" w:rsidRDefault="0008405B" w:rsidP="0008405B"/>
    <w:p w14:paraId="58695B85" w14:textId="23927FCB" w:rsidR="004F7B49" w:rsidRPr="004F7B49" w:rsidRDefault="0008405B" w:rsidP="004F7B49">
      <w:r>
        <w:t xml:space="preserve">We believe that an intermediary that do not touch the data and create them would not be identified as report submitting entity but should be considered as a technical router. This would achieve consistency with SFTR and simplify the setup for firms who have to report to both EMIR and SFTR. It also seems </w:t>
      </w:r>
      <w:proofErr w:type="gramStart"/>
      <w:r>
        <w:t>logical.</w:t>
      </w:r>
      <w:permEnd w:id="754133959"/>
      <w:r w:rsidR="004F7B49" w:rsidRPr="004F7B49">
        <w:t>&lt;</w:t>
      </w:r>
      <w:proofErr w:type="gramEnd"/>
      <w:r w:rsidR="004F7B49" w:rsidRPr="004F7B49">
        <w: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21EB7D8C" w14:textId="48BC17C1" w:rsidR="004F7B49" w:rsidRPr="004F7B49" w:rsidRDefault="0008405B" w:rsidP="004F7B49">
      <w:permStart w:id="1560160754" w:edGrp="everyone"/>
      <w:r w:rsidRPr="0008405B">
        <w:t xml:space="preserve">Margin update and error reports would </w:t>
      </w:r>
      <w:proofErr w:type="gramStart"/>
      <w:r w:rsidRPr="0008405B">
        <w:t>be  reasonable</w:t>
      </w:r>
      <w:proofErr w:type="gramEnd"/>
      <w:r w:rsidRPr="0008405B">
        <w:t xml:space="preserve"> if starting margin values are reported on the first trade or initial position with a given UTI.  As mentioned in Q.20 we would welcome examples on margin reports at UTI and portfolio ID level including for corrections</w:t>
      </w:r>
      <w:proofErr w:type="gramStart"/>
      <w:r w:rsidRPr="0008405B">
        <w:t>.)</w:t>
      </w:r>
      <w:permEnd w:id="1560160754"/>
      <w:r w:rsidR="004F7B49" w:rsidRPr="004F7B49">
        <w:t>&lt;</w:t>
      </w:r>
      <w:proofErr w:type="gramEnd"/>
      <w:r w:rsidR="004F7B49" w:rsidRPr="004F7B49">
        <w: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116F3FA6" w14:textId="77777777" w:rsidR="0008405B" w:rsidRDefault="0008405B" w:rsidP="0008405B">
      <w:permStart w:id="1475099710" w:edGrp="everyone"/>
      <w:r>
        <w:t>•</w:t>
      </w:r>
      <w:r>
        <w:tab/>
        <w:t xml:space="preserve">It would be helpful to clarify how margin data reported at portfolio level is meant to be reported under the new reporting, i.e., whether values aggregated at account level should be attached to every position, or whether they can be submitted in a separate report margin report. </w:t>
      </w:r>
    </w:p>
    <w:p w14:paraId="73E97115" w14:textId="77777777" w:rsidR="0008405B" w:rsidRDefault="0008405B" w:rsidP="0008405B"/>
    <w:p w14:paraId="5DA43228" w14:textId="77777777" w:rsidR="0008405B" w:rsidRDefault="0008405B" w:rsidP="0008405B">
      <w:r>
        <w:t>As a general point based on SFTR experience, we would recommend presenting margin data separately from trade reporting.  In SFTR allowing data not related to trades to be included in trade report or separate report has caused confusion. It would be clearer if ESMA states margin data or collateral data are reported separately from trade reporting.</w:t>
      </w:r>
    </w:p>
    <w:p w14:paraId="7F25085C" w14:textId="77777777" w:rsidR="0008405B" w:rsidRDefault="0008405B" w:rsidP="0008405B"/>
    <w:p w14:paraId="4ABEBDD6" w14:textId="77777777" w:rsidR="0008405B" w:rsidRDefault="0008405B" w:rsidP="0008405B">
      <w:r>
        <w:t xml:space="preserve">"•        Regarding the Action Type Position (‘POSC’), is it permissible to use this to cancel trades which are potentially netted to a position, even in the scenario where the trades net to a zero position, hence there should not be any subsequent position to be reported? This would simplify the reporting (see also response to 24 re PTTR ID)”: </w:t>
      </w:r>
    </w:p>
    <w:p w14:paraId="1285A3DF" w14:textId="77777777" w:rsidR="0008405B" w:rsidRDefault="0008405B" w:rsidP="0008405B"/>
    <w:p w14:paraId="2BEC4F6B" w14:textId="77777777" w:rsidR="0008405B" w:rsidRDefault="0008405B" w:rsidP="0008405B">
      <w:r>
        <w:t>Example to amend below</w:t>
      </w:r>
    </w:p>
    <w:p w14:paraId="23AF988F" w14:textId="77777777" w:rsidR="0008405B" w:rsidRDefault="0008405B" w:rsidP="0008405B"/>
    <w:p w14:paraId="227C73E0" w14:textId="77777777" w:rsidR="0008405B" w:rsidRDefault="0008405B" w:rsidP="0008405B">
      <w:r>
        <w:t>Trade 1: Buy 50 future POSC</w:t>
      </w:r>
    </w:p>
    <w:p w14:paraId="1B762E9F" w14:textId="77777777" w:rsidR="0008405B" w:rsidRDefault="0008405B" w:rsidP="0008405B">
      <w:r>
        <w:t>Trade 2: Sell 50 future POSC</w:t>
      </w:r>
    </w:p>
    <w:p w14:paraId="1FE73FDD" w14:textId="77777777" w:rsidR="0008405B" w:rsidRDefault="0008405B" w:rsidP="0008405B">
      <w:r>
        <w:t xml:space="preserve">We don’t need to report a zero-position report with NEWT as it is redundant with trade 1 and 2 reporting </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03D74AC5" w14:textId="77777777" w:rsidR="0008405B" w:rsidRDefault="0008405B" w:rsidP="0008405B">
      <w:permStart w:id="1825854038" w:edGrp="everyone"/>
      <w:r>
        <w:t>•</w:t>
      </w:r>
      <w:r>
        <w:tab/>
        <w:t>We note ESMA has considered the feedback provided by participants regarding ‘Error’ action type to prevent that if one counterparty reports ‘Error’ by mistake: with EMIR REFIT, the other counterparty will not be prevented from timely reporting of relevant lifecycle events</w:t>
      </w:r>
    </w:p>
    <w:p w14:paraId="755C1738" w14:textId="77777777" w:rsidR="0008405B" w:rsidRDefault="0008405B" w:rsidP="0008405B"/>
    <w:p w14:paraId="3BFA4058" w14:textId="0E3AB86C" w:rsidR="0008405B" w:rsidRDefault="0008405B" w:rsidP="0008405B">
      <w:r>
        <w:lastRenderedPageBreak/>
        <w:t>•</w:t>
      </w:r>
      <w:r>
        <w:tab/>
        <w:t xml:space="preserve">We note that counterparties can only use action type ‘Revive’ during 30 days after the submission of ‘Error’ or ‘Terminate’ or after the maturity date. After that time a new UTI should be generated, and the other counterparty would need to cancel the derivative concerned (with action type ‘Error’) and both counterparties would need to report the trade again with a new UTI. This is an issue for global UTI as one of the fundamental principles for CPMI IOSCO guidance of persistency where UTI should remain constant throughout the life of a trade unless where lifecycle events affecting the existing contract create one or more reportable transaction. In such instance where a ESMA reportable entity is facing a US Person Swap Dealer, we could see a potential divergence of UTI between ESMA and CFTC records or UTI change be imposed on the US reporting </w:t>
      </w:r>
      <w:proofErr w:type="spellStart"/>
      <w:r>
        <w:t>counterpartywhen</w:t>
      </w:r>
      <w:proofErr w:type="spellEnd"/>
      <w:r>
        <w:t xml:space="preserve"> the latter has performed its reporting to CFTC correctly. </w:t>
      </w:r>
    </w:p>
    <w:p w14:paraId="0A8351C1" w14:textId="77777777" w:rsidR="0008405B" w:rsidRDefault="0008405B" w:rsidP="0008405B"/>
    <w:p w14:paraId="6AE40E29" w14:textId="77777777" w:rsidR="0008405B" w:rsidRDefault="0008405B" w:rsidP="0008405B">
      <w:r>
        <w:t>Reporting entities that have reporting obligations to multiple regimes to implement a robust solution that has ability to consider nuances from each regime yet keep to the principle of a unique UTI for each derivative transaction.</w:t>
      </w:r>
    </w:p>
    <w:p w14:paraId="4A002BD0" w14:textId="77777777" w:rsidR="0008405B" w:rsidRDefault="0008405B" w:rsidP="0008405B"/>
    <w:p w14:paraId="039D9A37" w14:textId="77777777" w:rsidR="0008405B" w:rsidRDefault="0008405B" w:rsidP="0008405B">
      <w:r>
        <w:t>•</w:t>
      </w:r>
      <w:r>
        <w:tab/>
        <w:t>We agree with ESMA correct sequences based on the ‘Event date’ is more accurate, however may be more burdensome for the TRs.  For SFTR reporting, where the sequencing of events was based on submission order, we observed the top rejections were related to the non-respect of sequences of events and logic on dates. Correct sequencing of events was challenging to meet for a lot of firms especially for backdated remediations / corrections and given the tight timeline (one day only in effect) to bring a trade back to life in case or erroneous terminations or cancels</w:t>
      </w:r>
    </w:p>
    <w:p w14:paraId="5031E6AD" w14:textId="77777777" w:rsidR="0008405B" w:rsidRDefault="0008405B" w:rsidP="0008405B"/>
    <w:p w14:paraId="256B6B9E" w14:textId="77777777" w:rsidR="0008405B" w:rsidRDefault="0008405B" w:rsidP="0008405B"/>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4DF407C3" w14:textId="1179F1B7" w:rsidR="0008405B" w:rsidRDefault="0008405B" w:rsidP="0008405B">
      <w:permStart w:id="1341936864" w:edGrp="everyone"/>
      <w:r>
        <w:t>We do not support the 30 days limit beyond which a new UTI will have to be created (reasons explained in Q21)</w:t>
      </w:r>
    </w:p>
    <w:p w14:paraId="25DAA6E6" w14:textId="77777777" w:rsidR="0008405B" w:rsidRDefault="0008405B" w:rsidP="0008405B"/>
    <w:p w14:paraId="684C4332" w14:textId="50417DFA" w:rsidR="004F7B49" w:rsidRPr="004F7B49" w:rsidRDefault="0008405B" w:rsidP="004F7B49">
      <w:r>
        <w:t xml:space="preserve">We note that counterparties would need to re-report all the lifecycle events when using Revive action type between the incorrect termination/cancelation of the derivative and the submission of ‘New’ </w:t>
      </w:r>
      <w:proofErr w:type="gramStart"/>
      <w:r>
        <w:t>report.</w:t>
      </w:r>
      <w:permEnd w:id="1341936864"/>
      <w:r w:rsidR="004F7B49" w:rsidRPr="004F7B49">
        <w:t>&lt;</w:t>
      </w:r>
      <w:proofErr w:type="gramEnd"/>
      <w:r w:rsidR="004F7B49" w:rsidRPr="004F7B49">
        <w: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A4DD9A0" w14:textId="77777777" w:rsidR="0008405B" w:rsidRDefault="0008405B" w:rsidP="0008405B">
      <w:permStart w:id="1133980479" w:edGrp="everyone"/>
      <w:r>
        <w:t>•</w:t>
      </w:r>
      <w:r>
        <w:tab/>
        <w:t>As per ESMA feedback, a termination of a derivative will have to translate into an Action Type ‘MODI’ (modify) with event type ETRM (early termination) in case an early termination is agreed in advance of its effective date. A termination occurring the same day as it is decided will translate into an Action Type ‘ETRM’, Event Type ‘ETRM’. This way to terminate a trade ‘in advance’ i.e., decide the termination ahead of the time when it actually settles is taken from SFTR world to report settlement fails or when an evergreen trade. However, we do not believe this apply to derivatives. Additionally, we currently observe issues within SFTR due to the coexistence of these two ways to terminate a contract whereas it does not seem to bring additional huge benefit from a systemic risk point of view</w:t>
      </w:r>
      <w:proofErr w:type="gramStart"/>
      <w:r>
        <w:t>. ,</w:t>
      </w:r>
      <w:proofErr w:type="gramEnd"/>
      <w:r>
        <w:t xml:space="preserve"> it  requires parties to build a complex ‘withholding’ logic to retain events to be reported for both trades and positions.</w:t>
      </w:r>
    </w:p>
    <w:p w14:paraId="17A2C703" w14:textId="77777777" w:rsidR="0008405B" w:rsidRDefault="0008405B" w:rsidP="0008405B"/>
    <w:p w14:paraId="5AB9898B" w14:textId="77777777" w:rsidR="0008405B" w:rsidRDefault="0008405B" w:rsidP="0008405B">
      <w:r>
        <w:t>•</w:t>
      </w:r>
      <w:r>
        <w:tab/>
        <w:t>We point out the challenges around corrections which sometimes are difficult to implement versus the validation rules.</w:t>
      </w:r>
    </w:p>
    <w:p w14:paraId="1ADE6FF7" w14:textId="77777777" w:rsidR="0008405B" w:rsidRDefault="0008405B" w:rsidP="0008405B"/>
    <w:p w14:paraId="627A21BB" w14:textId="77777777" w:rsidR="0008405B" w:rsidRDefault="0008405B" w:rsidP="0008405B">
      <w:r>
        <w:t>Margin update’ is used for the update of data related to margins (collateral details</w:t>
      </w:r>
    </w:p>
    <w:p w14:paraId="026CFC52" w14:textId="77777777" w:rsidR="0008405B" w:rsidRDefault="0008405B" w:rsidP="0008405B">
      <w:r>
        <w:lastRenderedPageBreak/>
        <w:t>The use of action type ‘Correct’ for margin data on a given day as opposed to a genuine margin update will require firms’ collateral source system to be able to differentiate between a genuine margin update reporting versus an error correction for a prior record. Noticeably this requirement is only present in EMIR REFIT which may result in bifurcation of reporting system logic for the reporting entities.</w:t>
      </w:r>
    </w:p>
    <w:p w14:paraId="2A189328" w14:textId="77777777" w:rsidR="0008405B" w:rsidRDefault="0008405B" w:rsidP="0008405B"/>
    <w:p w14:paraId="0BD2364F" w14:textId="77777777" w:rsidR="0008405B" w:rsidRDefault="0008405B" w:rsidP="0008405B">
      <w:r>
        <w:t>•</w:t>
      </w:r>
      <w:r>
        <w:tab/>
        <w:t>Valuation Amounts will have to be corrected which as well is not present in other reporting regimes either.</w:t>
      </w:r>
    </w:p>
    <w:p w14:paraId="71E18152" w14:textId="1A7A37D6" w:rsidR="004F7B49" w:rsidRPr="004F7B49" w:rsidRDefault="0008405B" w:rsidP="004F7B49">
      <w:r>
        <w:t>•</w:t>
      </w:r>
      <w:r>
        <w:tab/>
        <w:t xml:space="preserve">We note that Modification/ Step in will be used for partial </w:t>
      </w:r>
      <w:proofErr w:type="spellStart"/>
      <w:r>
        <w:t>novations</w:t>
      </w:r>
      <w:proofErr w:type="spellEnd"/>
      <w:r>
        <w:t xml:space="preserve"> as per ESMA guidelines</w:t>
      </w:r>
      <w:permEnd w:id="1133980479"/>
      <w:r w:rsidR="004F7B49"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77777777" w:rsidR="004F7B49" w:rsidRPr="004F7B49" w:rsidRDefault="004F7B49" w:rsidP="004F7B49">
      <w:permStart w:id="2094935916" w:edGrp="everyone"/>
      <w:r w:rsidRPr="004F7B49">
        <w:t>TYPE YOUR TEXT HERE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6D06D21C" w14:textId="77777777" w:rsidR="0008405B" w:rsidRPr="000C62F6" w:rsidRDefault="0008405B" w:rsidP="0008405B">
      <w:pPr>
        <w:rPr>
          <w:rFonts w:asciiTheme="minorHAnsi" w:hAnsiTheme="minorHAnsi" w:cstheme="minorHAnsi"/>
          <w:sz w:val="22"/>
          <w:szCs w:val="22"/>
        </w:rPr>
      </w:pPr>
      <w:permStart w:id="2030509467" w:edGrp="everyone"/>
      <w:r>
        <w:t xml:space="preserve">We </w:t>
      </w:r>
      <w:r w:rsidRPr="000C62F6">
        <w:rPr>
          <w:rFonts w:asciiTheme="minorHAnsi" w:hAnsiTheme="minorHAnsi" w:cstheme="minorHAnsi"/>
          <w:sz w:val="22"/>
          <w:szCs w:val="22"/>
        </w:rPr>
        <w:t>Agree approach of leaving Event type blank in the case of multiple same-day changes</w:t>
      </w:r>
      <w:r w:rsidRPr="000C62F6" w:rsidDel="00B54281">
        <w:rPr>
          <w:rFonts w:asciiTheme="minorHAnsi" w:hAnsiTheme="minorHAnsi" w:cstheme="minorHAnsi"/>
          <w:sz w:val="22"/>
          <w:szCs w:val="22"/>
        </w:rPr>
        <w:t xml:space="preserve"> </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3A1CC70F" w14:textId="412FC35D" w:rsidR="0008405B" w:rsidRPr="000C62F6" w:rsidRDefault="0008405B" w:rsidP="0008405B">
      <w:pPr>
        <w:rPr>
          <w:rFonts w:asciiTheme="minorHAnsi" w:hAnsiTheme="minorHAnsi" w:cstheme="minorHAnsi"/>
          <w:sz w:val="22"/>
          <w:szCs w:val="22"/>
        </w:rPr>
      </w:pPr>
      <w:permStart w:id="838819497" w:edGrp="everyone"/>
      <w:r>
        <w:rPr>
          <w:rFonts w:asciiTheme="minorHAnsi" w:hAnsiTheme="minorHAnsi" w:cstheme="minorHAnsi"/>
          <w:sz w:val="22"/>
          <w:szCs w:val="22"/>
        </w:rPr>
        <w:t xml:space="preserve">Detailed </w:t>
      </w:r>
      <w:r w:rsidRPr="000C62F6">
        <w:rPr>
          <w:rFonts w:asciiTheme="minorHAnsi" w:hAnsiTheme="minorHAnsi" w:cstheme="minorHAnsi"/>
          <w:sz w:val="22"/>
          <w:szCs w:val="22"/>
        </w:rPr>
        <w:t xml:space="preserve">clarification of field population at position level </w:t>
      </w:r>
      <w:r>
        <w:rPr>
          <w:rFonts w:asciiTheme="minorHAnsi" w:hAnsiTheme="minorHAnsi" w:cstheme="minorHAnsi"/>
          <w:sz w:val="22"/>
          <w:szCs w:val="22"/>
        </w:rPr>
        <w:t xml:space="preserve">will be </w:t>
      </w:r>
      <w:r w:rsidRPr="000C62F6">
        <w:rPr>
          <w:rFonts w:asciiTheme="minorHAnsi" w:hAnsiTheme="minorHAnsi" w:cstheme="minorHAnsi"/>
          <w:sz w:val="22"/>
          <w:szCs w:val="22"/>
        </w:rPr>
        <w:t>helpful</w:t>
      </w:r>
      <w:r>
        <w:rPr>
          <w:rFonts w:asciiTheme="minorHAnsi" w:hAnsiTheme="minorHAnsi" w:cstheme="minorHAnsi"/>
          <w:sz w:val="22"/>
          <w:szCs w:val="22"/>
        </w:rPr>
        <w:t xml:space="preserve"> as well as further position and ETD reporting examples</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6C7684AC" w14:textId="77777777" w:rsidR="0008405B" w:rsidRDefault="0008405B" w:rsidP="0008405B">
      <w:permStart w:id="487798687" w:edGrp="everyone"/>
      <w:r>
        <w:t xml:space="preserve">There are considerable logistical complexities in compressing trades into positions, then sending at position level modifications, valuations, terminations, margin updates on those compressed trades </w:t>
      </w:r>
    </w:p>
    <w:p w14:paraId="19CCB837" w14:textId="77777777" w:rsidR="0008405B" w:rsidRDefault="0008405B" w:rsidP="0008405B">
      <w:r>
        <w:t>The complexity of compression reporting along with the linkage of all elements could lead to trades being traded elsewhere than in the EU. In addition, agreeing one by one with each counterparty whether to report at trade level or position level for ETD and CFD is very challenging</w:t>
      </w:r>
    </w:p>
    <w:p w14:paraId="5DC3E807" w14:textId="77777777" w:rsidR="0008405B" w:rsidRDefault="0008405B" w:rsidP="0008405B"/>
    <w:p w14:paraId="3FA92A69" w14:textId="77777777" w:rsidR="0008405B" w:rsidRDefault="0008405B" w:rsidP="0008405B"/>
    <w:p w14:paraId="57CCDE20" w14:textId="77777777" w:rsidR="0008405B" w:rsidRDefault="0008405B" w:rsidP="0008405B">
      <w:r>
        <w:t>Should ESMA rather seek having more data reported by accepting to simplify the reporting?</w:t>
      </w:r>
    </w:p>
    <w:p w14:paraId="6972659D" w14:textId="77777777" w:rsidR="0008405B" w:rsidRDefault="0008405B" w:rsidP="0008405B">
      <w:r>
        <w:t xml:space="preserve">We might suggest a simplified reporting structure, especially suitable for Contract for Differences providers, consisting of limiting the reporting to trades reported at position level (action type POSC) reported and terminated within the same message. </w:t>
      </w:r>
    </w:p>
    <w:p w14:paraId="64B118C4" w14:textId="77777777" w:rsidR="0008405B" w:rsidRDefault="0008405B" w:rsidP="0008405B"/>
    <w:p w14:paraId="79100425" w14:textId="77777777" w:rsidR="0008405B" w:rsidRDefault="0008405B" w:rsidP="0008405B">
      <w:r>
        <w:lastRenderedPageBreak/>
        <w:t>•</w:t>
      </w:r>
      <w:r>
        <w:tab/>
        <w:t xml:space="preserve">Positions would be reported as New, with a maturity date set to next business day (hence next day the trade will be ‘exited ‘at the TR) and all current details of valuation and margin attached to the trade as well.  </w:t>
      </w:r>
    </w:p>
    <w:p w14:paraId="767C03B0" w14:textId="77777777" w:rsidR="0008405B" w:rsidRDefault="0008405B" w:rsidP="0008405B"/>
    <w:p w14:paraId="0EA667B5" w14:textId="77777777" w:rsidR="0008405B" w:rsidRDefault="0008405B" w:rsidP="0008405B">
      <w:r>
        <w:t>•</w:t>
      </w:r>
      <w:r>
        <w:tab/>
        <w:t xml:space="preserve">The following day, when the positions age off, new trades would be reported with POSC and a new set of updated positions constructed, again with a maturity date of following business day. </w:t>
      </w:r>
    </w:p>
    <w:p w14:paraId="20E54C78" w14:textId="77777777" w:rsidR="0008405B" w:rsidRDefault="0008405B" w:rsidP="0008405B"/>
    <w:p w14:paraId="0A141ECB" w14:textId="17B35689" w:rsidR="004F7B49" w:rsidRPr="004F7B49" w:rsidRDefault="0008405B" w:rsidP="004F7B49">
      <w:r>
        <w:t>•</w:t>
      </w:r>
      <w:r>
        <w:tab/>
        <w:t xml:space="preserve">In this manner ESMA has the assurance that a) all trades have been reported and b) a current set of position up to date is always available as well its related details related to collateral </w:t>
      </w:r>
      <w:proofErr w:type="gramStart"/>
      <w:r>
        <w:t>data.</w:t>
      </w:r>
      <w:permEnd w:id="487798687"/>
      <w:r w:rsidR="004F7B49" w:rsidRPr="004F7B49">
        <w:t>&lt;</w:t>
      </w:r>
      <w:proofErr w:type="gramEnd"/>
      <w:r w:rsidR="004F7B49" w:rsidRPr="004F7B49">
        <w: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11FEC555" w:rsidR="004F7B49" w:rsidRPr="004F7B49" w:rsidRDefault="0008405B" w:rsidP="004F7B49">
      <w:permStart w:id="1903586040" w:edGrp="everyone"/>
      <w:r>
        <w:t>Agree with the text.</w:t>
      </w:r>
      <w:r w:rsidRPr="0008405B">
        <w:t xml:space="preserve"> </w:t>
      </w:r>
      <w:r>
        <w:t xml:space="preserve">In addition, </w:t>
      </w:r>
      <w:r w:rsidRPr="0008405B">
        <w:t>it would be helpful to remind firms that trades, and positions are automatically considered to be exited once the reported Maturity Date has passed, without further report being required.</w:t>
      </w:r>
      <w:r>
        <w:t xml:space="preserve"> </w:t>
      </w:r>
      <w:r w:rsidR="004F7B49"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3D936EA1" w14:textId="77777777" w:rsidR="0008405B" w:rsidRDefault="0008405B" w:rsidP="0008405B">
      <w:permStart w:id="699138572" w:edGrp="everyone"/>
      <w:r>
        <w:t>As mentioned in answer 23, a termination of a derivative translated into action type ‘MODI’ (modify) with event type ETRM (early termination) does not apply to derivatives and is prone to errors, it will require parties to build a withholding logic to retain events to be reported.</w:t>
      </w:r>
    </w:p>
    <w:p w14:paraId="5C07E40A" w14:textId="287B1AC9" w:rsidR="0008405B" w:rsidRDefault="0008405B" w:rsidP="0008405B">
      <w:r>
        <w:t xml:space="preserve">We currently observe issues within SFTR </w:t>
      </w:r>
      <w:r w:rsidR="00E8332B">
        <w:t xml:space="preserve">that may occur in EMIR which are related to </w:t>
      </w:r>
      <w:r>
        <w:t xml:space="preserve">the coexistence of these two ways to terminate a contract, especially in the case of agency allocations where there is one side of the trade totally dependent on the other side coming from the agent regarding the data used </w:t>
      </w:r>
      <w:r w:rsidR="00E8332B">
        <w:t xml:space="preserve">to </w:t>
      </w:r>
      <w:proofErr w:type="spellStart"/>
      <w:r w:rsidR="00E8332B">
        <w:t>fullfill</w:t>
      </w:r>
      <w:proofErr w:type="spellEnd"/>
      <w:r>
        <w:t xml:space="preserve"> its reporting obligation. </w:t>
      </w:r>
    </w:p>
    <w:p w14:paraId="35C42D66" w14:textId="77777777" w:rsidR="0008405B" w:rsidRDefault="0008405B" w:rsidP="0008405B"/>
    <w:p w14:paraId="420E6CC2" w14:textId="77777777" w:rsidR="0008405B" w:rsidRDefault="0008405B" w:rsidP="0008405B"/>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A09584B" w14:textId="5CDE1319" w:rsidR="004F7B49" w:rsidRPr="004F7B49" w:rsidRDefault="00E8332B" w:rsidP="004F7B49">
      <w:permStart w:id="1905620869" w:edGrp="everyone"/>
      <w:r w:rsidRPr="00E8332B">
        <w:t xml:space="preserve">We believe Event Date field should be used as a key to construct the trade state report. It is preferable for EMIR not to align with SFTR on how trade state reports are updated given current operational challenges and the majority of rejections related to life cycle events sequencing logic not </w:t>
      </w:r>
      <w:proofErr w:type="gramStart"/>
      <w:r w:rsidRPr="00E8332B">
        <w:t>respected.</w:t>
      </w:r>
      <w:permEnd w:id="1905620869"/>
      <w:r w:rsidR="004F7B49" w:rsidRPr="004F7B49">
        <w:t>&lt;</w:t>
      </w:r>
      <w:proofErr w:type="gramEnd"/>
      <w:r w:rsidR="004F7B49" w:rsidRPr="004F7B49">
        <w: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748CBBB4" w14:textId="534BB884" w:rsidR="004F7B49" w:rsidRPr="004F7B49" w:rsidRDefault="00E8332B" w:rsidP="004F7B49">
      <w:permStart w:id="1579104281" w:edGrp="everyone"/>
      <w:r w:rsidRPr="00E8332B">
        <w:lastRenderedPageBreak/>
        <w:t xml:space="preserve">we would welcome further examples on the different use cases of step-in. </w:t>
      </w:r>
      <w:permEnd w:id="1579104281"/>
      <w:r w:rsidR="004F7B49"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418123A7" w14:textId="2A525584" w:rsidR="004F7B49" w:rsidRPr="004F7B49" w:rsidRDefault="00E8332B" w:rsidP="004F7B49">
      <w:permStart w:id="1955139634" w:edGrp="everyone"/>
      <w:r>
        <w:t>It would be useful to provide further details on Business Event ‘Corporate Action’, we advise to use the ISO 20022 codes https://www.iso20022.org/standardsrepository/type/CorporateActionOption5Code and industry best practices where available for standard approach on corporate actions. A corporate action is not always translated into a Modification keeping the same UTI. The timing of a corporate action should be considered. Some use cases and examples should be provided by ESMA. See as an example SFTR corporate actions best practices referencing ISO 20022 codes in the Appendix (</w:t>
      </w:r>
      <w:proofErr w:type="gramStart"/>
      <w:r>
        <w:t>https://www.islaemea.org/regulation-and-policy/markets-regulation/securities-financing-transactions-regulation-sftr/)</w:t>
      </w:r>
      <w:permEnd w:id="1955139634"/>
      <w:r w:rsidR="004F7B49" w:rsidRPr="004F7B49">
        <w:t>&lt;</w:t>
      </w:r>
      <w:proofErr w:type="gramEnd"/>
      <w:r w:rsidR="004F7B49" w:rsidRPr="004F7B49">
        <w: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522118AB" w14:textId="77777777" w:rsidR="00E8332B" w:rsidRDefault="00E8332B" w:rsidP="00E8332B">
      <w:permStart w:id="1677329523" w:edGrp="everyone"/>
      <w:r>
        <w:t xml:space="preserve">Regarding the UTI generation decision tree, the confirmation platform and the bilateral agreement should take precedence over the checking of cross jurisdictional obligations or rules referring to the nature of counterparties. Bilateral agreement with the counterparty should be placed higher within the UTI generation decision tree after CCP, trading venues and confirmation platforms to simplify the UTI generation process for firms. In the case where one or none of the parties use a CCP, trading venue or confirmation platform, reference to the bilateral agreement is an efficient way for UTI generation, avoiding parties having to go through a complex algorithm for UTI generation. </w:t>
      </w:r>
    </w:p>
    <w:p w14:paraId="5ABC49F0" w14:textId="77777777" w:rsidR="00E8332B" w:rsidRDefault="00E8332B" w:rsidP="00E8332B"/>
    <w:p w14:paraId="046D52A9" w14:textId="77777777" w:rsidR="00E8332B" w:rsidRDefault="00E8332B" w:rsidP="00E8332B"/>
    <w:p w14:paraId="7108C208" w14:textId="77777777" w:rsidR="00E8332B" w:rsidRDefault="00E8332B" w:rsidP="00E8332B">
      <w:r>
        <w:t>UTI generation logic related to the global UTI implementation present some operational challenges as follows:</w:t>
      </w:r>
    </w:p>
    <w:p w14:paraId="7808A649" w14:textId="77777777" w:rsidR="00E8332B" w:rsidRDefault="00E8332B" w:rsidP="00E8332B">
      <w:r>
        <w:t xml:space="preserve">The step on ‘cross jurisdictional contract’ described in the CPMI IOSCO UTI decision tree with precedence of earliest reporting deadline would be overly complex operationally. This would imply that firms building an internal logic would need to be informed about the other counterparty’s jurisdictional reporting requirements, which will not always be shared with or known to the counterpart. Currently it is not market practice at trade execution for firms to exchange each other’s applicable reporting jurisdictions for a trade. Firms typically do not even determine their own reporting jurisdictions until post-trade. For firms that are only reporting to one jurisdiction this process will not only be challenging but also prohibitive and unnecessarily costly to implement.  If there was an option to select for soonest reporting timeline, the semantic approach would be preferred as less complex to implement than the follow the sun approach which puts the burden on small counterparties in the East. Lastly we stress that before getting to the TR, for trades that do not go through CCPs, trading venues or confirmation platforms, there is value added for a pre-matching tool that can make the key trade economics match in order to get a </w:t>
      </w:r>
      <w:proofErr w:type="gramStart"/>
      <w:r>
        <w:t>UTI ,</w:t>
      </w:r>
      <w:proofErr w:type="gramEnd"/>
      <w:r>
        <w:t xml:space="preserve"> this should be considered as part of the bilateral agreement counterparties may have.</w:t>
      </w:r>
    </w:p>
    <w:p w14:paraId="7EE0489C" w14:textId="77777777" w:rsidR="00E8332B" w:rsidRDefault="00E8332B" w:rsidP="00E8332B"/>
    <w:p w14:paraId="7D4E7FE1" w14:textId="77777777" w:rsidR="00E8332B" w:rsidRDefault="00E8332B" w:rsidP="00E8332B">
      <w:r>
        <w:t xml:space="preserve">In effect, because of the impracticalities of cross jurisdictional step checking on the jurisdiction of the other counterparty will be difficult to implement so parties are likely to skip to the next step in the UTI decision tree until the bilateral agreement or the LEI sorting </w:t>
      </w:r>
    </w:p>
    <w:p w14:paraId="478CDAA4" w14:textId="77777777" w:rsidR="00E8332B" w:rsidRDefault="00E8332B" w:rsidP="00E8332B"/>
    <w:p w14:paraId="01ACA1D2" w14:textId="77777777" w:rsidR="00E8332B" w:rsidRDefault="00E8332B" w:rsidP="00E8332B">
      <w:r>
        <w:t>We also note the requirement around the management of UTI generation and communication within the 10 am UTC timeline on T+1 is going to be challenging as controls will have to put in place within that timeframe (Parties could follow an End of Day process via file exchanges).</w:t>
      </w:r>
    </w:p>
    <w:p w14:paraId="56C89967" w14:textId="77777777" w:rsidR="00E8332B" w:rsidRDefault="00E8332B" w:rsidP="00E8332B"/>
    <w:p w14:paraId="68B1F363" w14:textId="77777777" w:rsidR="00E8332B" w:rsidRDefault="00E8332B" w:rsidP="00E8332B">
      <w:r>
        <w:lastRenderedPageBreak/>
        <w:t>Within the same ‘cross jurisdictional step in the UTI flowchart, there is an instance where the TR is responsible for generating the UTI: we do not think this is optimal, a TR is not meant to generate a UTI and is not an UTI exchange platform. Therefore, we suggest removing the step of TRs generating a UTI.</w:t>
      </w:r>
    </w:p>
    <w:p w14:paraId="0DD30E2F" w14:textId="77777777" w:rsidR="00E8332B" w:rsidRDefault="00E8332B" w:rsidP="00E8332B"/>
    <w:p w14:paraId="74D3E628" w14:textId="77777777" w:rsidR="00E8332B" w:rsidRDefault="00E8332B" w:rsidP="00E8332B">
      <w:r>
        <w:t>Lastly, we would very strongly recommend regulatory guidance on UTI sharing requirements including among others the following points:</w:t>
      </w:r>
    </w:p>
    <w:p w14:paraId="00317882" w14:textId="77777777" w:rsidR="00E8332B" w:rsidRDefault="00E8332B" w:rsidP="00E8332B"/>
    <w:p w14:paraId="04E8BCF7" w14:textId="77777777" w:rsidR="00E8332B" w:rsidRDefault="00E8332B" w:rsidP="00E8332B">
      <w:r>
        <w:t>•</w:t>
      </w:r>
      <w:r>
        <w:tab/>
        <w:t xml:space="preserve">The default use of a digital medium for UTI exchange, avoiding faxes, </w:t>
      </w:r>
      <w:proofErr w:type="gramStart"/>
      <w:r>
        <w:t>telephone</w:t>
      </w:r>
      <w:proofErr w:type="gramEnd"/>
      <w:r>
        <w:t xml:space="preserve"> and other manual processes.</w:t>
      </w:r>
    </w:p>
    <w:p w14:paraId="6FA609E0" w14:textId="77777777" w:rsidR="00E8332B" w:rsidRDefault="00E8332B" w:rsidP="00E8332B">
      <w:r>
        <w:t>•</w:t>
      </w:r>
      <w:r>
        <w:tab/>
        <w:t>Preference for automated workflows from booking to reporting.</w:t>
      </w:r>
    </w:p>
    <w:p w14:paraId="4FD5BCCA" w14:textId="77777777" w:rsidR="00E8332B" w:rsidRDefault="00E8332B" w:rsidP="00E8332B">
      <w:r>
        <w:t>•</w:t>
      </w:r>
      <w:r>
        <w:tab/>
        <w:t>UTI and its related data to be shared in a common format.</w:t>
      </w:r>
    </w:p>
    <w:p w14:paraId="55B85FFB" w14:textId="77777777" w:rsidR="00E8332B" w:rsidRDefault="00E8332B" w:rsidP="00E8332B">
      <w:r>
        <w:t>•</w:t>
      </w:r>
      <w:r>
        <w:tab/>
        <w:t>Exchange of transaction minimum fields alongside the UTI to facilitate identification of the transaction and facilitate pairing.</w:t>
      </w:r>
    </w:p>
    <w:p w14:paraId="1D470EC8" w14:textId="77777777" w:rsidR="00E8332B" w:rsidRDefault="00E8332B" w:rsidP="00E8332B"/>
    <w:p w14:paraId="76309C1E" w14:textId="4795451A" w:rsidR="004F7B49" w:rsidRPr="004F7B49" w:rsidRDefault="00E8332B" w:rsidP="004F7B49">
      <w:r>
        <w:t xml:space="preserve">We would like to stress once again that the UTI is built on a global </w:t>
      </w:r>
      <w:proofErr w:type="spellStart"/>
      <w:r>
        <w:t>approach:it</w:t>
      </w:r>
      <w:proofErr w:type="spellEnd"/>
      <w:r>
        <w:t xml:space="preserve"> is very important ESMA considers UTI Implementation timeline across different jurisdictions: the US could move to the new global UTI format and generation logic before EMIR (assuming CFTC Rewrite goes live in May 2022) hence firms may have to maintain 3 different UTI formats and logic for the same trade and its prior-UTIs (Global UTI, current EMIR UTI, USI) </w:t>
      </w:r>
      <w:permEnd w:id="1677329523"/>
      <w:r w:rsidR="004F7B49"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3491E341" w14:textId="63600E30" w:rsidR="00E8332B" w:rsidRDefault="004A04F0" w:rsidP="00E8332B">
      <w:permStart w:id="1383475364" w:edGrp="everyone"/>
      <w:r>
        <w:t>-</w:t>
      </w:r>
      <w:r w:rsidR="00E8332B">
        <w:t>UTI generation and exchange do not always occur on a timely basis and in an accurate manner, particularly for manually confirmed trades. ESMA Data Quality Review has put the stress on timeliness leading some firms to prefer timeliness of reporting a UTI over waiting for the accurate UTI</w:t>
      </w:r>
    </w:p>
    <w:p w14:paraId="5BC8157F" w14:textId="77777777" w:rsidR="00E8332B" w:rsidRDefault="00E8332B" w:rsidP="00E8332B"/>
    <w:p w14:paraId="25ED7DA8" w14:textId="25536994" w:rsidR="00E8332B" w:rsidRDefault="004A04F0" w:rsidP="00E8332B">
      <w:r>
        <w:t>-</w:t>
      </w:r>
      <w:r w:rsidR="00E8332B">
        <w:t xml:space="preserve">The reporting of an interim UTI by firms who haven’t received the UTI from the UTI-generator party at close to the reporting deadline (next day midnight after trade execution date) could lead to numerous manual processes, which are likely to be the sources of errors and rejections at the trade repository. </w:t>
      </w:r>
    </w:p>
    <w:p w14:paraId="43725F3E" w14:textId="77777777" w:rsidR="004A04F0" w:rsidRDefault="00E8332B" w:rsidP="00E8332B">
      <w:r>
        <w:t>We acknowledge the preference for some firms to report the trade with the official UTI only once it is available and not report an interim UTI because of the challenges of reporting multiple reporting messages per trade when using an interim UTI and then the final UTI</w:t>
      </w:r>
      <w:r w:rsidR="004A04F0">
        <w:t xml:space="preserve">. </w:t>
      </w:r>
      <w:r>
        <w:t>Allowing an interim UTI should go hand in hand with flexibility in life cycle events rules such as on resubmissions of back dated corrections without having to resubmit all the sequences of events since the full history of the trades but only the last meaningful state of the trade</w:t>
      </w:r>
    </w:p>
    <w:p w14:paraId="039DF33E" w14:textId="77777777" w:rsidR="004A04F0" w:rsidRDefault="004A04F0" w:rsidP="00E8332B"/>
    <w:p w14:paraId="52001FF6" w14:textId="76653FF4" w:rsidR="00E8332B" w:rsidRDefault="004A04F0" w:rsidP="00E8332B">
      <w:r>
        <w:t>-</w:t>
      </w:r>
      <w:r w:rsidR="00E8332B">
        <w:t>Replacing the UTI to try to match at the TR is one of the most common issues that we witness in other regimes such as SFTR with discrepancies of life cycle events reporting timing on both sides</w:t>
      </w:r>
      <w:r>
        <w:t>. P</w:t>
      </w:r>
      <w:r w:rsidR="00E8332B">
        <w:t xml:space="preserve">re-Tr matching platforms could </w:t>
      </w:r>
      <w:proofErr w:type="gramStart"/>
      <w:r w:rsidR="00E8332B">
        <w:t>help  in</w:t>
      </w:r>
      <w:proofErr w:type="gramEnd"/>
      <w:r w:rsidR="00E8332B">
        <w:t xml:space="preserve"> matching fields and getting the correct UTI</w:t>
      </w:r>
    </w:p>
    <w:p w14:paraId="7F4A18E1" w14:textId="77777777" w:rsidR="004A04F0" w:rsidRDefault="004A04F0" w:rsidP="004F7B49"/>
    <w:p w14:paraId="551D5528" w14:textId="0EE84565" w:rsidR="004F7B49" w:rsidRPr="004F7B49" w:rsidRDefault="00E8332B" w:rsidP="004F7B49">
      <w:proofErr w:type="gramStart"/>
      <w:r>
        <w:t>.</w:t>
      </w:r>
      <w:permEnd w:id="1383475364"/>
      <w:r w:rsidR="004F7B49" w:rsidRPr="004F7B49">
        <w:t>&lt;</w:t>
      </w:r>
      <w:proofErr w:type="gramEnd"/>
      <w:r w:rsidR="004F7B49" w:rsidRPr="004F7B49">
        <w: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1D814597" w14:textId="01545475" w:rsidR="004F7B49" w:rsidRPr="004F7B49" w:rsidRDefault="00E8332B" w:rsidP="004F7B49">
      <w:permStart w:id="1065617603" w:edGrp="everyone"/>
      <w:r w:rsidRPr="00E8332B">
        <w:t>We agree with the details on when to report using Buyer/Seller and when to report using Payer/Receiver.</w:t>
      </w:r>
      <w:r>
        <w:t xml:space="preserve"> It should leverage on industry </w:t>
      </w:r>
      <w:proofErr w:type="spellStart"/>
      <w:r>
        <w:t>bes</w:t>
      </w:r>
      <w:proofErr w:type="spellEnd"/>
      <w:r>
        <w:t xml:space="preserve"> practices as much as possible</w:t>
      </w:r>
      <w:r w:rsidRPr="00E8332B">
        <w:t xml:space="preserve"> </w:t>
      </w:r>
      <w:permEnd w:id="1065617603"/>
      <w:r w:rsidR="004F7B49"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08C05F82" w:rsidR="004F7B49" w:rsidRDefault="00E8332B" w:rsidP="00E8332B">
      <w:permStart w:id="739080107" w:edGrp="everyone"/>
      <w:r>
        <w:t>In general, we stress that the regulatory text appears to place the onus on reporting firms for assessing whether their counterparties have a reporting obligation.   This can only properly be assessed by the counterparty themselves, and implementation of this requirement is likely to be problematic.</w:t>
      </w:r>
    </w:p>
    <w:p w14:paraId="04E54087" w14:textId="77777777" w:rsidR="00E8332B" w:rsidRDefault="00E8332B" w:rsidP="00E8332B"/>
    <w:p w14:paraId="2B27576C" w14:textId="095ADB70" w:rsidR="00E8332B" w:rsidRPr="004F7B49" w:rsidRDefault="004A04F0" w:rsidP="00E8332B">
      <w:r>
        <w:t>We think a</w:t>
      </w:r>
      <w:r w:rsidR="00E8332B">
        <w:t xml:space="preserve">ny counterparty related data should </w:t>
      </w:r>
      <w:proofErr w:type="gramStart"/>
      <w:r w:rsidR="00E8332B">
        <w:t>take into account</w:t>
      </w:r>
      <w:proofErr w:type="gramEnd"/>
      <w:r w:rsidR="00E8332B">
        <w:t xml:space="preserve"> the ISO XML schema as well, validation rules go hand in hand with the XML schema. SFTR showed the limits when insufficient time is given to discuss the ISO schema discussions together with the validation rules </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BB23D0A" w14:textId="3962EE1C" w:rsidR="004F7B49" w:rsidRPr="004F7B49" w:rsidRDefault="00E8332B" w:rsidP="004F7B49">
      <w:permStart w:id="927873555" w:edGrp="everyone"/>
      <w:r w:rsidRPr="00E8332B">
        <w:t>Trades that were errored or terminated by mistake need to be revived prior to the corporate event, and if they are not revived before the event the counterparties need to re-report those trades with a new UTI which we believe will be very complex to implement</w:t>
      </w:r>
      <w:permEnd w:id="927873555"/>
      <w:r w:rsidR="004F7B49"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40E10263" w14:textId="77777777" w:rsidR="00E8332B" w:rsidRDefault="00E8332B" w:rsidP="00E8332B">
      <w:permStart w:id="1741248523" w:edGrp="everyone"/>
      <w:r>
        <w:t xml:space="preserve">On the procedure for corporate actions, we welcome ESMA fixes a timeline ‘The LEI update should occur on the date of the corporate restructuring event. </w:t>
      </w:r>
    </w:p>
    <w:p w14:paraId="132568E8" w14:textId="77777777" w:rsidR="00E8332B" w:rsidRDefault="00E8332B" w:rsidP="00E8332B"/>
    <w:p w14:paraId="1D365710" w14:textId="77777777" w:rsidR="00E8332B" w:rsidRDefault="00E8332B" w:rsidP="00E8332B">
      <w:r>
        <w:t>TR should perform the update as soon as possible and no later than 30 calendar days from receiving the request to update the LEI due to corporate action.</w:t>
      </w:r>
    </w:p>
    <w:p w14:paraId="48B6BEEE" w14:textId="77777777" w:rsidR="00E8332B" w:rsidRDefault="00E8332B" w:rsidP="00E8332B"/>
    <w:p w14:paraId="25C77A31" w14:textId="77777777" w:rsidR="00E8332B" w:rsidRDefault="00E8332B" w:rsidP="00E8332B">
      <w:r>
        <w:t xml:space="preserve">We have noticed during SFTR events such as branch conversions, entities consolidation etc.., there is a requirement to adopt a consistent approach to handle those mergers under SFTR for reporting parties </w:t>
      </w:r>
    </w:p>
    <w:p w14:paraId="70A77972" w14:textId="77777777" w:rsidR="00E8332B" w:rsidRDefault="00E8332B" w:rsidP="00E8332B"/>
    <w:p w14:paraId="63EB0DD6" w14:textId="77777777" w:rsidR="00E8332B" w:rsidRDefault="00E8332B" w:rsidP="00E8332B">
      <w:r>
        <w:t>There are some pending questions regarding the process depending the dates and the types of trades (legacy trades, open positions, life cycle, CCP etc..).</w:t>
      </w:r>
    </w:p>
    <w:p w14:paraId="4B7EBBA9" w14:textId="77777777" w:rsidR="00E8332B" w:rsidRDefault="00E8332B" w:rsidP="00E8332B"/>
    <w:p w14:paraId="57F211F8" w14:textId="77777777" w:rsidR="00E8332B" w:rsidRDefault="00E8332B" w:rsidP="00E8332B">
      <w:r>
        <w:t>During a merger, the non-surviving entity LEI will cease to exist to become the LEI of the surviving entity. However, the merger Implementation date would usually not be the same as the actual day the merger occurs (i.e., the legal date of the merger): currently TR would implement mergers on a pre-determined weekend given the requirement of database conversion</w:t>
      </w:r>
    </w:p>
    <w:p w14:paraId="7CA82D2F" w14:textId="77777777" w:rsidR="00E8332B" w:rsidRDefault="00E8332B" w:rsidP="00E8332B"/>
    <w:p w14:paraId="5ADA58F6" w14:textId="77777777" w:rsidR="00E8332B" w:rsidRDefault="00E8332B" w:rsidP="00E8332B">
      <w:r>
        <w:t>Consequently, the status of the LEI of the non-surviving entity could become invalid during that interim period post- legal date of the merger depending on GLEIF process and depending on the length of the elapsed time between the legal date and the implementation date of the merger. It is practically impossible to have the same date between the legal date and the corporate action date in some instances such as mega mergers</w:t>
      </w:r>
    </w:p>
    <w:p w14:paraId="0593BCFF" w14:textId="77777777" w:rsidR="00E8332B" w:rsidRDefault="00E8332B" w:rsidP="00E8332B"/>
    <w:p w14:paraId="0FC63E22" w14:textId="77777777" w:rsidR="00E8332B" w:rsidRDefault="00E8332B" w:rsidP="00E8332B">
      <w:r>
        <w:t xml:space="preserve">We question whether TR can perform merger as and when X parties would like to merge </w:t>
      </w:r>
    </w:p>
    <w:p w14:paraId="434A5A5F" w14:textId="77777777" w:rsidR="00E8332B" w:rsidRDefault="00E8332B" w:rsidP="00E8332B"/>
    <w:p w14:paraId="1679B4F2" w14:textId="77777777" w:rsidR="00E8332B" w:rsidRDefault="00E8332B" w:rsidP="00E8332B">
      <w:r>
        <w:t>However, if that was feasible, that would simplify the process for firms.</w:t>
      </w:r>
    </w:p>
    <w:p w14:paraId="561F77DD" w14:textId="77777777" w:rsidR="00E8332B" w:rsidRDefault="00E8332B" w:rsidP="00E8332B"/>
    <w:p w14:paraId="10462BDC" w14:textId="77777777" w:rsidR="00E8332B" w:rsidRDefault="00E8332B" w:rsidP="00E8332B">
      <w:r>
        <w:t>Else the question is about the approach during the interim period between legal date and implementation date.</w:t>
      </w:r>
    </w:p>
    <w:p w14:paraId="6F0D50D7" w14:textId="77777777" w:rsidR="00E8332B" w:rsidRDefault="00E8332B" w:rsidP="00E8332B"/>
    <w:p w14:paraId="6CE3319A" w14:textId="77777777" w:rsidR="00E8332B" w:rsidRDefault="00E8332B" w:rsidP="00E8332B">
      <w:r>
        <w:lastRenderedPageBreak/>
        <w:t>During that interim period, parties can still book on the former legacy LEI while waiting for the effective merger date or they can switch to the new LEI, which will be an issue on life cycle events of trades executed before the legal merger date as TR will not have performed the conversion yet.</w:t>
      </w:r>
    </w:p>
    <w:p w14:paraId="62F2D78E" w14:textId="77777777" w:rsidR="00E8332B" w:rsidRDefault="00E8332B" w:rsidP="00E8332B">
      <w:r>
        <w:t>It is only from the implementation date that the Trade repository will ‘transfer’ positions from the non-surviving LEI to the surviving LEI for open trades. The UTI is kept on those trades. Brand new trades can be booked with the new LEI as they do not depend on TR conversion.</w:t>
      </w:r>
    </w:p>
    <w:p w14:paraId="6CE84F93" w14:textId="55D23DCF" w:rsidR="00E8332B" w:rsidRDefault="00E8332B" w:rsidP="00E8332B">
      <w:r>
        <w:t>it could be that agreement with counterparties is required after the legal merger date during the interim period on whether to book on new LEI or old LEI. We understand that for CCP cleared trades, process could be different as well depending on what the CCP can provide (new LEI) at which date.</w:t>
      </w:r>
    </w:p>
    <w:p w14:paraId="2741A148" w14:textId="77777777" w:rsidR="00E8332B" w:rsidRDefault="00E8332B" w:rsidP="00E8332B"/>
    <w:p w14:paraId="1BD509C5" w14:textId="77777777" w:rsidR="00E8332B" w:rsidRDefault="00E8332B" w:rsidP="00E8332B">
      <w:r>
        <w:t xml:space="preserve">If a split approach is taken, this could overcomplicate the process as it requires different agreement with counterparties depending on the types of trades (new trades and life cycle events of legacy trades, cleared etc..). Hence either there is no difference between the legal date and the effective merger </w:t>
      </w:r>
      <w:proofErr w:type="gramStart"/>
      <w:r>
        <w:t>date</w:t>
      </w:r>
      <w:proofErr w:type="gramEnd"/>
      <w:r>
        <w:t xml:space="preserve"> or the LEI be invalidated during this interim period where conversion is not done yet but old LEI could be with status merged, hence NACKs at the TR </w:t>
      </w:r>
    </w:p>
    <w:p w14:paraId="56E49066" w14:textId="77777777" w:rsidR="00E8332B" w:rsidRDefault="00E8332B" w:rsidP="00E8332B"/>
    <w:p w14:paraId="19847DFC" w14:textId="77777777" w:rsidR="00E8332B" w:rsidRDefault="00E8332B" w:rsidP="00E8332B">
      <w:r>
        <w:t>We note that the procedure regarding trades with the old LEI errored or terminated by mistake being “revived” before the corporate event present challenges to be put in place</w:t>
      </w:r>
    </w:p>
    <w:p w14:paraId="0AE1F9BA" w14:textId="77777777" w:rsidR="00E8332B" w:rsidRDefault="00E8332B" w:rsidP="00E8332B">
      <w:r>
        <w:t xml:space="preserve">if the 30-day deadline for the use of action type "Revive" is expired before the corporate event, the counterparty would need to re-report them with a new UTI </w:t>
      </w:r>
    </w:p>
    <w:p w14:paraId="1A360B7F" w14:textId="77777777" w:rsidR="00E8332B" w:rsidRDefault="00E8332B" w:rsidP="00E8332B">
      <w:r>
        <w:t xml:space="preserve">Therefore, both counterparties should rereport the derivative with action type ‘New’ and a new UTI. However, if the trades were not outstanding - at the time of corporate event the counterparties would need to re-report them with a new UTI and an updated LEI. </w:t>
      </w:r>
    </w:p>
    <w:p w14:paraId="2663C016" w14:textId="77777777" w:rsidR="00E8332B" w:rsidRDefault="00E8332B" w:rsidP="00E8332B"/>
    <w:p w14:paraId="5BCCC144" w14:textId="77777777" w:rsidR="00E8332B" w:rsidRDefault="00E8332B" w:rsidP="00E8332B">
      <w:r>
        <w:t xml:space="preserve">Should participants wait for the technical implementation date to report with the new </w:t>
      </w:r>
      <w:proofErr w:type="gramStart"/>
      <w:r>
        <w:t>LEI ?</w:t>
      </w:r>
      <w:proofErr w:type="gramEnd"/>
    </w:p>
    <w:p w14:paraId="3D78D301" w14:textId="591F2D29" w:rsidR="004F7B49" w:rsidRPr="004F7B49" w:rsidRDefault="00E8332B" w:rsidP="004F7B49">
      <w:r>
        <w:t xml:space="preserve">Can the approach be the same across all </w:t>
      </w:r>
      <w:proofErr w:type="gramStart"/>
      <w:r>
        <w:t>TRs?</w:t>
      </w:r>
      <w:permEnd w:id="1741248523"/>
      <w:r w:rsidR="004F7B49" w:rsidRPr="004F7B49">
        <w:t>&lt;</w:t>
      </w:r>
      <w:proofErr w:type="gramEnd"/>
      <w:r w:rsidR="004F7B49" w:rsidRPr="004F7B49">
        <w: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60ECBD37" w14:textId="60EC6806" w:rsidR="00C42392" w:rsidRDefault="00C42392" w:rsidP="00C42392">
      <w:permStart w:id="1829988511" w:edGrp="everyone"/>
      <w:r>
        <w:t xml:space="preserve">We stress the potential divergence build vs other jurisdictions for the OTC derivatives reference identifiers </w:t>
      </w:r>
      <w:proofErr w:type="gramStart"/>
      <w:r>
        <w:t>For</w:t>
      </w:r>
      <w:proofErr w:type="gramEnd"/>
      <w:r>
        <w:t xml:space="preserve"> the same contracts, ISIN will be required in Europe for EMIR, while other reporting regimes such as CFTC will require UPI.</w:t>
      </w:r>
      <w:r w:rsidR="004A04F0">
        <w:t xml:space="preserve"> </w:t>
      </w:r>
      <w:r>
        <w:t xml:space="preserve">We believe it is important to work </w:t>
      </w:r>
      <w:r w:rsidR="004A04F0">
        <w:t xml:space="preserve">closely </w:t>
      </w:r>
      <w:r>
        <w:t>with ANNA DSB to make UPIs converge with ISINs to avoid creating duplication and forcing firms to obtain two different identifiers for the same contract, or a situation where some OTC derivatives are reported with ISIN and others with UPI due to different jurisdictions requirements</w:t>
      </w:r>
    </w:p>
    <w:p w14:paraId="7523D3A0" w14:textId="77777777" w:rsidR="00C42392" w:rsidRDefault="00C42392" w:rsidP="00C42392"/>
    <w:p w14:paraId="003752F5" w14:textId="7A7A897F" w:rsidR="004F7B49" w:rsidRPr="004F7B49" w:rsidRDefault="00C42392" w:rsidP="004F7B49">
      <w:r>
        <w:t xml:space="preserve">Regarding CFI code, from SFTR experience, the CFI is taken from relevant National Numbering Agency (Lookup Service of the Association of National Numbering Agencies (ANNA) Service Bureau). The best practice from trade associations is that If not available and since the data is reconcilable, parties usually perform the synthesis of the code while making a request to their National Numbering Agency for a code. </w:t>
      </w:r>
      <w:permEnd w:id="1829988511"/>
      <w:r w:rsidR="004F7B49"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35E1F78E" w14:textId="77777777" w:rsidR="00C42392" w:rsidRDefault="00C42392" w:rsidP="00C42392">
      <w:permStart w:id="1913861282" w:edGrp="everyone"/>
      <w:r>
        <w:t xml:space="preserve">Unique Product Identifier will represent quite a challenge requiring potentially new connections to ANNA DSB and exchange of product reference data across different internal systems while this could be redundant with other reference data attributes such as CFI codes. </w:t>
      </w:r>
    </w:p>
    <w:p w14:paraId="38E2C174" w14:textId="77777777" w:rsidR="00C42392" w:rsidRDefault="00C42392" w:rsidP="00C42392">
      <w:r>
        <w:t xml:space="preserve">There are data fields which can be derived from UPI, redundancies should be avoided between Contract Type, Asset Class, ISIN (if admitted to trading), UPI and the CFI, all to be included on the transaction report. </w:t>
      </w:r>
    </w:p>
    <w:p w14:paraId="6E2441D3" w14:textId="77777777" w:rsidR="00C42392" w:rsidRDefault="00C42392" w:rsidP="00C42392"/>
    <w:p w14:paraId="7FFE2ED0" w14:textId="77777777" w:rsidR="00C42392" w:rsidRDefault="00C42392" w:rsidP="00C42392">
      <w:r>
        <w:lastRenderedPageBreak/>
        <w:t xml:space="preserve">We think there will be a duplicating a number of attributes on the report, historically we have seen conflicting interpretations of CFI codes and the product identification fields. This risk increases where there is an increased number of overlapping fields. </w:t>
      </w:r>
    </w:p>
    <w:p w14:paraId="5556E8CF" w14:textId="77777777" w:rsidR="00C42392" w:rsidRDefault="00C42392" w:rsidP="00C42392"/>
    <w:p w14:paraId="4A18A162" w14:textId="344555BD" w:rsidR="00C42392" w:rsidRDefault="00C42392" w:rsidP="00C42392">
      <w:r>
        <w:t>New reference data attributes will have to be managed and firms may have to maintain two referential of derivatives identifiers by the way the ISIN and the UPI are currently required in the regulations, CFTC will not require ISINs.</w:t>
      </w:r>
    </w:p>
    <w:p w14:paraId="2DF3F79B" w14:textId="77777777" w:rsidR="00C42392" w:rsidRDefault="00C42392" w:rsidP="00C42392"/>
    <w:p w14:paraId="036EC855" w14:textId="77777777" w:rsidR="00C42392" w:rsidRDefault="00C42392" w:rsidP="00C42392">
      <w:r>
        <w:t xml:space="preserve">We have observed multiple ISINs for economically comparable products issued, trade-level attributes, such as expiry/ maturity date are problematic especially for IRS. </w:t>
      </w:r>
    </w:p>
    <w:p w14:paraId="7C11EB4B" w14:textId="4C08223F" w:rsidR="004F7B49" w:rsidRPr="004F7B49" w:rsidRDefault="00C42392" w:rsidP="004F7B49">
      <w:r>
        <w:t xml:space="preserve">We believe the role of ISINs should be reviewed in coordination with the implementation of the unique product identifier (UPI). We observe reach out to firms to discuss issues in a practical way can be quite </w:t>
      </w:r>
      <w:proofErr w:type="gramStart"/>
      <w:r>
        <w:t>useful.</w:t>
      </w:r>
      <w:permEnd w:id="1913861282"/>
      <w:r w:rsidR="004F7B49" w:rsidRPr="004F7B49">
        <w:t>&lt;</w:t>
      </w:r>
      <w:proofErr w:type="gramEnd"/>
      <w:r w:rsidR="004F7B49" w:rsidRPr="004F7B49">
        <w: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2CF708F8" w14:textId="77777777" w:rsidR="00C42392" w:rsidRDefault="00C42392" w:rsidP="00C42392">
      <w:permStart w:id="1935019154" w:edGrp="everyone"/>
      <w:r>
        <w:t xml:space="preserve">Could ESMA provide further clarification when reporting credit derivatives trades – should firms report the underlying or the reference Entity? Would it always be one or the other or would that depend on the circumstances? </w:t>
      </w:r>
    </w:p>
    <w:p w14:paraId="1C1FDB3A" w14:textId="77777777" w:rsidR="00C42392" w:rsidRDefault="00C42392" w:rsidP="00C42392"/>
    <w:p w14:paraId="771A2693" w14:textId="0D29FE57" w:rsidR="004F7B49" w:rsidRPr="004F7B49" w:rsidRDefault="00C42392" w:rsidP="004F7B49">
      <w:r>
        <w:t xml:space="preserve">Note in connection with options that systemic risk may not be captured by basing notional on strike price.  Risk is asymmetric, with option buyers having a risk limited to their premium while option sellers have risk tied to the strike price (puts) or infinite (calls). Should that aspect be highlighted in abnormal values </w:t>
      </w:r>
      <w:proofErr w:type="gramStart"/>
      <w:r>
        <w:t>reports ?</w:t>
      </w:r>
      <w:permEnd w:id="1935019154"/>
      <w:proofErr w:type="gramEnd"/>
      <w:r w:rsidR="004F7B49"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45EC77B0" w14:textId="77777777" w:rsidR="004A04F0" w:rsidRDefault="004A04F0" w:rsidP="00C42392">
      <w:permStart w:id="1780942797" w:edGrp="everyone"/>
      <w:r>
        <w:t>Please find a few comments</w:t>
      </w:r>
    </w:p>
    <w:p w14:paraId="0BDE0511" w14:textId="77777777" w:rsidR="004A04F0" w:rsidRDefault="004A04F0" w:rsidP="00C42392"/>
    <w:p w14:paraId="15C63FAE" w14:textId="1BB863EC" w:rsidR="00C42392" w:rsidRDefault="004A04F0" w:rsidP="00C42392">
      <w:r>
        <w:t>-</w:t>
      </w:r>
      <w:r w:rsidR="00C42392">
        <w:t xml:space="preserve">For the reporting of notional and quantity/ Notional amount fields (fields 2.55 and 2.64) we agree with notional reporting as described by ESMA, this aligns with CPMI IOSCO Critical Data Elements. </w:t>
      </w:r>
    </w:p>
    <w:p w14:paraId="7185C63B" w14:textId="77777777" w:rsidR="00C42392" w:rsidRDefault="00C42392" w:rsidP="00C42392"/>
    <w:p w14:paraId="3412C556" w14:textId="059C5F20" w:rsidR="00C42392" w:rsidRDefault="004A04F0" w:rsidP="00C42392">
      <w:r>
        <w:t>-Z</w:t>
      </w:r>
      <w:r w:rsidR="00C42392">
        <w:t xml:space="preserve">ero notional is sometimes reported </w:t>
      </w:r>
      <w:proofErr w:type="gramStart"/>
      <w:r w:rsidR="00C42392">
        <w:t>e.g.</w:t>
      </w:r>
      <w:proofErr w:type="gramEnd"/>
      <w:r w:rsidR="00C42392">
        <w:t xml:space="preserve"> in the case of voluntary right issues given to the holder of a CFD or in the case of CFDs resulting from a corporate action on the underlying (stock split), thus having a purchase price of zero. This is not considered a correct way of reporting, </w:t>
      </w:r>
    </w:p>
    <w:p w14:paraId="4F29507A" w14:textId="77777777" w:rsidR="00C42392" w:rsidRDefault="00C42392" w:rsidP="00C42392"/>
    <w:p w14:paraId="7F014929" w14:textId="55DFCBDA" w:rsidR="00C42392" w:rsidRDefault="004A04F0" w:rsidP="00C42392">
      <w:r>
        <w:t>-</w:t>
      </w:r>
      <w:r w:rsidR="00C42392">
        <w:t xml:space="preserve">Worth noting specificities for the reporting of notional on options as systemic risk may not be captured by basing notional on strike price. </w:t>
      </w:r>
    </w:p>
    <w:p w14:paraId="6F6098DC" w14:textId="77777777" w:rsidR="00C42392" w:rsidRDefault="00C42392" w:rsidP="00C42392"/>
    <w:p w14:paraId="67D53092" w14:textId="35068317" w:rsidR="00C42392" w:rsidRDefault="004A04F0" w:rsidP="00C42392">
      <w:r>
        <w:t>-</w:t>
      </w:r>
      <w:r w:rsidR="00C42392">
        <w:t>Risk is asymmetric, with option buyers having a risk limited to their premium while option sellers have risk tied to the strike price (puts) or infinite (calls). We suggest this be highlighted in the abnormal values report ESMA intends to put in place leaving the determination to Trade repositories whereas an industry roundtable would be preferable.</w:t>
      </w:r>
    </w:p>
    <w:p w14:paraId="78B54C98" w14:textId="77777777" w:rsidR="00C42392" w:rsidRDefault="00C42392" w:rsidP="00C42392"/>
    <w:p w14:paraId="5E485136" w14:textId="77777777" w:rsidR="00C42392" w:rsidRDefault="00C42392" w:rsidP="00C42392"/>
    <w:p w14:paraId="7AF59C17" w14:textId="11AC21EC" w:rsidR="004F7B49" w:rsidRPr="004F7B49" w:rsidRDefault="004A04F0" w:rsidP="004F7B49">
      <w:r>
        <w:t>-</w:t>
      </w:r>
      <w:r w:rsidR="00C42392">
        <w:t>Notional Amount Schedule – The CPMI IOSCO CDE guidance for ‘Notional Amount Schedule’ says the end data of a period is not required if the “end date of a given schedule’s period is back-to-back with the unadjusted effective date of the subsequent period”. However, the EMIR validation rules for “End date of the notional amount of leg 1” and “End date of the notional amount of leg 2” says the date is to be populated for all notional amount schedules. EMIR Refit should align with CPMI IOSCO CDE standards, the validation rules follow the CDE guidance</w:t>
      </w:r>
      <w:permEnd w:id="1780942797"/>
      <w:r w:rsidR="004F7B49"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5BCB840B" w14:textId="77777777" w:rsidR="00C42392" w:rsidRDefault="00C42392" w:rsidP="00C42392">
      <w:permStart w:id="1067072063" w:edGrp="everyone"/>
      <w:r>
        <w:t xml:space="preserve">Where trades have been reported with POSC action type, and where those trades net to zero, we ask ESMA whether a position report with zero notional could be submitted (unless it is clarified that these are not required).  We also point out that firms can identify positions by combination of client and product might maintain a zero position in case the client revives it with a future trade. </w:t>
      </w:r>
    </w:p>
    <w:p w14:paraId="299586B8" w14:textId="77777777" w:rsidR="00C42392" w:rsidRDefault="00C42392" w:rsidP="00C42392"/>
    <w:p w14:paraId="7386C0EB" w14:textId="685E09D2" w:rsidR="004F7B49" w:rsidRPr="004F7B49" w:rsidRDefault="00C42392" w:rsidP="004F7B49">
      <w:r>
        <w:t xml:space="preserve">We point out that when a position is netted to zero notional but then goes up to non-zero notional, under ESMA new requirement, a new UTI will have to be reported </w:t>
      </w:r>
      <w:permEnd w:id="1067072063"/>
      <w:r w:rsidR="004F7B49"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3ABCEAA" w14:textId="149FF5D9" w:rsidR="00C42392" w:rsidRDefault="00C42392" w:rsidP="00C42392">
      <w:permStart w:id="1867064134" w:edGrp="everyone"/>
      <w:r>
        <w:t xml:space="preserve">We appreciate </w:t>
      </w:r>
      <w:r w:rsidR="00F535E9">
        <w:t>ESMA added this field to align with CPMI IOSCO</w:t>
      </w:r>
      <w:r>
        <w:t xml:space="preserve"> Critical Data Element</w:t>
      </w:r>
      <w:r w:rsidR="00F535E9">
        <w:t>.</w:t>
      </w:r>
    </w:p>
    <w:p w14:paraId="6124136B" w14:textId="77777777" w:rsidR="00C42392" w:rsidRDefault="00C42392" w:rsidP="00C42392">
      <w:r>
        <w:t>We agree that counterparties should report the delta of an option as ratio of absolute change in price (or value) of a derivative to the change in price (or value) of the underlying</w:t>
      </w:r>
    </w:p>
    <w:p w14:paraId="4009CA89" w14:textId="77777777" w:rsidR="00C42392" w:rsidRDefault="00C42392" w:rsidP="00C42392">
      <w:r>
        <w:t>Is this adjusted or unadjusted delta to be reported?</w:t>
      </w:r>
    </w:p>
    <w:p w14:paraId="2483F9FD" w14:textId="52ABBB5E" w:rsidR="004F7B49" w:rsidRPr="004F7B49" w:rsidRDefault="00C42392" w:rsidP="004F7B49">
      <w:r>
        <w:t xml:space="preserve">Can ESMA provide </w:t>
      </w:r>
      <w:proofErr w:type="gramStart"/>
      <w:r>
        <w:t>examples?</w:t>
      </w:r>
      <w:permEnd w:id="1867064134"/>
      <w:r w:rsidR="004F7B49" w:rsidRPr="004F7B49">
        <w:t>&lt;</w:t>
      </w:r>
      <w:proofErr w:type="gramEnd"/>
      <w:r w:rsidR="004F7B49" w:rsidRPr="004F7B49">
        <w: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727882FB" w14:textId="77777777" w:rsidR="00C42392" w:rsidRDefault="00C42392" w:rsidP="00C42392">
      <w:permStart w:id="747795471" w:edGrp="everyone"/>
      <w:r>
        <w:lastRenderedPageBreak/>
        <w:t>Paragraph 315 states ‘where a contract is both concluded on a trading venue and cleared on the same day, only the contracts resulting from clearing should be reported (novation clearing model). ‘</w:t>
      </w:r>
    </w:p>
    <w:p w14:paraId="1445C568" w14:textId="77777777" w:rsidR="00C42392" w:rsidRDefault="00C42392" w:rsidP="00C42392"/>
    <w:p w14:paraId="53B2E1C0" w14:textId="429C1061" w:rsidR="00C42392" w:rsidRDefault="00C42392" w:rsidP="00C42392">
      <w:r>
        <w:t xml:space="preserve">For clients reporting in straight through process system this means they will have to implement a logic to "hold" alpha trades until End of Day to verify that the trade is cleared, they have to withhold reporting alpha trades, and will only report beta trades, whereas if there was no clearing on the day then we would report alpha trades for the day. </w:t>
      </w:r>
    </w:p>
    <w:p w14:paraId="108B5AB8" w14:textId="77777777" w:rsidR="00C42392" w:rsidRDefault="00C42392" w:rsidP="00C42392">
      <w:r>
        <w:t>The implementation is difficult as there would be two logic for cleared trade reporting without any additional clear benefit</w:t>
      </w:r>
    </w:p>
    <w:p w14:paraId="4D2401C3" w14:textId="77777777" w:rsidR="00C42392" w:rsidRDefault="00C42392" w:rsidP="00C42392"/>
    <w:p w14:paraId="7964632A" w14:textId="77777777" w:rsidR="00C42392" w:rsidRDefault="00C42392" w:rsidP="00C42392"/>
    <w:p w14:paraId="1B3D2D7C" w14:textId="77777777" w:rsidR="00C42392" w:rsidRDefault="00C42392" w:rsidP="00C42392">
      <w:r>
        <w:t xml:space="preserve">We note that for ESMA, execution timestamp of cleared trades is the timestamp of the alpha trade, and that clearing timestamp, should be later than execution timestamp for trades cleared by a CCP by novation (as opposed to open offer, for which the two timestamps should be the same) </w:t>
      </w:r>
    </w:p>
    <w:p w14:paraId="15069ED4" w14:textId="77777777" w:rsidR="00C42392" w:rsidRDefault="00C42392" w:rsidP="00C42392">
      <w:r>
        <w:t xml:space="preserve">However, we stress that in the case of the CCP, execution timestamp could be considered identical to clearing timestamp as it only becomes a party to a transaction when it clears that transaction, which means the two timestamps reported by the CCP should be the same. </w:t>
      </w:r>
    </w:p>
    <w:p w14:paraId="3A07E802" w14:textId="77777777" w:rsidR="00C42392" w:rsidRDefault="00C42392" w:rsidP="00C42392"/>
    <w:p w14:paraId="0ADCCDD1" w14:textId="6CFCB3C9" w:rsidR="00C42392" w:rsidRDefault="00C42392" w:rsidP="00C42392">
      <w:r>
        <w:t>Para 320 states that “when a derivative is executed in an anonymized market and cleared by a clearing house, the counterparty executing the derivative should request the trading venue or the clearing house that matches the counterparties to disclose the identity of the other counterparty”. This will have a direct impact on trades executed on a SEF where the No Name Give-Up regulation means the counterparty name cannot be disclosed.  This will disadvantage EU firms as it will limit trading on non-EEA trading venues or clearing houses.</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lastRenderedPageBreak/>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357511CD" w14:textId="77777777" w:rsidR="00C42392" w:rsidRDefault="00C42392" w:rsidP="00C42392">
      <w:permStart w:id="1317166044" w:edGrp="everyone"/>
      <w:r>
        <w:t>There is an operational Issue in following local calendars, in effect a single calendar should be used for EMIR Refit reporting such as Target or similar calendars agreed on a global basis.</w:t>
      </w:r>
    </w:p>
    <w:p w14:paraId="6738AB9A" w14:textId="77777777" w:rsidR="00C42392" w:rsidRDefault="00C42392" w:rsidP="00C42392"/>
    <w:p w14:paraId="72270155" w14:textId="13895575" w:rsidR="004F7B49" w:rsidRPr="004F7B49" w:rsidRDefault="00F535E9" w:rsidP="004F7B49">
      <w:r>
        <w:t>Worth noting</w:t>
      </w:r>
      <w:r w:rsidR="00C42392">
        <w:t xml:space="preserve"> execution timestamp in EMIR REFIT does not always align with other jurisdictions for allocations scenarios where the block trade is re allocated to sub funds</w:t>
      </w:r>
      <w:r>
        <w:t xml:space="preserve">. </w:t>
      </w:r>
      <w:r w:rsidR="00C42392">
        <w:t xml:space="preserve">The execution timestamp of new trades allocations will have the same timestamp as the block trade whereas for re-allocations there are different timestamp than the block trade timestamp. We think use cases in ESMA guidelines would be welcome for allocation scenarios taking into account that CFTC also has a near real time reporting requirement for the same </w:t>
      </w:r>
      <w:proofErr w:type="gramStart"/>
      <w:r w:rsidR="00C42392">
        <w:t>trades.</w:t>
      </w:r>
      <w:permEnd w:id="1317166044"/>
      <w:r w:rsidR="004F7B49" w:rsidRPr="004F7B49">
        <w:t>&lt;</w:t>
      </w:r>
      <w:proofErr w:type="gramEnd"/>
      <w:r w:rsidR="004F7B49" w:rsidRPr="004F7B49">
        <w: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1282CB51" w14:textId="77777777" w:rsidR="00C42392" w:rsidRDefault="00C42392" w:rsidP="00C42392">
      <w:permStart w:id="329650287" w:edGrp="everyone"/>
      <w:r>
        <w:t xml:space="preserve">Since the Exchange Rate Basis cannot be populated with non-ISO currency codes such as BTC, this would preclude reporting of crypto assets as CU asset type.  </w:t>
      </w:r>
    </w:p>
    <w:p w14:paraId="60C9D3D2" w14:textId="11459027" w:rsidR="004F7B49" w:rsidRPr="004F7B49" w:rsidRDefault="00C42392" w:rsidP="004F7B49">
      <w:r>
        <w:t>We would suggest using CO, with a commodity basis of Index until such time as further differentiation of crypto assets (into for example Equity, Credit etc</w:t>
      </w:r>
      <w:r w:rsidR="00F535E9">
        <w:t>…</w:t>
      </w:r>
      <w:r>
        <w:t xml:space="preserve">) is developed by the </w:t>
      </w:r>
      <w:proofErr w:type="gramStart"/>
      <w:r>
        <w:t>regulator.</w:t>
      </w:r>
      <w:permEnd w:id="329650287"/>
      <w:r w:rsidR="004F7B49" w:rsidRPr="004F7B49">
        <w:t>&lt;</w:t>
      </w:r>
      <w:proofErr w:type="gramEnd"/>
      <w:r w:rsidR="004F7B49" w:rsidRPr="004F7B49">
        <w: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72F458F6" w14:textId="77777777" w:rsidR="00C42392" w:rsidRDefault="00C42392" w:rsidP="00C42392">
      <w:permStart w:id="595292525" w:edGrp="everyone"/>
      <w:r>
        <w:t>We advise alignment, following ISDA current best practices for complex and package trades</w:t>
      </w:r>
    </w:p>
    <w:p w14:paraId="2305DBF1" w14:textId="77777777" w:rsidR="00C42392" w:rsidRDefault="00C42392" w:rsidP="00C42392"/>
    <w:p w14:paraId="0BD118B1" w14:textId="4B71FEC1" w:rsidR="00C42392" w:rsidRDefault="00C42392" w:rsidP="00C42392">
      <w:r>
        <w:t>We see split among participants for reporting of package trades which are cross jurisdictional (for example to be reported to both CFTC and EMIR)</w:t>
      </w:r>
      <w:r w:rsidR="00F535E9">
        <w:t>; for example, r</w:t>
      </w:r>
      <w:r>
        <w:t xml:space="preserve">equirement to report non-reportable elements of package transactions, contrary to CFTC: it will not be possible to accurately represent non-EMIR products as OTC contracts. </w:t>
      </w:r>
    </w:p>
    <w:p w14:paraId="6FACEB55" w14:textId="77777777" w:rsidR="00C42392" w:rsidRDefault="00C42392" w:rsidP="00C42392"/>
    <w:p w14:paraId="68D39944" w14:textId="2D30A0E0" w:rsidR="004F7B49" w:rsidRPr="004F7B49" w:rsidRDefault="00F535E9" w:rsidP="004F7B49">
      <w:r>
        <w:t xml:space="preserve">We note </w:t>
      </w:r>
      <w:r w:rsidR="00C42392">
        <w:t>ESMA rather expects that packaged trades be systematically reported the decomposition of structured trades in components: for example, In EMIR you would report a straddle or strangle or synthetic forward separately with put + call options linked by the ‘Complex trade component ID</w:t>
      </w:r>
      <w:proofErr w:type="gramStart"/>
      <w:r w:rsidR="00C42392">
        <w:t xml:space="preserve">’ </w:t>
      </w:r>
      <w:r>
        <w:t>,</w:t>
      </w:r>
      <w:proofErr w:type="gramEnd"/>
      <w:r>
        <w:t xml:space="preserve"> w</w:t>
      </w:r>
      <w:r w:rsidR="00C42392">
        <w:t xml:space="preserve">hereas we see CFTC participants would rather report a straddle as a single trade  </w:t>
      </w:r>
      <w:permEnd w:id="595292525"/>
      <w:r w:rsidR="004F7B49"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2D7FAC8B" w14:textId="77777777" w:rsidR="00C42392" w:rsidRDefault="00C42392" w:rsidP="00C42392">
      <w:permStart w:id="36243596" w:edGrp="everyone"/>
      <w:r>
        <w:t>Option 2 would make sense for the number of affected reports to be notified to NCAs</w:t>
      </w:r>
    </w:p>
    <w:p w14:paraId="160B217F" w14:textId="77777777" w:rsidR="00C42392" w:rsidRDefault="00C42392" w:rsidP="00C42392"/>
    <w:p w14:paraId="4E6401F9" w14:textId="4CF7E565" w:rsidR="004F7B49" w:rsidRPr="004F7B49" w:rsidRDefault="00C42392" w:rsidP="004F7B49">
      <w:r>
        <w:t xml:space="preserve">Option 2: relate to all the counterparties regardless of whether the </w:t>
      </w:r>
      <w:r w:rsidR="00F535E9">
        <w:t>R</w:t>
      </w:r>
      <w:r>
        <w:t xml:space="preserve">eporting </w:t>
      </w:r>
      <w:r w:rsidR="00F535E9">
        <w:t>S</w:t>
      </w:r>
      <w:r>
        <w:t xml:space="preserve">ubmitting </w:t>
      </w:r>
      <w:r w:rsidR="00F535E9">
        <w:t>E</w:t>
      </w:r>
      <w:r>
        <w:t xml:space="preserve">ntity </w:t>
      </w:r>
      <w:proofErr w:type="gramStart"/>
      <w:r>
        <w:t>(</w:t>
      </w:r>
      <w:r w:rsidR="00F535E9">
        <w:t xml:space="preserve"> ‘</w:t>
      </w:r>
      <w:proofErr w:type="gramEnd"/>
      <w:r>
        <w:t>RSE</w:t>
      </w:r>
      <w:r w:rsidR="00F535E9">
        <w:t>’</w:t>
      </w:r>
      <w:r>
        <w:t xml:space="preserve">) is the Entity </w:t>
      </w:r>
      <w:r w:rsidR="00F535E9">
        <w:t>R</w:t>
      </w:r>
      <w:r>
        <w:t xml:space="preserve">esponsible for the </w:t>
      </w:r>
      <w:r w:rsidR="00F535E9">
        <w:t>R</w:t>
      </w:r>
      <w:r>
        <w:t>eporting (</w:t>
      </w:r>
      <w:r w:rsidR="00F535E9">
        <w:t>‘</w:t>
      </w:r>
      <w:r>
        <w:t>ERR</w:t>
      </w:r>
      <w:r w:rsidR="00F535E9">
        <w:t>’</w:t>
      </w:r>
      <w:r>
        <w:t>) for all of them. Therefore, under this option, a total number of affected reports at the level of RSE would be notified and the RSE would not have to carve out the counterparties where the threshold is not exceeded and the RSE is not ERR for such counterparties. It is worth clarifying that under this option RSE should send the notification only to the RSE’s NCA and the counterparty 2 ’s NCA, not to NCAs of Counterparty 1and Counterparty 3</w:t>
      </w:r>
      <w:permEnd w:id="36243596"/>
      <w:r w:rsidR="004F7B49"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0C89CE5A" w14:textId="77777777" w:rsidR="00C42392" w:rsidRDefault="00C42392" w:rsidP="00C42392">
      <w:permStart w:id="817460526" w:edGrp="everyone"/>
      <w:r>
        <w:t xml:space="preserve">To complement the rejection and reconciliation statistics provided by the TRs to NCAs, the entity responsible for reporting should promptly (as soon as it becomes aware of them) notify its competent authority and, if different, also the competent authority of the reporting counterparty </w:t>
      </w:r>
    </w:p>
    <w:p w14:paraId="1DBE1888" w14:textId="77777777" w:rsidR="00C42392" w:rsidRDefault="00C42392" w:rsidP="00C42392">
      <w:r>
        <w:t xml:space="preserve">Could ESMA provide guidance on the format, whether this is in XML format or CSV files or User interface potentially? would those reports to be provided on a regular </w:t>
      </w:r>
      <w:proofErr w:type="gramStart"/>
      <w:r>
        <w:t>basis ?</w:t>
      </w:r>
      <w:proofErr w:type="gramEnd"/>
      <w:r>
        <w:t xml:space="preserve"> </w:t>
      </w:r>
    </w:p>
    <w:p w14:paraId="740003E6" w14:textId="20BFD7F9" w:rsidR="004F7B49" w:rsidRPr="004F7B49" w:rsidRDefault="00C42392" w:rsidP="004F7B49">
      <w:r>
        <w:t xml:space="preserve">We believe Data providers can be of value added in the presenting the tools to drill down into audit and substantiations of those </w:t>
      </w:r>
      <w:proofErr w:type="gramStart"/>
      <w:r>
        <w:t>exceptions</w:t>
      </w:r>
      <w:proofErr w:type="gramEnd"/>
      <w:r>
        <w:t xml:space="preserve"> reports </w:t>
      </w:r>
      <w:permEnd w:id="817460526"/>
      <w:r w:rsidR="004F7B49"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4004B12B" w14:textId="0DDA2134" w:rsidR="004F7B49" w:rsidRPr="004F7B49" w:rsidRDefault="00C42392" w:rsidP="004F7B49">
      <w:permStart w:id="778715077" w:edGrp="everyone"/>
      <w:r w:rsidRPr="00C42392">
        <w:t>We believe the notional amount should be that entered in the Near leg</w:t>
      </w:r>
      <w:r>
        <w:t xml:space="preserve">. </w:t>
      </w:r>
      <w:r w:rsidRPr="00C42392">
        <w:t>There is only one Notional Amount field to be reported. It should always be in terms of Notional Currency 1. "</w:t>
      </w:r>
      <w:permEnd w:id="778715077"/>
      <w:r w:rsidR="004F7B49"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5C5713BF" w14:textId="7F2A395D" w:rsidR="004F7B49" w:rsidRPr="004F7B49" w:rsidRDefault="00C42392" w:rsidP="004F7B49">
      <w:permStart w:id="1275090120" w:edGrp="everyone"/>
      <w:r w:rsidRPr="00C42392">
        <w:t xml:space="preserve">We assume the ‘Final contractual settlement date’ is the settlement date of the near leg be reported, the settlement date is the last settlement which always occurs in the far leg. </w:t>
      </w:r>
      <w:permEnd w:id="1275090120"/>
      <w:r w:rsidR="004F7B49"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428D9F3B" w14:textId="548D2D3B" w:rsidR="004F7B49" w:rsidRPr="004F7B49" w:rsidRDefault="00C42392" w:rsidP="004F7B49">
      <w:permStart w:id="2080574026" w:edGrp="everyone"/>
      <w:r w:rsidRPr="00C42392">
        <w:t xml:space="preserve">The population of fields defined by ESMA appears clearly defined.  The inclusion of the Price Multiplier field and a separate example with a Spread Bet whose Price Multiplier is a value other than 1 would provide additional </w:t>
      </w:r>
      <w:proofErr w:type="gramStart"/>
      <w:r w:rsidRPr="00C42392">
        <w:t>guidance.</w:t>
      </w:r>
      <w:permEnd w:id="2080574026"/>
      <w:r w:rsidR="004F7B49" w:rsidRPr="004F7B49">
        <w:t>&lt;</w:t>
      </w:r>
      <w:proofErr w:type="gramEnd"/>
      <w:r w:rsidR="004F7B49" w:rsidRPr="004F7B49">
        <w: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7FB9B031" w14:textId="77777777" w:rsidR="00C42392" w:rsidRDefault="00C42392" w:rsidP="00C42392">
      <w:permStart w:id="2045267569" w:edGrp="everyone"/>
      <w:r>
        <w:t xml:space="preserve">In cases of a corporate event such as a merger or stock split, it should be advisable to apply a modification message keeping the same Unique Trade Identifier and adjust any changes to Price, Notional and Underlying Instrument. Should the upstream system trigger a termination followed by a new trade, counterparties should align with each other’s following best practices. </w:t>
      </w:r>
    </w:p>
    <w:p w14:paraId="11A93666" w14:textId="77777777" w:rsidR="00C42392" w:rsidRDefault="00C42392" w:rsidP="00C42392"/>
    <w:p w14:paraId="55791911" w14:textId="23989E6E" w:rsidR="004F7B49" w:rsidRPr="004F7B49" w:rsidRDefault="00C42392" w:rsidP="004F7B49">
      <w:r>
        <w:t xml:space="preserve">Price for ‘free allocations’ might follow the </w:t>
      </w:r>
      <w:proofErr w:type="spellStart"/>
      <w:r>
        <w:t>MiFIR</w:t>
      </w:r>
      <w:proofErr w:type="spellEnd"/>
      <w:r>
        <w:t xml:space="preserve"> model of allowing NOAP value (No applicable </w:t>
      </w:r>
      <w:proofErr w:type="gramStart"/>
      <w:r>
        <w:t>price)</w:t>
      </w:r>
      <w:permEnd w:id="2045267569"/>
      <w:r w:rsidR="004F7B49" w:rsidRPr="004F7B49">
        <w:t>&lt;</w:t>
      </w:r>
      <w:proofErr w:type="gramEnd"/>
      <w:r w:rsidR="004F7B49" w:rsidRPr="004F7B49">
        <w: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5812BAAD" w14:textId="45E011CE" w:rsidR="004F7B49" w:rsidRPr="004F7B49" w:rsidRDefault="00C42392" w:rsidP="004F7B49">
      <w:permStart w:id="955320358" w:edGrp="everyone"/>
      <w:r w:rsidRPr="00C42392">
        <w:t>Notional amount for options should recognise the asymmetry of risk for a buyer versus a seller of an option.  Systemic risk is much greater for the seller, while the buyer’s risk is limited to premium price</w:t>
      </w:r>
      <w:permEnd w:id="955320358"/>
      <w:r w:rsidR="004F7B49"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34AEEA4E" w14:textId="77777777" w:rsidR="00C42392" w:rsidRDefault="00C42392" w:rsidP="00C42392">
      <w:permStart w:id="1810104405" w:edGrp="everyone"/>
      <w:r>
        <w:t xml:space="preserve">Virtual Power Purchase Agreements (VPPA) are a fairly new product being transacted between energy producers and corporate off takers. </w:t>
      </w:r>
    </w:p>
    <w:p w14:paraId="355F7878" w14:textId="77777777" w:rsidR="00C42392" w:rsidRDefault="00C42392" w:rsidP="00C42392"/>
    <w:p w14:paraId="2A9D6E09" w14:textId="77777777" w:rsidR="00C42392" w:rsidRDefault="00C42392" w:rsidP="00C42392">
      <w:r>
        <w:t>Typically, they are sold by a solar/wind producer to fix revenues for the expected production of a new production plant.</w:t>
      </w:r>
    </w:p>
    <w:p w14:paraId="74930BF5" w14:textId="77777777" w:rsidR="00C42392" w:rsidRDefault="00C42392" w:rsidP="00C42392"/>
    <w:p w14:paraId="483EBB27" w14:textId="77777777" w:rsidR="00C42392" w:rsidRDefault="00C42392" w:rsidP="00C42392">
      <w:r>
        <w:t xml:space="preserve">VPPAs are almost always 10-year contracts with a fixed price and estimated production amounts. As the contract is virtual, there is no delivery of electricity but a monthly settlement of the fixed agreed price to average spot electricity prices (see attached PPT with example). </w:t>
      </w:r>
    </w:p>
    <w:p w14:paraId="299E9878" w14:textId="77777777" w:rsidR="00C42392" w:rsidRDefault="00C42392" w:rsidP="00C42392"/>
    <w:p w14:paraId="444BEA24" w14:textId="77777777" w:rsidR="00C42392" w:rsidRDefault="00C42392" w:rsidP="00C42392">
      <w:r>
        <w:t>As these are derivatives, they fall under EMIR reporting and we are submitting a few questions on the correct format.</w:t>
      </w:r>
    </w:p>
    <w:p w14:paraId="2F6249E9" w14:textId="77777777" w:rsidR="00C42392" w:rsidRDefault="00C42392" w:rsidP="00C42392"/>
    <w:p w14:paraId="68BA3986" w14:textId="77777777" w:rsidR="00C42392" w:rsidRDefault="00C42392" w:rsidP="00C42392">
      <w:r>
        <w:t>1) CFD vs Swap - The language in the VPPA contracts almost always refers to a settlement of the 'difference of prices'. The format of the deal also is similar to a Commodity Fixed/Float swap that is cash settled. Therefore, would the product be best defined as a Commodity Swap or Commodity CFD?</w:t>
      </w:r>
    </w:p>
    <w:p w14:paraId="4B3DA744" w14:textId="77777777" w:rsidR="00C42392" w:rsidRDefault="00C42392" w:rsidP="00C42392"/>
    <w:p w14:paraId="1746B086" w14:textId="77777777" w:rsidR="00C42392" w:rsidRDefault="00C42392" w:rsidP="00C42392">
      <w:r>
        <w:t>2) Notional amount - How would the notional amount be best defined? The ESMA definition for Notional Amounts refers to a Reference Amount for the payments. In Article 5 of 10.4 Annex IV - Draft RTS, it defines Notional for Commodity Swaps as using the total notional quantity. The question is whether we should use a) the Monthly notional value of production as that is used for the monthly payments b) the yearly notional value since the actual written contract between the parties references the annual production or c) to use the 10-year total production which is the total quantity and resembles language for Commodity Swaps even though product is generally classified as a CFD.</w:t>
      </w:r>
    </w:p>
    <w:p w14:paraId="0DEECFD6" w14:textId="77777777" w:rsidR="00C42392" w:rsidRDefault="00C42392" w:rsidP="00C42392"/>
    <w:p w14:paraId="1DA7FF57" w14:textId="77777777" w:rsidR="00C42392" w:rsidRDefault="00C42392" w:rsidP="00C42392">
      <w:r>
        <w:t xml:space="preserve">3) Quantity – As the contract is a single contract, is quantity of 1 the correct value for this field or should we use a value in MWh of the monthly, </w:t>
      </w:r>
      <w:proofErr w:type="gramStart"/>
      <w:r>
        <w:t>yearly</w:t>
      </w:r>
      <w:proofErr w:type="gramEnd"/>
      <w:r>
        <w:t xml:space="preserve"> or total expected electricity output?</w:t>
      </w:r>
    </w:p>
    <w:p w14:paraId="50FB61BB" w14:textId="77777777" w:rsidR="00C42392" w:rsidRDefault="00C42392" w:rsidP="00C42392"/>
    <w:p w14:paraId="4DF22446" w14:textId="56E11474" w:rsidR="004F7B49" w:rsidRPr="004F7B49" w:rsidRDefault="00C42392" w:rsidP="00C42392">
      <w:r>
        <w:t>4) Mark to market – What is the correct format to enter mark to market when required for FC and NFC+ counterparties that need to reported valuation changes?</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435728F1" w14:textId="77777777" w:rsidR="00C42392" w:rsidRDefault="00C42392" w:rsidP="00C42392">
      <w:permStart w:id="1105735570" w:edGrp="everyone"/>
      <w:r>
        <w:t xml:space="preserve">As stated in question 19, margin update and error only </w:t>
      </w:r>
      <w:proofErr w:type="gramStart"/>
      <w:r>
        <w:t>is</w:t>
      </w:r>
      <w:proofErr w:type="gramEnd"/>
      <w:r>
        <w:t xml:space="preserve"> reasonable if starting margin values are reported on the first trade or position with a given UTI.  </w:t>
      </w:r>
    </w:p>
    <w:p w14:paraId="01CA6E89" w14:textId="77777777" w:rsidR="00C42392" w:rsidRDefault="00C42392" w:rsidP="00C42392"/>
    <w:p w14:paraId="00C9E519" w14:textId="4DFF2E19" w:rsidR="004F7B49" w:rsidRPr="004F7B49" w:rsidRDefault="00C42392" w:rsidP="004F7B49">
      <w:r>
        <w:t>We believe margin can be reported at a portfolio level without requiring specific UTI</w:t>
      </w:r>
      <w:permEnd w:id="1105735570"/>
      <w:r w:rsidR="004F7B49"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2609875B" w14:textId="77777777" w:rsidR="00C42392" w:rsidRDefault="00C42392" w:rsidP="00C42392">
      <w:permStart w:id="23098055" w:edGrp="everyone"/>
      <w:r>
        <w:t>We think the event date should be considered when build the trade state report to avoid the re-sent of reports confirmed to the logical sequencing of dates, especially in the case of backdated corrections.</w:t>
      </w:r>
    </w:p>
    <w:p w14:paraId="569A79F6" w14:textId="77777777" w:rsidR="00C42392" w:rsidRDefault="00C42392" w:rsidP="00C42392"/>
    <w:p w14:paraId="7F45AC47" w14:textId="77777777" w:rsidR="00C42392" w:rsidRDefault="00C42392" w:rsidP="00C42392">
      <w:r>
        <w:t>Asynchronous reports sent on different timelines has been a major issue for SFTR in terms of reconciliation. Dyssynchronisation of bookings and life cycle events are also a major issue</w:t>
      </w:r>
    </w:p>
    <w:p w14:paraId="2EEF1ECC" w14:textId="77777777" w:rsidR="00C42392" w:rsidRDefault="00C42392" w:rsidP="00C42392"/>
    <w:p w14:paraId="301130B6" w14:textId="5A0E00F1" w:rsidR="00C42392" w:rsidRDefault="00C42392" w:rsidP="00C42392">
      <w:r>
        <w:t>We also highlight that only 30</w:t>
      </w:r>
      <w:r w:rsidR="00F535E9">
        <w:t xml:space="preserve"> </w:t>
      </w:r>
      <w:r>
        <w:t>% of the trades are now in scope for TR reconciliation</w:t>
      </w:r>
      <w:r w:rsidR="00F535E9">
        <w:t xml:space="preserve">, volumes subject to reconciliation have dropped after Brexit, and any requirements from ESMA do not have to be followed for single sided trades. </w:t>
      </w:r>
      <w:proofErr w:type="gramStart"/>
      <w:r w:rsidR="00F535E9">
        <w:t>Hence</w:t>
      </w:r>
      <w:proofErr w:type="gramEnd"/>
      <w:r w:rsidR="00F535E9">
        <w:t xml:space="preserve"> we believe a</w:t>
      </w:r>
      <w:r>
        <w:t xml:space="preserve"> pre-TR matching platform could be of huge value added as is the case on SFTR where parties try to get in sync</w:t>
      </w:r>
      <w:r w:rsidR="00F535E9">
        <w:t>hronisation</w:t>
      </w:r>
      <w:r>
        <w:t xml:space="preserve"> for their bookings and life cycles events in order to pair and match even though they are not on obliged to pair and match when being in UK versus E</w:t>
      </w:r>
      <w:r w:rsidR="00F535E9">
        <w:t>U</w:t>
      </w:r>
      <w:r>
        <w:t xml:space="preserve"> counterparties or vice versa</w:t>
      </w:r>
    </w:p>
    <w:p w14:paraId="1E867A3B" w14:textId="77777777" w:rsidR="00C42392" w:rsidRDefault="00C42392" w:rsidP="00C42392">
      <w:r>
        <w:t>Having an agnostic matching optic is in line with best practices and global UTI implementation</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4F618013" w14:textId="57E33D65" w:rsidR="00C42392" w:rsidRDefault="00C42392" w:rsidP="00C42392">
      <w:permStart w:id="1148282978" w:edGrp="everyone"/>
      <w:r>
        <w:t>We agree with the proposal, the fields not allowed to change being</w:t>
      </w:r>
    </w:p>
    <w:p w14:paraId="6A7B44A6" w14:textId="77777777" w:rsidR="00C42392" w:rsidRDefault="00C42392" w:rsidP="00C42392">
      <w:r>
        <w:t>•</w:t>
      </w:r>
      <w:r>
        <w:tab/>
        <w:t>the triplet (LEI1-LEI2-UTI) to update the state of the derivatives concluded prior to the go live</w:t>
      </w:r>
    </w:p>
    <w:p w14:paraId="66937A04" w14:textId="160575CA" w:rsidR="004F7B49" w:rsidRPr="004F7B49" w:rsidRDefault="00C42392" w:rsidP="004F7B49">
      <w:r>
        <w:t>•</w:t>
      </w:r>
      <w:r>
        <w:tab/>
        <w:t>the UTI after the go live</w:t>
      </w:r>
      <w:permEnd w:id="1148282978"/>
      <w:r w:rsidR="004F7B49"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49699A8F" w14:textId="038E978E" w:rsidR="004F7B49" w:rsidRPr="004F7B49" w:rsidRDefault="00C42392" w:rsidP="004F7B49">
      <w:permStart w:id="903745424" w:edGrp="everyone"/>
      <w:r w:rsidRPr="00C42392">
        <w:t>We agree the TR should only restore the derivative to the Trade State Report (TSR) where a report with action type “Revive” has been received</w:t>
      </w:r>
      <w:proofErr w:type="gramStart"/>
      <w:r w:rsidRPr="00C42392">
        <w:t>,.</w:t>
      </w:r>
      <w:permEnd w:id="903745424"/>
      <w:r w:rsidR="004F7B49" w:rsidRPr="004F7B49">
        <w:t>&lt;</w:t>
      </w:r>
      <w:proofErr w:type="gramEnd"/>
      <w:r w:rsidR="004F7B49" w:rsidRPr="004F7B49">
        <w: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64DA79D2" w14:textId="3ACC5BAE" w:rsidR="004F7B49" w:rsidRPr="004F7B49" w:rsidRDefault="00C42392" w:rsidP="004F7B49">
      <w:permStart w:id="892158507" w:edGrp="everyone"/>
      <w:r w:rsidRPr="00C42392">
        <w:t xml:space="preserve">Alternative A would entail the regular update of the Trade State Report based on the schedule reported. This will reduce the amount of data provided to authorities and would facilitate the immediate assessment of </w:t>
      </w:r>
      <w:proofErr w:type="gramStart"/>
      <w:r w:rsidRPr="00C42392">
        <w:t>exposures.</w:t>
      </w:r>
      <w:permEnd w:id="892158507"/>
      <w:r w:rsidR="004F7B49" w:rsidRPr="004F7B49">
        <w:t>&lt;</w:t>
      </w:r>
      <w:proofErr w:type="gramEnd"/>
      <w:r w:rsidR="004F7B49" w:rsidRPr="004F7B49">
        <w: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lastRenderedPageBreak/>
        <w:t>&lt;ESMA_QUESTION_REPO_89&gt;</w:t>
      </w:r>
    </w:p>
    <w:p w14:paraId="146D5F19" w14:textId="7E979678" w:rsidR="004F7B49" w:rsidRPr="004F7B49" w:rsidRDefault="00C42392" w:rsidP="004F7B49">
      <w:permStart w:id="778189251" w:edGrp="everyone"/>
      <w:r w:rsidRPr="00C42392">
        <w:t xml:space="preserve">We understand the process around dead derivatives, step c to raise an issue on behalf of the other party seems operationally difficult </w:t>
      </w:r>
      <w:permEnd w:id="778189251"/>
      <w:r w:rsidR="004F7B49"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4184DC87" w14:textId="4ECECACA" w:rsidR="004F7B49" w:rsidRPr="004F7B49" w:rsidRDefault="00C42392" w:rsidP="004F7B49">
      <w:permStart w:id="177222125" w:edGrp="everyone"/>
      <w:r w:rsidRPr="00C42392">
        <w:t xml:space="preserve">We do not believe that field 1.14 should be used for determining the eligibility of derivative for reconciliation, GLEIF </w:t>
      </w:r>
      <w:r w:rsidR="00E900A8">
        <w:t xml:space="preserve">contains necessary entity related data that </w:t>
      </w:r>
      <w:r w:rsidRPr="00C42392">
        <w:t xml:space="preserve">should be used as the golden source </w:t>
      </w:r>
      <w:permEnd w:id="177222125"/>
      <w:r w:rsidR="004F7B49"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09BA1F45" w14:textId="77777777" w:rsidR="00E900A8" w:rsidRDefault="00E900A8" w:rsidP="00E900A8">
      <w:permStart w:id="1698656546" w:edGrp="everyone"/>
      <w:r>
        <w:t>From experience with SFTR, there are issues on reconciliation due to asynchronous reports</w:t>
      </w:r>
    </w:p>
    <w:p w14:paraId="444E62AC" w14:textId="77777777" w:rsidR="00E900A8" w:rsidRDefault="00E900A8" w:rsidP="00E900A8">
      <w:r>
        <w:t>Reconciliations issues arise despite correct reporting by both parties, where one party submits their reports on different reporting dates, i.e.: T vs T+1</w:t>
      </w:r>
    </w:p>
    <w:p w14:paraId="0E2C3AB4" w14:textId="77777777" w:rsidR="00E900A8" w:rsidRDefault="00E900A8" w:rsidP="00E900A8">
      <w:r>
        <w:t>Parties report certain lifecycles on T and their counterparty reports those lifecycles on T+1 there may be a reconciliation break at the Trade Repository.</w:t>
      </w:r>
    </w:p>
    <w:p w14:paraId="51D4B32D" w14:textId="77777777" w:rsidR="00E900A8" w:rsidRDefault="00E900A8" w:rsidP="00E900A8"/>
    <w:p w14:paraId="6280DAD3" w14:textId="67EAB07E" w:rsidR="004F7B49" w:rsidRPr="004F7B49" w:rsidRDefault="00E900A8" w:rsidP="004F7B49">
      <w:r>
        <w:t>TR reconciliation should be driven by event date not reporting date</w:t>
      </w:r>
      <w:permEnd w:id="1698656546"/>
      <w:r w:rsidR="004F7B49"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06984EBA" w14:textId="009AF0CF" w:rsidR="004F7B49" w:rsidRPr="004F7B49" w:rsidRDefault="00E900A8" w:rsidP="004F7B49">
      <w:permStart w:id="859136354" w:edGrp="everyone"/>
      <w:r w:rsidRPr="00E900A8">
        <w:t>Alternative B: TRs should include all the data in the reconciliation process and flag the derivatives where one of the counterparties have not reported valuation, irrespective of the reason reconciled</w:t>
      </w:r>
      <w:permEnd w:id="859136354"/>
      <w:r w:rsidR="004F7B49"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1854C2BA" w14:textId="18A54137" w:rsidR="004F7B49" w:rsidRPr="004F7B49" w:rsidRDefault="00E900A8" w:rsidP="004F7B49">
      <w:permStart w:id="1132283836" w:edGrp="everyone"/>
      <w:r w:rsidRPr="00E900A8">
        <w:lastRenderedPageBreak/>
        <w:t>Alternative B is preferable ‘When counterparties report inconsistently the two legs of the derivative, the TR should intend matching the two legs irrespective of the sequence, considering the values reported by the two counterparties under field “direction of leg 1” by matching the legs with opposite values. In case Counterparty 1 has reported it with “payer”, the TR should reconcile it with the leg that is identified as “receiver” or is the leg that is not identified, when leg one is identified with “payer” This would move the burden to the TRs, but it would also limit the existence of reconciliation breaks, as well as it would facilitate their resolution’</w:t>
      </w:r>
      <w:permEnd w:id="1132283836"/>
      <w:r w:rsidR="004F7B49"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01B66E09" w14:textId="77777777" w:rsidR="00E900A8" w:rsidRDefault="00E900A8" w:rsidP="00E900A8">
      <w:permStart w:id="1274697568" w:edGrp="everyone"/>
      <w:r>
        <w:t>Reporting upfront all the notional schedule is complex</w:t>
      </w:r>
    </w:p>
    <w:p w14:paraId="219DFF5C" w14:textId="4EA7F302" w:rsidR="004F7B49" w:rsidRPr="004F7B49" w:rsidRDefault="00E900A8" w:rsidP="004F7B49">
      <w:r>
        <w:t xml:space="preserve">what would be the benefit for such a reconciliation </w:t>
      </w:r>
      <w:permEnd w:id="1274697568"/>
      <w:r w:rsidR="004F7B49"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70FDC38E" w14:textId="5239592D" w:rsidR="004F7B49" w:rsidRPr="004F7B49" w:rsidRDefault="00E900A8" w:rsidP="004F7B49">
      <w:permStart w:id="794066036" w:edGrp="everyone"/>
      <w:r w:rsidRPr="00E900A8">
        <w:t xml:space="preserve">It is not obvious to perform such reconciliation between two SIs, what would be the benefit for showing such a reconciliation break </w:t>
      </w:r>
      <w:permEnd w:id="794066036"/>
      <w:r w:rsidR="004F7B49"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16187ED8" w14:textId="3824491B" w:rsidR="004F7B49" w:rsidRPr="004F7B49" w:rsidRDefault="00E900A8" w:rsidP="004F7B49">
      <w:permStart w:id="1281183597" w:edGrp="everyone"/>
      <w:r w:rsidRPr="00E900A8">
        <w:t xml:space="preserve">We think with the missing margin information report will be useful, however a stated previously, can ESMA provide further examples on margin reports at UTI level as opposed to portfolio ID </w:t>
      </w:r>
      <w:proofErr w:type="gramStart"/>
      <w:r w:rsidRPr="00E900A8">
        <w:t>level.</w:t>
      </w:r>
      <w:permEnd w:id="1281183597"/>
      <w:r w:rsidR="004F7B49" w:rsidRPr="004F7B49">
        <w:t>&lt;</w:t>
      </w:r>
      <w:proofErr w:type="gramEnd"/>
      <w:r w:rsidR="004F7B49" w:rsidRPr="004F7B49">
        <w: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5DDC0E1A" w14:textId="69E64E85" w:rsidR="004F7B49" w:rsidRPr="004F7B49" w:rsidRDefault="00E900A8" w:rsidP="004F7B49">
      <w:permStart w:id="528113517" w:edGrp="everyone"/>
      <w:r w:rsidRPr="00E900A8">
        <w:lastRenderedPageBreak/>
        <w:t xml:space="preserve">We welcome the report on abnormal values. ESMA could set up workshops with the industry to define abnormal values to apply and potentially review the thresholds which can vary depending on economic environment and market conditions. We do not think Trade repositories should set those abnormal values and then inform ESMA about those as per paragraph </w:t>
      </w:r>
      <w:proofErr w:type="gramStart"/>
      <w:r w:rsidRPr="00E900A8">
        <w:t>620.</w:t>
      </w:r>
      <w:permEnd w:id="528113517"/>
      <w:r w:rsidR="004F7B49" w:rsidRPr="004F7B49">
        <w:t>&lt;</w:t>
      </w:r>
      <w:proofErr w:type="gramEnd"/>
      <w:r w:rsidR="004F7B49" w:rsidRPr="004F7B49">
        <w: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45C23E8A" w14:textId="77777777" w:rsidR="00E900A8" w:rsidRDefault="00E900A8" w:rsidP="00E900A8">
      <w:permStart w:id="678901143" w:edGrp="everyone"/>
      <w:r>
        <w:t xml:space="preserve">We note the different reconciliation categories, however, a large majority of the trades are now single sided due to Brexit. </w:t>
      </w:r>
    </w:p>
    <w:p w14:paraId="47E6085A" w14:textId="77777777" w:rsidR="00E900A8" w:rsidRDefault="00E900A8" w:rsidP="00E900A8">
      <w:r>
        <w:t>A timeline of T+1 for reconciliations would be neater and avoid SFTR pitfalls due to reporting timeline discrepancies.</w:t>
      </w:r>
    </w:p>
    <w:p w14:paraId="5EDB44D4" w14:textId="77777777" w:rsidR="00E900A8" w:rsidRDefault="00E900A8" w:rsidP="00E900A8"/>
    <w:p w14:paraId="1CEC5495" w14:textId="77777777" w:rsidR="00E900A8" w:rsidRDefault="00E900A8" w:rsidP="00E900A8">
      <w:r>
        <w:t>We note ESMA would like those reports to be in XML format which is not user friendly for the end users</w:t>
      </w:r>
    </w:p>
    <w:p w14:paraId="2DD51058" w14:textId="31758A42" w:rsidR="004F7B49" w:rsidRPr="004F7B49" w:rsidRDefault="00E900A8" w:rsidP="004F7B49">
      <w:r>
        <w:t xml:space="preserve"> The ability to drill down to details of aggregates end of day reports is essential and require analytics tools to investigate root causes of reconciliation breaks which a third-party provider can support participants </w:t>
      </w:r>
      <w:proofErr w:type="gramStart"/>
      <w:r>
        <w:t>with.</w:t>
      </w:r>
      <w:permEnd w:id="678901143"/>
      <w:r w:rsidR="004F7B49" w:rsidRPr="004F7B49">
        <w:t>&lt;</w:t>
      </w:r>
      <w:proofErr w:type="gramEnd"/>
      <w:r w:rsidR="004F7B49" w:rsidRPr="004F7B49">
        <w: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4E1CE25A" w14:textId="31866122" w:rsidR="004F7B49" w:rsidRPr="004F7B49" w:rsidRDefault="00E900A8" w:rsidP="004F7B49">
      <w:permStart w:id="339289437" w:edGrp="everyone"/>
      <w:r w:rsidRPr="00E900A8">
        <w:t xml:space="preserve">The rejection of the report of derivatives with action type “Revive” submitted more than thirty calendar days after Error </w:t>
      </w:r>
      <w:proofErr w:type="gramStart"/>
      <w:r w:rsidRPr="00E900A8">
        <w:t>reports  sent</w:t>
      </w:r>
      <w:proofErr w:type="gramEnd"/>
      <w:r w:rsidRPr="00E900A8">
        <w:t xml:space="preserve"> by mistake complexifies the  reporting process as we pointed out in our answer to question 21, especially in the context of cross jurisdictional trades where a ESMA reportable entity is facing a US Person Swap Dealer or an Asian counterparty.</w:t>
      </w:r>
      <w:permEnd w:id="339289437"/>
      <w:r w:rsidR="004F7B49"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lastRenderedPageBreak/>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A3BF" w14:textId="77777777" w:rsidR="00633EB4" w:rsidRDefault="00633EB4">
      <w:r>
        <w:separator/>
      </w:r>
    </w:p>
    <w:p w14:paraId="2CB8C030" w14:textId="77777777" w:rsidR="00633EB4" w:rsidRDefault="00633EB4"/>
  </w:endnote>
  <w:endnote w:type="continuationSeparator" w:id="0">
    <w:p w14:paraId="2ACDD720" w14:textId="77777777" w:rsidR="00633EB4" w:rsidRDefault="00633EB4">
      <w:r>
        <w:continuationSeparator/>
      </w:r>
    </w:p>
    <w:p w14:paraId="35C2B7EC" w14:textId="77777777" w:rsidR="00633EB4" w:rsidRDefault="00633EB4"/>
  </w:endnote>
  <w:endnote w:type="continuationNotice" w:id="1">
    <w:p w14:paraId="24435DC6" w14:textId="77777777" w:rsidR="00633EB4" w:rsidRDefault="00633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2000D" w:rsidRPr="00616B9B" w14:paraId="313FAE1A" w14:textId="77777777" w:rsidTr="00315E96">
      <w:trPr>
        <w:trHeight w:val="284"/>
      </w:trPr>
      <w:tc>
        <w:tcPr>
          <w:tcW w:w="8460" w:type="dxa"/>
        </w:tcPr>
        <w:p w14:paraId="0BEF8BC6" w14:textId="77777777" w:rsidR="0022000D" w:rsidRPr="00315E96" w:rsidRDefault="0022000D" w:rsidP="00315E96">
          <w:pPr>
            <w:pStyle w:val="00Footer"/>
            <w:rPr>
              <w:lang w:val="fr-FR"/>
            </w:rPr>
          </w:pPr>
        </w:p>
      </w:tc>
      <w:tc>
        <w:tcPr>
          <w:tcW w:w="952" w:type="dxa"/>
        </w:tcPr>
        <w:p w14:paraId="7FD1DE07" w14:textId="77777777" w:rsidR="0022000D" w:rsidRPr="00616B9B" w:rsidRDefault="0022000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2000D" w:rsidRDefault="0022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2000D" w:rsidRDefault="0022000D"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2000D" w:rsidRDefault="0022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16818" w14:textId="77777777" w:rsidR="00633EB4" w:rsidRDefault="00633EB4">
      <w:r>
        <w:separator/>
      </w:r>
    </w:p>
    <w:p w14:paraId="12F32AC0" w14:textId="77777777" w:rsidR="00633EB4" w:rsidRDefault="00633EB4"/>
  </w:footnote>
  <w:footnote w:type="continuationSeparator" w:id="0">
    <w:p w14:paraId="60B0D338" w14:textId="77777777" w:rsidR="00633EB4" w:rsidRDefault="00633EB4">
      <w:r>
        <w:continuationSeparator/>
      </w:r>
    </w:p>
    <w:p w14:paraId="7AA3FD9B" w14:textId="77777777" w:rsidR="00633EB4" w:rsidRDefault="00633EB4"/>
  </w:footnote>
  <w:footnote w:type="continuationNotice" w:id="1">
    <w:p w14:paraId="77730A21" w14:textId="77777777" w:rsidR="00633EB4" w:rsidRDefault="00633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2000D" w:rsidRDefault="0022000D">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2000D" w:rsidRDefault="0022000D"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2000D" w:rsidRDefault="002200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2000D" w:rsidRPr="002F4496" w14:paraId="60C7474C" w14:textId="77777777" w:rsidTr="000C06C9">
      <w:trPr>
        <w:trHeight w:val="284"/>
      </w:trPr>
      <w:tc>
        <w:tcPr>
          <w:tcW w:w="8460" w:type="dxa"/>
        </w:tcPr>
        <w:p w14:paraId="54B7E7F0" w14:textId="77777777" w:rsidR="0022000D" w:rsidRPr="000C3B6D" w:rsidRDefault="0022000D" w:rsidP="000C06C9">
          <w:pPr>
            <w:pStyle w:val="00Footer"/>
            <w:rPr>
              <w:lang w:val="fr-FR"/>
            </w:rPr>
          </w:pPr>
        </w:p>
      </w:tc>
      <w:tc>
        <w:tcPr>
          <w:tcW w:w="952" w:type="dxa"/>
        </w:tcPr>
        <w:p w14:paraId="2E49D042" w14:textId="77777777" w:rsidR="0022000D" w:rsidRPr="00146B34" w:rsidRDefault="0022000D" w:rsidP="000C06C9">
          <w:pPr>
            <w:pStyle w:val="00aPagenumber"/>
            <w:rPr>
              <w:lang w:val="fr-FR"/>
            </w:rPr>
          </w:pPr>
        </w:p>
      </w:tc>
    </w:tr>
  </w:tbl>
  <w:p w14:paraId="580707D9" w14:textId="77777777" w:rsidR="0022000D" w:rsidRPr="00DB46C3" w:rsidRDefault="0022000D">
    <w:pPr>
      <w:rPr>
        <w:lang w:val="fr-FR"/>
      </w:rPr>
    </w:pPr>
  </w:p>
  <w:p w14:paraId="20C4F67C" w14:textId="77777777" w:rsidR="0022000D" w:rsidRPr="002F4496" w:rsidRDefault="0022000D">
    <w:pPr>
      <w:pStyle w:val="Header"/>
      <w:rPr>
        <w:lang w:val="fr-FR"/>
      </w:rPr>
    </w:pPr>
  </w:p>
  <w:p w14:paraId="3F30C70B" w14:textId="77777777" w:rsidR="0022000D" w:rsidRPr="002F4496" w:rsidRDefault="0022000D" w:rsidP="000C06C9">
    <w:pPr>
      <w:pStyle w:val="Header"/>
      <w:tabs>
        <w:tab w:val="clear" w:pos="4536"/>
        <w:tab w:val="clear" w:pos="9072"/>
        <w:tab w:val="left" w:pos="8227"/>
      </w:tabs>
      <w:rPr>
        <w:lang w:val="fr-FR"/>
      </w:rPr>
    </w:pPr>
  </w:p>
  <w:p w14:paraId="4D50BC39" w14:textId="77777777" w:rsidR="0022000D" w:rsidRPr="002F4496" w:rsidRDefault="0022000D" w:rsidP="00583885">
    <w:pPr>
      <w:pStyle w:val="Header"/>
      <w:jc w:val="right"/>
      <w:rPr>
        <w:lang w:val="fr-FR"/>
      </w:rPr>
    </w:pPr>
  </w:p>
  <w:p w14:paraId="2D51BEA2" w14:textId="77777777" w:rsidR="0022000D" w:rsidRPr="002F4496" w:rsidRDefault="0022000D">
    <w:pPr>
      <w:pStyle w:val="Header"/>
      <w:rPr>
        <w:lang w:val="fr-FR"/>
      </w:rPr>
    </w:pPr>
  </w:p>
  <w:p w14:paraId="340B2438" w14:textId="77777777" w:rsidR="0022000D" w:rsidRPr="002F4496" w:rsidRDefault="0022000D">
    <w:pPr>
      <w:pStyle w:val="Header"/>
      <w:rPr>
        <w:lang w:val="fr-FR"/>
      </w:rPr>
    </w:pPr>
  </w:p>
  <w:p w14:paraId="2A794A3E" w14:textId="77777777" w:rsidR="0022000D" w:rsidRPr="002F4496" w:rsidRDefault="0022000D">
    <w:pPr>
      <w:pStyle w:val="Header"/>
      <w:rPr>
        <w:lang w:val="fr-FR"/>
      </w:rPr>
    </w:pPr>
  </w:p>
  <w:p w14:paraId="0A21F475" w14:textId="77777777" w:rsidR="0022000D" w:rsidRPr="002F4496" w:rsidRDefault="0022000D">
    <w:pPr>
      <w:pStyle w:val="Header"/>
      <w:rPr>
        <w:highlight w:val="yellow"/>
        <w:lang w:val="fr-FR"/>
      </w:rPr>
    </w:pPr>
  </w:p>
  <w:p w14:paraId="53ABEE5D" w14:textId="77777777" w:rsidR="0022000D" w:rsidRDefault="0022000D">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05B"/>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00D"/>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233D"/>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4F0"/>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EB4"/>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3A8F"/>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392"/>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E97"/>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32B"/>
    <w:rsid w:val="00E8713B"/>
    <w:rsid w:val="00E900A8"/>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5E9"/>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11127</Words>
  <Characters>61238</Characters>
  <Application>Microsoft Office Word</Application>
  <DocSecurity>12</DocSecurity>
  <Lines>510</Lines>
  <Paragraphs>144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72221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QP</dc:creator>
  <cp:lastModifiedBy>David Cook</cp:lastModifiedBy>
  <cp:revision>2</cp:revision>
  <cp:lastPrinted>2015-02-18T11:01:00Z</cp:lastPrinted>
  <dcterms:created xsi:type="dcterms:W3CDTF">2021-09-30T08:07:00Z</dcterms:created>
  <dcterms:modified xsi:type="dcterms:W3CDTF">2021-09-30T08:07:00Z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