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uzeile"/>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enabsatz"/>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62707CF0" w:rsidR="00C2682A" w:rsidRPr="00AB6D88" w:rsidRDefault="00F16D3C" w:rsidP="00F16D3C">
                <w:pPr>
                  <w:rPr>
                    <w:rStyle w:val="Platzhaltertext"/>
                    <w:rFonts w:cs="Arial"/>
                  </w:rPr>
                </w:pPr>
                <w:r>
                  <w:rPr>
                    <w:rStyle w:val="Platzhaltertext"/>
                    <w:rFonts w:cs="Arial"/>
                  </w:rPr>
                  <w:t xml:space="preserve">German Banking </w:t>
                </w:r>
                <w:proofErr w:type="spellStart"/>
                <w:r>
                  <w:rPr>
                    <w:rStyle w:val="Platzhaltertext"/>
                    <w:rFonts w:cs="Arial"/>
                  </w:rPr>
                  <w:t>Insdustry</w:t>
                </w:r>
                <w:proofErr w:type="spellEnd"/>
                <w:r>
                  <w:rPr>
                    <w:rStyle w:val="Platzhaltertext"/>
                    <w:rFonts w:cs="Arial"/>
                  </w:rPr>
                  <w:t xml:space="preserve"> </w:t>
                </w:r>
                <w:proofErr w:type="spellStart"/>
                <w:r>
                  <w:rPr>
                    <w:rStyle w:val="Platzhaltertext"/>
                    <w:rFonts w:cs="Arial"/>
                  </w:rPr>
                  <w:t>Commitee</w:t>
                </w:r>
                <w:proofErr w:type="spellEnd"/>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3F362DF" w:rsidR="00C2682A" w:rsidRPr="00AB6D88" w:rsidRDefault="00A4332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6442E">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404C3DE5" w:rsidR="00C2682A" w:rsidRPr="00AB6D88" w:rsidRDefault="00F16D3C"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B93F023" w:rsidR="00C2682A" w:rsidRPr="00AB6D88" w:rsidRDefault="00F16D3C"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013D3F7D" w14:textId="4029F578" w:rsidR="00A6442E" w:rsidRDefault="00A6442E" w:rsidP="00A6442E">
      <w:permStart w:id="1454525006" w:edGrp="everyone"/>
      <w:r>
        <w:t xml:space="preserve">Our member </w:t>
      </w:r>
      <w:proofErr w:type="spellStart"/>
      <w:r>
        <w:t>insitutions</w:t>
      </w:r>
      <w:proofErr w:type="spellEnd"/>
      <w:r>
        <w:t xml:space="preserve"> have already made significant efforts to analyse and evaluate the requirements under EMIR REFIT and hence consider themselves to be in a decent position to determine the next steps regarding implementation. </w:t>
      </w:r>
    </w:p>
    <w:p w14:paraId="25B95110" w14:textId="77777777" w:rsidR="00A6442E" w:rsidRDefault="00A6442E" w:rsidP="00A6442E">
      <w:r>
        <w:t xml:space="preserve">Having said that, we’ve identified several challenges that we believe need to be resolved across all stakeholders. We think that the increased granularity of transaction related data will require significant resources regarding data sourcing. In particular, a lot of transaction related data is unlikely to be available on the front office side and will therefore have to be sourced along the transaction process chain. A lot of this data will have to be derived one way or another. </w:t>
      </w:r>
    </w:p>
    <w:p w14:paraId="6A22288E" w14:textId="4383733F" w:rsidR="00F87897" w:rsidRDefault="00A6442E" w:rsidP="00F87897">
      <w:r>
        <w:t>All in all, this is likely to lead to data quality issues and subsequent issues when it comes to pairing and reconciliation. Given historically low pairing and matching rates, we’re concerned that the more stringent reconciliation requirements under EMIR REFIT will put a significant burden on our day to day operations. In order to assess the likely impact on our resources, we believe that the reconciliation requirements in particular need further clarification.</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441EED8D" w:rsidR="004F7B49" w:rsidRPr="004F7B49" w:rsidRDefault="00535C41" w:rsidP="004F7B49">
      <w:permStart w:id="1601852493" w:edGrp="everyone"/>
      <w:r w:rsidRPr="00535C41">
        <w:t>Institutes plan different processes for the transition reporting. But according to our understanding new fields will cause an automatic update of the message. Therefore, a big bang on the first reporting day seems unavoidable. Our NCA confirmed that, in principle, re-reporting of the entire portfolio on the first reporting day after the new rules entered into force is possible. However, the TRs should technically be prepared to take on all the reports in one given day.</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79753297" w14:textId="39320692" w:rsidR="00C11280" w:rsidRDefault="00C11280" w:rsidP="00C11280">
      <w:permStart w:id="805204607" w:edGrp="everyone"/>
      <w:r>
        <w:t xml:space="preserve">Most rules relating to the reporting obligation with regard to the parties involved in the trade seem clear. However, we’re not entirely sure how an additional party potentially involved in the trade, namely a broker, needs to be taken into account for reporting purposes. </w:t>
      </w:r>
    </w:p>
    <w:p w14:paraId="2022C85D" w14:textId="77777777" w:rsidR="00C11280" w:rsidRDefault="00C11280" w:rsidP="00C11280">
      <w:r>
        <w:t xml:space="preserve">The Q&amp;A to the implementation of the Regulation (EU) No 648/2012 state “Yes” to the following question (TR Q9e): "If a broker is itself the counterparty (legal principal) to a trade, should it be reported in both the “broker” and “counterparty” fields?". </w:t>
      </w:r>
    </w:p>
    <w:p w14:paraId="716D54D9" w14:textId="77777777" w:rsidR="00C11280" w:rsidRDefault="00C11280" w:rsidP="00C11280">
      <w:r>
        <w:t xml:space="preserve">On the other hand, the Final Report on technical standards states for field 1.15 (broker ID): “In the case a broker acts as intermediary for the counterparty 1 without becoming a counterparty himself, the counterparty 1 shall identify this broker by a unique code.” </w:t>
      </w:r>
    </w:p>
    <w:p w14:paraId="6B7E4D19" w14:textId="0A5D0A76" w:rsidR="004F7B49" w:rsidRPr="004F7B49" w:rsidRDefault="00C11280" w:rsidP="00C11280">
      <w:r>
        <w:t>We would be grateful if ESMA could clarify how to populate this particular field.</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4BD32FFC" w14:textId="4C8E3F52" w:rsidR="0040268B" w:rsidRDefault="0040268B" w:rsidP="0040268B">
      <w:permStart w:id="140709788" w:edGrp="everyone"/>
      <w:r>
        <w:t>We understand that the term novation is to be understood comprehensively, i.e. both the change of the contracting party and the German law contract assumption agreement (</w:t>
      </w:r>
      <w:proofErr w:type="spellStart"/>
      <w:r>
        <w:t>Vertragsuebernahme</w:t>
      </w:r>
      <w:proofErr w:type="spellEnd"/>
      <w:r>
        <w:t xml:space="preserve">) with replacement of the counterparty and continuation of the transaction are to be classified as novation. Having said this, we would welcome a clear distinction between "clearing" and "novation" in this context. Paragraph 41 specifies “where a counterparty … steps into the derivative contract and becomes a new counterparty to the derivative, the contract should be reported with action type ‘New’ and event type ‘Step-in’.” This makes clear the reporting requirements for the Stepping-in Party of a novation. We assume that the same requirements will apply to the Remaining Party of the novation when reporting the contract facing the Stepping-in Party? </w:t>
      </w:r>
    </w:p>
    <w:p w14:paraId="6A43BBF1" w14:textId="7FE4C729" w:rsidR="004F7B49" w:rsidRPr="004F7B49" w:rsidRDefault="0040268B" w:rsidP="0040268B">
      <w:proofErr w:type="gramStart"/>
      <w:r>
        <w:t>Furthermore</w:t>
      </w:r>
      <w:proofErr w:type="gramEnd"/>
      <w:r>
        <w:t xml:space="preserve"> it is not clear what happens to the UTI of the trade? Does it, by using the event type “Step-In” continue to exist and can continue to be used so that no new UTI is required?</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5446BC47" w:rsidR="004F7B49" w:rsidRPr="004F7B49" w:rsidRDefault="006F0316" w:rsidP="004F7B49">
      <w:permStart w:id="1190423857" w:edGrp="everyone"/>
      <w:r w:rsidRPr="006F0316">
        <w:t>Yes, we welcome the approach.</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6E2349B9" w:rsidR="004F7B49" w:rsidRPr="004F7B49" w:rsidRDefault="00C93F3F" w:rsidP="004F7B49">
      <w:permStart w:id="1560160754" w:edGrp="everyone"/>
      <w:r w:rsidRPr="00C93F3F">
        <w:t>We agree with this approach, although we note that the Implementation Technical Standards allow for ‘NEWT’ and ‘EROR’ to be reported. These should be removed.</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lastRenderedPageBreak/>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6AC03EE5" w14:textId="37A8098A" w:rsidR="00F217AD" w:rsidRDefault="00F217AD" w:rsidP="00F217AD">
      <w:permStart w:id="1341936864" w:edGrp="everyone"/>
      <w:r>
        <w:t>EMIR reporting requirements regarding action types and event types combinations should be unambiguously and simple to implement. ESMA should provide examples displaying the proper use of the attributes „</w:t>
      </w:r>
      <w:proofErr w:type="gramStart"/>
      <w:r>
        <w:t>New“ +</w:t>
      </w:r>
      <w:proofErr w:type="gramEnd"/>
      <w:r>
        <w:t xml:space="preserve"> „Allocation“ und „Modify“ + „Allocation“. </w:t>
      </w:r>
    </w:p>
    <w:p w14:paraId="6C39D07F" w14:textId="77777777" w:rsidR="00F217AD" w:rsidRDefault="00F217AD" w:rsidP="00F217AD">
      <w:r>
        <w:t>Clarification regarding potential dependencies to other reporting fields is seen vital. We feel this will clearly contribute to reduce complexity of EMIR Reporting for all actors involved.</w:t>
      </w:r>
    </w:p>
    <w:p w14:paraId="01009B44" w14:textId="77777777" w:rsidR="00F217AD" w:rsidRDefault="00F217AD" w:rsidP="00F217AD">
      <w:r>
        <w:t xml:space="preserve">From an operational point of view, reporting missing life cycle events is not practical. When reporting “revive” the report will represent the current status of the trade </w:t>
      </w:r>
      <w:proofErr w:type="gramStart"/>
      <w:r>
        <w:t>an</w:t>
      </w:r>
      <w:proofErr w:type="gramEnd"/>
      <w:r>
        <w:t xml:space="preserve"> thus, inherently include the life-cycle that have taken place while the derivative was temporarily non-outstanding. It would require a highly manual effort that cannot be automated – if possible at all. For </w:t>
      </w:r>
      <w:proofErr w:type="gramStart"/>
      <w:r>
        <w:t>example</w:t>
      </w:r>
      <w:proofErr w:type="gramEnd"/>
      <w:r>
        <w:t xml:space="preserve"> valuations during the interim period: since the trade was non-outstanding, these valuations were not reported and they are not even in any system. Because the trade was non-outstanding, no valuations were performed. </w:t>
      </w:r>
    </w:p>
    <w:p w14:paraId="0F512E63" w14:textId="77777777" w:rsidR="00F217AD" w:rsidRDefault="00F217AD" w:rsidP="00F217AD">
      <w:r>
        <w:t xml:space="preserve">In addition, we also disagree with the need to report corrections as indicated in paragraph 109: “reports with action type ‘Correction’ to correct any specific values in the report.” As stated in paragraph 109 “when reporting ‘Revive’ [counterparties] should provide all applicable details of the contract as of the time of revival.” </w:t>
      </w:r>
    </w:p>
    <w:p w14:paraId="23B816B7" w14:textId="386D45A9" w:rsidR="004F7B49" w:rsidRPr="004F7B49" w:rsidRDefault="00F217AD" w:rsidP="00F217AD">
      <w:r>
        <w:t>Therefore, as the correct contract details at the time of reporting are populate in the “Revive” submission, there will be no requirement to subsequently submit a ‘Correction’ message.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2AABF64C" w14:textId="5CF35ADC" w:rsidR="00865CBE" w:rsidRDefault="00865CBE" w:rsidP="00865CBE">
      <w:permStart w:id="1133980479" w:edGrp="everyone"/>
      <w:r>
        <w:t xml:space="preserve">Conceptually, all action as well as event types are clear in terms of what they stand for. The </w:t>
      </w:r>
      <w:proofErr w:type="spellStart"/>
      <w:r>
        <w:t>comprehen-sive</w:t>
      </w:r>
      <w:proofErr w:type="spellEnd"/>
      <w:r>
        <w:t xml:space="preserve"> mapping table will also be beneficial during the preparation and implementation of reporting require-</w:t>
      </w:r>
      <w:proofErr w:type="spellStart"/>
      <w:r>
        <w:t>ments</w:t>
      </w:r>
      <w:proofErr w:type="spellEnd"/>
      <w:r>
        <w:t xml:space="preserve"> under EMIR REFIT. We do see significant challenges regarding the determination of applicable event types though.</w:t>
      </w:r>
    </w:p>
    <w:p w14:paraId="22149B13" w14:textId="77777777" w:rsidR="00865CBE" w:rsidRDefault="00865CBE" w:rsidP="00865CBE">
      <w:r>
        <w:t xml:space="preserve">First, the allocation of an action to an event type is not as clear cut as it would have to be in a scalable process. Most importantly, many institutions won’t have a clear data source to determine the appropriate event type for a particular action. Trade entry based implementation would require significant effort and cost. Any post trade approach would rely on a complex combination of data sourcing and logic. Needless to say, deriving event types based on post trade logic will most likely lead to inconsistent reporting results which in turn devalues the conclusions ESMA can draw from event type related information. We therefore appreciate any input as to how event types should be approached from a data sourcing and implementation perspective. </w:t>
      </w:r>
    </w:p>
    <w:p w14:paraId="75E8751B" w14:textId="0B8DFD19" w:rsidR="004F7B49" w:rsidRPr="004F7B49" w:rsidRDefault="00865CBE" w:rsidP="00865CBE">
      <w:r>
        <w:t>Finally, we would also appreciate clarification regarding dependencies to other fields, i.e. any type of consequential population of fields based on event types. This is also related to the question whether there will also be validation rules incorporating event types, similar to the validation rules for action types.</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358445BE" w14:textId="291B4C11" w:rsidR="00131BAE" w:rsidRDefault="00131BAE" w:rsidP="00131BAE">
      <w:permStart w:id="2094935916" w:edGrp="everyone"/>
      <w:r>
        <w:t xml:space="preserve">The description of the three linking IDs makes sense from a theoretical point of view. We do see </w:t>
      </w:r>
      <w:proofErr w:type="spellStart"/>
      <w:r>
        <w:t>signifi</w:t>
      </w:r>
      <w:proofErr w:type="spellEnd"/>
      <w:r>
        <w:t>-</w:t>
      </w:r>
      <w:proofErr w:type="gramStart"/>
      <w:r>
        <w:t>cant</w:t>
      </w:r>
      <w:proofErr w:type="gramEnd"/>
      <w:r>
        <w:t xml:space="preserve"> practical challenges though and would hence appreciate any further information regarding potential implementation approaches, as well as practical examples. </w:t>
      </w:r>
    </w:p>
    <w:p w14:paraId="2AA6FF8D" w14:textId="2E745088" w:rsidR="004F7B49" w:rsidRPr="004F7B49" w:rsidRDefault="00131BAE" w:rsidP="00131BAE">
      <w:r>
        <w:lastRenderedPageBreak/>
        <w:t>Finally, we’re not entirely sure how multiple choices for events need to be handled in terms of priority. There may well be instances in which an action is driven by more than one event type, i.e. is this then done by choice?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6C285CA0" w:rsidR="004F7B49" w:rsidRPr="004F7B49" w:rsidRDefault="007E6D8C" w:rsidP="004F7B49">
      <w:permStart w:id="699138572" w:edGrp="everyone"/>
      <w:r w:rsidRPr="007E6D8C">
        <w:t xml:space="preserve">Paragraph 178 states that the reporting of modifications should be delayed if the change is effective on a future date. We disagree that any reportable events should be delayed until a future date and instead the relevant report should be submitted at the time the event it agreed and the changes are made to the counterparties booking systems. To withhold reporting agreed lifecycle events will require all market participants to develop and implement processes that are able to identify when reporting should be delayed and on what future date to report. This will introduce additional cost and complexities to reporting infrastructure, and increases the risk of reporting errors and reconciliation breaks. There would also be no transparency benefits to delaying reporting of modifications, and it could be argued that by delaying reporting, </w:t>
      </w:r>
      <w:r w:rsidRPr="007E6D8C">
        <w:lastRenderedPageBreak/>
        <w:t xml:space="preserve">transparency is hindered. To withhold modification events until the change is effective is inconsistent with how other lifecycle events are reported, for example a New trade is reported as of the execution date. Delaying modification reporting until the effective date would potentially assist with the reconciliation against valuation reporting, but the reconciliation risks, processing complexity and inconsistency with other event types that would be introduced outweigh any such benefits. Therefore, we propose that modifications should be reported as of the time they are agreed between the counterparties and not withheld if the modification is effective at a later date. In </w:t>
      </w:r>
      <w:proofErr w:type="spellStart"/>
      <w:r w:rsidRPr="007E6D8C">
        <w:t>ordert</w:t>
      </w:r>
      <w:proofErr w:type="spellEnd"/>
      <w:r w:rsidRPr="007E6D8C">
        <w:t xml:space="preserve"> to avoid such difficulties we would propose to include an Event Date for the agreed modification.</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545A8785" w:rsidR="004F7B49" w:rsidRPr="004F7B49" w:rsidRDefault="003451BA" w:rsidP="004F7B49">
      <w:permStart w:id="1579104281" w:edGrp="everyone"/>
      <w:r>
        <w:t>I</w:t>
      </w:r>
      <w:r w:rsidRPr="003451BA">
        <w:t>t is not clear to us, which UTI to use. When using event type Step-In, will the “old” UTI remain or do the parties have to generate a new UTI? Please also refer to our answer to question 11 above.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000C481C" w:rsidR="004F7B49" w:rsidRPr="004F7B49" w:rsidRDefault="00E414A4" w:rsidP="004F7B49">
      <w:permStart w:id="1677329523" w:edGrp="everyone"/>
      <w:r w:rsidRPr="00E414A4">
        <w:t xml:space="preserve">From our point </w:t>
      </w:r>
      <w:proofErr w:type="spellStart"/>
      <w:r w:rsidRPr="00E414A4">
        <w:t>ot</w:t>
      </w:r>
      <w:proofErr w:type="spellEnd"/>
      <w:r w:rsidRPr="00E414A4">
        <w:t xml:space="preserve"> view the complete step is overly complex, unnecessary and will not deliver benefits. In most cases, our member institutions have bilateral agreements with their counterparties (para. 204). If this is not possible, the path contained in para 205 should be chosen (sorting the LEI identifiers in reversed order). This would be a straight forward way. First having to determine any time-zones seems overly complex. If the step of the determination of the time zone should be kept - our preference is proposal outlined in par no. 203 (“follow the sun”). With regards to the UTI Waterfall, we would like to point out that the sorting logic is inconsistent starting with question "Is transaction cross-</w:t>
      </w:r>
      <w:proofErr w:type="gramStart"/>
      <w:r w:rsidRPr="00E414A4">
        <w:t>jurisdictional ?</w:t>
      </w:r>
      <w:proofErr w:type="gramEnd"/>
      <w:r w:rsidRPr="00E414A4">
        <w:t>". Whereas the bilateral agreement appears as the last point in the “no” column (after the question: “Is the transaction centrally confirmed”, it is already at position two in the “Yes” column (before the question: Is the transaction centrally confirmed by electronic means”).</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191D74C5" w:rsidR="004F7B49" w:rsidRPr="004F7B49" w:rsidRDefault="00D26724" w:rsidP="004F7B49">
      <w:permStart w:id="1383475364" w:edGrp="everyone"/>
      <w:r w:rsidRPr="00D26724">
        <w:t xml:space="preserve">We acknowledge the intended alignment between SFTR and EMIR, as well as the intended process should the counterparty responsible for the generation of the UTI fail to do so. We would appreciate clarification, potentially in the form of recommendations, as to how long a reporting counterparty should wait for the UTI to be generated by the other counterparty before generating one </w:t>
      </w:r>
      <w:proofErr w:type="spellStart"/>
      <w:r w:rsidRPr="00D26724">
        <w:t>themselve</w:t>
      </w:r>
      <w:proofErr w:type="spellEnd"/>
      <w:r w:rsidRPr="00D26724">
        <w:t xml:space="preserve">. Institutions regularly </w:t>
      </w:r>
      <w:r w:rsidRPr="00D26724">
        <w:lastRenderedPageBreak/>
        <w:t>generate UTIs, only to be provided with one at a later stage, complicating our overall reporting process. Any ESMA guidance in this respect, beyond the UTI generation waterfall, would be appreciated. What are feasible options of mitigation in case the Counterparty does not follow the proposed UTI process / guidance? We would appreciate to receive further guidance by ESMA.</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777777" w:rsidR="004F7B49" w:rsidRPr="004F7B49" w:rsidRDefault="004F7B49" w:rsidP="004F7B49">
      <w:permStart w:id="1829988511" w:edGrp="everyone"/>
      <w:r w:rsidRPr="004F7B49">
        <w:t>TYPE YOUR TEXT HERE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C6CC156" w:rsidR="004F7B49" w:rsidRPr="004F7B49" w:rsidRDefault="00D26724" w:rsidP="004F7B49">
      <w:permStart w:id="1012694255" w:edGrp="everyone"/>
      <w:r w:rsidRPr="00D26724">
        <w:t xml:space="preserve">We would be interested if there are other examples for “Principal exchange” than "exchange of notional values" with </w:t>
      </w:r>
      <w:proofErr w:type="spellStart"/>
      <w:r w:rsidRPr="00D26724">
        <w:t>reard</w:t>
      </w:r>
      <w:proofErr w:type="spellEnd"/>
      <w:r w:rsidRPr="00D26724">
        <w:t xml:space="preserve"> to cross-currency swaps.</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lastRenderedPageBreak/>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35ADDA61" w:rsidR="004F7B49" w:rsidRPr="004F7B49" w:rsidRDefault="00E8233B" w:rsidP="004F7B49">
      <w:permStart w:id="1789417857" w:edGrp="everyone"/>
      <w:r w:rsidRPr="00E8233B">
        <w:t>Alternative A would be preferable - in terms of calculating the average number of trades, this appears to be the more practical option. However, it is not clear from the explanations on significance whether the thresholds apply to all action types or whether different thresholds are defined for Category 2 and Category 3 (para 368). Para 366 ESMA says: “ESMA provides below examples of relevant scenarios and clarifies the metrics for assessing the scope of notifications, however the specific thresholds will be ultimately specified via other means to provide sufficient flexibility for effective calibration.”</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36205464" w:rsidR="004F7B49" w:rsidRPr="004F7B49" w:rsidRDefault="002D362C" w:rsidP="004F7B49">
      <w:permStart w:id="36243596" w:edGrp="everyone"/>
      <w:r w:rsidRPr="002D362C">
        <w:t>Option 1. The effort to report all affected reports would, in our opinion, be disproportionate to the insight gained by the supervisor.</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3119A4B6" w:rsidR="004F7B49" w:rsidRPr="004F7B49" w:rsidRDefault="00675E6A" w:rsidP="004F7B49">
      <w:permStart w:id="1418361629" w:edGrp="everyone"/>
      <w:r w:rsidRPr="00675E6A">
        <w:t>A quantitative threshold should also be introduced for the significance of reporting issues under Article 9(1)(c). This threshold should be the same as for Alternative A.</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270447A6" w:rsidR="004F7B49" w:rsidRPr="004F7B49" w:rsidRDefault="00D63BF8" w:rsidP="004F7B49">
      <w:permStart w:id="817460526" w:edGrp="everyone"/>
      <w:r w:rsidRPr="00D63BF8">
        <w:t xml:space="preserve">Generally, for the purposes of regulatory harmonization and in the sense of the proportionality approach, the additional notification requirements for counterparties under Section 5.29 respectively the thresholds for significance should only apply to </w:t>
      </w:r>
      <w:proofErr w:type="spellStart"/>
      <w:r w:rsidRPr="00D63BF8">
        <w:t>institutions,which</w:t>
      </w:r>
      <w:proofErr w:type="spellEnd"/>
      <w:r w:rsidRPr="00D63BF8">
        <w:t xml:space="preserve"> do not fall under a category of counterparties for which facilitations have already been created in other regulations due to their relevance, for example for </w:t>
      </w:r>
      <w:proofErr w:type="spellStart"/>
      <w:r w:rsidRPr="00D63BF8">
        <w:t>institutions.that</w:t>
      </w:r>
      <w:proofErr w:type="spellEnd"/>
      <w:r w:rsidRPr="00D63BF8">
        <w:t xml:space="preserve"> do not qualify as small and non-complex institutions ("SNCI") within the meaning of Article 4(1) No 145 of the CRR.</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lastRenderedPageBreak/>
        <w:t>&lt;ESMA_QUESTION_REPO_64&gt;</w:t>
      </w:r>
    </w:p>
    <w:p w14:paraId="7BA5E8C2" w14:textId="2E319010" w:rsidR="004F7B49" w:rsidRPr="004F7B49" w:rsidRDefault="00ED2863" w:rsidP="004F7B49">
      <w:permStart w:id="302869040" w:edGrp="everyone"/>
      <w:r w:rsidRPr="00ED2863">
        <w:t>Section 6 lacks guidance and examples for reporting ETDs. We would very much support populated reporting templates especially for ETDs. After all, market participants are forced to adopt the CCPs' reporting logic. It is very costly for the reporting parties to implement the reporting logics of all CCP's for ETDs. Therefore, either ESMA sets forth the population of the fields and the CCPs have to adhere to these requirements or ESMA forces CCPs to provide clear reporting examples (populated reporting fields – not prose) for their clients.</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4D81E567" w:rsidR="004F7B49" w:rsidRPr="004F7B49" w:rsidRDefault="008045C5" w:rsidP="004F7B49">
      <w:permStart w:id="778715077" w:edGrp="everyone"/>
      <w:r w:rsidRPr="008045C5">
        <w:t>We would prefer that the forward exchange rate of the far leg is used.</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5AFCA5B5" w:rsidR="004F7B49" w:rsidRPr="004F7B49" w:rsidRDefault="000C4476" w:rsidP="004F7B49">
      <w:permStart w:id="1275090120" w:edGrp="everyone"/>
      <w:r w:rsidRPr="000C4476">
        <w:t>We’re generally not supportive of populating fields away from their original purpose which we consider to be the case here. As it stands, we don’t think the near leg should be reported using the other payment fields for example. This would lead to ambiguity of the meaning of the fields and would mean highly manual effort to fill fields "incorrectly" – such approach could not technically be automated.</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69C715E6" w:rsidR="004F7B49" w:rsidRPr="004F7B49" w:rsidRDefault="005A24E6" w:rsidP="004F7B49">
      <w:permStart w:id="1543464251" w:edGrp="everyone"/>
      <w:r w:rsidRPr="005A24E6">
        <w:t>We welcome alternative 1(b) because of it is relatively easy to implement and it is unambiguous. Alternative 2a would also be ok</w:t>
      </w:r>
      <w:r w:rsidR="00A43327">
        <w:t>.</w:t>
      </w:r>
      <w:bookmarkStart w:id="3" w:name="_GoBack"/>
      <w:bookmarkEnd w:id="3"/>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lastRenderedPageBreak/>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0FA20A6" w:rsidR="004F7B49" w:rsidRPr="004F7B49" w:rsidRDefault="000A5C27" w:rsidP="004F7B49">
      <w:permStart w:id="160379486" w:edGrp="everyone"/>
      <w:r w:rsidRPr="000A5C27">
        <w:t>We understand that according to Alternative A chronological order of submission is the approach implemented under SFTR. Because of this alignment we, therefore, prefer this approach.</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lastRenderedPageBreak/>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35046207" w:rsidR="004F7B49" w:rsidRPr="004F7B49" w:rsidRDefault="00071BE1" w:rsidP="004F7B49">
      <w:permStart w:id="859136354" w:edGrp="everyone"/>
      <w:r w:rsidRPr="00071BE1">
        <w:t>As it stands, we have no clear preference but lean towards alternative A. Also, it is unclear to us if all reconciliation breaks (i.e. new and prior ones) will be shown daily or only the delta compared to the previous day. At this point, it is impossible to estimate the associated cost on our side.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1A0E515C" w:rsidR="004F7B49" w:rsidRPr="004F7B49" w:rsidRDefault="00B63CB7" w:rsidP="004F7B49">
      <w:permStart w:id="1012422269" w:edGrp="everyone"/>
      <w:r w:rsidRPr="00B63CB7">
        <w:t>From our point of view, it is critical to receive detailed feedback from the TR. As it stands, rejection feedback often isn’t sufficient to identify and address the underlying issue. We generally consider it challenging to establish a scalable set up for the purposes of reconciliation and would therefore appreciate any efforts towards a best practice approach.</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lastRenderedPageBreak/>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2016603F" w:rsidR="004F7B49" w:rsidRPr="004F7B49" w:rsidRDefault="0049266B" w:rsidP="004F7B49">
      <w:permStart w:id="528113517" w:edGrp="everyone"/>
      <w:r w:rsidRPr="0049266B">
        <w:t>We do support any means to identify abnormal values, including an end-of-day report. This will help us to challenge and test our reporting logic, as well as highlight any data quality issue there may be. Stating the obvious, user friendliness and ease of processing are essential in this respect.</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lastRenderedPageBreak/>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B1E7" w14:textId="77777777" w:rsidR="00F12495" w:rsidRDefault="00F12495">
      <w:r>
        <w:separator/>
      </w:r>
    </w:p>
    <w:p w14:paraId="560EBA44" w14:textId="77777777" w:rsidR="00F12495" w:rsidRDefault="00F12495"/>
  </w:endnote>
  <w:endnote w:type="continuationSeparator" w:id="0">
    <w:p w14:paraId="16EC5A81" w14:textId="77777777" w:rsidR="00F12495" w:rsidRDefault="00F12495">
      <w:r>
        <w:continuationSeparator/>
      </w:r>
    </w:p>
    <w:p w14:paraId="0458C702" w14:textId="77777777" w:rsidR="00F12495" w:rsidRDefault="00F12495"/>
  </w:endnote>
  <w:endnote w:type="continuationNotice" w:id="1">
    <w:p w14:paraId="4775FDB4"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2B194B59"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43327">
            <w:rPr>
              <w:rFonts w:cs="Arial"/>
              <w:noProof/>
              <w:sz w:val="22"/>
              <w:szCs w:val="22"/>
            </w:rPr>
            <w:t>20</w:t>
          </w:r>
          <w:r w:rsidRPr="00616B9B">
            <w:rPr>
              <w:rFonts w:cs="Arial"/>
              <w:noProof/>
              <w:sz w:val="22"/>
              <w:szCs w:val="22"/>
            </w:rPr>
            <w:fldChar w:fldCharType="end"/>
          </w:r>
        </w:p>
      </w:tc>
    </w:tr>
  </w:tbl>
  <w:p w14:paraId="7306E326" w14:textId="77777777" w:rsidR="004F7B49" w:rsidRDefault="004F7B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4F7B49" w:rsidRDefault="004F7B49"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4F7B49" w:rsidRDefault="004F7B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1807" w14:textId="77777777" w:rsidR="00F12495" w:rsidRDefault="00F12495">
      <w:r>
        <w:separator/>
      </w:r>
    </w:p>
    <w:p w14:paraId="70FB8FB2" w14:textId="77777777" w:rsidR="00F12495" w:rsidRDefault="00F12495"/>
  </w:footnote>
  <w:footnote w:type="continuationSeparator" w:id="0">
    <w:p w14:paraId="76872F65" w14:textId="77777777" w:rsidR="00F12495" w:rsidRDefault="00F12495">
      <w:r>
        <w:continuationSeparator/>
      </w:r>
    </w:p>
    <w:p w14:paraId="3B323B97" w14:textId="77777777" w:rsidR="00F12495" w:rsidRDefault="00F12495"/>
  </w:footnote>
  <w:footnote w:type="continuationNotice" w:id="1">
    <w:p w14:paraId="4DD03E3C" w14:textId="77777777" w:rsidR="00F12495" w:rsidRDefault="00F12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4F7B49" w:rsidRDefault="004F7B49">
    <w:pPr>
      <w:pStyle w:val="Kopfzeile"/>
    </w:pPr>
    <w:r>
      <w:rPr>
        <w:noProof/>
        <w:lang w:val="de-DE"/>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4F7B49" w:rsidRDefault="004F7B49" w:rsidP="00013CCE">
    <w:pPr>
      <w:pStyle w:val="Kopfzeile"/>
      <w:jc w:val="right"/>
    </w:pPr>
    <w:r>
      <w:rPr>
        <w:noProof/>
        <w:lang w:val="de-DE"/>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Kopfzeile"/>
      <w:rPr>
        <w:lang w:val="fr-FR"/>
      </w:rPr>
    </w:pPr>
  </w:p>
  <w:p w14:paraId="3F30C70B" w14:textId="77777777" w:rsidR="004F7B49" w:rsidRPr="002F4496" w:rsidRDefault="004F7B49" w:rsidP="000C06C9">
    <w:pPr>
      <w:pStyle w:val="Kopfzeile"/>
      <w:tabs>
        <w:tab w:val="clear" w:pos="4536"/>
        <w:tab w:val="clear" w:pos="9072"/>
        <w:tab w:val="left" w:pos="8227"/>
      </w:tabs>
      <w:rPr>
        <w:lang w:val="fr-FR"/>
      </w:rPr>
    </w:pPr>
  </w:p>
  <w:p w14:paraId="4D50BC39" w14:textId="77777777" w:rsidR="004F7B49" w:rsidRPr="002F4496" w:rsidRDefault="004F7B49" w:rsidP="00583885">
    <w:pPr>
      <w:pStyle w:val="Kopfzeile"/>
      <w:jc w:val="right"/>
      <w:rPr>
        <w:lang w:val="fr-FR"/>
      </w:rPr>
    </w:pPr>
  </w:p>
  <w:p w14:paraId="2D51BEA2" w14:textId="77777777" w:rsidR="004F7B49" w:rsidRPr="002F4496" w:rsidRDefault="004F7B49">
    <w:pPr>
      <w:pStyle w:val="Kopfzeile"/>
      <w:rPr>
        <w:lang w:val="fr-FR"/>
      </w:rPr>
    </w:pPr>
  </w:p>
  <w:p w14:paraId="340B2438" w14:textId="77777777" w:rsidR="004F7B49" w:rsidRPr="002F4496" w:rsidRDefault="004F7B49">
    <w:pPr>
      <w:pStyle w:val="Kopfzeile"/>
      <w:rPr>
        <w:lang w:val="fr-FR"/>
      </w:rPr>
    </w:pPr>
  </w:p>
  <w:p w14:paraId="2A794A3E" w14:textId="77777777" w:rsidR="004F7B49" w:rsidRPr="002F4496" w:rsidRDefault="004F7B49">
    <w:pPr>
      <w:pStyle w:val="Kopfzeile"/>
      <w:rPr>
        <w:lang w:val="fr-FR"/>
      </w:rPr>
    </w:pPr>
  </w:p>
  <w:p w14:paraId="0A21F475" w14:textId="77777777" w:rsidR="004F7B49" w:rsidRPr="002F4496" w:rsidRDefault="004F7B49">
    <w:pPr>
      <w:pStyle w:val="Kopfzeile"/>
      <w:rPr>
        <w:highlight w:val="yellow"/>
        <w:lang w:val="fr-FR"/>
      </w:rPr>
    </w:pPr>
  </w:p>
  <w:p w14:paraId="53ABEE5D" w14:textId="77777777" w:rsidR="004F7B49" w:rsidRDefault="004F7B49">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BE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5C27"/>
    <w:rsid w:val="000A7314"/>
    <w:rsid w:val="000A7B53"/>
    <w:rsid w:val="000A7B64"/>
    <w:rsid w:val="000B275C"/>
    <w:rsid w:val="000B2C3D"/>
    <w:rsid w:val="000B55C0"/>
    <w:rsid w:val="000B5DF2"/>
    <w:rsid w:val="000C06C9"/>
    <w:rsid w:val="000C1DCC"/>
    <w:rsid w:val="000C1FBC"/>
    <w:rsid w:val="000C2B6A"/>
    <w:rsid w:val="000C2F88"/>
    <w:rsid w:val="000C4476"/>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57D"/>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BAE"/>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2C"/>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1BA"/>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268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66B"/>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C41"/>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4E6"/>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5E6A"/>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540"/>
    <w:rsid w:val="006D399F"/>
    <w:rsid w:val="006D4F0C"/>
    <w:rsid w:val="006D5645"/>
    <w:rsid w:val="006E0C8A"/>
    <w:rsid w:val="006E2A23"/>
    <w:rsid w:val="006E35E5"/>
    <w:rsid w:val="006E3C72"/>
    <w:rsid w:val="006E4F20"/>
    <w:rsid w:val="006E649A"/>
    <w:rsid w:val="006F0316"/>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E6D8C"/>
    <w:rsid w:val="007F0DDA"/>
    <w:rsid w:val="007F1939"/>
    <w:rsid w:val="007F365C"/>
    <w:rsid w:val="007F5066"/>
    <w:rsid w:val="007F621C"/>
    <w:rsid w:val="007F7155"/>
    <w:rsid w:val="00800C28"/>
    <w:rsid w:val="0080245E"/>
    <w:rsid w:val="00802E10"/>
    <w:rsid w:val="00803480"/>
    <w:rsid w:val="0080359C"/>
    <w:rsid w:val="008037AE"/>
    <w:rsid w:val="008043F4"/>
    <w:rsid w:val="008045C5"/>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5CBE"/>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327"/>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442E"/>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3CB7"/>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80"/>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3F3F"/>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2672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BF8"/>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1FB1"/>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4A4"/>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33B"/>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2863"/>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16D3C"/>
    <w:rsid w:val="00F2081B"/>
    <w:rsid w:val="00F20A43"/>
    <w:rsid w:val="00F20C51"/>
    <w:rsid w:val="00F21049"/>
    <w:rsid w:val="00F217AD"/>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Absatz-Standardschriftar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purl.org/dc/terms/"/>
    <ds:schemaRef ds:uri="20fbe147-bbda-4e53-b6b1-7e8bbff3fe19"/>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A6471716-162A-4D38-8C91-68B3BC86B8FE}">
  <ds:schemaRefs>
    <ds:schemaRef ds:uri="http://schemas.openxmlformats.org/officeDocument/2006/bibliography"/>
  </ds:schemaRefs>
</ds:datastoreItem>
</file>

<file path=customXml/itemProps6.xml><?xml version="1.0" encoding="utf-8"?>
<ds:datastoreItem xmlns:ds="http://schemas.openxmlformats.org/officeDocument/2006/customXml" ds:itemID="{F572179E-AD2A-44B1-A65D-57A1E08A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5999</Words>
  <Characters>34826</Characters>
  <Application>Microsoft Office Word</Application>
  <DocSecurity>8</DocSecurity>
  <Lines>290</Lines>
  <Paragraphs>81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40744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Herr Jörg Faulhaber</cp:lastModifiedBy>
  <cp:revision>30</cp:revision>
  <cp:lastPrinted>2015-02-18T11:01:00Z</cp:lastPrinted>
  <dcterms:created xsi:type="dcterms:W3CDTF">2021-09-29T09:21:00Z</dcterms:created>
  <dcterms:modified xsi:type="dcterms:W3CDTF">2021-09-29T09:54:00Z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