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3C318ECA" w:rsidR="00C2682A" w:rsidRPr="00AB6D88" w:rsidRDefault="00020C1D" w:rsidP="00FA5524">
                <w:pPr>
                  <w:rPr>
                    <w:rStyle w:val="PlaceholderText"/>
                    <w:rFonts w:cs="Arial"/>
                  </w:rPr>
                </w:pPr>
                <w:r>
                  <w:rPr>
                    <w:rStyle w:val="PlaceholderText"/>
                    <w:rFonts w:cs="Arial"/>
                  </w:rPr>
                  <w:t>European Fund and Asset Management Association (EFAMA)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BB5648A" w:rsidR="00C2682A" w:rsidRPr="00AB6D88" w:rsidRDefault="00C8711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20C1D">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1B520F10" w:rsidR="00C2682A" w:rsidRPr="00AB6D88" w:rsidRDefault="00020C1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84E62F6" w:rsidR="00C2682A" w:rsidRPr="00AB6D88" w:rsidRDefault="00020C1D" w:rsidP="00FA5524">
                <w:pPr>
                  <w:rPr>
                    <w:rFonts w:cs="Arial"/>
                  </w:rPr>
                </w:pPr>
                <w:r>
                  <w:rPr>
                    <w:rFonts w:cs="Arial"/>
                  </w:rPr>
                  <w:t>Belgium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414136DF" w14:textId="77777777" w:rsidR="004C49B8" w:rsidRDefault="00020C1D" w:rsidP="004F7B49">
      <w:pPr>
        <w:rPr>
          <w:lang w:val="en-US"/>
        </w:rPr>
      </w:pPr>
      <w:permStart w:id="1601852493" w:edGrp="everyone"/>
      <w:r>
        <w:rPr>
          <w:lang w:val="en-US"/>
        </w:rPr>
        <w:t>With reference to paragraph 11, an ease period on reconciliation would be welcome for the transition period.</w:t>
      </w:r>
    </w:p>
    <w:p w14:paraId="45C3E1EF" w14:textId="66E02D92" w:rsidR="004F7B49" w:rsidRPr="004F7B49" w:rsidRDefault="00020C1D" w:rsidP="004F7B49">
      <w:r>
        <w:rPr>
          <w:lang w:val="en-US"/>
        </w:rPr>
        <w:br/>
        <w:t>With reference to paragraph 13, t</w:t>
      </w:r>
      <w:r w:rsidRPr="00AC6A8C">
        <w:rPr>
          <w:lang w:val="en-US"/>
        </w:rPr>
        <w:t xml:space="preserve">his is a welcome approach, </w:t>
      </w:r>
      <w:r>
        <w:rPr>
          <w:lang w:val="en-US"/>
        </w:rPr>
        <w:t>however</w:t>
      </w:r>
      <w:r w:rsidRPr="00AC6A8C">
        <w:rPr>
          <w:lang w:val="en-US"/>
        </w:rPr>
        <w:t xml:space="preserve"> we would like to make sure that in addition to field 2.1 UTI, this also covers the fields 2.3 Prior UTI and 2.4 Subsequent position UTI (since, if the position is already open on Refit start date, the UTI might not be compliant to the new standards).</w:t>
      </w:r>
      <w:r>
        <w:rPr>
          <w:lang w:val="en-US"/>
        </w:rPr>
        <w:t xml:space="preserve"> We have included comments on the same also in the validation rule comments for the respective fields. Some clarification would then also be needed on how long ‘old type’ UTIs can be populated in fields 2.3 and 2.</w:t>
      </w:r>
      <w:proofErr w:type="gramStart"/>
      <w:r>
        <w:rPr>
          <w:lang w:val="en-US"/>
        </w:rPr>
        <w:t>4.</w:t>
      </w:r>
      <w:permEnd w:id="1601852493"/>
      <w:r w:rsidR="004F7B49" w:rsidRPr="004F7B49">
        <w:t>&lt;</w:t>
      </w:r>
      <w:proofErr w:type="gramEnd"/>
      <w:r w:rsidR="004F7B49" w:rsidRPr="004F7B49">
        <w: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0304A99E" w14:textId="3398BA4F" w:rsidR="00020C1D" w:rsidRDefault="00020C1D" w:rsidP="00020C1D">
      <w:permStart w:id="836638972" w:edGrp="everyone"/>
      <w:r>
        <w:t>We expressly support the approach of reporting the transaction as a swap. Even in case of uncertainty about the nature of the transaction (one swap or two separate legs), the approach proposed by ESMA should lead to homogeneous reporting and remove some of the inconsistencies experienced under EMIR</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lastRenderedPageBreak/>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16175065" w14:textId="77777777" w:rsidR="00020C1D" w:rsidRDefault="00020C1D" w:rsidP="00020C1D">
      <w:permStart w:id="805204607" w:edGrp="everyone"/>
      <w:r>
        <w:t xml:space="preserve">Most rules relating to the reporting obligation with regards to the parties involved in the trade seem clear. However, we’re not entirely sure how an additional party potentially involved in the trade, namely a broker, needs to be </w:t>
      </w:r>
      <w:proofErr w:type="gramStart"/>
      <w:r>
        <w:t>taken into account</w:t>
      </w:r>
      <w:proofErr w:type="gramEnd"/>
      <w:r>
        <w:t xml:space="preserve"> for reporting purposes. The Q&amp;A to the implementation of the Regulation (EU) No 648/2012 state “Yes” to the following question (TR Q9e): "If a broker is itself the counterparty (legal principal) to a trade, should it be reported in both the “broker” and “counterparty” fields?". On the other hand, the Final Report on technical standards states for field 1.15 (broker ID): “In the case a broker acts as intermediary for the counterparty 1 without becoming a counterparty himself, the counterparty 1 shall identify this broker by a unique code.” Thank you in advance for clarifying the requirement how to populate this </w:t>
      </w:r>
      <w:proofErr w:type="gramStart"/>
      <w:r>
        <w:t>particular field</w:t>
      </w:r>
      <w:proofErr w:type="gramEnd"/>
      <w:r>
        <w:t>.</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5E4F51AA" w14:textId="77777777" w:rsidR="00020C1D" w:rsidRDefault="00020C1D" w:rsidP="00020C1D">
      <w:pPr>
        <w:rPr>
          <w:lang w:val="en-US"/>
        </w:rPr>
      </w:pPr>
      <w:permStart w:id="1190423857" w:edGrp="everyone"/>
      <w:r>
        <w:rPr>
          <w:lang w:val="en-US"/>
        </w:rPr>
        <w:t>We’re not entirely sure whether there’s a conflict between margin notes 41 and 49 of the consultation paper. If an OTC derivative is lifted into the clearing process, would this mean a “step-in” of the clearing member or “clearing” as event type, and respectively termination or new as action type?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1CEEF545" w14:textId="77777777" w:rsidR="00020C1D" w:rsidRDefault="00020C1D" w:rsidP="00020C1D">
      <w:pPr>
        <w:rPr>
          <w:lang w:val="en-US"/>
        </w:rPr>
      </w:pPr>
      <w:permStart w:id="104465324" w:edGrp="everyone"/>
      <w:r>
        <w:rPr>
          <w:lang w:val="en-US"/>
        </w:rPr>
        <w:lastRenderedPageBreak/>
        <w:t xml:space="preserve">With reference to point c in paragraph 65, </w:t>
      </w:r>
      <w:r w:rsidRPr="00AC6A8C">
        <w:rPr>
          <w:lang w:val="en-US"/>
        </w:rPr>
        <w:t>the guidelines now state that</w:t>
      </w:r>
      <w:r>
        <w:rPr>
          <w:lang w:val="en-US"/>
        </w:rPr>
        <w:t xml:space="preserve"> NFC-</w:t>
      </w:r>
      <w:r w:rsidRPr="00AC6A8C">
        <w:rPr>
          <w:lang w:val="en-US"/>
        </w:rPr>
        <w:t xml:space="preserve"> LEI status should be 'issued' each time a derivative is concluded, however </w:t>
      </w:r>
      <w:r>
        <w:rPr>
          <w:lang w:val="en-US"/>
        </w:rPr>
        <w:t xml:space="preserve">our view is that the NFC- </w:t>
      </w:r>
      <w:proofErr w:type="gramStart"/>
      <w:r>
        <w:rPr>
          <w:lang w:val="en-US"/>
        </w:rPr>
        <w:t xml:space="preserve">LEI </w:t>
      </w:r>
      <w:r w:rsidRPr="00AC6A8C">
        <w:rPr>
          <w:lang w:val="en-US"/>
        </w:rPr>
        <w:t xml:space="preserve"> should</w:t>
      </w:r>
      <w:proofErr w:type="gramEnd"/>
      <w:r w:rsidRPr="00AC6A8C">
        <w:rPr>
          <w:lang w:val="en-US"/>
        </w:rPr>
        <w:t xml:space="preserve"> be 'issued' also when there is a modification or correction of the report. </w:t>
      </w:r>
      <w:r>
        <w:rPr>
          <w:lang w:val="en-US"/>
        </w:rPr>
        <w:t xml:space="preserve">A clear statement would be that </w:t>
      </w:r>
      <w:r w:rsidRPr="00AC6A8C">
        <w:rPr>
          <w:lang w:val="en-US"/>
        </w:rPr>
        <w:t>the NFC- should maintain the LEI in 'issued' state throughout the trade lifecycle.</w:t>
      </w:r>
      <w:r>
        <w:rPr>
          <w:lang w:val="en-US"/>
        </w:rPr>
        <w:t xml:space="preserve"> We hope ESMA will consider this, as it would be in line with</w:t>
      </w:r>
      <w:r w:rsidRPr="00AC6A8C">
        <w:rPr>
          <w:lang w:val="en-US"/>
        </w:rPr>
        <w:t xml:space="preserve"> </w:t>
      </w:r>
      <w:r>
        <w:rPr>
          <w:lang w:val="en-US"/>
        </w:rPr>
        <w:t>Article 9(2) of the draft ITS.</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725BCE0A" w14:textId="77777777" w:rsidR="00020C1D" w:rsidRDefault="00020C1D" w:rsidP="00020C1D">
      <w:permStart w:id="1560160754" w:edGrp="everyone"/>
      <w:r>
        <w:t>We agree with the proposal that only “margin update” and “correct” should be used to report collateral. It simplifies an already extended reporting obligation for collateral.</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lastRenderedPageBreak/>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4091E64E" w14:textId="7DE2D403" w:rsidR="00020C1D" w:rsidRDefault="00020C1D" w:rsidP="00020C1D">
      <w:permStart w:id="1133980479" w:edGrp="everyone"/>
      <w:r>
        <w:t>Conceptually, all action as well as event types are clear in terms of what they stand for. The comprehensive mapping table will also be beneficial during the preparation and implementation of reporting requirements under EMIR REFIT.</w:t>
      </w:r>
    </w:p>
    <w:p w14:paraId="01EC707A" w14:textId="77777777" w:rsidR="004C49B8" w:rsidRDefault="004C49B8" w:rsidP="00020C1D"/>
    <w:p w14:paraId="383D0D89" w14:textId="6EF27EC3" w:rsidR="00020C1D" w:rsidRDefault="00020C1D" w:rsidP="00020C1D">
      <w:r>
        <w:t>We do see significant challenges regarding the determination of applicable event types though.</w:t>
      </w:r>
    </w:p>
    <w:p w14:paraId="67F5E9E9" w14:textId="77777777" w:rsidR="004C49B8" w:rsidRDefault="004C49B8" w:rsidP="00020C1D"/>
    <w:p w14:paraId="193D1A63" w14:textId="1382DF87" w:rsidR="00020C1D" w:rsidRDefault="00020C1D" w:rsidP="00020C1D">
      <w:r>
        <w:t xml:space="preserve">First, the allocation of an action to an event type is not as clear cut as it would have to be in a scalable process. Most importantly, many institutions won’t have a clear data source to determine the appropriate event type for a particular action. Trade </w:t>
      </w:r>
      <w:proofErr w:type="gramStart"/>
      <w:r>
        <w:t>entry based</w:t>
      </w:r>
      <w:proofErr w:type="gramEnd"/>
      <w:r>
        <w:t xml:space="preserve"> implementation would require significant effort and cost. Any post trade approach would rely on a complex combination of data sourcing and logic. </w:t>
      </w:r>
      <w:proofErr w:type="gramStart"/>
      <w:r>
        <w:t>Needless to say, deriving</w:t>
      </w:r>
      <w:proofErr w:type="gramEnd"/>
      <w:r>
        <w:t xml:space="preserve"> event types based on post trade logic will most likely lead to inconsistent reporting results which in turn devalues the conclusions ESMA can draw from event type related information. We therefore appreciate any input as to how event types should be approached from a data sourcing and implementation perspective.</w:t>
      </w:r>
    </w:p>
    <w:p w14:paraId="1EC605D4" w14:textId="77777777" w:rsidR="004C49B8" w:rsidRDefault="004C49B8" w:rsidP="00020C1D"/>
    <w:p w14:paraId="582A04BB" w14:textId="77777777" w:rsidR="00020C1D" w:rsidRDefault="00020C1D" w:rsidP="00020C1D">
      <w:pPr>
        <w:rPr>
          <w:lang w:val="en-US"/>
        </w:rPr>
      </w:pPr>
      <w:r>
        <w:rPr>
          <w:lang w:val="en-US"/>
        </w:rPr>
        <w:t xml:space="preserve">Finally, we would also appreciate clarification regarding dependencies to other fields, </w:t>
      </w:r>
      <w:proofErr w:type="gramStart"/>
      <w:r>
        <w:rPr>
          <w:lang w:val="en-US"/>
        </w:rPr>
        <w:t>i.e.</w:t>
      </w:r>
      <w:proofErr w:type="gramEnd"/>
      <w:r>
        <w:rPr>
          <w:lang w:val="en-US"/>
        </w:rPr>
        <w:t xml:space="preserve"> any type of consequential population of fields based on event types. This is also related to the question whether there will also be validation rules incorporating event types, </w:t>
      </w:r>
      <w:proofErr w:type="gramStart"/>
      <w:r>
        <w:rPr>
          <w:lang w:val="en-US"/>
        </w:rPr>
        <w:t>similar to</w:t>
      </w:r>
      <w:proofErr w:type="gramEnd"/>
      <w:r>
        <w:rPr>
          <w:lang w:val="en-US"/>
        </w:rPr>
        <w:t xml:space="preserve"> the validation rules for action types.</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5B7EBB74" w14:textId="2DDA49F1" w:rsidR="00020C1D" w:rsidRDefault="00020C1D" w:rsidP="00020C1D">
      <w:permStart w:id="2094935916" w:edGrp="everyone"/>
      <w:r>
        <w:t>The description of the three linking IDs makes sense from a theoretical point of view. We do see significant practical challenges though and would hence appreciate any further information regarding potential implementation approaches, as well as practical examples.</w:t>
      </w:r>
    </w:p>
    <w:p w14:paraId="2A5377AC" w14:textId="77777777" w:rsidR="004C49B8" w:rsidRDefault="004C49B8" w:rsidP="00020C1D"/>
    <w:p w14:paraId="27EA3266" w14:textId="77777777" w:rsidR="00020C1D" w:rsidRDefault="00020C1D" w:rsidP="00020C1D">
      <w:r>
        <w:t xml:space="preserve">For instance: </w:t>
      </w:r>
    </w:p>
    <w:p w14:paraId="7ACD1679" w14:textId="77777777" w:rsidR="004C49B8" w:rsidRDefault="00020C1D" w:rsidP="00020C1D">
      <w:r>
        <w:t xml:space="preserve">we’re not entirely sure how multiple choices for events need to be handled in terms of priority. There may well be instances in which an action is driven by more than one event type, </w:t>
      </w:r>
      <w:proofErr w:type="gramStart"/>
      <w:r>
        <w:t>i.e.</w:t>
      </w:r>
      <w:proofErr w:type="gramEnd"/>
      <w:r>
        <w:t xml:space="preserve"> is this then done by choice?</w:t>
      </w:r>
    </w:p>
    <w:p w14:paraId="2BEB8E20" w14:textId="42741818" w:rsidR="00020C1D" w:rsidRDefault="00020C1D" w:rsidP="00020C1D">
      <w:pPr>
        <w:rPr>
          <w:lang w:val="en-US"/>
        </w:rPr>
      </w:pPr>
      <w:r>
        <w:rPr>
          <w:lang w:val="en-US"/>
        </w:rPr>
        <w:br/>
        <w:t>Also, when defining the modification and correction technical message structures, it should be carefully considered that linking IDs are not erased by accident when left blank in subsequent reports (while at the same time enabling erasing or correcting the fields if necessary).</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 xml:space="preserve">Do you agree with the ESMA´s approach related to leaving the Event type blank in the case of multiple events impacting the same position on a given day? How often multiple events/single </w:t>
      </w:r>
      <w:r w:rsidRPr="004F7B49">
        <w:rPr>
          <w:rStyle w:val="Hyperlink"/>
          <w:color w:val="auto"/>
          <w:u w:val="none"/>
        </w:rPr>
        <w:lastRenderedPageBreak/>
        <w:t>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51092D09" w14:textId="77777777" w:rsidR="00020C1D" w:rsidRDefault="00020C1D" w:rsidP="00020C1D">
      <w:permStart w:id="2030509467" w:edGrp="everyone"/>
      <w:r>
        <w:t>In line with our answers to Q23 and Q24, we welcome any instance in which the event type field can be left blank. Position level reporting only aggravates the challenge arising from having to determine an event type on a trade level to start with. Our systems, not only on the trade entry side but across the front to back value chain, currently contain little if any detail that would facilitate the determination of an event type for a specific action. As it stands, we envisage designing a method to logically derive event types based on certain criteria.</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51B88444" w14:textId="77777777" w:rsidR="00020C1D" w:rsidRDefault="00020C1D" w:rsidP="00020C1D">
      <w:pPr>
        <w:rPr>
          <w:lang w:val="en-US"/>
        </w:rPr>
      </w:pPr>
      <w:permStart w:id="773726107" w:edGrp="everyone"/>
      <w:r>
        <w:rPr>
          <w:lang w:val="en-US"/>
        </w:rPr>
        <w:t xml:space="preserve">Please clarify if </w:t>
      </w:r>
      <w:r w:rsidRPr="00D66849">
        <w:rPr>
          <w:lang w:val="en-US"/>
        </w:rPr>
        <w:t>there</w:t>
      </w:r>
      <w:r>
        <w:rPr>
          <w:lang w:val="en-US"/>
        </w:rPr>
        <w:t xml:space="preserve"> is a</w:t>
      </w:r>
      <w:r w:rsidRPr="00D66849">
        <w:rPr>
          <w:lang w:val="en-US"/>
        </w:rPr>
        <w:t xml:space="preserve"> link between </w:t>
      </w:r>
      <w:proofErr w:type="spellStart"/>
      <w:r w:rsidRPr="00D66849">
        <w:rPr>
          <w:lang w:val="en-US"/>
        </w:rPr>
        <w:t>MiFIR</w:t>
      </w:r>
      <w:proofErr w:type="spellEnd"/>
      <w:r w:rsidRPr="00D66849">
        <w:rPr>
          <w:lang w:val="en-US"/>
        </w:rPr>
        <w:t xml:space="preserve"> TVTIC and EMIR RTN</w:t>
      </w:r>
      <w:r>
        <w:rPr>
          <w:lang w:val="en-US"/>
        </w:rPr>
        <w:t>;</w:t>
      </w:r>
      <w:r w:rsidRPr="00D66849">
        <w:rPr>
          <w:lang w:val="en-US"/>
        </w:rPr>
        <w:t xml:space="preserve"> are these expected to be the same code? We assume from the overall wording of the draft EMIR Refit documentation that RTN is not required for trades concluded on SI, please confirm. (And, in case RTN is indeed required for SI trades, please clarify how field 2.2 is to be reconciled when two SIs trade with each other.)</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3A786CEC" w14:textId="28E42448" w:rsidR="00020C1D" w:rsidRDefault="00020C1D" w:rsidP="00020C1D">
      <w:pPr>
        <w:rPr>
          <w:lang w:val="en-US"/>
        </w:rPr>
      </w:pPr>
      <w:permStart w:id="699138572" w:edGrp="everyone"/>
      <w:proofErr w:type="gramStart"/>
      <w:r>
        <w:rPr>
          <w:lang w:val="en-US"/>
        </w:rPr>
        <w:t>Generally</w:t>
      </w:r>
      <w:proofErr w:type="gramEnd"/>
      <w:r>
        <w:rPr>
          <w:lang w:val="en-US"/>
        </w:rPr>
        <w:t xml:space="preserve"> we agree, </w:t>
      </w:r>
      <w:r w:rsidRPr="00D66849">
        <w:rPr>
          <w:lang w:val="en-US"/>
        </w:rPr>
        <w:t xml:space="preserve">however the </w:t>
      </w:r>
      <w:r>
        <w:rPr>
          <w:lang w:val="en-US"/>
        </w:rPr>
        <w:t>paragraph</w:t>
      </w:r>
      <w:r w:rsidRPr="00D66849">
        <w:rPr>
          <w:lang w:val="en-US"/>
        </w:rPr>
        <w:t xml:space="preserve"> 179 needs further clarification. The current text can be interpreted</w:t>
      </w:r>
      <w:r>
        <w:rPr>
          <w:lang w:val="en-US"/>
        </w:rPr>
        <w:t xml:space="preserve"> in</w:t>
      </w:r>
      <w:r w:rsidRPr="00D66849">
        <w:rPr>
          <w:lang w:val="en-US"/>
        </w:rPr>
        <w:t xml:space="preserve"> at least two ways:</w:t>
      </w:r>
    </w:p>
    <w:p w14:paraId="5350AF9A" w14:textId="77777777" w:rsidR="004C49B8" w:rsidRPr="00D66849" w:rsidRDefault="004C49B8" w:rsidP="00020C1D">
      <w:pPr>
        <w:rPr>
          <w:lang w:val="en-US"/>
        </w:rPr>
      </w:pPr>
    </w:p>
    <w:p w14:paraId="38F76BDB" w14:textId="0956DEBE" w:rsidR="00020C1D" w:rsidRPr="004C49B8" w:rsidRDefault="00020C1D" w:rsidP="004C49B8">
      <w:pPr>
        <w:pStyle w:val="ListParagraph"/>
        <w:numPr>
          <w:ilvl w:val="0"/>
          <w:numId w:val="43"/>
        </w:numPr>
        <w:rPr>
          <w:lang w:val="en-US"/>
        </w:rPr>
      </w:pPr>
      <w:r w:rsidRPr="004C49B8">
        <w:rPr>
          <w:lang w:val="en-US"/>
        </w:rPr>
        <w:t>The guidelines state that it is not required to report incorrect information if such information is identified in internal systems. Stating this seems unnecessary.</w:t>
      </w:r>
    </w:p>
    <w:p w14:paraId="17FB4EF0" w14:textId="77777777" w:rsidR="004C49B8" w:rsidRPr="004C49B8" w:rsidRDefault="004C49B8" w:rsidP="004C49B8">
      <w:pPr>
        <w:pStyle w:val="ListParagraph"/>
        <w:rPr>
          <w:lang w:val="en-US"/>
        </w:rPr>
      </w:pPr>
    </w:p>
    <w:p w14:paraId="06F18D66" w14:textId="20F70484" w:rsidR="00020C1D" w:rsidRPr="004C49B8" w:rsidRDefault="00020C1D" w:rsidP="004C49B8">
      <w:pPr>
        <w:pStyle w:val="ListParagraph"/>
        <w:numPr>
          <w:ilvl w:val="0"/>
          <w:numId w:val="43"/>
        </w:numPr>
        <w:rPr>
          <w:lang w:val="en-US"/>
        </w:rPr>
      </w:pPr>
      <w:r w:rsidRPr="004C49B8">
        <w:rPr>
          <w:lang w:val="en-US"/>
        </w:rPr>
        <w:lastRenderedPageBreak/>
        <w:t>The guidelines state that in case a report needs to be both modified and corrected on the same day, only one report (modification) needs to be sent, and this report may include both the modifications and corrections to the report.</w:t>
      </w:r>
    </w:p>
    <w:p w14:paraId="4D21761A" w14:textId="77777777" w:rsidR="004C49B8" w:rsidRPr="004C49B8" w:rsidRDefault="004C49B8" w:rsidP="004C49B8">
      <w:pPr>
        <w:pStyle w:val="ListParagraph"/>
        <w:rPr>
          <w:lang w:val="en-US"/>
        </w:rPr>
      </w:pPr>
    </w:p>
    <w:p w14:paraId="7BCA378D" w14:textId="708A0414" w:rsidR="00020C1D" w:rsidRDefault="00020C1D" w:rsidP="00020C1D">
      <w:pPr>
        <w:rPr>
          <w:lang w:val="en-US"/>
        </w:rPr>
      </w:pPr>
      <w:r w:rsidRPr="00D66849">
        <w:rPr>
          <w:lang w:val="en-US"/>
        </w:rPr>
        <w:t>In either case, we would welcome some guidance on how to report both modification and correction on the same day, especially if it would happen that the message reported first is rejected by the TR.</w:t>
      </w:r>
    </w:p>
    <w:p w14:paraId="79CB6D48" w14:textId="77777777" w:rsidR="004C49B8" w:rsidRPr="00D66849" w:rsidRDefault="004C49B8" w:rsidP="00020C1D">
      <w:pPr>
        <w:rPr>
          <w:lang w:val="en-US"/>
        </w:rPr>
      </w:pPr>
    </w:p>
    <w:p w14:paraId="17C21097" w14:textId="0C2C6F0D" w:rsidR="00020C1D" w:rsidRDefault="00020C1D" w:rsidP="00020C1D">
      <w:pPr>
        <w:rPr>
          <w:lang w:val="en-US"/>
        </w:rPr>
      </w:pPr>
      <w:r w:rsidRPr="00D66849">
        <w:rPr>
          <w:lang w:val="en-US"/>
        </w:rPr>
        <w:t xml:space="preserve">For example, if we recognize we have reported a wrong ISIN, and need to correct this, and also at the same time the trade has been confirmed and we need to modify confirmation means from N to E, we </w:t>
      </w:r>
      <w:proofErr w:type="gramStart"/>
      <w:r w:rsidRPr="00D66849">
        <w:rPr>
          <w:lang w:val="en-US"/>
        </w:rPr>
        <w:t>would</w:t>
      </w:r>
      <w:proofErr w:type="gramEnd"/>
      <w:r w:rsidRPr="00D66849">
        <w:rPr>
          <w:lang w:val="en-US"/>
        </w:rPr>
        <w:t xml:space="preserve"> send two messages; first a correction for the ISIN field, and then a modification for the confirmation means field. What if, in this scenario, the CORR message is rejected by TR, but before we receive the rejecting feedback, we have also sent the MODI message and the MODI message is accepted; in this case it would look like the ISIN is modified, not corrected. </w:t>
      </w:r>
      <w:proofErr w:type="gramStart"/>
      <w:r w:rsidRPr="00D66849">
        <w:rPr>
          <w:lang w:val="en-US"/>
        </w:rPr>
        <w:t>Also</w:t>
      </w:r>
      <w:proofErr w:type="gramEnd"/>
      <w:r w:rsidRPr="00D66849">
        <w:rPr>
          <w:lang w:val="en-US"/>
        </w:rPr>
        <w:t xml:space="preserve"> the event dates for these two reports might be different, and in this scenario the event date for the ISIN change would not be stored in TR.</w:t>
      </w:r>
    </w:p>
    <w:p w14:paraId="1FACFDFF" w14:textId="77777777" w:rsidR="004C49B8" w:rsidRPr="00D66849" w:rsidRDefault="004C49B8" w:rsidP="00020C1D">
      <w:pPr>
        <w:rPr>
          <w:lang w:val="en-US"/>
        </w:rPr>
      </w:pPr>
    </w:p>
    <w:p w14:paraId="0B0327C8" w14:textId="77777777" w:rsidR="00020C1D" w:rsidRDefault="00020C1D" w:rsidP="00020C1D">
      <w:pPr>
        <w:rPr>
          <w:lang w:val="en-US"/>
        </w:rPr>
      </w:pPr>
      <w:r w:rsidRPr="00D66849">
        <w:rPr>
          <w:lang w:val="en-US"/>
        </w:rPr>
        <w:t xml:space="preserve">It is not feasible to first send the CORR, then wait for TR feedback before sending the MODI message, since handling times can be </w:t>
      </w:r>
      <w:proofErr w:type="gramStart"/>
      <w:r w:rsidRPr="00D66849">
        <w:rPr>
          <w:lang w:val="en-US"/>
        </w:rPr>
        <w:t>long</w:t>
      </w:r>
      <w:proofErr w:type="gramEnd"/>
      <w:r w:rsidRPr="00D66849">
        <w:rPr>
          <w:lang w:val="en-US"/>
        </w:rPr>
        <w:t xml:space="preserve"> and this could lead to late reporting of the latter (MODI) report</w:t>
      </w:r>
      <w:r>
        <w:rPr>
          <w:lang w:val="en-US"/>
        </w:rPr>
        <w:t>.</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EEAA095" w14:textId="77777777" w:rsidR="00020C1D" w:rsidRDefault="00020C1D" w:rsidP="00020C1D">
      <w:pPr>
        <w:rPr>
          <w:lang w:val="en-US"/>
        </w:rPr>
      </w:pPr>
      <w:permStart w:id="1905620869" w:edGrp="everyone"/>
      <w:proofErr w:type="gramStart"/>
      <w:r w:rsidRPr="00677015">
        <w:rPr>
          <w:lang w:val="en-US"/>
        </w:rPr>
        <w:t>Generally</w:t>
      </w:r>
      <w:proofErr w:type="gramEnd"/>
      <w:r w:rsidRPr="00677015">
        <w:rPr>
          <w:lang w:val="en-US"/>
        </w:rPr>
        <w:t xml:space="preserve"> we agree, however clarification is required regarding one scenario: If it is possible to report corrected data in a MODI message (in addition to the modified information, cf. response to question Q30), what event date should be used in such modification message, since the event date might be different for the correction and the modification?</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609BBD66" w14:textId="4A98E2EC" w:rsidR="00020C1D" w:rsidRDefault="00020C1D" w:rsidP="00020C1D">
      <w:permStart w:id="1579104281" w:edGrp="everyone"/>
      <w:r>
        <w:t xml:space="preserve">Firstly, the allocation of an action to an event type is not as clear cut as it would have to be in a scalable process. Most importantly, many institutions won’t have a clear data source to determine the appropriate event type for a particular action. Trade </w:t>
      </w:r>
      <w:proofErr w:type="gramStart"/>
      <w:r>
        <w:t>entry based</w:t>
      </w:r>
      <w:proofErr w:type="gramEnd"/>
      <w:r>
        <w:t xml:space="preserve"> implementation would require significant effort and cost. Any post trade approach would rely on a complex combination of data sourcing and logic. </w:t>
      </w:r>
      <w:proofErr w:type="gramStart"/>
      <w:r>
        <w:t>Needless to say, deriving</w:t>
      </w:r>
      <w:proofErr w:type="gramEnd"/>
      <w:r>
        <w:t xml:space="preserve"> event types based on post trade logic will most likely lead to inconsistent reporting results which in turn devalues the conclusions ESMA can draw from event type related information. We therefore appreciate any input as to how event types should be approached from a data sourcing and implementation perspective.</w:t>
      </w:r>
    </w:p>
    <w:p w14:paraId="664655EB" w14:textId="77777777" w:rsidR="004C49B8" w:rsidRDefault="004C49B8" w:rsidP="00020C1D"/>
    <w:p w14:paraId="51BDDF99" w14:textId="2EDFD81D" w:rsidR="00020C1D" w:rsidRDefault="00020C1D" w:rsidP="00020C1D">
      <w:pPr>
        <w:rPr>
          <w:lang w:val="en-US"/>
        </w:rPr>
      </w:pPr>
      <w:r>
        <w:rPr>
          <w:lang w:val="en-US"/>
        </w:rPr>
        <w:t xml:space="preserve">We would also appreciate clarification regarding dependencies to other fields, </w:t>
      </w:r>
      <w:proofErr w:type="gramStart"/>
      <w:r>
        <w:rPr>
          <w:lang w:val="en-US"/>
        </w:rPr>
        <w:t>i.e.</w:t>
      </w:r>
      <w:proofErr w:type="gramEnd"/>
      <w:r>
        <w:rPr>
          <w:lang w:val="en-US"/>
        </w:rPr>
        <w:t xml:space="preserve"> any type of consequential population of fields based on event types. This is also related to the question whether there will also be validation rules incorporating event types, </w:t>
      </w:r>
      <w:proofErr w:type="gramStart"/>
      <w:r>
        <w:rPr>
          <w:lang w:val="en-US"/>
        </w:rPr>
        <w:t>similar to</w:t>
      </w:r>
      <w:proofErr w:type="gramEnd"/>
      <w:r>
        <w:rPr>
          <w:lang w:val="en-US"/>
        </w:rPr>
        <w:t xml:space="preserve"> the validation rules for action types.</w:t>
      </w:r>
    </w:p>
    <w:p w14:paraId="5C7296AB" w14:textId="77777777" w:rsidR="004C49B8" w:rsidRDefault="004C49B8" w:rsidP="00020C1D">
      <w:pPr>
        <w:rPr>
          <w:lang w:val="en-US"/>
        </w:rPr>
      </w:pPr>
    </w:p>
    <w:p w14:paraId="7C37DFD9" w14:textId="0782A068" w:rsidR="00020C1D" w:rsidRPr="00677015" w:rsidRDefault="00020C1D" w:rsidP="00020C1D">
      <w:pPr>
        <w:rPr>
          <w:lang w:val="en-US"/>
        </w:rPr>
      </w:pPr>
      <w:r>
        <w:rPr>
          <w:lang w:val="en-US"/>
        </w:rPr>
        <w:t xml:space="preserve">We are also concerned about </w:t>
      </w:r>
      <w:proofErr w:type="spellStart"/>
      <w:r>
        <w:rPr>
          <w:lang w:val="en-US"/>
        </w:rPr>
        <w:t>novations</w:t>
      </w:r>
      <w:proofErr w:type="spellEnd"/>
      <w:r>
        <w:rPr>
          <w:lang w:val="en-US"/>
        </w:rPr>
        <w:t xml:space="preserve">; </w:t>
      </w:r>
      <w:r w:rsidRPr="00677015">
        <w:rPr>
          <w:lang w:val="en-US"/>
        </w:rPr>
        <w:t xml:space="preserve">Action types for </w:t>
      </w:r>
      <w:proofErr w:type="spellStart"/>
      <w:r w:rsidRPr="00677015">
        <w:rPr>
          <w:lang w:val="en-US"/>
        </w:rPr>
        <w:t>novations</w:t>
      </w:r>
      <w:proofErr w:type="spellEnd"/>
      <w:r w:rsidRPr="00677015">
        <w:rPr>
          <w:lang w:val="en-US"/>
        </w:rPr>
        <w:t xml:space="preserve"> in Table 11 are not in line with </w:t>
      </w:r>
      <w:r>
        <w:rPr>
          <w:lang w:val="en-US"/>
        </w:rPr>
        <w:t>paragraph</w:t>
      </w:r>
      <w:r w:rsidRPr="00677015">
        <w:rPr>
          <w:lang w:val="en-US"/>
        </w:rPr>
        <w:t xml:space="preserve"> 41 of the guidelines, with the technical details regarding the field Prior UTI, with the novation reporting examples in section 7, or with </w:t>
      </w:r>
      <w:r>
        <w:rPr>
          <w:lang w:val="en-US"/>
        </w:rPr>
        <w:t>paragraph</w:t>
      </w:r>
      <w:r w:rsidRPr="00677015">
        <w:rPr>
          <w:lang w:val="en-US"/>
        </w:rPr>
        <w:t xml:space="preserve"> 548 of the guidelines. For full novation, we would assume that remaining party reports 'Terminate + Step-in' for the old UTI (similarly as the Step out counterparty) and 'New + Step-in' with a new UTI (similarly as the </w:t>
      </w:r>
      <w:proofErr w:type="gramStart"/>
      <w:r w:rsidRPr="00677015">
        <w:rPr>
          <w:lang w:val="en-US"/>
        </w:rPr>
        <w:t>Step in</w:t>
      </w:r>
      <w:proofErr w:type="gramEnd"/>
      <w:r w:rsidRPr="00677015">
        <w:rPr>
          <w:lang w:val="en-US"/>
        </w:rPr>
        <w:t xml:space="preserve"> counterparty). If, for full novation, remaining party would send a Modify message, they would need to modify the LEI of the other counterparty, and we are under the impression that this is not allowed. For partial termination, we would assume that remaining party reports 'Modify + Step-in' according to the table (modifying the notional, most likely), but also 'New + Step-in' to match the report submitted by the </w:t>
      </w:r>
      <w:proofErr w:type="gramStart"/>
      <w:r w:rsidRPr="00677015">
        <w:rPr>
          <w:lang w:val="en-US"/>
        </w:rPr>
        <w:t>Step in</w:t>
      </w:r>
      <w:proofErr w:type="gramEnd"/>
      <w:r w:rsidRPr="00677015">
        <w:rPr>
          <w:lang w:val="en-US"/>
        </w:rPr>
        <w:t xml:space="preserve"> counterparty.</w:t>
      </w:r>
    </w:p>
    <w:p w14:paraId="06937DEC" w14:textId="77777777" w:rsidR="00020C1D" w:rsidRDefault="00020C1D" w:rsidP="00020C1D">
      <w:pPr>
        <w:rPr>
          <w:lang w:val="en-US"/>
        </w:rPr>
      </w:pPr>
      <w:r w:rsidRPr="00677015">
        <w:rPr>
          <w:lang w:val="en-US"/>
        </w:rPr>
        <w:lastRenderedPageBreak/>
        <w:t xml:space="preserve">If action types for full and partial </w:t>
      </w:r>
      <w:proofErr w:type="spellStart"/>
      <w:r w:rsidRPr="00677015">
        <w:rPr>
          <w:lang w:val="en-US"/>
        </w:rPr>
        <w:t>novations</w:t>
      </w:r>
      <w:proofErr w:type="spellEnd"/>
      <w:r w:rsidRPr="00677015">
        <w:rPr>
          <w:lang w:val="en-US"/>
        </w:rPr>
        <w:t xml:space="preserve"> remain as </w:t>
      </w:r>
      <w:r>
        <w:rPr>
          <w:lang w:val="en-US"/>
        </w:rPr>
        <w:t xml:space="preserve">is </w:t>
      </w:r>
      <w:r w:rsidRPr="00677015">
        <w:rPr>
          <w:lang w:val="en-US"/>
        </w:rPr>
        <w:t xml:space="preserve">in Table 11, further examples of the full scenarios are really required, since the examples in section 7 do not cover the action types for </w:t>
      </w:r>
      <w:proofErr w:type="spellStart"/>
      <w:r w:rsidRPr="00677015">
        <w:rPr>
          <w:lang w:val="en-US"/>
        </w:rPr>
        <w:t>novations</w:t>
      </w:r>
      <w:proofErr w:type="spellEnd"/>
      <w:r>
        <w:rPr>
          <w:lang w:val="en-US"/>
        </w:rPr>
        <w:t xml:space="preserve"> described</w:t>
      </w:r>
      <w:r w:rsidRPr="00677015">
        <w:rPr>
          <w:lang w:val="en-US"/>
        </w:rPr>
        <w:t xml:space="preserve"> in Table 11.</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3C8D87CC" w14:textId="77777777" w:rsidR="00020C1D" w:rsidRDefault="00020C1D" w:rsidP="00020C1D">
      <w:pPr>
        <w:rPr>
          <w:lang w:val="en-US"/>
        </w:rPr>
      </w:pPr>
      <w:permStart w:id="1383475364" w:edGrp="everyone"/>
      <w:r>
        <w:rPr>
          <w:lang w:val="en-US"/>
        </w:rPr>
        <w:t>We acknowledge the intended alignment between SFTR and EMIR, as well as the intended process should the counterparty responsible for the generation of the UTI fail to do so. We would appreciate clarification, potentially in the form of recommendations, as to how long we, as reporting counterparty, should wait for the UTI to be generated by the other counterparty before generating one ourselves. We regularly generate UTIs, only to be provided with one at a later stage, complicating our overall reporting process. Any ESMA guidance in this respect, beyond the UTI generation waterfall, would be appreciated.</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64240BE1" w14:textId="77777777" w:rsidR="00067AC3" w:rsidRPr="00D60D63" w:rsidRDefault="00067AC3" w:rsidP="00067AC3">
      <w:pPr>
        <w:rPr>
          <w:lang w:val="en-US"/>
        </w:rPr>
      </w:pPr>
      <w:permStart w:id="1657813238" w:edGrp="everyone"/>
      <w:r w:rsidRPr="00D60D63">
        <w:rPr>
          <w:lang w:val="en-US"/>
        </w:rPr>
        <w:t>As it stands, the representation of instruments seems to be granular enough to allow clear mapping for reporting purposes.</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62C44E1F" w14:textId="433F2A26" w:rsidR="00067AC3" w:rsidRDefault="00067AC3" w:rsidP="00067AC3">
      <w:pPr>
        <w:rPr>
          <w:lang w:val="en-US"/>
        </w:rPr>
      </w:pPr>
      <w:permStart w:id="927873555" w:edGrp="everyone"/>
      <w:r w:rsidRPr="00AB3637">
        <w:rPr>
          <w:lang w:val="en-US"/>
        </w:rPr>
        <w:t>An NFC- might have derivatives with several FCs, each of them reporting on behalf of the NFC-. If such NFC- undergoes a corporate event, are all the FCs required to notify the TR, and are all FCs also required to pay the TRs fee related to the procedure? FCs (with contractual relationship with the TR) might have a procedure to charge the costs from the NFC-, and in this case the NFC- would then face this cost from several FCs.</w:t>
      </w:r>
    </w:p>
    <w:p w14:paraId="6940C506" w14:textId="77777777" w:rsidR="004C49B8" w:rsidRPr="00AB3637" w:rsidRDefault="004C49B8" w:rsidP="00067AC3">
      <w:pPr>
        <w:rPr>
          <w:lang w:val="en-US"/>
        </w:rPr>
      </w:pPr>
    </w:p>
    <w:p w14:paraId="1FF5D3D4" w14:textId="77777777" w:rsidR="00067AC3" w:rsidRDefault="00067AC3" w:rsidP="00067AC3">
      <w:pPr>
        <w:rPr>
          <w:lang w:val="en-US"/>
        </w:rPr>
      </w:pPr>
      <w:r w:rsidRPr="00AB3637">
        <w:rPr>
          <w:lang w:val="en-US"/>
        </w:rPr>
        <w:t xml:space="preserve">The TRs requirements (especially </w:t>
      </w:r>
      <w:proofErr w:type="gramStart"/>
      <w:r w:rsidRPr="00AB3637">
        <w:rPr>
          <w:lang w:val="en-US"/>
        </w:rPr>
        <w:t>with regard to</w:t>
      </w:r>
      <w:proofErr w:type="gramEnd"/>
      <w:r w:rsidRPr="00AB3637">
        <w:rPr>
          <w:lang w:val="en-US"/>
        </w:rPr>
        <w:t xml:space="preserve"> ITS Art.8(2)e) related to LEI updates should be proportionate; in case for example the original merger documentation is in a language foreign to the TR, costs to acquire an </w:t>
      </w:r>
      <w:proofErr w:type="spellStart"/>
      <w:r w:rsidRPr="00AB3637">
        <w:rPr>
          <w:lang w:val="en-US"/>
        </w:rPr>
        <w:t>authorised</w:t>
      </w:r>
      <w:proofErr w:type="spellEnd"/>
      <w:r w:rsidRPr="00AB3637">
        <w:rPr>
          <w:lang w:val="en-US"/>
        </w:rPr>
        <w:t xml:space="preserve"> translation can be high. Such costs will not be faced by those entities whose native language is accepted by the TR. EU counterparties should be able to provide documentation in their native language without discrimination. The TR should bear the cost of translation.</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2EF7E70A" w14:textId="77777777" w:rsidR="00067AC3" w:rsidRDefault="00067AC3" w:rsidP="00067AC3">
      <w:pPr>
        <w:rPr>
          <w:lang w:val="en-US"/>
        </w:rPr>
      </w:pPr>
      <w:permStart w:id="1829988511" w:edGrp="everyone"/>
      <w:r>
        <w:rPr>
          <w:lang w:val="en-US"/>
        </w:rPr>
        <w:t>Is there any prioritization</w:t>
      </w:r>
      <w:r>
        <w:rPr>
          <w:rStyle w:val="HTMLSample"/>
          <w:rFonts w:eastAsiaTheme="minorHAnsi"/>
          <w:sz w:val="21"/>
          <w:szCs w:val="21"/>
          <w:lang w:val="en"/>
        </w:rPr>
        <w:t xml:space="preserve"> </w:t>
      </w:r>
      <w:r>
        <w:rPr>
          <w:lang w:val="en-US"/>
        </w:rPr>
        <w:t>between the fields 2.7 (ISIN), 2.8 (UPI) and 2.9 (CFI)? OR shall each field be populated as and when available?</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4F01552B" w14:textId="77777777" w:rsidR="00067AC3" w:rsidRDefault="00067AC3" w:rsidP="00067AC3">
      <w:pPr>
        <w:rPr>
          <w:lang w:val="en-US"/>
        </w:rPr>
      </w:pPr>
      <w:permStart w:id="1935019154" w:edGrp="everyone"/>
      <w:r w:rsidRPr="00AB3637">
        <w:rPr>
          <w:lang w:val="en-US"/>
        </w:rPr>
        <w:t>Yes, clarification is required regarding the RTS definition of field 2.18 Identifier of the basket’s constituents: "In case of custom baskets composed, among others, of financial instruments traded in a trading venue, only financial instruments traded in a trading venue shall be specified." This seems to imply that non-</w:t>
      </w:r>
      <w:proofErr w:type="spellStart"/>
      <w:r w:rsidRPr="00AB3637">
        <w:rPr>
          <w:lang w:val="en-US"/>
        </w:rPr>
        <w:t>ToTV</w:t>
      </w:r>
      <w:proofErr w:type="spellEnd"/>
      <w:r w:rsidRPr="00AB3637">
        <w:rPr>
          <w:lang w:val="en-US"/>
        </w:rPr>
        <w:t xml:space="preserve"> instruments should be removed from the reporting of a basket. While we </w:t>
      </w:r>
      <w:proofErr w:type="spellStart"/>
      <w:r w:rsidRPr="00AB3637">
        <w:rPr>
          <w:lang w:val="en-US"/>
        </w:rPr>
        <w:t>recognise</w:t>
      </w:r>
      <w:proofErr w:type="spellEnd"/>
      <w:r w:rsidRPr="00AB3637">
        <w:rPr>
          <w:lang w:val="en-US"/>
        </w:rPr>
        <w:t xml:space="preserve"> that this is in line with </w:t>
      </w:r>
      <w:proofErr w:type="spellStart"/>
      <w:r w:rsidRPr="00AB3637">
        <w:rPr>
          <w:lang w:val="en-US"/>
        </w:rPr>
        <w:t>MiFIR</w:t>
      </w:r>
      <w:proofErr w:type="spellEnd"/>
      <w:r w:rsidRPr="00AB3637">
        <w:rPr>
          <w:lang w:val="en-US"/>
        </w:rPr>
        <w:t xml:space="preserve"> requirements, it does not seem to be in line with the purpose of EMIR. Such approach would mean that the NCAs and ESMA are not getting a holistic view of the derivative contract. Fields 2.14 and 2.18 should be in line when it comes to what types of ISINs can be reported, and 2.14 does not include a limitation to only specify instruments traded in a trading venue.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lastRenderedPageBreak/>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678D883B" w14:textId="77777777" w:rsidR="00067AC3" w:rsidRPr="00302B93" w:rsidRDefault="00067AC3" w:rsidP="00067AC3">
      <w:permStart w:id="1867064134" w:edGrp="everyone"/>
      <w:r>
        <w:t>Different methodologies for the determination of delta lead to different outcomes. Hence, we consider this to be a challenging field, particularly regarding reconciliation.</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7325F9B6" w14:textId="77777777" w:rsidR="00067AC3" w:rsidRDefault="00067AC3" w:rsidP="00067AC3">
      <w:pPr>
        <w:rPr>
          <w:lang w:val="en-US"/>
        </w:rPr>
      </w:pPr>
      <w:permStart w:id="912810068" w:edGrp="everyone"/>
      <w:r>
        <w:rPr>
          <w:lang w:val="en-US"/>
        </w:rPr>
        <w:t xml:space="preserve">Please confirm that </w:t>
      </w:r>
      <w:r w:rsidRPr="00AB3637">
        <w:rPr>
          <w:lang w:val="en-US"/>
        </w:rPr>
        <w:t>in case only one of the counterparties is a SI, both should populate that SI MIC</w:t>
      </w:r>
      <w:r>
        <w:rPr>
          <w:lang w:val="en-US"/>
        </w:rPr>
        <w:t xml:space="preserve"> (except in the case where the non-SI counterparty does not know it is trading with a SI).</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2B6257AB" w14:textId="77777777" w:rsidR="00067AC3" w:rsidRDefault="00067AC3" w:rsidP="00067AC3">
      <w:pPr>
        <w:rPr>
          <w:lang w:val="en-US"/>
        </w:rPr>
      </w:pPr>
      <w:permStart w:id="1012694255" w:edGrp="everyone"/>
      <w:r>
        <w:rPr>
          <w:lang w:val="en-US"/>
        </w:rPr>
        <w:t>As with linking IDs, we wish to note that when defining the modification and correction technical message structures, it should be carefully considered that other payment fields are not erased by accident when left blank in subsequent reports (while at the same time enabling erasing or correcting the fields if necessary).</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4479E4B0" w14:textId="25DE95CA" w:rsidR="00067AC3" w:rsidRDefault="00067AC3" w:rsidP="00067AC3">
      <w:pPr>
        <w:rPr>
          <w:lang w:val="en-US"/>
        </w:rPr>
      </w:pPr>
      <w:permStart w:id="1840729095" w:edGrp="everyone"/>
      <w:r>
        <w:rPr>
          <w:lang w:val="en-US"/>
        </w:rPr>
        <w:t>It is hard to</w:t>
      </w:r>
      <w:r w:rsidRPr="00DF5829">
        <w:rPr>
          <w:lang w:val="en-US"/>
        </w:rPr>
        <w:t xml:space="preserve"> see any reason to define Effective date any differently for cash-settled commodity derivatives than the definition in RTS: "Unadjusted date at which obligations under the OTC derivative transaction come into effect [...]." Even though many commodity derivatives include a start date for the covered </w:t>
      </w:r>
      <w:proofErr w:type="gramStart"/>
      <w:r w:rsidRPr="00DF5829">
        <w:rPr>
          <w:lang w:val="en-US"/>
        </w:rPr>
        <w:t>time period</w:t>
      </w:r>
      <w:proofErr w:type="gramEnd"/>
      <w:r w:rsidRPr="00DF5829">
        <w:rPr>
          <w:lang w:val="en-US"/>
        </w:rPr>
        <w:t>, to my understanding this start date is not the same as effective date. For example, in case collateral is exchanged among the counterparties of a cash-settled commodity derivative, typically the collateral obligations come into effect immediately after execution, thus making it clear that execution date is effective date for cash-settled commodity derivatives also. Whether the derivative is collateralized or not should not affect the general logic for effective date for cash-settled commodity derivatives.</w:t>
      </w:r>
    </w:p>
    <w:p w14:paraId="6725282B" w14:textId="77777777" w:rsidR="004C49B8" w:rsidRPr="00DF5829" w:rsidRDefault="004C49B8" w:rsidP="00067AC3">
      <w:pPr>
        <w:rPr>
          <w:lang w:val="en-US"/>
        </w:rPr>
      </w:pPr>
    </w:p>
    <w:p w14:paraId="134709A9" w14:textId="77777777" w:rsidR="00067AC3" w:rsidRDefault="00067AC3" w:rsidP="00067AC3">
      <w:pPr>
        <w:rPr>
          <w:lang w:val="en-US"/>
        </w:rPr>
      </w:pPr>
      <w:r w:rsidRPr="00DF5829">
        <w:rPr>
          <w:lang w:val="en-US"/>
        </w:rPr>
        <w:t>Since effective date is matching field in reconciliation, both remaining parties of a novation should populate the same value. For the step-in party the obligations come into effect at the time of novation, therefore populating the novation date as effective date would seem logical. The original effective date has been reported in the original contract (terminated at the time of novation), and the reports are linked with the Prior UTI field, therefore all relevant data will be available to authorities.</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2893F7B3" w14:textId="77777777" w:rsidR="00067AC3" w:rsidRDefault="00067AC3" w:rsidP="00067AC3">
      <w:pPr>
        <w:rPr>
          <w:lang w:val="en-US"/>
        </w:rPr>
      </w:pPr>
      <w:permStart w:id="595292525" w:edGrp="everyone"/>
      <w:r w:rsidRPr="00DF5829">
        <w:rPr>
          <w:lang w:val="en-US"/>
        </w:rPr>
        <w:t xml:space="preserve">Regarding </w:t>
      </w:r>
      <w:r>
        <w:rPr>
          <w:lang w:val="en-US"/>
        </w:rPr>
        <w:t>paragraph</w:t>
      </w:r>
      <w:r w:rsidRPr="00DF5829">
        <w:rPr>
          <w:lang w:val="en-US"/>
        </w:rPr>
        <w:t xml:space="preserve"> 356. While we understand ESMA's reasoning and the importance of a holistic view, this obligation potentially leads to major problems in reporting and reconciliation. To start, the example states that in packages </w:t>
      </w:r>
      <w:proofErr w:type="spellStart"/>
      <w:r w:rsidRPr="00DF5829">
        <w:rPr>
          <w:lang w:val="en-US"/>
        </w:rPr>
        <w:t>eg.</w:t>
      </w:r>
      <w:proofErr w:type="spellEnd"/>
      <w:r w:rsidRPr="00DF5829">
        <w:rPr>
          <w:lang w:val="en-US"/>
        </w:rPr>
        <w:t xml:space="preserve"> a spot element would need to be reported, and this means that a UTI is required for the spot element (and other elements that are not reportable). However, EMIR does not include a requirement for creating a UTI for other products than derivatives. On the other </w:t>
      </w:r>
      <w:proofErr w:type="gramStart"/>
      <w:r w:rsidRPr="00DF5829">
        <w:rPr>
          <w:lang w:val="en-US"/>
        </w:rPr>
        <w:t>hand</w:t>
      </w:r>
      <w:proofErr w:type="gramEnd"/>
      <w:r w:rsidRPr="00DF5829">
        <w:rPr>
          <w:lang w:val="en-US"/>
        </w:rPr>
        <w:t xml:space="preserve"> it is not completely clear what kinds of products these 'non-reportable other elements' could be, and whether the EMIR reporting standards are applicable to all types of products - and even if the standards could be applied, whether there is disambiguation that could give rise to reconciliation breaks. Furthermore, reporting entities and submitting entities have specifically built reporting systems and dataflows to include reportable derivatives and to not include non-reportable products. Major changes would need to be implemented in this logic to be able to process those non-reportable elements that are a part of a package, while simultaneously continuing to not report similar elements which are not part of a package.</w:t>
      </w:r>
      <w:r>
        <w:rPr>
          <w:lang w:val="en-US"/>
        </w:rPr>
        <w:t xml:space="preserve"> </w:t>
      </w:r>
      <w:proofErr w:type="gramStart"/>
      <w:r>
        <w:rPr>
          <w:lang w:val="en-US"/>
        </w:rPr>
        <w:t>Therefore</w:t>
      </w:r>
      <w:proofErr w:type="gramEnd"/>
      <w:r>
        <w:rPr>
          <w:lang w:val="en-US"/>
        </w:rPr>
        <w:t xml:space="preserve"> we suggest withdrawing the obligation to report non-reportable elements.</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598CB53D" w14:textId="77426C0B" w:rsidR="00067AC3" w:rsidRDefault="00067AC3" w:rsidP="00067AC3">
      <w:pPr>
        <w:rPr>
          <w:lang w:val="en-US"/>
        </w:rPr>
      </w:pPr>
      <w:permStart w:id="1275090120" w:edGrp="everyone"/>
      <w:r>
        <w:rPr>
          <w:lang w:val="en-US"/>
        </w:rPr>
        <w:t>The</w:t>
      </w:r>
      <w:r w:rsidRPr="00DF5829">
        <w:rPr>
          <w:lang w:val="en-US"/>
        </w:rPr>
        <w:t xml:space="preserve"> other payment fields do not seem applicable to this case. All in all, ESMA should carefully consider if the settlement date of the near leg is of significant value to the authorities. Many types of derivatives have several settlement dates, so </w:t>
      </w:r>
      <w:r>
        <w:rPr>
          <w:lang w:val="en-US"/>
        </w:rPr>
        <w:t xml:space="preserve">it is not </w:t>
      </w:r>
      <w:r w:rsidRPr="00DF5829">
        <w:rPr>
          <w:lang w:val="en-US"/>
        </w:rPr>
        <w:t xml:space="preserve">why other settlement dates than the final one </w:t>
      </w:r>
      <w:r>
        <w:rPr>
          <w:lang w:val="en-US"/>
        </w:rPr>
        <w:t xml:space="preserve">should </w:t>
      </w:r>
      <w:r w:rsidRPr="00DF5829">
        <w:rPr>
          <w:lang w:val="en-US"/>
        </w:rPr>
        <w:t>be reported for FX swaps if they are not required for other derivatives.</w:t>
      </w:r>
    </w:p>
    <w:p w14:paraId="4A37E86B" w14:textId="77777777" w:rsidR="004C49B8" w:rsidRDefault="004C49B8" w:rsidP="00067AC3">
      <w:pPr>
        <w:rPr>
          <w:lang w:val="en-US"/>
        </w:rPr>
      </w:pPr>
    </w:p>
    <w:p w14:paraId="0611BDE1" w14:textId="77777777" w:rsidR="00067AC3" w:rsidRDefault="00067AC3" w:rsidP="00067AC3">
      <w:r>
        <w:t>In summary, we’re not supportive of populating fields away from their original purpose which we consider to be the case here. As it stands, we don’t think the near leg should be reported using the other payment fields for example.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5D4D68D2" w14:textId="77777777" w:rsidR="00067AC3" w:rsidRDefault="00067AC3" w:rsidP="00067AC3">
      <w:permStart w:id="65958479" w:edGrp="everyone"/>
      <w:r>
        <w:t>We’ve followed the historical debate about how FX forwards/swaps should be treated from a reporting perspective. That said, a variety of interpretations and ways to report continue to exist, leading to data quality and reconciliation issues. We would hence appreciate any further clarification in this respect.</w:t>
      </w:r>
    </w:p>
    <w:permEnd w:id="65958479"/>
    <w:p w14:paraId="62261CDA" w14:textId="77777777" w:rsidR="004F7B49" w:rsidRPr="004F7B49" w:rsidRDefault="004F7B49" w:rsidP="004F7B49">
      <w:r w:rsidRPr="004F7B49">
        <w:lastRenderedPageBreak/>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6314380C" w14:textId="741761DB" w:rsidR="00067AC3" w:rsidRDefault="00067AC3" w:rsidP="00067AC3">
      <w:pPr>
        <w:rPr>
          <w:lang w:val="en-US"/>
        </w:rPr>
      </w:pPr>
      <w:permStart w:id="1543464251" w:edGrp="everyone"/>
      <w:r>
        <w:rPr>
          <w:lang w:val="en-US"/>
        </w:rPr>
        <w:t>We support alternative 2a. While we understand that this puts the burden on the TR, it is a one-time implementation of the logic, and in the big picture it is more efficient that the few TRs implement this than that each reporting counterparty implements logic as in alternative 1.</w:t>
      </w:r>
    </w:p>
    <w:p w14:paraId="40120984" w14:textId="499DA162" w:rsidR="004C49B8" w:rsidRDefault="004C49B8" w:rsidP="00067AC3">
      <w:pPr>
        <w:rPr>
          <w:lang w:val="en-US"/>
        </w:rPr>
      </w:pPr>
    </w:p>
    <w:p w14:paraId="19B70698" w14:textId="77777777" w:rsidR="00067AC3" w:rsidRDefault="00067AC3" w:rsidP="00067AC3">
      <w:pPr>
        <w:rPr>
          <w:lang w:val="en-US"/>
        </w:rPr>
      </w:pPr>
      <w:r>
        <w:rPr>
          <w:lang w:val="en-US"/>
        </w:rPr>
        <w:t>Furthermore, alternative 1 may lead to different types of agreements with different counterparties, eventually requiring counterparties to process trade data in different manners depending on the counterparty. This type of logic may be difficult and costly to implement.</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lastRenderedPageBreak/>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35FE13CD" w14:textId="77777777" w:rsidR="00067AC3" w:rsidRDefault="00067AC3" w:rsidP="00067AC3">
      <w:pPr>
        <w:rPr>
          <w:lang w:val="en-US"/>
        </w:rPr>
      </w:pPr>
      <w:permStart w:id="1810104405" w:edGrp="everyone"/>
      <w:r>
        <w:rPr>
          <w:lang w:val="en-US"/>
        </w:rPr>
        <w:t>We have commented on the validation rules comments that it should be sufficient to report either field 2.119 or field 2.120, while currently both are required for energy derivatives. In case ESMA persists that both fields are mandatory for energy derivatives, an example of a contract where both fields indeed are populated with an EIC code would clarify the theme.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32EC8F92" w14:textId="77777777" w:rsidR="00067AC3" w:rsidRDefault="00067AC3" w:rsidP="00067AC3">
      <w:pPr>
        <w:rPr>
          <w:lang w:val="en-US"/>
        </w:rPr>
      </w:pPr>
      <w:permStart w:id="903745424" w:edGrp="everyone"/>
      <w:proofErr w:type="gramStart"/>
      <w:r w:rsidRPr="0006301C">
        <w:rPr>
          <w:lang w:val="en-US"/>
        </w:rPr>
        <w:t>No</w:t>
      </w:r>
      <w:proofErr w:type="gramEnd"/>
      <w:r w:rsidRPr="0006301C">
        <w:rPr>
          <w:lang w:val="en-US"/>
        </w:rPr>
        <w:t xml:space="preserve"> they should not, since the Error might be sent by mistake, and in that case removing the other side would affect the other counterparty, who has reported correctly. This type of incident will surface in reconciliation; the counterparty who has not sent an Error message sees the matching break and raises the issue with their counterparty, and the counterparties then figure out how to solve the issue (</w:t>
      </w:r>
      <w:proofErr w:type="spellStart"/>
      <w:r w:rsidRPr="0006301C">
        <w:rPr>
          <w:lang w:val="en-US"/>
        </w:rPr>
        <w:t>eg.</w:t>
      </w:r>
      <w:proofErr w:type="spellEnd"/>
      <w:r w:rsidRPr="0006301C">
        <w:rPr>
          <w:lang w:val="en-US"/>
        </w:rPr>
        <w:t xml:space="preserve"> assign a new UTI).</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2E275129" w14:textId="77777777" w:rsidR="00067AC3" w:rsidRDefault="00067AC3" w:rsidP="00067AC3">
      <w:pPr>
        <w:rPr>
          <w:lang w:val="en-US"/>
        </w:rPr>
      </w:pPr>
      <w:permStart w:id="177222125" w:edGrp="everyone"/>
      <w:r w:rsidRPr="0006301C">
        <w:rPr>
          <w:lang w:val="en-US"/>
        </w:rPr>
        <w:lastRenderedPageBreak/>
        <w:t xml:space="preserve">No, Field 1.14 should not be the only source for such determination. Reporting errors in this field (due to data issues or misinterpretation) would lead to erroneous exclusion or inclusion in the reconciliation process. While we </w:t>
      </w:r>
      <w:proofErr w:type="spellStart"/>
      <w:r w:rsidRPr="0006301C">
        <w:rPr>
          <w:lang w:val="en-US"/>
        </w:rPr>
        <w:t>recognise</w:t>
      </w:r>
      <w:proofErr w:type="spellEnd"/>
      <w:r w:rsidRPr="0006301C">
        <w:rPr>
          <w:lang w:val="en-US"/>
        </w:rPr>
        <w:t xml:space="preserve"> that reporting needs to be correct, in practice there will be errors, and having an error in one field should not have consequences as wide-reaching as these. We prefer using a wider set of fields, </w:t>
      </w:r>
      <w:proofErr w:type="spellStart"/>
      <w:r w:rsidRPr="0006301C">
        <w:rPr>
          <w:lang w:val="en-US"/>
        </w:rPr>
        <w:t>eg.</w:t>
      </w:r>
      <w:proofErr w:type="spellEnd"/>
      <w:r w:rsidRPr="0006301C">
        <w:rPr>
          <w:lang w:val="en-US"/>
        </w:rPr>
        <w:t xml:space="preserve"> also including GLEIF reference data for the determination.</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6F5CFCA" w14:textId="77777777" w:rsidR="00067AC3" w:rsidRDefault="00067AC3" w:rsidP="00067AC3">
      <w:permStart w:id="1930586842" w:edGrp="everyone"/>
      <w:r>
        <w:t xml:space="preserve">As indicated in our introductory comment, we would find further clarification regarding reconciliation requirements not only beneficial but needed to address the challenges resulting from more stringent reconciliation requirements. This includes any pre-go-live arrangements that need to be put in place, as well as any ongoing requirement from the go-live date. Specifically, the Final Report indicates a certain relaxation of initially planned rules. Any further clarification in this respect would be much appreciated; a concise summary of all reconciliation requirements </w:t>
      </w:r>
      <w:proofErr w:type="gramStart"/>
      <w:r>
        <w:t>in particular would</w:t>
      </w:r>
      <w:proofErr w:type="gramEnd"/>
      <w:r>
        <w:t xml:space="preserve"> be helpful.</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1A464F0C" w14:textId="0DF990F4" w:rsidR="00DA2E1F" w:rsidRDefault="00DA2E1F" w:rsidP="00DA2E1F">
      <w:permStart w:id="859136354" w:edGrp="everyone"/>
      <w:r>
        <w:t>It is unclear to us if all reconciliation breaks (</w:t>
      </w:r>
      <w:proofErr w:type="gramStart"/>
      <w:r>
        <w:t>i.e.</w:t>
      </w:r>
      <w:proofErr w:type="gramEnd"/>
      <w:r>
        <w:t xml:space="preserve"> new and prior ones) will be shown daily or only the delta compared to the previous day. At this point, it is impossible to estimate the associated cost on our side.</w:t>
      </w:r>
    </w:p>
    <w:p w14:paraId="3A3A8C66" w14:textId="77777777" w:rsidR="00DA2E1F" w:rsidRDefault="00DA2E1F" w:rsidP="00DA2E1F"/>
    <w:p w14:paraId="16533131" w14:textId="73CE65EC" w:rsidR="00DA2E1F" w:rsidRDefault="00DA2E1F" w:rsidP="00DA2E1F">
      <w:pPr>
        <w:rPr>
          <w:lang w:val="en-US"/>
        </w:rPr>
      </w:pPr>
      <w:r>
        <w:rPr>
          <w:lang w:val="en-US"/>
        </w:rPr>
        <w:t>Also, d</w:t>
      </w:r>
      <w:r w:rsidRPr="0006301C">
        <w:rPr>
          <w:lang w:val="en-US"/>
        </w:rPr>
        <w:t xml:space="preserve">oes A mean that both sides should have valuation data reported in the last 14 calendar days to be included in reconciliation? If so, would this not exclude, reconciliation-wise, cases where one counterparty should be sending valuations but is not doing so? </w:t>
      </w:r>
      <w:proofErr w:type="gramStart"/>
      <w:r w:rsidRPr="0006301C">
        <w:rPr>
          <w:lang w:val="en-US"/>
        </w:rPr>
        <w:t>Also</w:t>
      </w:r>
      <w:proofErr w:type="gramEnd"/>
      <w:r w:rsidRPr="0006301C">
        <w:rPr>
          <w:lang w:val="en-US"/>
        </w:rPr>
        <w:t xml:space="preserve"> how would this work if the two counterparties report to different TRs; one TR sees that there is fresh valuations, and sends the data for inter-TR reconciliation, but the other TR does not see fresh valuations and does not send it to inter-TR process. This leads to a reconciliation break only visible to the first counterparty, is this the intent?</w:t>
      </w:r>
    </w:p>
    <w:p w14:paraId="50290532" w14:textId="77777777" w:rsidR="00DA2E1F" w:rsidRDefault="00DA2E1F" w:rsidP="00DA2E1F">
      <w:pPr>
        <w:rPr>
          <w:lang w:val="en-US"/>
        </w:rPr>
      </w:pPr>
    </w:p>
    <w:p w14:paraId="1092D043" w14:textId="50B92FBF" w:rsidR="00DA2E1F" w:rsidRDefault="00DA2E1F" w:rsidP="00DA2E1F">
      <w:pPr>
        <w:rPr>
          <w:lang w:val="en-US"/>
        </w:rPr>
      </w:pPr>
      <w:r w:rsidRPr="00DA1622">
        <w:rPr>
          <w:lang w:val="en-US"/>
        </w:rPr>
        <w:t xml:space="preserve">An interesting case to be considered, especially if alternative B is chosen, is one where NFC- has reported valuation data, even though not required to do so, but then stops sending daily valuations. At the same time the FC keeps sending daily valuations. This will lead to unnecessary reconciliation breaks, as the FC reports the latest valuation, but for NFC- the valuation would remain static maybe for years. </w:t>
      </w:r>
      <w:proofErr w:type="gramStart"/>
      <w:r w:rsidRPr="00DA1622">
        <w:rPr>
          <w:lang w:val="en-US"/>
        </w:rPr>
        <w:t>So</w:t>
      </w:r>
      <w:proofErr w:type="gramEnd"/>
      <w:r w:rsidRPr="00DA1622">
        <w:rPr>
          <w:lang w:val="en-US"/>
        </w:rPr>
        <w:t xml:space="preserve"> we would strongly recommend completely excluding NFC- from valuation reconciliation.</w:t>
      </w:r>
    </w:p>
    <w:p w14:paraId="6B699165" w14:textId="77777777" w:rsidR="00DA2E1F" w:rsidRPr="00DA1622" w:rsidRDefault="00DA2E1F" w:rsidP="00DA2E1F">
      <w:pPr>
        <w:rPr>
          <w:lang w:val="en-US"/>
        </w:rPr>
      </w:pPr>
    </w:p>
    <w:p w14:paraId="6B4C5B4D" w14:textId="77777777" w:rsidR="00DA2E1F" w:rsidRDefault="00DA2E1F" w:rsidP="00DA2E1F">
      <w:pPr>
        <w:rPr>
          <w:lang w:val="en-US"/>
        </w:rPr>
      </w:pPr>
      <w:r w:rsidRPr="00DA1622">
        <w:rPr>
          <w:lang w:val="en-US"/>
        </w:rPr>
        <w:t xml:space="preserve">We would like to take this opportunity to urge ESMA to consider using a combination of fields 1.11 and 1.13 to determine whether the other counterparty is NFC-, and whether thus the valuation fields need to be reconciled. </w:t>
      </w:r>
      <w:proofErr w:type="gramStart"/>
      <w:r w:rsidRPr="00DA1622">
        <w:rPr>
          <w:lang w:val="en-US"/>
        </w:rPr>
        <w:t>However</w:t>
      </w:r>
      <w:proofErr w:type="gramEnd"/>
      <w:r w:rsidRPr="00DA1622">
        <w:rPr>
          <w:lang w:val="en-US"/>
        </w:rPr>
        <w:t xml:space="preserve"> it should be kept in mind that there may be reporting errors in these fields.</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306B7BF0" w14:textId="77777777" w:rsidR="00DA2E1F" w:rsidRDefault="00DA2E1F" w:rsidP="00DA2E1F">
      <w:pPr>
        <w:rPr>
          <w:lang w:val="en-US"/>
        </w:rPr>
      </w:pPr>
      <w:permStart w:id="1132283836" w:edGrp="everyone"/>
      <w:r w:rsidRPr="00DA1622">
        <w:rPr>
          <w:lang w:val="en-US"/>
        </w:rPr>
        <w:t>We prefer alternative B, mostly because alternative A is not feasible. If our bank concludes similar derivatives with many different counterparties, we need to be able to report them consistently and not have a different reporting approach depending on who the other counterparty is and what has been agreed with them, as would happen with alternative A. We understand that alternative B puts the burden on the TR</w:t>
      </w:r>
      <w:r>
        <w:rPr>
          <w:lang w:val="en-US"/>
        </w:rPr>
        <w:t>s</w:t>
      </w:r>
      <w:r w:rsidRPr="00DA1622">
        <w:rPr>
          <w:lang w:val="en-US"/>
        </w:rPr>
        <w:t>, but it does not seem too complicated to implement</w:t>
      </w:r>
      <w:r>
        <w:rPr>
          <w:lang w:val="en-US"/>
        </w:rPr>
        <w:t xml:space="preserve"> the logic</w:t>
      </w:r>
      <w:r w:rsidRPr="00DA1622">
        <w:rPr>
          <w:lang w:val="en-US"/>
        </w:rPr>
        <w:t xml:space="preserve"> </w:t>
      </w:r>
      <w:r>
        <w:rPr>
          <w:lang w:val="en-US"/>
        </w:rPr>
        <w:t>described</w:t>
      </w:r>
      <w:r w:rsidRPr="00DA1622">
        <w:rPr>
          <w:lang w:val="en-US"/>
        </w:rPr>
        <w:t xml:space="preserve"> </w:t>
      </w:r>
      <w:r>
        <w:rPr>
          <w:lang w:val="en-US"/>
        </w:rPr>
        <w:t>in</w:t>
      </w:r>
      <w:r w:rsidRPr="00DA1622">
        <w:rPr>
          <w:lang w:val="en-US"/>
        </w:rPr>
        <w:t xml:space="preserve"> </w:t>
      </w:r>
      <w:r>
        <w:rPr>
          <w:lang w:val="en-US"/>
        </w:rPr>
        <w:t>paragraph</w:t>
      </w:r>
      <w:r w:rsidRPr="00DA1622">
        <w:rPr>
          <w:lang w:val="en-US"/>
        </w:rPr>
        <w:t xml:space="preserve"> 583 of the consultation.</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5091B60" w14:textId="77777777" w:rsidR="00DA2E1F" w:rsidRDefault="00DA2E1F" w:rsidP="00DA2E1F">
      <w:pPr>
        <w:rPr>
          <w:lang w:val="en-US"/>
        </w:rPr>
      </w:pPr>
      <w:permStart w:id="794066036" w:edGrp="everyone"/>
      <w:r w:rsidRPr="00DA1622">
        <w:rPr>
          <w:lang w:val="en-US"/>
        </w:rPr>
        <w:t>Yes, generally agree, however the SI case could be further clarified; in a situation where one counterparty does not know that it is trading with a SI (possible scenario according to the definition of field 2.41 in draft RTS), one counterparty would populate XOFF and the other would populate their own SI MIC. Should this be considered a reconciliation break or not?</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42B8959B" w14:textId="77777777" w:rsidR="00DA2E1F" w:rsidRDefault="00DA2E1F" w:rsidP="00DA2E1F">
      <w:permStart w:id="1012422269" w:edGrp="everyone"/>
      <w:r>
        <w:t>From our point of view, it is critical to receive detailed feedback from the TR. As it stands, rejection feedback often isn’t sufficient to identify and address the underlying issue. We generally consider it challenging to establish a scalable set up for the purposes of reconciliation and would therefore appreciate any efforts towards a best practice approach.</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0CDBFB88" w14:textId="77777777" w:rsidR="00DA2E1F" w:rsidRDefault="00DA2E1F" w:rsidP="00DA2E1F">
      <w:pPr>
        <w:rPr>
          <w:lang w:val="en-US"/>
        </w:rPr>
      </w:pPr>
      <w:permStart w:id="416627592" w:edGrp="everyone"/>
      <w:r w:rsidRPr="00D96ECF">
        <w:rPr>
          <w:lang w:val="en-US"/>
        </w:rPr>
        <w:t xml:space="preserve">Yes, generally agree, however missing valuations report should not be created for NFC- counterparties, who have no obligation to report valuations. The report should not be created even in the case when NFC- has reported valuations and then stopped reporting valuations, resulting in a valuation dated more than 14 days earlier. If the report was created for NFC-, this would lead to unnecessary complications for the FCs, </w:t>
      </w:r>
      <w:r w:rsidRPr="00D96ECF">
        <w:rPr>
          <w:lang w:val="en-US"/>
        </w:rPr>
        <w:lastRenderedPageBreak/>
        <w:t>who are</w:t>
      </w:r>
      <w:r>
        <w:rPr>
          <w:lang w:val="en-US"/>
        </w:rPr>
        <w:t xml:space="preserve"> generally</w:t>
      </w:r>
      <w:r w:rsidRPr="00D96ECF">
        <w:rPr>
          <w:lang w:val="en-US"/>
        </w:rPr>
        <w:t xml:space="preserve"> the ERRs for NFCs- and who, in practice, would be the entities processing the missing valuations reports.</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092D06A1" w14:textId="77777777" w:rsidR="00DA2E1F" w:rsidRDefault="00DA2E1F" w:rsidP="00DA2E1F">
      <w:pPr>
        <w:rPr>
          <w:lang w:val="en-US"/>
        </w:rPr>
      </w:pPr>
      <w:permStart w:id="1281183597" w:edGrp="everyone"/>
      <w:r w:rsidRPr="00D96ECF">
        <w:rPr>
          <w:lang w:val="en-US"/>
        </w:rPr>
        <w:t>Yes, generally agree, however</w:t>
      </w:r>
      <w:r>
        <w:rPr>
          <w:lang w:val="en-US"/>
        </w:rPr>
        <w:t xml:space="preserve"> similarly as for missing valuations report, the</w:t>
      </w:r>
      <w:r w:rsidRPr="00D96ECF">
        <w:rPr>
          <w:lang w:val="en-US"/>
        </w:rPr>
        <w:t xml:space="preserve"> missing margin information report should not be created for NFC- counterparties, who have no obligation to report margin inf</w:t>
      </w:r>
      <w:r>
        <w:rPr>
          <w:lang w:val="en-US"/>
        </w:rPr>
        <w:t>or</w:t>
      </w:r>
      <w:r w:rsidRPr="00D96ECF">
        <w:rPr>
          <w:lang w:val="en-US"/>
        </w:rPr>
        <w:t>mation. The report should not be created even in the case when NFC- has reported margins and then stopped reporting margins, resulting in margin inf</w:t>
      </w:r>
      <w:r>
        <w:rPr>
          <w:lang w:val="en-US"/>
        </w:rPr>
        <w:t>or</w:t>
      </w:r>
      <w:r w:rsidRPr="00D96ECF">
        <w:rPr>
          <w:lang w:val="en-US"/>
        </w:rPr>
        <w:t>mation dated more than 14 days earlier. If the report was created for NFC-, this would lead to unnecessary complications for the FCs, who are the ERRs for NFCs- and who, in practice, would be the entities processing the reports.</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2D3C0763" w14:textId="0E677B94" w:rsidR="00DA2E1F" w:rsidRDefault="00DA2E1F" w:rsidP="00DA2E1F">
      <w:permStart w:id="528113517" w:edGrp="everyone"/>
      <w:r>
        <w:t>We do support any means to identify abnormal values, including an end-of-day report. This will help us to challenge and test our reporting logic, as well as highlight any data quality issue there may be. Stating the obvious, user friendliness and ease of processing are essential in this respect.</w:t>
      </w:r>
    </w:p>
    <w:p w14:paraId="32FCA047" w14:textId="77777777" w:rsidR="00DA2E1F" w:rsidRDefault="00DA2E1F" w:rsidP="00DA2E1F"/>
    <w:p w14:paraId="72F4291E" w14:textId="58BAF461" w:rsidR="00DA2E1F" w:rsidRDefault="00DA2E1F" w:rsidP="00DA2E1F">
      <w:pPr>
        <w:rPr>
          <w:lang w:val="en-US"/>
        </w:rPr>
      </w:pPr>
      <w:r w:rsidRPr="00D96ECF">
        <w:rPr>
          <w:lang w:val="en-US"/>
        </w:rPr>
        <w:t xml:space="preserve">We do not fully understand how this </w:t>
      </w:r>
      <w:proofErr w:type="gramStart"/>
      <w:r w:rsidRPr="00D96ECF">
        <w:rPr>
          <w:lang w:val="en-US"/>
        </w:rPr>
        <w:t>approach</w:t>
      </w:r>
      <w:r>
        <w:rPr>
          <w:lang w:val="en-US"/>
        </w:rPr>
        <w:t xml:space="preserve"> ,however</w:t>
      </w:r>
      <w:proofErr w:type="gramEnd"/>
      <w:r>
        <w:rPr>
          <w:lang w:val="en-US"/>
        </w:rPr>
        <w:t>,</w:t>
      </w:r>
      <w:r w:rsidRPr="00D96ECF">
        <w:rPr>
          <w:lang w:val="en-US"/>
        </w:rPr>
        <w:t xml:space="preserve"> 'avoids a scenario where TRs set different threshold levels resulting in a single trade being considered to be over the threshold level by one TR, but under the threshold level by another', since there is no common method described, and there is no obligation on the TRs to find a common method or even to apply common thresholds. Could this be clarified? How do the TRs come to a mutual conclusion on the thresholds?</w:t>
      </w:r>
    </w:p>
    <w:p w14:paraId="173E1F5B" w14:textId="77777777" w:rsidR="00DA2E1F" w:rsidRDefault="00DA2E1F" w:rsidP="00DA2E1F">
      <w:pPr>
        <w:rPr>
          <w:lang w:val="en-US"/>
        </w:rPr>
      </w:pPr>
    </w:p>
    <w:p w14:paraId="1BDA6108" w14:textId="77777777" w:rsidR="00DA2E1F" w:rsidRDefault="00DA2E1F" w:rsidP="00DA2E1F">
      <w:pPr>
        <w:rPr>
          <w:lang w:val="en-US"/>
        </w:rPr>
      </w:pPr>
      <w:r w:rsidRPr="00D96ECF">
        <w:rPr>
          <w:lang w:val="en-US"/>
        </w:rPr>
        <w:t xml:space="preserve">We urge ESMA to consider using the field 2.11 Asset Class instead of 2.9 Product classification to categorize derivatives for this purpose. While we understand that the CFI code needs to be correct, our experience is that it is easier to get the Asset Class </w:t>
      </w:r>
      <w:proofErr w:type="gramStart"/>
      <w:r w:rsidRPr="00D96ECF">
        <w:rPr>
          <w:lang w:val="en-US"/>
        </w:rPr>
        <w:t>correct, and</w:t>
      </w:r>
      <w:proofErr w:type="gramEnd"/>
      <w:r w:rsidRPr="00D96ECF">
        <w:rPr>
          <w:lang w:val="en-US"/>
        </w:rPr>
        <w:t xml:space="preserve"> using that field would result in higher-quality categorization.</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3A492B3E" w14:textId="77777777" w:rsidR="00DA2E1F" w:rsidRDefault="00DA2E1F" w:rsidP="00DA2E1F">
      <w:permStart w:id="339289437" w:edGrp="everyone"/>
      <w:r>
        <w:t xml:space="preserve">We understand the theoretical aspect but wondered how this will be handled from a practical perspective. If action type “Revive” is used beyond the </w:t>
      </w:r>
      <w:proofErr w:type="gramStart"/>
      <w:r>
        <w:t>30 day</w:t>
      </w:r>
      <w:proofErr w:type="gramEnd"/>
      <w:r>
        <w:t xml:space="preserve"> deadline, will this simply not be possible technically i.e. will it be rejected?</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B1E7" w14:textId="77777777" w:rsidR="00F12495" w:rsidRDefault="00F12495">
      <w:r>
        <w:separator/>
      </w:r>
    </w:p>
    <w:p w14:paraId="560EBA44" w14:textId="77777777" w:rsidR="00F12495" w:rsidRDefault="00F12495"/>
  </w:endnote>
  <w:endnote w:type="continuationSeparator" w:id="0">
    <w:p w14:paraId="16EC5A81" w14:textId="77777777" w:rsidR="00F12495" w:rsidRDefault="00F12495">
      <w:r>
        <w:continuationSeparator/>
      </w:r>
    </w:p>
    <w:p w14:paraId="0458C702" w14:textId="77777777" w:rsidR="00F12495" w:rsidRDefault="00F12495"/>
  </w:endnote>
  <w:endnote w:type="continuationNotice" w:id="1">
    <w:p w14:paraId="4775FDB4" w14:textId="77777777" w:rsidR="00F12495" w:rsidRDefault="00F1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616B9B" w14:paraId="313FAE1A" w14:textId="77777777" w:rsidTr="00315E96">
      <w:trPr>
        <w:trHeight w:val="284"/>
      </w:trPr>
      <w:tc>
        <w:tcPr>
          <w:tcW w:w="8460" w:type="dxa"/>
        </w:tcPr>
        <w:p w14:paraId="0BEF8BC6" w14:textId="77777777" w:rsidR="004F7B49" w:rsidRPr="00315E96" w:rsidRDefault="004F7B49" w:rsidP="00315E96">
          <w:pPr>
            <w:pStyle w:val="00Footer"/>
            <w:rPr>
              <w:lang w:val="fr-FR"/>
            </w:rPr>
          </w:pPr>
        </w:p>
      </w:tc>
      <w:tc>
        <w:tcPr>
          <w:tcW w:w="952" w:type="dxa"/>
        </w:tcPr>
        <w:p w14:paraId="7FD1DE07" w14:textId="77777777" w:rsidR="004F7B49" w:rsidRPr="00616B9B" w:rsidRDefault="004F7B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F7B49" w:rsidRDefault="004F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4F7B49" w:rsidRDefault="004F7B49"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4F7B49" w:rsidRDefault="004F7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1807" w14:textId="77777777" w:rsidR="00F12495" w:rsidRDefault="00F12495">
      <w:r>
        <w:separator/>
      </w:r>
    </w:p>
    <w:p w14:paraId="70FB8FB2" w14:textId="77777777" w:rsidR="00F12495" w:rsidRDefault="00F12495"/>
  </w:footnote>
  <w:footnote w:type="continuationSeparator" w:id="0">
    <w:p w14:paraId="76872F65" w14:textId="77777777" w:rsidR="00F12495" w:rsidRDefault="00F12495">
      <w:r>
        <w:continuationSeparator/>
      </w:r>
    </w:p>
    <w:p w14:paraId="3B323B97" w14:textId="77777777" w:rsidR="00F12495" w:rsidRDefault="00F12495"/>
  </w:footnote>
  <w:footnote w:type="continuationNotice" w:id="1">
    <w:p w14:paraId="4DD03E3C" w14:textId="77777777" w:rsidR="00F12495" w:rsidRDefault="00F12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4F7B49" w:rsidRDefault="004F7B49">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4F7B49" w:rsidRDefault="004F7B49"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4F7B49" w:rsidRDefault="004F7B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2F4496" w14:paraId="60C7474C" w14:textId="77777777" w:rsidTr="000C06C9">
      <w:trPr>
        <w:trHeight w:val="284"/>
      </w:trPr>
      <w:tc>
        <w:tcPr>
          <w:tcW w:w="8460" w:type="dxa"/>
        </w:tcPr>
        <w:p w14:paraId="54B7E7F0" w14:textId="77777777" w:rsidR="004F7B49" w:rsidRPr="000C3B6D" w:rsidRDefault="004F7B49" w:rsidP="000C06C9">
          <w:pPr>
            <w:pStyle w:val="00Footer"/>
            <w:rPr>
              <w:lang w:val="fr-FR"/>
            </w:rPr>
          </w:pPr>
        </w:p>
      </w:tc>
      <w:tc>
        <w:tcPr>
          <w:tcW w:w="952" w:type="dxa"/>
        </w:tcPr>
        <w:p w14:paraId="2E49D042" w14:textId="77777777" w:rsidR="004F7B49" w:rsidRPr="00146B34" w:rsidRDefault="004F7B49" w:rsidP="000C06C9">
          <w:pPr>
            <w:pStyle w:val="00aPagenumber"/>
            <w:rPr>
              <w:lang w:val="fr-FR"/>
            </w:rPr>
          </w:pPr>
        </w:p>
      </w:tc>
    </w:tr>
  </w:tbl>
  <w:p w14:paraId="580707D9" w14:textId="77777777" w:rsidR="004F7B49" w:rsidRPr="00DB46C3" w:rsidRDefault="004F7B49">
    <w:pPr>
      <w:rPr>
        <w:lang w:val="fr-FR"/>
      </w:rPr>
    </w:pPr>
  </w:p>
  <w:p w14:paraId="20C4F67C" w14:textId="77777777" w:rsidR="004F7B49" w:rsidRPr="002F4496" w:rsidRDefault="004F7B49">
    <w:pPr>
      <w:pStyle w:val="Header"/>
      <w:rPr>
        <w:lang w:val="fr-FR"/>
      </w:rPr>
    </w:pPr>
  </w:p>
  <w:p w14:paraId="3F30C70B" w14:textId="77777777" w:rsidR="004F7B49" w:rsidRPr="002F4496" w:rsidRDefault="004F7B49" w:rsidP="000C06C9">
    <w:pPr>
      <w:pStyle w:val="Header"/>
      <w:tabs>
        <w:tab w:val="clear" w:pos="4536"/>
        <w:tab w:val="clear" w:pos="9072"/>
        <w:tab w:val="left" w:pos="8227"/>
      </w:tabs>
      <w:rPr>
        <w:lang w:val="fr-FR"/>
      </w:rPr>
    </w:pPr>
  </w:p>
  <w:p w14:paraId="4D50BC39" w14:textId="77777777" w:rsidR="004F7B49" w:rsidRPr="002F4496" w:rsidRDefault="004F7B49" w:rsidP="00583885">
    <w:pPr>
      <w:pStyle w:val="Header"/>
      <w:jc w:val="right"/>
      <w:rPr>
        <w:lang w:val="fr-FR"/>
      </w:rPr>
    </w:pPr>
  </w:p>
  <w:p w14:paraId="2D51BEA2" w14:textId="77777777" w:rsidR="004F7B49" w:rsidRPr="002F4496" w:rsidRDefault="004F7B49">
    <w:pPr>
      <w:pStyle w:val="Header"/>
      <w:rPr>
        <w:lang w:val="fr-FR"/>
      </w:rPr>
    </w:pPr>
  </w:p>
  <w:p w14:paraId="340B2438" w14:textId="77777777" w:rsidR="004F7B49" w:rsidRPr="002F4496" w:rsidRDefault="004F7B49">
    <w:pPr>
      <w:pStyle w:val="Header"/>
      <w:rPr>
        <w:lang w:val="fr-FR"/>
      </w:rPr>
    </w:pPr>
  </w:p>
  <w:p w14:paraId="2A794A3E" w14:textId="77777777" w:rsidR="004F7B49" w:rsidRPr="002F4496" w:rsidRDefault="004F7B49">
    <w:pPr>
      <w:pStyle w:val="Header"/>
      <w:rPr>
        <w:lang w:val="fr-FR"/>
      </w:rPr>
    </w:pPr>
  </w:p>
  <w:p w14:paraId="0A21F475" w14:textId="77777777" w:rsidR="004F7B49" w:rsidRPr="002F4496" w:rsidRDefault="004F7B49">
    <w:pPr>
      <w:pStyle w:val="Header"/>
      <w:rPr>
        <w:highlight w:val="yellow"/>
        <w:lang w:val="fr-FR"/>
      </w:rPr>
    </w:pPr>
  </w:p>
  <w:p w14:paraId="53ABEE5D" w14:textId="77777777" w:rsidR="004F7B49" w:rsidRDefault="004F7B49">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4AB2F0A"/>
    <w:multiLevelType w:val="hybridMultilevel"/>
    <w:tmpl w:val="85080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9"/>
  </w:num>
  <w:num w:numId="24">
    <w:abstractNumId w:val="30"/>
  </w:num>
  <w:num w:numId="25">
    <w:abstractNumId w:val="29"/>
  </w:num>
  <w:num w:numId="26">
    <w:abstractNumId w:val="20"/>
  </w:num>
  <w:num w:numId="27">
    <w:abstractNumId w:val="34"/>
  </w:num>
  <w:num w:numId="28">
    <w:abstractNumId w:val="41"/>
  </w:num>
  <w:num w:numId="29">
    <w:abstractNumId w:val="7"/>
  </w:num>
  <w:num w:numId="30">
    <w:abstractNumId w:val="2"/>
  </w:num>
  <w:num w:numId="31">
    <w:abstractNumId w:val="22"/>
  </w:num>
  <w:num w:numId="32">
    <w:abstractNumId w:val="21"/>
  </w:num>
  <w:num w:numId="33">
    <w:abstractNumId w:val="36"/>
  </w:num>
  <w:num w:numId="34">
    <w:abstractNumId w:val="35"/>
  </w:num>
  <w:num w:numId="35">
    <w:abstractNumId w:val="4"/>
  </w:num>
  <w:num w:numId="36">
    <w:abstractNumId w:val="37"/>
  </w:num>
  <w:num w:numId="37">
    <w:abstractNumId w:val="21"/>
    <w:lvlOverride w:ilvl="0">
      <w:startOverride w:val="1"/>
    </w:lvlOverride>
  </w:num>
  <w:num w:numId="38">
    <w:abstractNumId w:val="21"/>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C1D"/>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67AC3"/>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DDF"/>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49B8"/>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8711F"/>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2E1F"/>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86"/>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 w:type="character" w:styleId="HTMLSample">
    <w:name w:val="HTML Sample"/>
    <w:basedOn w:val="DefaultParagraphFont"/>
    <w:uiPriority w:val="99"/>
    <w:semiHidden/>
    <w:unhideWhenUsed/>
    <w:locked/>
    <w:rsid w:val="00067AC3"/>
    <w:rPr>
      <w:rFonts w:ascii="Courier New" w:eastAsia="Times New Roman"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Props1.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7697</Words>
  <Characters>42993</Characters>
  <Application>Microsoft Office Word</Application>
  <DocSecurity>8</DocSecurity>
  <Lines>1048</Lines>
  <Paragraphs>386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50304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Isabelle Van Acker</cp:lastModifiedBy>
  <cp:revision>2</cp:revision>
  <cp:lastPrinted>2015-02-18T11:01:00Z</cp:lastPrinted>
  <dcterms:created xsi:type="dcterms:W3CDTF">2021-09-27T11:10:00Z</dcterms:created>
  <dcterms:modified xsi:type="dcterms:W3CDTF">2021-09-27T11:10:00Z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