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ooter"/>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Paragraph"/>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5C822460" w:rsidR="00C2682A" w:rsidRPr="00AB6D88" w:rsidRDefault="001E0348" w:rsidP="00FA5524">
                <w:pPr>
                  <w:rPr>
                    <w:rStyle w:val="PlaceholderText"/>
                    <w:rFonts w:cs="Arial"/>
                  </w:rPr>
                </w:pPr>
                <w:r>
                  <w:rPr>
                    <w:rStyle w:val="PlaceholderText"/>
                    <w:rFonts w:cs="Arial"/>
                  </w:rPr>
                  <w:t>Citadel</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25B4BA1" w:rsidR="00C2682A" w:rsidRPr="00AB6D88" w:rsidRDefault="00D076E4"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E0348">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D33173E" w:rsidR="00C2682A" w:rsidRPr="00AB6D88" w:rsidRDefault="001E0348" w:rsidP="00FA5524">
                <w:pPr>
                  <w:rPr>
                    <w:rFonts w:cs="Arial"/>
                  </w:rPr>
                </w:pPr>
                <w:r>
                  <w:rPr>
                    <w:rFonts w:cs="Arial"/>
                  </w:rPr>
                  <w:t>International</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6A22288E" w14:textId="72851485" w:rsidR="00F87897" w:rsidRDefault="001E0348" w:rsidP="00F87897">
      <w:permStart w:id="1454525006" w:edGrp="everyone"/>
      <w:r>
        <w:t>Citadel and Citadel Securities appreciate the opportunity to comment on this consultation.</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77777777" w:rsidR="004F7B49" w:rsidRPr="004F7B49" w:rsidRDefault="004F7B49" w:rsidP="004F7B49">
      <w:permStart w:id="1601852493" w:edGrp="everyone"/>
      <w:r w:rsidRPr="004F7B49">
        <w:t>TYPE YOUR TEXT HERE</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77777777" w:rsidR="004F7B49" w:rsidRPr="004F7B49" w:rsidRDefault="004F7B49" w:rsidP="004F7B49">
      <w:permStart w:id="836638972" w:edGrp="everyone"/>
      <w:r w:rsidRPr="004F7B49">
        <w:t>TYPE YOUR TEXT HERE</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lastRenderedPageBreak/>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77777777" w:rsidR="004F7B49" w:rsidRPr="004F7B49" w:rsidRDefault="004F7B49" w:rsidP="004F7B49">
      <w:permStart w:id="805204607" w:edGrp="everyone"/>
      <w:r w:rsidRPr="004F7B49">
        <w:t>TYPE YOUR TEXT HERE</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A43BBF1" w14:textId="77777777" w:rsidR="004F7B49" w:rsidRPr="004F7B49" w:rsidRDefault="004F7B49" w:rsidP="004F7B49">
      <w:permStart w:id="140709788" w:edGrp="everyone"/>
      <w:r w:rsidRPr="004F7B49">
        <w:t>TYPE YOUR TEXT HERE</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77777777" w:rsidR="004F7B49" w:rsidRPr="004F7B49" w:rsidRDefault="004F7B49" w:rsidP="004F7B49">
      <w:permStart w:id="1190423857" w:edGrp="everyone"/>
      <w:r w:rsidRPr="004F7B49">
        <w:t>TYPE YOUR TEXT HERE</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77777777" w:rsidR="004F7B49" w:rsidRPr="004F7B49" w:rsidRDefault="004F7B49" w:rsidP="004F7B49">
      <w:permStart w:id="104465324" w:edGrp="everyone"/>
      <w:r w:rsidRPr="004F7B49">
        <w:t>TYPE YOUR TEXT HERE</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77777777" w:rsidR="004F7B49" w:rsidRPr="004F7B49" w:rsidRDefault="004F7B49" w:rsidP="004F7B49">
      <w:permStart w:id="754133959" w:edGrp="everyone"/>
      <w:r w:rsidRPr="004F7B49">
        <w:t>TYPE YOUR TEXT HERE</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77777777" w:rsidR="004F7B49" w:rsidRPr="004F7B49" w:rsidRDefault="004F7B49" w:rsidP="004F7B49">
      <w:permStart w:id="1560160754" w:edGrp="everyone"/>
      <w:r w:rsidRPr="004F7B49">
        <w:t>TYPE YOUR TEXT HERE</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77777777" w:rsidR="004F7B49" w:rsidRPr="004F7B49" w:rsidRDefault="004F7B49" w:rsidP="004F7B49">
      <w:permStart w:id="1475099710" w:edGrp="everyone"/>
      <w:r w:rsidRPr="004F7B49">
        <w:t>TYPE YOUR TEXT HERE</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77777777" w:rsidR="004F7B49" w:rsidRPr="004F7B49" w:rsidRDefault="004F7B49" w:rsidP="004F7B49">
      <w:permStart w:id="1825854038" w:edGrp="everyone"/>
      <w:r w:rsidRPr="004F7B49">
        <w:t>TYPE YOUR TEXT HERE</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77777777" w:rsidR="004F7B49" w:rsidRPr="004F7B49" w:rsidRDefault="004F7B49" w:rsidP="004F7B49">
      <w:permStart w:id="1341936864" w:edGrp="everyone"/>
      <w:r w:rsidRPr="004F7B49">
        <w:t>TYPE YOUR TEXT HERE</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75E8751B" w14:textId="77777777" w:rsidR="004F7B49" w:rsidRPr="004F7B49" w:rsidRDefault="004F7B49" w:rsidP="004F7B49">
      <w:permStart w:id="1133980479" w:edGrp="everyone"/>
      <w:r w:rsidRPr="004F7B49">
        <w:t>TYPE YOUR TEXT HERE</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2AA6FF8D" w14:textId="77777777" w:rsidR="004F7B49" w:rsidRPr="004F7B49" w:rsidRDefault="004F7B49" w:rsidP="004F7B49">
      <w:permStart w:id="2094935916" w:edGrp="everyone"/>
      <w:r w:rsidRPr="004F7B49">
        <w:lastRenderedPageBreak/>
        <w:t>TYPE YOUR TEXT HERE</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77777777" w:rsidR="004F7B49" w:rsidRPr="004F7B49" w:rsidRDefault="004F7B49" w:rsidP="004F7B49">
      <w:permStart w:id="2030509467" w:edGrp="everyone"/>
      <w:r w:rsidRPr="004F7B49">
        <w:t>TYPE YOUR TEXT HERE</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7777777" w:rsidR="004F7B49" w:rsidRPr="004F7B49" w:rsidRDefault="004F7B49" w:rsidP="004F7B49">
      <w:permStart w:id="838819497" w:edGrp="everyone"/>
      <w:r w:rsidRPr="004F7B49">
        <w:t>TYPE YOUR TEXT HERE</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77777777" w:rsidR="004F7B49" w:rsidRPr="004F7B49" w:rsidRDefault="004F7B49" w:rsidP="004F7B49">
      <w:permStart w:id="487798687" w:edGrp="everyone"/>
      <w:r w:rsidRPr="004F7B49">
        <w:t>TYPE YOUR TEXT HERE</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450826E6" w:rsidR="004F7B49" w:rsidRDefault="004C1A0D" w:rsidP="004F7B49">
      <w:permStart w:id="773726107" w:edGrp="everyone"/>
      <w:r>
        <w:t>It should be made clear that both exchange-traded derivatives (“ETDs”) and OTC derivatives can be executed on regulated trading venues.</w:t>
      </w:r>
    </w:p>
    <w:p w14:paraId="64C929A8" w14:textId="6FF7C3BA" w:rsidR="004C1A0D" w:rsidRDefault="004C1A0D" w:rsidP="004F7B49"/>
    <w:p w14:paraId="0F1CB727" w14:textId="1F512564" w:rsidR="004C1A0D" w:rsidRDefault="004C1A0D" w:rsidP="004F7B49">
      <w:r>
        <w:t xml:space="preserve">ETDs are executed on Regulated Markets (“RMs”).  Per EMIR Article 2(7), OTC derivatives are not executed on </w:t>
      </w:r>
      <w:proofErr w:type="spellStart"/>
      <w:r>
        <w:t>RMs.</w:t>
      </w:r>
      <w:proofErr w:type="spellEnd"/>
      <w:r>
        <w:t xml:space="preserve">  However, OTC derivatives can be</w:t>
      </w:r>
      <w:r w:rsidR="00E273CD">
        <w:t xml:space="preserve"> and are regularly</w:t>
      </w:r>
      <w:r>
        <w:t xml:space="preserve"> executed on MTFs and OTFs.</w:t>
      </w:r>
    </w:p>
    <w:p w14:paraId="3CF8B124" w14:textId="2E928A5D" w:rsidR="004C1A0D" w:rsidRDefault="004C1A0D" w:rsidP="004F7B49"/>
    <w:p w14:paraId="46D2D200" w14:textId="1977EF14" w:rsidR="004C1A0D" w:rsidRPr="004F7B49" w:rsidRDefault="004C1A0D" w:rsidP="004F7B49">
      <w:r>
        <w:t xml:space="preserve">It is critically important not to </w:t>
      </w:r>
      <w:r w:rsidRPr="004C1A0D">
        <w:t xml:space="preserve">conflate ETDs and OTC derivatives by </w:t>
      </w:r>
      <w:r>
        <w:t xml:space="preserve">incorrectly </w:t>
      </w:r>
      <w:r w:rsidRPr="004C1A0D">
        <w:t>classifying all instruments traded on a regulated trading venue (i.e. a Regulated Market, MTF, or OTF) as an ETD</w:t>
      </w:r>
      <w:r>
        <w:t xml:space="preserve">.  This approach is contrary to both the legislative text and market practice, and hinders efforts to evaluate the impact of recently implemented regulatory reforms across the entire OTC derivatives market.  For example, a single type of OTC derivative </w:t>
      </w:r>
      <w:r w:rsidR="00E273CD">
        <w:t xml:space="preserve">– </w:t>
      </w:r>
      <w:r>
        <w:t>an interest rate swap – can be 1) executed on-venue and cleared, 2) executed on-venue and not cleared, 3) executed off-venue and cleared, and 4) executed off-venue and not cleared.  All of these execution and clearing permutations still relate to the same OTC derivative instrument, and it is important to be able to identify how much trading activity falls within each bucket for a given type of OTC derivative.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77777777" w:rsidR="004F7B49" w:rsidRPr="004F7B49" w:rsidRDefault="004F7B49" w:rsidP="004F7B49">
      <w:permStart w:id="699138572" w:edGrp="everyone"/>
      <w:r w:rsidRPr="004F7B49">
        <w:t>TYPE YOUR TEXT HERE</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7777777" w:rsidR="004F7B49" w:rsidRPr="004F7B49" w:rsidRDefault="004F7B49" w:rsidP="004F7B49">
      <w:permStart w:id="1905620869" w:edGrp="everyone"/>
      <w:r w:rsidRPr="004F7B49">
        <w:t>TYPE YOUR TEXT HERE</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77777777" w:rsidR="004F7B49" w:rsidRPr="004F7B49" w:rsidRDefault="004F7B49" w:rsidP="004F7B49">
      <w:permStart w:id="1579104281" w:edGrp="everyone"/>
      <w:r w:rsidRPr="004F7B49">
        <w:t>TYPE YOUR TEXT HERE</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6CD84FFA" w14:textId="77777777" w:rsidR="004F7B49" w:rsidRPr="004F7B49" w:rsidRDefault="004F7B49" w:rsidP="004F7B49">
      <w:permStart w:id="1955139634" w:edGrp="everyone"/>
      <w:r w:rsidRPr="004F7B49">
        <w:t>TYPE YOUR TEXT HERE</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77777777" w:rsidR="004F7B49" w:rsidRPr="004F7B49" w:rsidRDefault="004F7B49" w:rsidP="004F7B49">
      <w:permStart w:id="1677329523" w:edGrp="everyone"/>
      <w:r w:rsidRPr="004F7B49">
        <w:t>TYPE YOUR TEXT HERE</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0350FD98" w14:textId="77777777" w:rsidR="004F7B49" w:rsidRPr="004F7B49" w:rsidRDefault="004F7B49" w:rsidP="004F7B49">
      <w:permStart w:id="1383475364" w:edGrp="everyone"/>
      <w:r w:rsidRPr="004F7B49">
        <w:t>TYPE YOUR TEXT HERE</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77777777" w:rsidR="004F7B49" w:rsidRPr="004F7B49" w:rsidRDefault="004F7B49" w:rsidP="004F7B49">
      <w:permStart w:id="1065617603" w:edGrp="everyone"/>
      <w:r w:rsidRPr="004F7B49">
        <w:t>TYPE YOUR TEXT HERE</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77777777" w:rsidR="004F7B49" w:rsidRPr="004F7B49" w:rsidRDefault="004F7B49" w:rsidP="004F7B49">
      <w:permStart w:id="739080107" w:edGrp="everyone"/>
      <w:r w:rsidRPr="004F7B49">
        <w:t>TYPE YOUR TEXT HERE</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A4ECA43" w14:textId="77777777" w:rsidR="004F7B49" w:rsidRPr="004F7B49" w:rsidRDefault="004F7B49" w:rsidP="004F7B49">
      <w:permStart w:id="927873555" w:edGrp="everyone"/>
      <w:r w:rsidRPr="004F7B49">
        <w:t>TYPE YOUR TEXT HERE</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4B907723" w14:textId="77777777" w:rsidR="004F7B49" w:rsidRPr="004F7B49" w:rsidRDefault="004F7B49" w:rsidP="004F7B49">
      <w:permStart w:id="1829988511" w:edGrp="everyone"/>
      <w:r w:rsidRPr="004F7B49">
        <w:t>TYPE YOUR TEXT HERE</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65FED3D8" w14:textId="77777777" w:rsidR="004F7B49" w:rsidRPr="004F7B49" w:rsidRDefault="004F7B49" w:rsidP="004F7B49">
      <w:permStart w:id="1913861282" w:edGrp="everyone"/>
      <w:r w:rsidRPr="004F7B49">
        <w:t>TYPE YOUR TEXT HERE</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1637D604" w14:textId="77777777" w:rsidR="004F7B49" w:rsidRPr="004F7B49" w:rsidRDefault="004F7B49" w:rsidP="004F7B49">
      <w:permStart w:id="1935019154" w:edGrp="everyone"/>
      <w:r w:rsidRPr="004F7B49">
        <w:t>TYPE YOUR TEXT HERE</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77777777" w:rsidR="004F7B49" w:rsidRPr="004F7B49" w:rsidRDefault="004F7B49" w:rsidP="004F7B49">
      <w:permStart w:id="1780942797" w:edGrp="everyone"/>
      <w:r w:rsidRPr="004F7B49">
        <w:t>TYPE YOUR TEXT HERE</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7777777" w:rsidR="004F7B49" w:rsidRPr="004F7B49" w:rsidRDefault="004F7B49" w:rsidP="004F7B49">
      <w:permStart w:id="465711427" w:edGrp="everyone"/>
      <w:r w:rsidRPr="004F7B49">
        <w:t>TYPE YOUR TEXT HERE</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77777777" w:rsidR="004F7B49" w:rsidRPr="004F7B49" w:rsidRDefault="004F7B49" w:rsidP="004F7B49">
      <w:permStart w:id="1867064134" w:edGrp="everyone"/>
      <w:r w:rsidRPr="004F7B49">
        <w:t>TYPE YOUR TEXT HERE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77777777" w:rsidR="004F7B49" w:rsidRPr="004F7B49" w:rsidRDefault="004F7B49" w:rsidP="004F7B49">
      <w:permStart w:id="1506410867" w:edGrp="everyone"/>
      <w:r w:rsidRPr="004F7B49">
        <w:t>TYPE YOUR TEXT HERE</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028C13E9" w:rsidR="004F7B49" w:rsidRDefault="009146E1" w:rsidP="004F7B49">
      <w:permStart w:id="912810068" w:edGrp="everyone"/>
      <w:r>
        <w:t>We welcome the clarification that transactions executed on third-country organized trading venues should be populated with the relevant platform identifier, rather than XOFF or XXXX.</w:t>
      </w:r>
    </w:p>
    <w:p w14:paraId="52E483EC" w14:textId="2E37FC8A" w:rsidR="009146E1" w:rsidRDefault="009146E1" w:rsidP="004F7B49"/>
    <w:p w14:paraId="34DFF69A" w14:textId="00F2AEE7" w:rsidR="009146E1" w:rsidRPr="004F7B49" w:rsidRDefault="009146E1" w:rsidP="004F7B49">
      <w:r>
        <w:t>We recommend c</w:t>
      </w:r>
      <w:r w:rsidRPr="009146E1">
        <w:t>larify</w:t>
      </w:r>
      <w:r>
        <w:t>ing</w:t>
      </w:r>
      <w:r w:rsidRPr="009146E1">
        <w:t xml:space="preserve"> that transactions may be executed on, </w:t>
      </w:r>
      <w:r w:rsidRPr="009146E1">
        <w:rPr>
          <w:u w:val="single"/>
        </w:rPr>
        <w:t>or pursuant to the rules of</w:t>
      </w:r>
      <w:r w:rsidRPr="009146E1">
        <w:t xml:space="preserve">, trading facilities.  </w:t>
      </w:r>
      <w:bookmarkStart w:id="3" w:name="_Hlk83038405"/>
      <w:r>
        <w:t>For example</w:t>
      </w:r>
      <w:r w:rsidRPr="009146E1">
        <w:t xml:space="preserve">, </w:t>
      </w:r>
      <w:r>
        <w:t>transactions often may</w:t>
      </w:r>
      <w:r w:rsidRPr="009146E1">
        <w:t xml:space="preserve"> be negotiated </w:t>
      </w:r>
      <w:r>
        <w:t xml:space="preserve">or pre-arranged </w:t>
      </w:r>
      <w:r w:rsidRPr="009146E1">
        <w:t xml:space="preserve">bilaterally </w:t>
      </w:r>
      <w:r>
        <w:t xml:space="preserve">and then formalised </w:t>
      </w:r>
      <w:r w:rsidRPr="009146E1">
        <w:t xml:space="preserve">pursuant to the rules of a trading facility, yet still should be </w:t>
      </w:r>
      <w:r w:rsidR="00BA37BC">
        <w:t>reported</w:t>
      </w:r>
      <w:r w:rsidRPr="009146E1">
        <w:t xml:space="preserve"> with the relevant platform identifier</w:t>
      </w:r>
      <w:bookmarkEnd w:id="3"/>
      <w:r>
        <w:t>.</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5A60E99E" w14:textId="2BC05647" w:rsidR="005228F6" w:rsidRDefault="00D076E4" w:rsidP="004F7B49">
      <w:permStart w:id="747795471" w:edGrp="everyone"/>
      <w:r>
        <w:t>It is important t</w:t>
      </w:r>
      <w:r w:rsidR="005228F6">
        <w:t>hat counterparty identities are not required to be disclosed to the other executing counterparty when reporting anonymously-executed cleared transactions.  While the trading venue and clearinghouse will have information regarding the executing counterparty on each side of the trade, it is critical to protect anonymity where the parties have elected to execute on an anonymous basis.</w:t>
      </w:r>
    </w:p>
    <w:p w14:paraId="3E529CE2" w14:textId="77777777" w:rsidR="005228F6" w:rsidRDefault="005228F6" w:rsidP="004F7B49"/>
    <w:p w14:paraId="2BAA1323" w14:textId="36345757" w:rsidR="004F7B49" w:rsidRPr="004F7B49" w:rsidRDefault="005228F6" w:rsidP="004F7B49">
      <w:r>
        <w:t xml:space="preserve">Requiring post-execution disclosure of counterparty identities for anonymously-executed trades leads to </w:t>
      </w:r>
      <w:r w:rsidRPr="005228F6">
        <w:t>uncontrolled information leakage since a market participant has no control over who it will be matched with when executing through an anonymous trading protocol</w:t>
      </w:r>
      <w:r>
        <w:t>.</w:t>
      </w:r>
      <w:r w:rsidRPr="005228F6">
        <w:t xml:space="preserve">  Therefore, before using </w:t>
      </w:r>
      <w:r>
        <w:t>the</w:t>
      </w:r>
      <w:r w:rsidRPr="005228F6">
        <w:t xml:space="preserve"> anonymous </w:t>
      </w:r>
      <w:r>
        <w:t xml:space="preserve">trading protocol, a </w:t>
      </w:r>
      <w:r w:rsidRPr="005228F6">
        <w:t>firm must be comfortable potentially sharing its trading activity with every other participant on the trading venue. This is an unattractive proposition that completely undermines the anonymous nature of the trading protocol and deters access and participation</w:t>
      </w:r>
      <w:r>
        <w:t>.</w:t>
      </w:r>
    </w:p>
    <w:permEnd w:id="747795471"/>
    <w:p w14:paraId="36ACE5B4" w14:textId="77777777" w:rsidR="004F7B49" w:rsidRPr="004F7B49" w:rsidRDefault="004F7B49" w:rsidP="004F7B49">
      <w:r w:rsidRPr="004F7B49">
        <w:lastRenderedPageBreak/>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77777777" w:rsidR="004F7B49" w:rsidRPr="004F7B49" w:rsidRDefault="004F7B49" w:rsidP="004F7B49">
      <w:permStart w:id="1012694255" w:edGrp="everyone"/>
      <w:r w:rsidRPr="004F7B49">
        <w:t>TYPE YOUR TEXT HERE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7777777" w:rsidR="004F7B49" w:rsidRPr="004F7B49" w:rsidRDefault="004F7B49" w:rsidP="004F7B49">
      <w:permStart w:id="1317166044" w:edGrp="everyone"/>
      <w:r w:rsidRPr="004F7B49">
        <w:t>TYPE YOUR TEXT HERE</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77777777" w:rsidR="004F7B49" w:rsidRPr="004F7B49" w:rsidRDefault="004F7B49" w:rsidP="004F7B49">
      <w:permStart w:id="595292525" w:edGrp="everyone"/>
      <w:r w:rsidRPr="004F7B49">
        <w:lastRenderedPageBreak/>
        <w:t>TYPE YOUR TEXT HERE</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77777777" w:rsidR="004F7B49" w:rsidRPr="004F7B49" w:rsidRDefault="004F7B49" w:rsidP="004F7B49">
      <w:permStart w:id="1789417857" w:edGrp="everyone"/>
      <w:r w:rsidRPr="004F7B49">
        <w:t>TYPE YOUR TEXT HERE</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77777777" w:rsidR="004F7B49" w:rsidRPr="004F7B49" w:rsidRDefault="004F7B49" w:rsidP="004F7B49">
      <w:permStart w:id="817460526" w:edGrp="everyone"/>
      <w:r w:rsidRPr="004F7B49">
        <w:t>TYPE YOUR TEXT HERE</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77777777" w:rsidR="004F7B49" w:rsidRPr="004F7B49" w:rsidRDefault="004F7B49" w:rsidP="004F7B49">
      <w:permStart w:id="302869040" w:edGrp="everyone"/>
      <w:r w:rsidRPr="004F7B49">
        <w:t>TYPE YOUR TEXT HERE</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77777777" w:rsidR="004F7B49" w:rsidRPr="004F7B49" w:rsidRDefault="004F7B49" w:rsidP="004F7B49">
      <w:permStart w:id="778715077" w:edGrp="everyone"/>
      <w:r w:rsidRPr="004F7B49">
        <w:t>TYPE YOUR TEXT HERE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77777777" w:rsidR="004F7B49" w:rsidRPr="004F7B49" w:rsidRDefault="004F7B49" w:rsidP="004F7B49">
      <w:permStart w:id="1275090120" w:edGrp="everyone"/>
      <w:r w:rsidRPr="004F7B49">
        <w:t>TYPE YOUR TEXT HERE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77777777" w:rsidR="004F7B49" w:rsidRPr="004F7B49" w:rsidRDefault="004F7B49" w:rsidP="004F7B49">
      <w:permStart w:id="1543464251" w:edGrp="everyone"/>
      <w:r w:rsidRPr="004F7B49">
        <w:t>TYPE YOUR TEXT HERE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t>TYPE YOUR TEXT HERE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77777777" w:rsidR="004F7B49" w:rsidRPr="004F7B49" w:rsidRDefault="004F7B49" w:rsidP="004F7B49">
      <w:permStart w:id="160379486" w:edGrp="everyone"/>
      <w:r w:rsidRPr="004F7B49">
        <w:t>TYPE YOUR TEXT HERE</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77777777" w:rsidR="004F7B49" w:rsidRPr="004F7B49" w:rsidRDefault="004F7B49" w:rsidP="004F7B49">
      <w:permStart w:id="23098055" w:edGrp="everyone"/>
      <w:r w:rsidRPr="004F7B49">
        <w:t>TYPE YOUR TEXT HERE</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77777777" w:rsidR="004F7B49" w:rsidRPr="004F7B49" w:rsidRDefault="004F7B49" w:rsidP="004F7B49">
      <w:permStart w:id="903745424" w:edGrp="everyone"/>
      <w:r w:rsidRPr="004F7B49">
        <w:t>TYPE YOUR TEXT HERE</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77777777" w:rsidR="004F7B49" w:rsidRPr="004F7B49" w:rsidRDefault="004F7B49" w:rsidP="004F7B49">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6FB9AF3E" w14:textId="77777777" w:rsidR="004F7B49" w:rsidRPr="004F7B49" w:rsidRDefault="004F7B49" w:rsidP="004F7B49">
      <w:permStart w:id="177222125" w:edGrp="everyone"/>
      <w:r w:rsidRPr="004F7B49">
        <w:t>TYPE YOUR TEXT HERE</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77777777" w:rsidR="004F7B49" w:rsidRPr="004F7B49" w:rsidRDefault="004F7B49" w:rsidP="004F7B49">
      <w:permStart w:id="1930586842" w:edGrp="everyone"/>
      <w:r w:rsidRPr="004F7B49">
        <w:t>TYPE YOUR TEXT HERE</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3104F7" w14:textId="77777777" w:rsidR="004F7B49" w:rsidRPr="004F7B49" w:rsidRDefault="004F7B49" w:rsidP="004F7B49">
      <w:permStart w:id="859136354" w:edGrp="everyone"/>
      <w:r w:rsidRPr="004F7B49">
        <w:t>TYPE YOUR TEXT HERE</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7AE0ACDE" w14:textId="77777777" w:rsidR="004F7B49" w:rsidRPr="004F7B49" w:rsidRDefault="004F7B49" w:rsidP="004F7B49">
      <w:permStart w:id="1132283836" w:edGrp="everyone"/>
      <w:r w:rsidRPr="004F7B49">
        <w:t>TYPE YOUR TEXT HERE</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77777777" w:rsidR="004F7B49" w:rsidRPr="004F7B49" w:rsidRDefault="004F7B49" w:rsidP="004F7B49">
      <w:permStart w:id="794066036" w:edGrp="everyone"/>
      <w:r w:rsidRPr="004F7B49">
        <w:t>TYPE YOUR TEXT HERE</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77777777" w:rsidR="004F7B49" w:rsidRPr="004F7B49" w:rsidRDefault="004F7B49" w:rsidP="004F7B49">
      <w:permStart w:id="1012422269" w:edGrp="everyone"/>
      <w:r w:rsidRPr="004F7B49">
        <w:t>TYPE YOUR TEXT HERE</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t>TYPE YOUR TEXT HERE</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77777777" w:rsidR="004F7B49" w:rsidRPr="004F7B49" w:rsidRDefault="004F7B49" w:rsidP="004F7B49">
      <w:permStart w:id="1281183597" w:edGrp="everyone"/>
      <w:r w:rsidRPr="004F7B49">
        <w:t>TYPE YOUR TEXT HERE</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77777777" w:rsidR="004F7B49" w:rsidRPr="004F7B49" w:rsidRDefault="004F7B49" w:rsidP="004F7B49">
      <w:permStart w:id="528113517" w:edGrp="everyone"/>
      <w:r w:rsidRPr="004F7B49">
        <w:t>TYPE YOUR TEXT HERE</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7777777" w:rsidR="004F7B49" w:rsidRPr="004F7B49" w:rsidRDefault="004F7B49" w:rsidP="004F7B49">
      <w:permStart w:id="678901143" w:edGrp="everyone"/>
      <w:r w:rsidRPr="004F7B49">
        <w:t>TYPE YOUR TEXT HERE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77777777" w:rsidR="004F7B49" w:rsidRPr="004F7B49" w:rsidRDefault="004F7B49" w:rsidP="004F7B49">
      <w:permStart w:id="339289437" w:edGrp="everyone"/>
      <w:r w:rsidRPr="004F7B49">
        <w:t>TYPE YOUR TEXT HERE</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DB1E7" w14:textId="77777777" w:rsidR="004C1A0D" w:rsidRDefault="004C1A0D">
      <w:r>
        <w:separator/>
      </w:r>
    </w:p>
    <w:p w14:paraId="560EBA44" w14:textId="77777777" w:rsidR="004C1A0D" w:rsidRDefault="004C1A0D"/>
  </w:endnote>
  <w:endnote w:type="continuationSeparator" w:id="0">
    <w:p w14:paraId="16EC5A81" w14:textId="77777777" w:rsidR="004C1A0D" w:rsidRDefault="004C1A0D">
      <w:r>
        <w:continuationSeparator/>
      </w:r>
    </w:p>
    <w:p w14:paraId="0458C702" w14:textId="77777777" w:rsidR="004C1A0D" w:rsidRDefault="004C1A0D"/>
  </w:endnote>
  <w:endnote w:type="continuationNotice" w:id="1">
    <w:p w14:paraId="4775FDB4" w14:textId="77777777" w:rsidR="004C1A0D" w:rsidRDefault="004C1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C1A0D" w:rsidRPr="00616B9B" w14:paraId="313FAE1A" w14:textId="77777777" w:rsidTr="00315E96">
      <w:trPr>
        <w:trHeight w:val="284"/>
      </w:trPr>
      <w:tc>
        <w:tcPr>
          <w:tcW w:w="8460" w:type="dxa"/>
        </w:tcPr>
        <w:p w14:paraId="0BEF8BC6" w14:textId="77777777" w:rsidR="004C1A0D" w:rsidRPr="00315E96" w:rsidRDefault="004C1A0D" w:rsidP="00315E96">
          <w:pPr>
            <w:pStyle w:val="00Footer"/>
            <w:rPr>
              <w:lang w:val="fr-FR"/>
            </w:rPr>
          </w:pPr>
        </w:p>
      </w:tc>
      <w:tc>
        <w:tcPr>
          <w:tcW w:w="952" w:type="dxa"/>
        </w:tcPr>
        <w:p w14:paraId="7FD1DE07" w14:textId="77777777" w:rsidR="004C1A0D" w:rsidRPr="00616B9B" w:rsidRDefault="004C1A0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4C1A0D" w:rsidRDefault="004C1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4C1A0D" w:rsidRDefault="004C1A0D"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4C1A0D" w:rsidRDefault="004C1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91807" w14:textId="77777777" w:rsidR="004C1A0D" w:rsidRDefault="004C1A0D">
      <w:r>
        <w:separator/>
      </w:r>
    </w:p>
    <w:p w14:paraId="70FB8FB2" w14:textId="77777777" w:rsidR="004C1A0D" w:rsidRDefault="004C1A0D"/>
  </w:footnote>
  <w:footnote w:type="continuationSeparator" w:id="0">
    <w:p w14:paraId="76872F65" w14:textId="77777777" w:rsidR="004C1A0D" w:rsidRDefault="004C1A0D">
      <w:r>
        <w:continuationSeparator/>
      </w:r>
    </w:p>
    <w:p w14:paraId="3B323B97" w14:textId="77777777" w:rsidR="004C1A0D" w:rsidRDefault="004C1A0D"/>
  </w:footnote>
  <w:footnote w:type="continuationNotice" w:id="1">
    <w:p w14:paraId="4DD03E3C" w14:textId="77777777" w:rsidR="004C1A0D" w:rsidRDefault="004C1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4C1A0D" w:rsidRDefault="004C1A0D">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4C1A0D" w:rsidRDefault="004C1A0D"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4C1A0D" w:rsidRDefault="004C1A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C1A0D" w:rsidRPr="002F4496" w14:paraId="60C7474C" w14:textId="77777777" w:rsidTr="000C06C9">
      <w:trPr>
        <w:trHeight w:val="284"/>
      </w:trPr>
      <w:tc>
        <w:tcPr>
          <w:tcW w:w="8460" w:type="dxa"/>
        </w:tcPr>
        <w:p w14:paraId="54B7E7F0" w14:textId="77777777" w:rsidR="004C1A0D" w:rsidRPr="000C3B6D" w:rsidRDefault="004C1A0D" w:rsidP="000C06C9">
          <w:pPr>
            <w:pStyle w:val="00Footer"/>
            <w:rPr>
              <w:lang w:val="fr-FR"/>
            </w:rPr>
          </w:pPr>
        </w:p>
      </w:tc>
      <w:tc>
        <w:tcPr>
          <w:tcW w:w="952" w:type="dxa"/>
        </w:tcPr>
        <w:p w14:paraId="2E49D042" w14:textId="77777777" w:rsidR="004C1A0D" w:rsidRPr="00146B34" w:rsidRDefault="004C1A0D" w:rsidP="000C06C9">
          <w:pPr>
            <w:pStyle w:val="00aPagenumber"/>
            <w:rPr>
              <w:lang w:val="fr-FR"/>
            </w:rPr>
          </w:pPr>
        </w:p>
      </w:tc>
    </w:tr>
  </w:tbl>
  <w:p w14:paraId="580707D9" w14:textId="77777777" w:rsidR="004C1A0D" w:rsidRPr="00DB46C3" w:rsidRDefault="004C1A0D">
    <w:pPr>
      <w:rPr>
        <w:lang w:val="fr-FR"/>
      </w:rPr>
    </w:pPr>
  </w:p>
  <w:p w14:paraId="20C4F67C" w14:textId="77777777" w:rsidR="004C1A0D" w:rsidRPr="002F4496" w:rsidRDefault="004C1A0D">
    <w:pPr>
      <w:pStyle w:val="Header"/>
      <w:rPr>
        <w:lang w:val="fr-FR"/>
      </w:rPr>
    </w:pPr>
  </w:p>
  <w:p w14:paraId="3F30C70B" w14:textId="77777777" w:rsidR="004C1A0D" w:rsidRPr="002F4496" w:rsidRDefault="004C1A0D" w:rsidP="000C06C9">
    <w:pPr>
      <w:pStyle w:val="Header"/>
      <w:tabs>
        <w:tab w:val="clear" w:pos="4536"/>
        <w:tab w:val="clear" w:pos="9072"/>
        <w:tab w:val="left" w:pos="8227"/>
      </w:tabs>
      <w:rPr>
        <w:lang w:val="fr-FR"/>
      </w:rPr>
    </w:pPr>
  </w:p>
  <w:p w14:paraId="4D50BC39" w14:textId="77777777" w:rsidR="004C1A0D" w:rsidRPr="002F4496" w:rsidRDefault="004C1A0D" w:rsidP="00583885">
    <w:pPr>
      <w:pStyle w:val="Header"/>
      <w:jc w:val="right"/>
      <w:rPr>
        <w:lang w:val="fr-FR"/>
      </w:rPr>
    </w:pPr>
  </w:p>
  <w:p w14:paraId="2D51BEA2" w14:textId="77777777" w:rsidR="004C1A0D" w:rsidRPr="002F4496" w:rsidRDefault="004C1A0D">
    <w:pPr>
      <w:pStyle w:val="Header"/>
      <w:rPr>
        <w:lang w:val="fr-FR"/>
      </w:rPr>
    </w:pPr>
  </w:p>
  <w:p w14:paraId="340B2438" w14:textId="77777777" w:rsidR="004C1A0D" w:rsidRPr="002F4496" w:rsidRDefault="004C1A0D">
    <w:pPr>
      <w:pStyle w:val="Header"/>
      <w:rPr>
        <w:lang w:val="fr-FR"/>
      </w:rPr>
    </w:pPr>
  </w:p>
  <w:p w14:paraId="2A794A3E" w14:textId="77777777" w:rsidR="004C1A0D" w:rsidRPr="002F4496" w:rsidRDefault="004C1A0D">
    <w:pPr>
      <w:pStyle w:val="Header"/>
      <w:rPr>
        <w:lang w:val="fr-FR"/>
      </w:rPr>
    </w:pPr>
  </w:p>
  <w:p w14:paraId="0A21F475" w14:textId="77777777" w:rsidR="004C1A0D" w:rsidRPr="002F4496" w:rsidRDefault="004C1A0D">
    <w:pPr>
      <w:pStyle w:val="Header"/>
      <w:rPr>
        <w:highlight w:val="yellow"/>
        <w:lang w:val="fr-FR"/>
      </w:rPr>
    </w:pPr>
  </w:p>
  <w:p w14:paraId="53ABEE5D" w14:textId="77777777" w:rsidR="004C1A0D" w:rsidRDefault="004C1A0D">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20"/>
  </w:num>
  <w:num w:numId="27">
    <w:abstractNumId w:val="33"/>
  </w:num>
  <w:num w:numId="28">
    <w:abstractNumId w:val="40"/>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21"/>
    <w:lvlOverride w:ilvl="0">
      <w:startOverride w:val="1"/>
    </w:lvlOverride>
  </w:num>
  <w:num w:numId="38">
    <w:abstractNumId w:val="2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348"/>
    <w:rsid w:val="001E04FC"/>
    <w:rsid w:val="001E407D"/>
    <w:rsid w:val="001E40FB"/>
    <w:rsid w:val="001E66EC"/>
    <w:rsid w:val="001E68C5"/>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A0D"/>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8F6"/>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5D8B"/>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B68DB"/>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6E1"/>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37BC"/>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6E4"/>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3C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DefaultParagraphFon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4172</Words>
  <Characters>25100</Characters>
  <Application>Microsoft Office Word</Application>
  <DocSecurity>8</DocSecurity>
  <Lines>209</Lines>
  <Paragraphs>58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29214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Jonah Platt</cp:lastModifiedBy>
  <cp:revision>4</cp:revision>
  <cp:lastPrinted>2015-02-18T11:01:00Z</cp:lastPrinted>
  <dcterms:created xsi:type="dcterms:W3CDTF">2021-09-30T16:18:00Z</dcterms:created>
  <dcterms:modified xsi:type="dcterms:W3CDTF">2021-09-30T16:51:00Z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