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Piedepgina"/>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Prrafodelista"/>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9" w:history="1">
        <w:r w:rsidRPr="005B6B12">
          <w:rPr>
            <w:rStyle w:val="Hipervnculo"/>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Fonts w:ascii="Open Sans" w:hAnsi="Open Sans" w:cs="Open Sans"/>
            </w:rPr>
            <w:id w:val="651570699"/>
            <w:text/>
          </w:sdtPr>
          <w:sdtEndPr/>
          <w:sdtContent>
            <w:tc>
              <w:tcPr>
                <w:tcW w:w="5595" w:type="dxa"/>
                <w:shd w:val="clear" w:color="auto" w:fill="auto"/>
              </w:tcPr>
              <w:p w14:paraId="7A68491E" w14:textId="5CB33E82" w:rsidR="00C2682A" w:rsidRPr="000E1F88" w:rsidRDefault="005A7DFB" w:rsidP="00FA5524">
                <w:pPr>
                  <w:rPr>
                    <w:rStyle w:val="Textodelmarcadordeposicin"/>
                    <w:rFonts w:ascii="Open Sans" w:hAnsi="Open Sans" w:cs="Open Sans"/>
                    <w:color w:val="auto"/>
                  </w:rPr>
                </w:pPr>
                <w:r w:rsidRPr="000E1F88">
                  <w:rPr>
                    <w:rFonts w:ascii="Open Sans" w:hAnsi="Open Sans" w:cs="Open Sans"/>
                  </w:rPr>
                  <w:t>BME CLEARING, S.A.U</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D85F0AB" w:rsidR="00C2682A" w:rsidRPr="000E1F88" w:rsidRDefault="00FB13B2" w:rsidP="00FA5524">
            <w:pPr>
              <w:rPr>
                <w:rFonts w:ascii="Open Sans" w:hAnsi="Open Sans" w:cs="Open Sans"/>
              </w:rPr>
            </w:pPr>
            <w:sdt>
              <w:sdtPr>
                <w:rPr>
                  <w:rFonts w:ascii="Open Sans" w:hAnsi="Open Sans" w:cs="Open Sans"/>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D64F8" w:rsidRPr="000E1F88">
                  <w:rPr>
                    <w:rFonts w:ascii="Open Sans" w:hAnsi="Open Sans" w:cs="Open Sans"/>
                  </w:rPr>
                  <w:t>Central Counterparty</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ascii="Open Sans" w:hAnsi="Open Sans" w:cs="Open Sans"/>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0E1F88" w:rsidRDefault="00C2682A" w:rsidP="00FA5524">
                <w:pPr>
                  <w:rPr>
                    <w:rFonts w:ascii="Open Sans" w:hAnsi="Open Sans" w:cs="Open Sans"/>
                  </w:rPr>
                </w:pPr>
                <w:r w:rsidRPr="000E1F88">
                  <w:rPr>
                    <w:rFonts w:ascii="Segoe UI Symbol" w:eastAsia="MS Gothic" w:hAnsi="Segoe UI Symbol" w:cs="Segoe UI Symbol"/>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ascii="Open Sans" w:hAnsi="Open Sans" w:cs="Open Sans"/>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BC0A021" w:rsidR="00C2682A" w:rsidRPr="000E1F88" w:rsidRDefault="004D64F8" w:rsidP="00FA5524">
                <w:pPr>
                  <w:rPr>
                    <w:rFonts w:ascii="Open Sans" w:hAnsi="Open Sans" w:cs="Open Sans"/>
                  </w:rPr>
                </w:pPr>
                <w:r w:rsidRPr="000E1F88">
                  <w:rPr>
                    <w:rFonts w:ascii="Open Sans" w:hAnsi="Open Sans" w:cs="Open Sans"/>
                  </w:rPr>
                  <w:t>Spain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788200C0" w14:textId="77777777" w:rsidR="00C15F68" w:rsidRDefault="00C15F68" w:rsidP="00E029C0">
      <w:pPr>
        <w:jc w:val="both"/>
        <w:rPr>
          <w:rFonts w:ascii="Open Sans" w:hAnsi="Open Sans" w:cs="Open Sans"/>
          <w:color w:val="000000"/>
          <w:lang w:val="en-US"/>
        </w:rPr>
      </w:pPr>
      <w:permStart w:id="1454525006" w:edGrp="everyone"/>
    </w:p>
    <w:p w14:paraId="281C82D3" w14:textId="69B52A8A" w:rsidR="00AC6FAD" w:rsidRPr="0062585A" w:rsidRDefault="00AC6FAD" w:rsidP="00D200FA">
      <w:pPr>
        <w:jc w:val="both"/>
        <w:rPr>
          <w:rFonts w:ascii="Open Sans" w:hAnsi="Open Sans" w:cs="Open Sans"/>
        </w:rPr>
      </w:pPr>
      <w:r w:rsidRPr="0062585A">
        <w:rPr>
          <w:rFonts w:ascii="Open Sans" w:hAnsi="Open Sans" w:cs="Open Sans"/>
        </w:rPr>
        <w:t xml:space="preserve">BME CLEARING is </w:t>
      </w:r>
      <w:r w:rsidR="0012538D">
        <w:rPr>
          <w:rFonts w:ascii="Open Sans" w:hAnsi="Open Sans" w:cs="Open Sans"/>
        </w:rPr>
        <w:t>the Spanish</w:t>
      </w:r>
      <w:r w:rsidRPr="0062585A">
        <w:rPr>
          <w:rFonts w:ascii="Open Sans" w:hAnsi="Open Sans" w:cs="Open Sans"/>
        </w:rPr>
        <w:t xml:space="preserve"> authorized CCP under EMIR. We appreciate the opportunity to participate in the ESMA consultation paper on EMIR </w:t>
      </w:r>
      <w:r w:rsidR="00913AA2" w:rsidRPr="0062585A">
        <w:rPr>
          <w:rFonts w:ascii="Open Sans" w:hAnsi="Open Sans" w:cs="Open Sans"/>
        </w:rPr>
        <w:t xml:space="preserve">REFIT </w:t>
      </w:r>
      <w:r w:rsidRPr="0062585A">
        <w:rPr>
          <w:rFonts w:ascii="Open Sans" w:hAnsi="Open Sans" w:cs="Open Sans"/>
        </w:rPr>
        <w:t>reporting.</w:t>
      </w:r>
    </w:p>
    <w:p w14:paraId="68D3A2D5" w14:textId="77777777" w:rsidR="00AC6FAD" w:rsidRPr="0062585A" w:rsidRDefault="00AC6FAD" w:rsidP="00D200FA">
      <w:pPr>
        <w:jc w:val="both"/>
        <w:rPr>
          <w:rFonts w:ascii="Open Sans" w:hAnsi="Open Sans" w:cs="Open Sans"/>
        </w:rPr>
      </w:pPr>
    </w:p>
    <w:p w14:paraId="1A1AAF7B" w14:textId="77777777" w:rsidR="00AC6FAD" w:rsidRPr="0062585A" w:rsidRDefault="00AC6FAD" w:rsidP="00D200FA">
      <w:pPr>
        <w:jc w:val="both"/>
        <w:rPr>
          <w:rFonts w:ascii="Open Sans" w:hAnsi="Open Sans" w:cs="Open Sans"/>
        </w:rPr>
      </w:pPr>
      <w:r w:rsidRPr="0062585A">
        <w:rPr>
          <w:rFonts w:ascii="Open Sans" w:hAnsi="Open Sans" w:cs="Open Sans"/>
        </w:rPr>
        <w:t>Before answering the ESMA consultation paper we would like to take this opportunity to set out some previous thoughts about EMIR reporting and this consultation paper.</w:t>
      </w:r>
    </w:p>
    <w:p w14:paraId="0CCABCF5" w14:textId="77777777" w:rsidR="00AC6FAD" w:rsidRPr="0062585A" w:rsidRDefault="00AC6FAD" w:rsidP="00D200FA">
      <w:pPr>
        <w:jc w:val="both"/>
        <w:rPr>
          <w:rFonts w:ascii="Open Sans" w:hAnsi="Open Sans" w:cs="Open Sans"/>
        </w:rPr>
      </w:pPr>
    </w:p>
    <w:p w14:paraId="58BFAA1E" w14:textId="0DA48C05" w:rsidR="00AC6FAD" w:rsidRPr="0062585A" w:rsidRDefault="00E029C0" w:rsidP="00D200FA">
      <w:pPr>
        <w:pStyle w:val="Prrafodelista"/>
        <w:numPr>
          <w:ilvl w:val="0"/>
          <w:numId w:val="44"/>
        </w:numPr>
        <w:jc w:val="both"/>
        <w:rPr>
          <w:rFonts w:ascii="Open Sans" w:hAnsi="Open Sans" w:cs="Open Sans"/>
        </w:rPr>
      </w:pPr>
      <w:r w:rsidRPr="0062585A">
        <w:rPr>
          <w:rFonts w:ascii="Open Sans" w:hAnsi="Open Sans" w:cs="Open Sans"/>
        </w:rPr>
        <w:t>A</w:t>
      </w:r>
      <w:r w:rsidR="00AC6FAD" w:rsidRPr="0062585A">
        <w:rPr>
          <w:rFonts w:ascii="Open Sans" w:hAnsi="Open Sans" w:cs="Open Sans"/>
        </w:rPr>
        <w:t>lthough BME CLEARING has a segment to clear IRS products, our volume comes mainly from ETD products. Therefore, most of our answers will be focused on ETD reporting.</w:t>
      </w:r>
    </w:p>
    <w:p w14:paraId="0E42E556" w14:textId="77777777" w:rsidR="005E1323" w:rsidRPr="0062585A" w:rsidRDefault="005E1323" w:rsidP="00D200FA">
      <w:pPr>
        <w:jc w:val="both"/>
        <w:rPr>
          <w:rFonts w:ascii="Open Sans" w:hAnsi="Open Sans" w:cs="Open Sans"/>
        </w:rPr>
      </w:pPr>
    </w:p>
    <w:p w14:paraId="54412995" w14:textId="1D84E311" w:rsidR="004E5D62" w:rsidRPr="0062585A" w:rsidRDefault="004E5D62" w:rsidP="00D200FA">
      <w:pPr>
        <w:pStyle w:val="Prrafodelista"/>
        <w:numPr>
          <w:ilvl w:val="0"/>
          <w:numId w:val="44"/>
        </w:numPr>
        <w:jc w:val="both"/>
        <w:rPr>
          <w:rFonts w:ascii="Open Sans" w:hAnsi="Open Sans" w:cs="Open Sans"/>
        </w:rPr>
      </w:pPr>
      <w:r w:rsidRPr="0062585A">
        <w:rPr>
          <w:rFonts w:ascii="Open Sans" w:hAnsi="Open Sans" w:cs="Open Sans"/>
        </w:rPr>
        <w:t>Given that there are 2 levels of reporting under EMIR; trades (ETDs and OTCs) and positions, we would like to highlight the following:</w:t>
      </w:r>
    </w:p>
    <w:p w14:paraId="588F7AFF" w14:textId="77777777" w:rsidR="004E5D62" w:rsidRPr="0062585A" w:rsidRDefault="004E5D62" w:rsidP="00D200FA">
      <w:pPr>
        <w:pStyle w:val="Prrafodelista"/>
        <w:jc w:val="both"/>
        <w:rPr>
          <w:rFonts w:ascii="Open Sans" w:hAnsi="Open Sans" w:cs="Open Sans"/>
        </w:rPr>
      </w:pPr>
    </w:p>
    <w:p w14:paraId="00A91C4C" w14:textId="27229C68" w:rsidR="004E5D62" w:rsidRPr="0062585A" w:rsidRDefault="004E5D62" w:rsidP="00D200FA">
      <w:pPr>
        <w:pStyle w:val="Prrafodelista"/>
        <w:numPr>
          <w:ilvl w:val="0"/>
          <w:numId w:val="45"/>
        </w:numPr>
        <w:spacing w:after="240"/>
        <w:jc w:val="both"/>
        <w:rPr>
          <w:rFonts w:ascii="Open Sans" w:hAnsi="Open Sans" w:cs="Open Sans"/>
        </w:rPr>
      </w:pPr>
      <w:r w:rsidRPr="0062585A">
        <w:rPr>
          <w:rFonts w:ascii="Open Sans" w:hAnsi="Open Sans" w:cs="Open Sans"/>
        </w:rPr>
        <w:t xml:space="preserve">On the one hand, OTC derivative trades are traded and normally tend to remain in the trading books of counterparties. </w:t>
      </w:r>
    </w:p>
    <w:p w14:paraId="75D70524" w14:textId="77777777" w:rsidR="004E5D62" w:rsidRPr="0062585A" w:rsidRDefault="004E5D62" w:rsidP="00D200FA">
      <w:pPr>
        <w:pStyle w:val="Prrafodelista"/>
        <w:spacing w:after="240"/>
        <w:ind w:left="1778"/>
        <w:jc w:val="both"/>
        <w:rPr>
          <w:rFonts w:ascii="Open Sans" w:hAnsi="Open Sans" w:cs="Open Sans"/>
        </w:rPr>
      </w:pPr>
    </w:p>
    <w:p w14:paraId="72AF37B1" w14:textId="4F2DF489" w:rsidR="004E5D62" w:rsidRPr="0062585A" w:rsidRDefault="004E5D62" w:rsidP="00D200FA">
      <w:pPr>
        <w:pStyle w:val="Prrafodelista"/>
        <w:numPr>
          <w:ilvl w:val="0"/>
          <w:numId w:val="45"/>
        </w:numPr>
        <w:spacing w:after="240"/>
        <w:ind w:right="-86"/>
        <w:jc w:val="both"/>
        <w:rPr>
          <w:rFonts w:ascii="Open Sans" w:hAnsi="Open Sans" w:cs="Open Sans"/>
        </w:rPr>
      </w:pPr>
      <w:r w:rsidRPr="0062585A">
        <w:rPr>
          <w:rFonts w:ascii="Open Sans" w:hAnsi="Open Sans" w:cs="Open Sans"/>
        </w:rPr>
        <w:t xml:space="preserve">On the other hand, ETD trades are completely different due to the clearing process performed by CCPs, so that all trades end up as part of a position. </w:t>
      </w:r>
    </w:p>
    <w:p w14:paraId="0F83FC1B" w14:textId="77777777" w:rsidR="004E5D62" w:rsidRPr="0062585A" w:rsidRDefault="004E5D62" w:rsidP="00D200FA">
      <w:pPr>
        <w:pStyle w:val="Prrafodelista"/>
        <w:jc w:val="both"/>
        <w:rPr>
          <w:rFonts w:ascii="Open Sans" w:hAnsi="Open Sans" w:cs="Open Sans"/>
        </w:rPr>
      </w:pPr>
    </w:p>
    <w:p w14:paraId="46F88853" w14:textId="07A74376" w:rsidR="004E5D62" w:rsidRPr="0062585A" w:rsidRDefault="004E5D62" w:rsidP="00D200FA">
      <w:pPr>
        <w:ind w:right="56"/>
        <w:jc w:val="both"/>
        <w:rPr>
          <w:rFonts w:ascii="Open Sans" w:hAnsi="Open Sans" w:cs="Open Sans"/>
        </w:rPr>
      </w:pPr>
      <w:r w:rsidRPr="0062585A">
        <w:rPr>
          <w:rFonts w:ascii="Open Sans" w:hAnsi="Open Sans" w:cs="Open Sans"/>
        </w:rPr>
        <w:t xml:space="preserve">Since the main objective of EMIR REFIT reporting is to identify financial stability risks in a timely manner, we believe that EMIR REFIT reporting in relation to ETDs should focus on positions that are directly related to </w:t>
      </w:r>
      <w:r w:rsidRPr="00FB13B2">
        <w:rPr>
          <w:rFonts w:ascii="Open Sans" w:hAnsi="Open Sans" w:cs="Open Sans"/>
        </w:rPr>
        <w:t xml:space="preserve">risk </w:t>
      </w:r>
      <w:r w:rsidR="004E508F" w:rsidRPr="00FB13B2">
        <w:rPr>
          <w:rFonts w:ascii="Open Sans" w:hAnsi="Open Sans" w:cs="Open Sans"/>
        </w:rPr>
        <w:t xml:space="preserve">rather than </w:t>
      </w:r>
      <w:r w:rsidRPr="00FB13B2">
        <w:rPr>
          <w:rFonts w:ascii="Open Sans" w:hAnsi="Open Sans" w:cs="Open Sans"/>
        </w:rPr>
        <w:t xml:space="preserve">on </w:t>
      </w:r>
      <w:r w:rsidRPr="0062585A">
        <w:rPr>
          <w:rFonts w:ascii="Open Sans" w:hAnsi="Open Sans" w:cs="Open Sans"/>
        </w:rPr>
        <w:t>trades.</w:t>
      </w:r>
    </w:p>
    <w:p w14:paraId="4792A34E" w14:textId="77777777" w:rsidR="004E5D62" w:rsidRPr="0062585A" w:rsidRDefault="004E5D62" w:rsidP="00D200FA">
      <w:pPr>
        <w:pStyle w:val="Prrafodelista"/>
        <w:jc w:val="both"/>
        <w:rPr>
          <w:rFonts w:ascii="Open Sans" w:hAnsi="Open Sans" w:cs="Open Sans"/>
        </w:rPr>
      </w:pPr>
    </w:p>
    <w:p w14:paraId="63AD328B" w14:textId="3D0400AA" w:rsidR="00AC6FAD" w:rsidRPr="0062585A" w:rsidRDefault="00AC6FAD" w:rsidP="00D200FA">
      <w:pPr>
        <w:ind w:right="56"/>
        <w:jc w:val="both"/>
        <w:rPr>
          <w:rFonts w:ascii="Open Sans" w:hAnsi="Open Sans" w:cs="Open Sans"/>
        </w:rPr>
      </w:pPr>
      <w:r w:rsidRPr="0062585A">
        <w:rPr>
          <w:rFonts w:ascii="Open Sans" w:hAnsi="Open Sans" w:cs="Open Sans"/>
        </w:rPr>
        <w:t xml:space="preserve">We think that, unfortunately, so far EMIR reporting has had a disappointing result, especially on reconciliation rates, compared with all the efforts the industry has placed into it. </w:t>
      </w:r>
    </w:p>
    <w:p w14:paraId="0678F63C" w14:textId="77777777" w:rsidR="00AC6FAD" w:rsidRPr="0062585A" w:rsidRDefault="00AC6FAD" w:rsidP="00D200FA">
      <w:pPr>
        <w:pStyle w:val="Prrafodelista"/>
        <w:ind w:right="56"/>
        <w:jc w:val="both"/>
        <w:rPr>
          <w:rFonts w:ascii="Open Sans" w:hAnsi="Open Sans" w:cs="Open Sans"/>
        </w:rPr>
      </w:pPr>
    </w:p>
    <w:p w14:paraId="698B1950" w14:textId="77777777" w:rsidR="00AC6FAD" w:rsidRPr="0062585A" w:rsidRDefault="00AC6FAD" w:rsidP="00D200FA">
      <w:pPr>
        <w:ind w:right="56"/>
        <w:jc w:val="both"/>
        <w:rPr>
          <w:rFonts w:ascii="Open Sans" w:hAnsi="Open Sans" w:cs="Open Sans"/>
        </w:rPr>
      </w:pPr>
      <w:r w:rsidRPr="0062585A">
        <w:rPr>
          <w:rFonts w:ascii="Open Sans" w:hAnsi="Open Sans" w:cs="Open Sans"/>
        </w:rPr>
        <w:t xml:space="preserve">There are several reasons that had influenced in achieving this result in EMIR reporting. We consider that one of the reasons is that EMIR reporting was too ambitious and therefore it has been very difficult to implement. </w:t>
      </w:r>
    </w:p>
    <w:p w14:paraId="1856F0C6" w14:textId="77777777" w:rsidR="00AC6FAD" w:rsidRPr="0062585A" w:rsidRDefault="00AC6FAD" w:rsidP="00D200FA">
      <w:pPr>
        <w:jc w:val="both"/>
        <w:rPr>
          <w:rFonts w:ascii="Open Sans" w:hAnsi="Open Sans" w:cs="Open Sans"/>
        </w:rPr>
      </w:pPr>
    </w:p>
    <w:p w14:paraId="5A5FA62F" w14:textId="77777777" w:rsidR="00AC6FAD" w:rsidRPr="0062585A" w:rsidRDefault="00AC6FAD" w:rsidP="00D200FA">
      <w:pPr>
        <w:ind w:right="56"/>
        <w:jc w:val="both"/>
        <w:rPr>
          <w:rFonts w:ascii="Open Sans" w:hAnsi="Open Sans" w:cs="Open Sans"/>
        </w:rPr>
      </w:pPr>
      <w:r w:rsidRPr="0062585A">
        <w:rPr>
          <w:rFonts w:ascii="Open Sans" w:hAnsi="Open Sans" w:cs="Open Sans"/>
        </w:rPr>
        <w:t xml:space="preserve">This has been widely discussed in many forums and the prevailing idea is that firms are </w:t>
      </w:r>
      <w:proofErr w:type="gramStart"/>
      <w:r w:rsidRPr="0062585A">
        <w:rPr>
          <w:rFonts w:ascii="Open Sans" w:hAnsi="Open Sans" w:cs="Open Sans"/>
        </w:rPr>
        <w:t>making an effort</w:t>
      </w:r>
      <w:proofErr w:type="gramEnd"/>
      <w:r w:rsidRPr="0062585A">
        <w:rPr>
          <w:rFonts w:ascii="Open Sans" w:hAnsi="Open Sans" w:cs="Open Sans"/>
        </w:rPr>
        <w:t xml:space="preserve"> to produce the EMIR reporting in the best possible way, but there are big differences in the interpretation of the criteria, which lead to low levels of pairing and matching.</w:t>
      </w:r>
    </w:p>
    <w:p w14:paraId="22773324" w14:textId="77777777" w:rsidR="00AC6FAD" w:rsidRPr="0062585A" w:rsidRDefault="00AC6FAD" w:rsidP="004E5D62">
      <w:pPr>
        <w:pStyle w:val="Prrafodelista"/>
        <w:ind w:right="56"/>
        <w:rPr>
          <w:rFonts w:ascii="Open Sans" w:hAnsi="Open Sans" w:cs="Open Sans"/>
          <w:color w:val="4F81BD" w:themeColor="accent1"/>
        </w:rPr>
      </w:pPr>
    </w:p>
    <w:p w14:paraId="51F1AC4A" w14:textId="0CC0D554" w:rsidR="00AC6FAD" w:rsidRPr="0062585A" w:rsidRDefault="00AC6FAD" w:rsidP="00F51C46">
      <w:pPr>
        <w:ind w:right="56"/>
        <w:rPr>
          <w:rFonts w:ascii="Open Sans" w:hAnsi="Open Sans" w:cs="Open Sans"/>
        </w:rPr>
      </w:pPr>
      <w:r w:rsidRPr="0062585A">
        <w:rPr>
          <w:rFonts w:ascii="Open Sans" w:hAnsi="Open Sans" w:cs="Open Sans"/>
        </w:rPr>
        <w:lastRenderedPageBreak/>
        <w:t>From our point of view</w:t>
      </w:r>
      <w:r w:rsidR="00634391" w:rsidRPr="0062585A">
        <w:rPr>
          <w:rFonts w:ascii="Open Sans" w:hAnsi="Open Sans" w:cs="Open Sans"/>
        </w:rPr>
        <w:t>,</w:t>
      </w:r>
      <w:r w:rsidRPr="0062585A">
        <w:rPr>
          <w:rFonts w:ascii="Open Sans" w:hAnsi="Open Sans" w:cs="Open Sans"/>
        </w:rPr>
        <w:t xml:space="preserve"> a less ambitious approach would provide better results. And once the better results are achieved, the authorities could reconsider more ambitious goals in EMIR </w:t>
      </w:r>
      <w:r w:rsidR="0025634A" w:rsidRPr="0062585A">
        <w:rPr>
          <w:rFonts w:ascii="Open Sans" w:hAnsi="Open Sans" w:cs="Open Sans"/>
        </w:rPr>
        <w:t xml:space="preserve">REFIT </w:t>
      </w:r>
      <w:r w:rsidRPr="0062585A">
        <w:rPr>
          <w:rFonts w:ascii="Open Sans" w:hAnsi="Open Sans" w:cs="Open Sans"/>
        </w:rPr>
        <w:t xml:space="preserve">reporting. We believe that it is necessary to fix the different drawbacks that the EMIR reporting already has, rather than adding complexity. </w:t>
      </w:r>
    </w:p>
    <w:p w14:paraId="3F6B8646" w14:textId="77777777" w:rsidR="00AC6FAD" w:rsidRPr="0062585A" w:rsidRDefault="00AC6FAD" w:rsidP="00AC6FAD">
      <w:pPr>
        <w:pStyle w:val="Prrafodelista"/>
        <w:ind w:left="-567"/>
        <w:rPr>
          <w:rFonts w:ascii="Open Sans" w:hAnsi="Open Sans" w:cs="Open Sans"/>
        </w:rPr>
      </w:pPr>
    </w:p>
    <w:p w14:paraId="1B0AFAC8" w14:textId="77777777" w:rsidR="00AC6FAD" w:rsidRPr="0062585A" w:rsidRDefault="00AC6FAD" w:rsidP="004E5D62">
      <w:pPr>
        <w:jc w:val="both"/>
        <w:rPr>
          <w:rFonts w:ascii="Open Sans" w:hAnsi="Open Sans" w:cs="Open Sans"/>
        </w:rPr>
      </w:pPr>
      <w:r w:rsidRPr="0062585A">
        <w:rPr>
          <w:rFonts w:ascii="Open Sans" w:hAnsi="Open Sans" w:cs="Open Sans"/>
          <w:szCs w:val="20"/>
        </w:rPr>
        <w:t>We also would like to ask ESMA to provide comprehensive guidance; practical examples, where applicable, in order to reduce ambiguity and the need for prolonged efforts to update</w:t>
      </w:r>
      <w:r w:rsidRPr="0062585A">
        <w:rPr>
          <w:rFonts w:ascii="Open Sans" w:hAnsi="Open Sans" w:cs="Open Sans"/>
          <w:sz w:val="24"/>
        </w:rPr>
        <w:t xml:space="preserve"> </w:t>
      </w:r>
      <w:r w:rsidRPr="0062585A">
        <w:rPr>
          <w:rFonts w:ascii="Open Sans" w:hAnsi="Open Sans" w:cs="Open Sans"/>
          <w:szCs w:val="20"/>
        </w:rPr>
        <w:t xml:space="preserve">the Q&amp;A. Where appropriate, ESMA may consider the use </w:t>
      </w:r>
      <w:r w:rsidRPr="0062585A">
        <w:rPr>
          <w:rFonts w:ascii="Open Sans" w:hAnsi="Open Sans" w:cs="Open Sans"/>
        </w:rPr>
        <w:t>of industry workshops to garner support and feedback when preparing practical examples.</w:t>
      </w:r>
    </w:p>
    <w:p w14:paraId="0F438BD9" w14:textId="77777777" w:rsidR="00AC6FAD" w:rsidRPr="0062585A" w:rsidRDefault="00AC6FAD" w:rsidP="004E5D62">
      <w:pPr>
        <w:jc w:val="both"/>
        <w:rPr>
          <w:rFonts w:cs="Arial"/>
        </w:rPr>
      </w:pPr>
    </w:p>
    <w:p w14:paraId="2D58B85C" w14:textId="23006047" w:rsidR="00AC6FAD" w:rsidRPr="000E1F88" w:rsidRDefault="00AC6FAD" w:rsidP="004E5D62">
      <w:pPr>
        <w:jc w:val="both"/>
        <w:rPr>
          <w:rFonts w:ascii="Open Sans" w:hAnsi="Open Sans" w:cs="Open Sans"/>
          <w:lang w:val="en-US"/>
        </w:rPr>
      </w:pPr>
      <w:r w:rsidRPr="0062585A">
        <w:rPr>
          <w:rFonts w:ascii="Open Sans" w:hAnsi="Open Sans" w:cs="Open Sans"/>
        </w:rPr>
        <w:t xml:space="preserve">Last but not least, </w:t>
      </w:r>
      <w:r w:rsidR="005B5107" w:rsidRPr="0062585A">
        <w:rPr>
          <w:rFonts w:ascii="Open Sans" w:hAnsi="Open Sans" w:cs="Open Sans"/>
        </w:rPr>
        <w:t xml:space="preserve">even </w:t>
      </w:r>
      <w:r w:rsidR="004B2B14" w:rsidRPr="0062585A">
        <w:rPr>
          <w:rFonts w:ascii="Open Sans" w:hAnsi="Open Sans" w:cs="Open Sans"/>
        </w:rPr>
        <w:t xml:space="preserve">that the </w:t>
      </w:r>
      <w:r w:rsidR="0062585A" w:rsidRPr="0062585A">
        <w:rPr>
          <w:rFonts w:ascii="Open Sans" w:hAnsi="Open Sans" w:cs="Open Sans"/>
        </w:rPr>
        <w:t>reconciliation</w:t>
      </w:r>
      <w:r w:rsidR="004B2B14" w:rsidRPr="0062585A">
        <w:rPr>
          <w:rFonts w:ascii="Open Sans" w:hAnsi="Open Sans" w:cs="Open Sans"/>
        </w:rPr>
        <w:t xml:space="preserve"> process has been </w:t>
      </w:r>
      <w:r w:rsidR="007C254D" w:rsidRPr="0062585A">
        <w:rPr>
          <w:rFonts w:ascii="Open Sans" w:hAnsi="Open Sans" w:cs="Open Sans"/>
        </w:rPr>
        <w:t>modified in EMIR REFIT</w:t>
      </w:r>
      <w:r w:rsidR="001A27D1" w:rsidRPr="0062585A">
        <w:rPr>
          <w:rFonts w:ascii="Open Sans" w:hAnsi="Open Sans" w:cs="Open Sans"/>
        </w:rPr>
        <w:t xml:space="preserve">, </w:t>
      </w:r>
      <w:r w:rsidRPr="0062585A">
        <w:rPr>
          <w:rFonts w:ascii="Open Sans" w:hAnsi="Open Sans" w:cs="Open Sans"/>
        </w:rPr>
        <w:t xml:space="preserve">we encourage ESMA to simplify </w:t>
      </w:r>
      <w:r w:rsidR="001A27D1" w:rsidRPr="0062585A">
        <w:rPr>
          <w:rFonts w:ascii="Open Sans" w:hAnsi="Open Sans" w:cs="Open Sans"/>
        </w:rPr>
        <w:t>it more</w:t>
      </w:r>
      <w:r w:rsidRPr="0062585A">
        <w:rPr>
          <w:rFonts w:ascii="Open Sans" w:hAnsi="Open Sans" w:cs="Open Sans"/>
        </w:rPr>
        <w:t xml:space="preserve">, minimizing the number of fields to reconcile. Reconciliation should only apply to essential fields. Many ‘errors’ are not errors in the strict sense and very often, they </w:t>
      </w:r>
      <w:r w:rsidR="004D4635" w:rsidRPr="0062585A">
        <w:rPr>
          <w:rFonts w:ascii="Open Sans" w:hAnsi="Open Sans" w:cs="Open Sans"/>
        </w:rPr>
        <w:t>are because</w:t>
      </w:r>
      <w:r w:rsidRPr="0062585A">
        <w:rPr>
          <w:rFonts w:ascii="Open Sans" w:hAnsi="Open Sans" w:cs="Open Sans"/>
        </w:rPr>
        <w:t xml:space="preserve"> an inconsistent interpretation of the rules between reporting entities.</w:t>
      </w:r>
    </w:p>
    <w:permEnd w:id="1454525006"/>
    <w:p w14:paraId="6A22288E" w14:textId="434BE00F" w:rsidR="00F87897" w:rsidRDefault="00F87897" w:rsidP="00F87897"/>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ipervnculo"/>
          <w:b/>
          <w:bCs/>
          <w:color w:val="auto"/>
          <w:u w:val="none"/>
        </w:rPr>
      </w:pPr>
      <w:r w:rsidRPr="004F7B49">
        <w:rPr>
          <w:rStyle w:val="Hipervnculo"/>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03CC1234"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above understanding?</w:t>
      </w:r>
    </w:p>
    <w:p w14:paraId="374C1D32" w14:textId="77777777" w:rsidR="004F7B49" w:rsidRPr="004F7B49" w:rsidRDefault="004F7B49" w:rsidP="004F7B49">
      <w:r w:rsidRPr="004F7B49">
        <w:t>&lt;ESMA_QUESTION_REPO_12&gt;</w:t>
      </w:r>
    </w:p>
    <w:p w14:paraId="3EDE15EF" w14:textId="49F88554" w:rsidR="00C15F68" w:rsidRPr="0062585A" w:rsidRDefault="000B2F6E" w:rsidP="0062585A">
      <w:pPr>
        <w:pStyle w:val="Default"/>
        <w:jc w:val="both"/>
        <w:rPr>
          <w:rFonts w:ascii="Open Sans" w:hAnsi="Open Sans" w:cs="Open Sans"/>
          <w:color w:val="auto"/>
          <w:sz w:val="20"/>
          <w:szCs w:val="20"/>
          <w:lang w:val="en-GB"/>
        </w:rPr>
      </w:pPr>
      <w:permStart w:id="1190423857" w:edGrp="everyone"/>
      <w:r w:rsidRPr="0062585A">
        <w:rPr>
          <w:rFonts w:ascii="Open Sans" w:hAnsi="Open Sans" w:cs="Open Sans"/>
          <w:color w:val="auto"/>
          <w:sz w:val="20"/>
          <w:szCs w:val="20"/>
          <w:lang w:val="en-GB"/>
        </w:rPr>
        <w:t>Regarding</w:t>
      </w:r>
      <w:r w:rsidR="00DD5993" w:rsidRPr="0062585A">
        <w:rPr>
          <w:rFonts w:ascii="Open Sans" w:hAnsi="Open Sans" w:cs="Open Sans"/>
          <w:color w:val="auto"/>
          <w:sz w:val="20"/>
          <w:szCs w:val="20"/>
          <w:lang w:val="en-GB"/>
        </w:rPr>
        <w:t xml:space="preserve"> paragraph 47, it says</w:t>
      </w:r>
      <w:r w:rsidR="00EB6225" w:rsidRPr="0062585A">
        <w:rPr>
          <w:rFonts w:ascii="Open Sans" w:hAnsi="Open Sans" w:cs="Open Sans"/>
          <w:color w:val="auto"/>
          <w:sz w:val="20"/>
          <w:szCs w:val="20"/>
          <w:lang w:val="en-GB"/>
        </w:rPr>
        <w:t xml:space="preserve"> </w:t>
      </w:r>
      <w:r w:rsidR="006212E1" w:rsidRPr="0062585A">
        <w:rPr>
          <w:rFonts w:ascii="Open Sans" w:hAnsi="Open Sans" w:cs="Open Sans"/>
          <w:color w:val="auto"/>
          <w:sz w:val="20"/>
          <w:szCs w:val="20"/>
          <w:lang w:val="en-GB"/>
        </w:rPr>
        <w:t>“…. </w:t>
      </w:r>
      <w:r w:rsidR="00C90CE6" w:rsidRPr="0062585A">
        <w:rPr>
          <w:rFonts w:ascii="Open Sans" w:hAnsi="Open Sans" w:cs="Open Sans"/>
          <w:i/>
          <w:iCs/>
          <w:color w:val="auto"/>
          <w:sz w:val="20"/>
          <w:szCs w:val="20"/>
          <w:lang w:val="en-GB"/>
        </w:rPr>
        <w:t xml:space="preserve">Where no contracts are concluded, modified or terminated during several </w:t>
      </w:r>
      <w:r w:rsidR="00C90CE6" w:rsidRPr="00FB13B2">
        <w:rPr>
          <w:rFonts w:ascii="Open Sans" w:hAnsi="Open Sans" w:cs="Open Sans"/>
          <w:i/>
          <w:iCs/>
          <w:color w:val="auto"/>
          <w:sz w:val="20"/>
          <w:szCs w:val="20"/>
          <w:lang w:val="en-GB"/>
        </w:rPr>
        <w:t>days, no reports are expected apart from updates to valuations or collateral on outstanding derivatives</w:t>
      </w:r>
      <w:r w:rsidR="006212E1" w:rsidRPr="00FB13B2">
        <w:rPr>
          <w:rFonts w:ascii="Open Sans" w:hAnsi="Open Sans" w:cs="Open Sans"/>
          <w:color w:val="auto"/>
          <w:sz w:val="20"/>
          <w:szCs w:val="20"/>
          <w:lang w:val="en-GB"/>
        </w:rPr>
        <w:t>….”</w:t>
      </w:r>
      <w:r w:rsidR="00EB6225" w:rsidRPr="00FB13B2">
        <w:rPr>
          <w:rFonts w:ascii="Open Sans" w:hAnsi="Open Sans" w:cs="Open Sans"/>
          <w:color w:val="auto"/>
          <w:sz w:val="20"/>
          <w:szCs w:val="20"/>
          <w:lang w:val="en-GB"/>
        </w:rPr>
        <w:t xml:space="preserve">, </w:t>
      </w:r>
      <w:r w:rsidR="0001408C" w:rsidRPr="00FB13B2">
        <w:rPr>
          <w:rFonts w:ascii="Open Sans" w:hAnsi="Open Sans" w:cs="Open Sans"/>
          <w:color w:val="auto"/>
          <w:sz w:val="20"/>
          <w:szCs w:val="20"/>
          <w:lang w:val="en-GB"/>
        </w:rPr>
        <w:t>we encourage ESMA to explicitly q</w:t>
      </w:r>
      <w:r w:rsidR="0062585A" w:rsidRPr="00FB13B2">
        <w:rPr>
          <w:rFonts w:ascii="Open Sans" w:hAnsi="Open Sans" w:cs="Open Sans"/>
          <w:color w:val="auto"/>
          <w:sz w:val="20"/>
          <w:szCs w:val="20"/>
          <w:lang w:val="en-GB"/>
        </w:rPr>
        <w:t>uantify the term "several days" so that it is not open to subjectivity and is standard</w:t>
      </w:r>
      <w:r w:rsidR="00003EE4" w:rsidRPr="00FB13B2">
        <w:rPr>
          <w:rFonts w:ascii="Open Sans" w:hAnsi="Open Sans" w:cs="Open Sans"/>
          <w:color w:val="auto"/>
          <w:sz w:val="20"/>
          <w:szCs w:val="20"/>
          <w:lang w:val="en-GB"/>
        </w:rPr>
        <w:t>ised</w:t>
      </w:r>
      <w:r w:rsidR="0062585A" w:rsidRPr="00FB13B2">
        <w:rPr>
          <w:rFonts w:ascii="Open Sans" w:hAnsi="Open Sans" w:cs="Open Sans"/>
          <w:color w:val="auto"/>
          <w:sz w:val="20"/>
          <w:szCs w:val="20"/>
          <w:lang w:val="en-GB"/>
        </w:rPr>
        <w:t xml:space="preserve"> throughout the industry</w:t>
      </w:r>
      <w:r w:rsidR="00FB13B2" w:rsidRPr="00FB13B2">
        <w:rPr>
          <w:rFonts w:ascii="Open Sans" w:hAnsi="Open Sans" w:cs="Open Sans"/>
          <w:color w:val="auto"/>
          <w:sz w:val="20"/>
          <w:szCs w:val="20"/>
          <w:lang w:val="en-GB"/>
        </w:rPr>
        <w:t>.</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475AA9E6" w14:textId="2709CACF" w:rsidR="007A4619" w:rsidRPr="000E1F88" w:rsidRDefault="007A4619" w:rsidP="007A4619">
      <w:pPr>
        <w:rPr>
          <w:rFonts w:ascii="Open Sans" w:hAnsi="Open Sans" w:cs="Open Sans"/>
          <w:lang w:val="en-US"/>
        </w:rPr>
      </w:pPr>
      <w:permStart w:id="215301547" w:edGrp="everyone"/>
      <w:r w:rsidRPr="000E1F88">
        <w:rPr>
          <w:rFonts w:ascii="Open Sans" w:hAnsi="Open Sans" w:cs="Open Sans"/>
          <w:lang w:val="en-US"/>
        </w:rPr>
        <w:t xml:space="preserve">We are pleased to hear that ESMA is working on some exemption in EMIR REFIT reporting. </w:t>
      </w:r>
    </w:p>
    <w:p w14:paraId="2A0E5BB5" w14:textId="77777777" w:rsidR="00B305B2" w:rsidRPr="000E1F88" w:rsidRDefault="00B305B2" w:rsidP="007A4619">
      <w:pPr>
        <w:rPr>
          <w:rFonts w:ascii="Open Sans" w:hAnsi="Open Sans" w:cs="Open Sans"/>
          <w:lang w:val="en-US"/>
        </w:rPr>
      </w:pPr>
    </w:p>
    <w:p w14:paraId="369BDBC2" w14:textId="7777226D" w:rsidR="00C15F68" w:rsidRPr="000E1F88" w:rsidRDefault="007A4619" w:rsidP="007A4619">
      <w:pPr>
        <w:rPr>
          <w:rFonts w:ascii="Open Sans" w:hAnsi="Open Sans" w:cs="Open Sans"/>
          <w:lang w:val="en-US"/>
        </w:rPr>
      </w:pPr>
      <w:r w:rsidRPr="000E1F88">
        <w:rPr>
          <w:rFonts w:ascii="Open Sans" w:hAnsi="Open Sans" w:cs="Open Sans"/>
          <w:lang w:val="en-US"/>
        </w:rPr>
        <w:t>In our view, we understand that it would be more beneficial if at a first stage ESMA would focus on the big players in EMIR reporting and at a later stage</w:t>
      </w:r>
      <w:r w:rsidR="00BC3FF1" w:rsidRPr="000E1F88">
        <w:rPr>
          <w:rFonts w:ascii="Open Sans" w:hAnsi="Open Sans" w:cs="Open Sans"/>
          <w:lang w:val="en-US"/>
        </w:rPr>
        <w:t>,</w:t>
      </w:r>
      <w:r w:rsidRPr="000E1F88">
        <w:rPr>
          <w:rFonts w:ascii="Open Sans" w:hAnsi="Open Sans" w:cs="Open Sans"/>
          <w:lang w:val="en-US"/>
        </w:rPr>
        <w:t xml:space="preserve"> extend it to the rest.</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188A63B3" w:rsidR="004F7B49" w:rsidRPr="00A01705" w:rsidRDefault="00796EB0"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3BC9951" w14:textId="1C9B189A" w:rsidR="00887686" w:rsidRPr="000E1F88" w:rsidRDefault="00887686" w:rsidP="00F32752">
      <w:pPr>
        <w:pStyle w:val="Default"/>
        <w:ind w:left="142" w:right="-427"/>
        <w:jc w:val="both"/>
        <w:rPr>
          <w:rFonts w:ascii="Open Sans" w:hAnsi="Open Sans" w:cs="Open Sans"/>
          <w:color w:val="auto"/>
          <w:sz w:val="20"/>
          <w:szCs w:val="20"/>
          <w:lang w:val="en-GB"/>
        </w:rPr>
      </w:pPr>
      <w:permStart w:id="1133980479" w:edGrp="everyone"/>
      <w:r w:rsidRPr="000E1F88">
        <w:rPr>
          <w:rFonts w:ascii="Open Sans" w:hAnsi="Open Sans" w:cs="Open Sans"/>
          <w:color w:val="auto"/>
          <w:sz w:val="20"/>
          <w:szCs w:val="20"/>
          <w:lang w:val="en-GB"/>
        </w:rPr>
        <w:t>We suggest that thorough examples are given. In many cases the explanation of Table 5 is too short and therefore it can lead to misunderstanding.</w:t>
      </w:r>
    </w:p>
    <w:p w14:paraId="050B8D70" w14:textId="733542CD" w:rsidR="00F32752" w:rsidRPr="005F6D9F" w:rsidRDefault="00F32752" w:rsidP="00F32752">
      <w:pPr>
        <w:pStyle w:val="Default"/>
        <w:ind w:left="142" w:right="-427"/>
        <w:jc w:val="both"/>
        <w:rPr>
          <w:rFonts w:ascii="Arial" w:hAnsi="Arial" w:cs="Arial"/>
          <w:color w:val="auto"/>
          <w:sz w:val="20"/>
          <w:szCs w:val="20"/>
          <w:lang w:val="en-GB"/>
        </w:rPr>
      </w:pPr>
    </w:p>
    <w:p w14:paraId="5D50A257" w14:textId="3438FEAB" w:rsidR="00F32752" w:rsidRPr="005F6D9F" w:rsidRDefault="00F32752" w:rsidP="00F32752">
      <w:pPr>
        <w:pStyle w:val="Default"/>
        <w:ind w:left="142" w:right="-427"/>
        <w:jc w:val="both"/>
        <w:rPr>
          <w:rFonts w:ascii="Arial" w:hAnsi="Arial" w:cs="Arial"/>
          <w:color w:val="auto"/>
          <w:sz w:val="20"/>
          <w:szCs w:val="20"/>
          <w:lang w:val="en-GB"/>
        </w:rPr>
      </w:pPr>
    </w:p>
    <w:p w14:paraId="098EB2C7" w14:textId="77777777" w:rsidR="00F32752" w:rsidRPr="005F6D9F" w:rsidRDefault="00F32752" w:rsidP="00F32752">
      <w:pPr>
        <w:pStyle w:val="Default"/>
        <w:ind w:left="142" w:right="-427"/>
        <w:jc w:val="both"/>
        <w:rPr>
          <w:rFonts w:ascii="Arial" w:hAnsi="Arial" w:cs="Arial"/>
          <w:color w:val="auto"/>
          <w:sz w:val="20"/>
          <w:szCs w:val="20"/>
          <w:lang w:val="en-GB"/>
        </w:rPr>
      </w:pPr>
    </w:p>
    <w:p w14:paraId="25529CC2" w14:textId="77777777" w:rsidR="00887686" w:rsidRPr="005F6D9F" w:rsidRDefault="00887686" w:rsidP="00887686">
      <w:pPr>
        <w:pStyle w:val="Default"/>
        <w:ind w:left="-567" w:right="-427"/>
        <w:jc w:val="both"/>
        <w:rPr>
          <w:rFonts w:ascii="Arial" w:hAnsi="Arial" w:cs="Arial"/>
          <w:color w:val="auto"/>
          <w:sz w:val="20"/>
          <w:szCs w:val="20"/>
          <w:lang w:val="en-GB"/>
        </w:rPr>
      </w:pPr>
    </w:p>
    <w:tbl>
      <w:tblPr>
        <w:tblStyle w:val="Tablaconcuadrcula"/>
        <w:tblW w:w="9923" w:type="dxa"/>
        <w:tblInd w:w="137" w:type="dxa"/>
        <w:tblLook w:val="04A0" w:firstRow="1" w:lastRow="0" w:firstColumn="1" w:lastColumn="0" w:noHBand="0" w:noVBand="1"/>
      </w:tblPr>
      <w:tblGrid>
        <w:gridCol w:w="1418"/>
        <w:gridCol w:w="1069"/>
        <w:gridCol w:w="3325"/>
        <w:gridCol w:w="4111"/>
      </w:tblGrid>
      <w:tr w:rsidR="000E1F88" w:rsidRPr="000E1F88" w14:paraId="33A2B243" w14:textId="77777777" w:rsidTr="00F32752">
        <w:trPr>
          <w:trHeight w:val="242"/>
        </w:trPr>
        <w:tc>
          <w:tcPr>
            <w:tcW w:w="1418" w:type="dxa"/>
          </w:tcPr>
          <w:p w14:paraId="07FC1260" w14:textId="77777777" w:rsidR="0004124D" w:rsidRPr="0062585A" w:rsidRDefault="0004124D" w:rsidP="00190E32">
            <w:pPr>
              <w:pStyle w:val="Default"/>
              <w:ind w:right="-427"/>
              <w:jc w:val="center"/>
              <w:rPr>
                <w:rFonts w:ascii="Open Sans" w:hAnsi="Open Sans" w:cs="Open Sans"/>
                <w:b/>
                <w:color w:val="auto"/>
                <w:sz w:val="20"/>
                <w:szCs w:val="20"/>
                <w:lang w:val="en-GB"/>
              </w:rPr>
            </w:pPr>
            <w:r w:rsidRPr="0062585A">
              <w:rPr>
                <w:rFonts w:ascii="Open Sans" w:hAnsi="Open Sans" w:cs="Open Sans"/>
                <w:b/>
                <w:color w:val="auto"/>
                <w:sz w:val="20"/>
                <w:szCs w:val="20"/>
                <w:lang w:val="en-GB"/>
              </w:rPr>
              <w:t>Action Type</w:t>
            </w:r>
          </w:p>
        </w:tc>
        <w:tc>
          <w:tcPr>
            <w:tcW w:w="1069" w:type="dxa"/>
          </w:tcPr>
          <w:p w14:paraId="6C59ADFC" w14:textId="77777777" w:rsidR="0004124D" w:rsidRPr="0062585A" w:rsidRDefault="0004124D" w:rsidP="00190E32">
            <w:pPr>
              <w:pStyle w:val="Default"/>
              <w:ind w:right="-427"/>
              <w:jc w:val="center"/>
              <w:rPr>
                <w:rFonts w:ascii="Open Sans" w:hAnsi="Open Sans" w:cs="Open Sans"/>
                <w:b/>
                <w:color w:val="auto"/>
                <w:sz w:val="20"/>
                <w:szCs w:val="20"/>
                <w:lang w:val="en-GB"/>
              </w:rPr>
            </w:pPr>
            <w:r w:rsidRPr="0062585A">
              <w:rPr>
                <w:rFonts w:ascii="Open Sans" w:hAnsi="Open Sans" w:cs="Open Sans"/>
                <w:b/>
                <w:color w:val="auto"/>
                <w:sz w:val="20"/>
                <w:szCs w:val="20"/>
                <w:lang w:val="en-GB"/>
              </w:rPr>
              <w:t>Event</w:t>
            </w:r>
          </w:p>
        </w:tc>
        <w:tc>
          <w:tcPr>
            <w:tcW w:w="3325" w:type="dxa"/>
          </w:tcPr>
          <w:p w14:paraId="477496D4" w14:textId="77777777" w:rsidR="0004124D" w:rsidRPr="0062585A" w:rsidRDefault="0004124D" w:rsidP="00190E32">
            <w:pPr>
              <w:pStyle w:val="Default"/>
              <w:ind w:right="-427"/>
              <w:jc w:val="center"/>
              <w:rPr>
                <w:rFonts w:ascii="Open Sans" w:hAnsi="Open Sans" w:cs="Open Sans"/>
                <w:b/>
                <w:color w:val="auto"/>
                <w:sz w:val="20"/>
                <w:szCs w:val="20"/>
                <w:lang w:val="en-GB"/>
              </w:rPr>
            </w:pPr>
            <w:r w:rsidRPr="0062585A">
              <w:rPr>
                <w:rFonts w:ascii="Open Sans" w:hAnsi="Open Sans" w:cs="Open Sans"/>
                <w:b/>
                <w:color w:val="auto"/>
                <w:sz w:val="20"/>
                <w:szCs w:val="20"/>
                <w:lang w:val="en-GB"/>
              </w:rPr>
              <w:t>Type Applicability</w:t>
            </w:r>
          </w:p>
        </w:tc>
        <w:tc>
          <w:tcPr>
            <w:tcW w:w="4111" w:type="dxa"/>
          </w:tcPr>
          <w:p w14:paraId="5ECB2DA3" w14:textId="77777777" w:rsidR="0004124D" w:rsidRPr="0062585A" w:rsidRDefault="0004124D" w:rsidP="00190E32">
            <w:pPr>
              <w:pStyle w:val="Default"/>
              <w:ind w:right="-427"/>
              <w:jc w:val="center"/>
              <w:rPr>
                <w:rFonts w:ascii="Open Sans" w:hAnsi="Open Sans" w:cs="Open Sans"/>
                <w:b/>
                <w:color w:val="auto"/>
                <w:sz w:val="20"/>
                <w:szCs w:val="20"/>
                <w:lang w:val="en-GB"/>
              </w:rPr>
            </w:pPr>
            <w:r w:rsidRPr="0062585A">
              <w:rPr>
                <w:rFonts w:ascii="Open Sans" w:hAnsi="Open Sans" w:cs="Open Sans"/>
                <w:b/>
                <w:color w:val="auto"/>
                <w:sz w:val="20"/>
                <w:szCs w:val="20"/>
                <w:lang w:val="en-GB"/>
              </w:rPr>
              <w:t>Our comment</w:t>
            </w:r>
          </w:p>
        </w:tc>
      </w:tr>
      <w:tr w:rsidR="000E1F88" w:rsidRPr="000E1F88" w14:paraId="4A8CC4DE" w14:textId="77777777" w:rsidTr="00B305B2">
        <w:trPr>
          <w:trHeight w:val="927"/>
        </w:trPr>
        <w:tc>
          <w:tcPr>
            <w:tcW w:w="1418" w:type="dxa"/>
          </w:tcPr>
          <w:p w14:paraId="039D8B56" w14:textId="77777777" w:rsidR="0004124D" w:rsidRPr="0062585A" w:rsidRDefault="0004124D" w:rsidP="004B6FBB">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New</w:t>
            </w:r>
          </w:p>
          <w:p w14:paraId="4DF7114C" w14:textId="77777777" w:rsidR="0004124D" w:rsidRPr="0062585A" w:rsidRDefault="0004124D" w:rsidP="004B6FBB">
            <w:pPr>
              <w:pStyle w:val="Default"/>
              <w:ind w:right="-427"/>
              <w:jc w:val="both"/>
              <w:rPr>
                <w:rFonts w:ascii="Open Sans" w:hAnsi="Open Sans" w:cs="Open Sans"/>
                <w:color w:val="auto"/>
                <w:sz w:val="20"/>
                <w:szCs w:val="20"/>
                <w:lang w:val="en-GB"/>
              </w:rPr>
            </w:pPr>
          </w:p>
        </w:tc>
        <w:tc>
          <w:tcPr>
            <w:tcW w:w="1069" w:type="dxa"/>
          </w:tcPr>
          <w:p w14:paraId="1A5F6D26" w14:textId="77777777" w:rsidR="0004124D" w:rsidRPr="0062585A" w:rsidRDefault="0004124D" w:rsidP="004B6FBB">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Clearing</w:t>
            </w:r>
          </w:p>
          <w:p w14:paraId="59EB0ACB" w14:textId="77777777" w:rsidR="0004124D" w:rsidRPr="0062585A" w:rsidRDefault="0004124D" w:rsidP="004B6FBB">
            <w:pPr>
              <w:pStyle w:val="Default"/>
              <w:ind w:right="-427"/>
              <w:jc w:val="both"/>
              <w:rPr>
                <w:rFonts w:ascii="Open Sans" w:hAnsi="Open Sans" w:cs="Open Sans"/>
                <w:color w:val="auto"/>
                <w:sz w:val="20"/>
                <w:szCs w:val="20"/>
                <w:lang w:val="en-GB"/>
              </w:rPr>
            </w:pPr>
          </w:p>
        </w:tc>
        <w:tc>
          <w:tcPr>
            <w:tcW w:w="3325" w:type="dxa"/>
          </w:tcPr>
          <w:p w14:paraId="523ACA81" w14:textId="77777777" w:rsidR="009B3ABF"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When a derivative with a new UTI</w:t>
            </w:r>
          </w:p>
          <w:p w14:paraId="2909EC3B" w14:textId="3477980C" w:rsidR="0004124D"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 xml:space="preserve"> is created for the first time due to </w:t>
            </w:r>
            <w:r w:rsidR="009B3ABF" w:rsidRPr="0062585A">
              <w:rPr>
                <w:rFonts w:ascii="Open Sans" w:hAnsi="Open Sans" w:cs="Open Sans"/>
                <w:color w:val="auto"/>
                <w:sz w:val="20"/>
                <w:szCs w:val="20"/>
                <w:lang w:val="en-GB"/>
              </w:rPr>
              <w:br/>
            </w:r>
            <w:r w:rsidRPr="0062585A">
              <w:rPr>
                <w:rFonts w:ascii="Open Sans" w:hAnsi="Open Sans" w:cs="Open Sans"/>
                <w:color w:val="auto"/>
                <w:sz w:val="20"/>
                <w:szCs w:val="20"/>
                <w:lang w:val="en-GB"/>
              </w:rPr>
              <w:t>a Clearing event.</w:t>
            </w:r>
          </w:p>
        </w:tc>
        <w:tc>
          <w:tcPr>
            <w:tcW w:w="4111" w:type="dxa"/>
          </w:tcPr>
          <w:p w14:paraId="2DC335CF" w14:textId="5C8D270A" w:rsidR="009B3ABF"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 xml:space="preserve">Could this </w:t>
            </w:r>
            <w:r w:rsidR="008465DC" w:rsidRPr="0062585A">
              <w:rPr>
                <w:rFonts w:ascii="Open Sans" w:hAnsi="Open Sans" w:cs="Open Sans"/>
                <w:color w:val="auto"/>
                <w:sz w:val="20"/>
                <w:szCs w:val="20"/>
                <w:lang w:val="en-GB"/>
              </w:rPr>
              <w:t xml:space="preserve">be </w:t>
            </w:r>
            <w:r w:rsidRPr="0062585A">
              <w:rPr>
                <w:rFonts w:ascii="Open Sans" w:hAnsi="Open Sans" w:cs="Open Sans"/>
                <w:color w:val="auto"/>
                <w:sz w:val="20"/>
                <w:szCs w:val="20"/>
                <w:lang w:val="en-GB"/>
              </w:rPr>
              <w:t xml:space="preserve">an OTC trade that is </w:t>
            </w:r>
            <w:proofErr w:type="gramStart"/>
            <w:r w:rsidRPr="0062585A">
              <w:rPr>
                <w:rFonts w:ascii="Open Sans" w:hAnsi="Open Sans" w:cs="Open Sans"/>
                <w:color w:val="auto"/>
                <w:sz w:val="20"/>
                <w:szCs w:val="20"/>
                <w:lang w:val="en-GB"/>
              </w:rPr>
              <w:t>sent</w:t>
            </w:r>
            <w:proofErr w:type="gramEnd"/>
            <w:r w:rsidRPr="0062585A">
              <w:rPr>
                <w:rFonts w:ascii="Open Sans" w:hAnsi="Open Sans" w:cs="Open Sans"/>
                <w:color w:val="auto"/>
                <w:sz w:val="20"/>
                <w:szCs w:val="20"/>
                <w:lang w:val="en-GB"/>
              </w:rPr>
              <w:t xml:space="preserve"> </w:t>
            </w:r>
          </w:p>
          <w:p w14:paraId="10E05AF3" w14:textId="77777777" w:rsidR="009B3ABF"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 xml:space="preserve">to clearing? What would be the </w:t>
            </w:r>
            <w:proofErr w:type="gramStart"/>
            <w:r w:rsidRPr="0062585A">
              <w:rPr>
                <w:rFonts w:ascii="Open Sans" w:hAnsi="Open Sans" w:cs="Open Sans"/>
                <w:color w:val="auto"/>
                <w:sz w:val="20"/>
                <w:szCs w:val="20"/>
                <w:lang w:val="en-GB"/>
              </w:rPr>
              <w:t>difference</w:t>
            </w:r>
            <w:proofErr w:type="gramEnd"/>
            <w:r w:rsidRPr="0062585A">
              <w:rPr>
                <w:rFonts w:ascii="Open Sans" w:hAnsi="Open Sans" w:cs="Open Sans"/>
                <w:color w:val="auto"/>
                <w:sz w:val="20"/>
                <w:szCs w:val="20"/>
                <w:lang w:val="en-GB"/>
              </w:rPr>
              <w:t xml:space="preserve"> </w:t>
            </w:r>
          </w:p>
          <w:p w14:paraId="7CB86F24" w14:textId="34F407EA" w:rsidR="0004124D"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with New/Trade</w:t>
            </w:r>
            <w:r w:rsidR="003663FF" w:rsidRPr="0062585A">
              <w:rPr>
                <w:rFonts w:ascii="Open Sans" w:hAnsi="Open Sans" w:cs="Open Sans"/>
                <w:color w:val="auto"/>
                <w:sz w:val="20"/>
                <w:szCs w:val="20"/>
                <w:lang w:val="en-GB"/>
              </w:rPr>
              <w:t>?</w:t>
            </w:r>
          </w:p>
        </w:tc>
      </w:tr>
      <w:tr w:rsidR="000E1F88" w:rsidRPr="000E1F88" w14:paraId="6B1481DB" w14:textId="77777777" w:rsidTr="00B305B2">
        <w:trPr>
          <w:trHeight w:val="841"/>
        </w:trPr>
        <w:tc>
          <w:tcPr>
            <w:tcW w:w="1418" w:type="dxa"/>
          </w:tcPr>
          <w:p w14:paraId="6379B0D0" w14:textId="66017676" w:rsidR="00F9063B" w:rsidRPr="0062585A" w:rsidRDefault="00F9063B" w:rsidP="004B6FBB">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New</w:t>
            </w:r>
          </w:p>
        </w:tc>
        <w:tc>
          <w:tcPr>
            <w:tcW w:w="1069" w:type="dxa"/>
          </w:tcPr>
          <w:p w14:paraId="4E80F69A" w14:textId="366BA1AB" w:rsidR="00F9063B" w:rsidRPr="0062585A" w:rsidRDefault="00F9063B" w:rsidP="004B6FBB">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Step-in</w:t>
            </w:r>
          </w:p>
        </w:tc>
        <w:tc>
          <w:tcPr>
            <w:tcW w:w="3325" w:type="dxa"/>
          </w:tcPr>
          <w:p w14:paraId="06630B77" w14:textId="77777777" w:rsidR="00381832" w:rsidRPr="0062585A" w:rsidRDefault="00381832" w:rsidP="00273537">
            <w:pPr>
              <w:pStyle w:val="Default"/>
              <w:jc w:val="both"/>
              <w:rPr>
                <w:rFonts w:ascii="Open Sans" w:hAnsi="Open Sans" w:cs="Open Sans"/>
                <w:color w:val="auto"/>
                <w:sz w:val="20"/>
                <w:szCs w:val="20"/>
                <w:lang w:val="en-GB"/>
              </w:rPr>
            </w:pPr>
            <w:r w:rsidRPr="0062585A">
              <w:rPr>
                <w:rFonts w:ascii="Open Sans" w:hAnsi="Open Sans" w:cs="Open Sans"/>
                <w:color w:val="auto"/>
                <w:sz w:val="20"/>
                <w:szCs w:val="20"/>
                <w:lang w:val="en-GB"/>
              </w:rPr>
              <w:t xml:space="preserve">When a derivative or position with a new UTI is created for the first time due to a Step-in event. </w:t>
            </w:r>
          </w:p>
          <w:p w14:paraId="44814005" w14:textId="77777777" w:rsidR="00F9063B" w:rsidRPr="0062585A" w:rsidRDefault="00F9063B" w:rsidP="00273537">
            <w:pPr>
              <w:pStyle w:val="Default"/>
              <w:ind w:right="-427"/>
              <w:jc w:val="both"/>
              <w:rPr>
                <w:rFonts w:ascii="Open Sans" w:hAnsi="Open Sans" w:cs="Open Sans"/>
                <w:color w:val="auto"/>
                <w:sz w:val="20"/>
                <w:szCs w:val="20"/>
                <w:lang w:val="en-GB"/>
              </w:rPr>
            </w:pPr>
          </w:p>
        </w:tc>
        <w:tc>
          <w:tcPr>
            <w:tcW w:w="4111" w:type="dxa"/>
          </w:tcPr>
          <w:p w14:paraId="1BDEE4D6" w14:textId="77777777" w:rsidR="009B3ABF" w:rsidRPr="0062585A" w:rsidRDefault="0028796B"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 xml:space="preserve">In which scenarios has to be use Step-in </w:t>
            </w:r>
          </w:p>
          <w:p w14:paraId="2D81E3FF" w14:textId="2E00423C" w:rsidR="00F9063B" w:rsidRPr="0062585A" w:rsidRDefault="009B3ABF"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event type</w:t>
            </w:r>
            <w:r w:rsidR="0073622F" w:rsidRPr="0062585A">
              <w:rPr>
                <w:rFonts w:ascii="Open Sans" w:hAnsi="Open Sans" w:cs="Open Sans"/>
                <w:color w:val="auto"/>
                <w:sz w:val="20"/>
                <w:szCs w:val="20"/>
                <w:lang w:val="en-GB"/>
              </w:rPr>
              <w:t>?</w:t>
            </w:r>
            <w:r w:rsidR="008465DC" w:rsidRPr="0062585A">
              <w:rPr>
                <w:rFonts w:ascii="Open Sans" w:hAnsi="Open Sans" w:cs="Open Sans"/>
                <w:color w:val="auto"/>
                <w:sz w:val="20"/>
                <w:szCs w:val="20"/>
                <w:lang w:val="en-GB"/>
              </w:rPr>
              <w:t xml:space="preserve"> </w:t>
            </w:r>
            <w:r w:rsidR="0073622F" w:rsidRPr="0062585A">
              <w:rPr>
                <w:rFonts w:ascii="Open Sans" w:hAnsi="Open Sans" w:cs="Open Sans"/>
                <w:color w:val="auto"/>
                <w:sz w:val="20"/>
                <w:szCs w:val="20"/>
                <w:lang w:val="en-GB"/>
              </w:rPr>
              <w:t>Please provide some examples.</w:t>
            </w:r>
            <w:r w:rsidRPr="0062585A">
              <w:rPr>
                <w:rFonts w:ascii="Open Sans" w:hAnsi="Open Sans" w:cs="Open Sans"/>
                <w:color w:val="auto"/>
                <w:sz w:val="20"/>
                <w:szCs w:val="20"/>
                <w:lang w:val="en-GB"/>
              </w:rPr>
              <w:t xml:space="preserve"> </w:t>
            </w:r>
          </w:p>
        </w:tc>
      </w:tr>
      <w:tr w:rsidR="000E1F88" w:rsidRPr="000E1F88" w14:paraId="1A3D7B27" w14:textId="77777777" w:rsidTr="00F32752">
        <w:trPr>
          <w:trHeight w:val="924"/>
        </w:trPr>
        <w:tc>
          <w:tcPr>
            <w:tcW w:w="1418" w:type="dxa"/>
          </w:tcPr>
          <w:p w14:paraId="74B7E421" w14:textId="77777777" w:rsidR="0004124D" w:rsidRPr="0062585A" w:rsidRDefault="0004124D" w:rsidP="004B6FBB">
            <w:pPr>
              <w:autoSpaceDE w:val="0"/>
              <w:autoSpaceDN w:val="0"/>
              <w:adjustRightInd w:val="0"/>
              <w:rPr>
                <w:rFonts w:ascii="Open Sans" w:hAnsi="Open Sans" w:cs="Open Sans"/>
                <w:szCs w:val="20"/>
              </w:rPr>
            </w:pPr>
            <w:r w:rsidRPr="0062585A">
              <w:rPr>
                <w:rFonts w:ascii="Open Sans" w:hAnsi="Open Sans" w:cs="Open Sans"/>
                <w:szCs w:val="20"/>
              </w:rPr>
              <w:t>Terminate</w:t>
            </w:r>
          </w:p>
          <w:p w14:paraId="4DB7BE8C" w14:textId="77777777" w:rsidR="0004124D" w:rsidRPr="0062585A" w:rsidRDefault="0004124D" w:rsidP="004B6FBB">
            <w:pPr>
              <w:pStyle w:val="Default"/>
              <w:ind w:right="-427"/>
              <w:rPr>
                <w:rFonts w:ascii="Open Sans" w:hAnsi="Open Sans" w:cs="Open Sans"/>
                <w:color w:val="auto"/>
                <w:sz w:val="20"/>
                <w:szCs w:val="20"/>
                <w:lang w:val="en-GB"/>
              </w:rPr>
            </w:pPr>
          </w:p>
        </w:tc>
        <w:tc>
          <w:tcPr>
            <w:tcW w:w="1069" w:type="dxa"/>
          </w:tcPr>
          <w:p w14:paraId="1D15E4BE" w14:textId="77777777" w:rsidR="0004124D" w:rsidRPr="0062585A" w:rsidRDefault="0004124D" w:rsidP="004B6FBB">
            <w:pPr>
              <w:autoSpaceDE w:val="0"/>
              <w:autoSpaceDN w:val="0"/>
              <w:adjustRightInd w:val="0"/>
              <w:rPr>
                <w:rFonts w:ascii="Open Sans" w:hAnsi="Open Sans" w:cs="Open Sans"/>
                <w:szCs w:val="20"/>
              </w:rPr>
            </w:pPr>
            <w:r w:rsidRPr="0062585A">
              <w:rPr>
                <w:rFonts w:ascii="Open Sans" w:hAnsi="Open Sans" w:cs="Open Sans"/>
                <w:szCs w:val="20"/>
              </w:rPr>
              <w:t>Clearing</w:t>
            </w:r>
          </w:p>
          <w:p w14:paraId="6BF5055E" w14:textId="77777777" w:rsidR="0004124D" w:rsidRPr="0062585A" w:rsidRDefault="0004124D" w:rsidP="004B6FBB">
            <w:pPr>
              <w:pStyle w:val="Default"/>
              <w:ind w:right="-427"/>
              <w:rPr>
                <w:rFonts w:ascii="Open Sans" w:hAnsi="Open Sans" w:cs="Open Sans"/>
                <w:color w:val="auto"/>
                <w:sz w:val="20"/>
                <w:szCs w:val="20"/>
                <w:lang w:val="en-GB"/>
              </w:rPr>
            </w:pPr>
          </w:p>
        </w:tc>
        <w:tc>
          <w:tcPr>
            <w:tcW w:w="3325" w:type="dxa"/>
          </w:tcPr>
          <w:p w14:paraId="31DBD7C4" w14:textId="77777777" w:rsidR="0004124D" w:rsidRPr="0062585A" w:rsidRDefault="0004124D" w:rsidP="00273537">
            <w:pPr>
              <w:autoSpaceDE w:val="0"/>
              <w:autoSpaceDN w:val="0"/>
              <w:adjustRightInd w:val="0"/>
              <w:jc w:val="both"/>
              <w:rPr>
                <w:rFonts w:ascii="Open Sans" w:hAnsi="Open Sans" w:cs="Open Sans"/>
                <w:szCs w:val="20"/>
              </w:rPr>
            </w:pPr>
            <w:r w:rsidRPr="0062585A">
              <w:rPr>
                <w:rFonts w:ascii="Open Sans" w:hAnsi="Open Sans" w:cs="Open Sans"/>
                <w:szCs w:val="20"/>
              </w:rPr>
              <w:t>When a derivative with an existing UTI is terminated due to a Clearing event. This is used for terminating alpha trades.</w:t>
            </w:r>
          </w:p>
        </w:tc>
        <w:tc>
          <w:tcPr>
            <w:tcW w:w="4111" w:type="dxa"/>
          </w:tcPr>
          <w:p w14:paraId="59F15457" w14:textId="77777777" w:rsidR="0004124D" w:rsidRPr="0062585A" w:rsidRDefault="0004124D" w:rsidP="00273537">
            <w:pPr>
              <w:pStyle w:val="Default"/>
              <w:ind w:right="-427"/>
              <w:jc w:val="both"/>
              <w:rPr>
                <w:rFonts w:ascii="Open Sans" w:hAnsi="Open Sans" w:cs="Open Sans"/>
                <w:color w:val="auto"/>
                <w:sz w:val="20"/>
                <w:szCs w:val="20"/>
                <w:lang w:val="en-GB"/>
              </w:rPr>
            </w:pPr>
            <w:r w:rsidRPr="0062585A">
              <w:rPr>
                <w:rFonts w:ascii="Open Sans" w:hAnsi="Open Sans" w:cs="Open Sans"/>
                <w:color w:val="auto"/>
                <w:sz w:val="20"/>
                <w:szCs w:val="20"/>
                <w:lang w:val="en-GB"/>
              </w:rPr>
              <w:t>This is a good explanation.</w:t>
            </w:r>
          </w:p>
        </w:tc>
      </w:tr>
    </w:tbl>
    <w:p w14:paraId="02813ABD" w14:textId="77777777" w:rsidR="00887686" w:rsidRPr="000E1F88" w:rsidRDefault="00887686" w:rsidP="00887686">
      <w:pPr>
        <w:pStyle w:val="Default"/>
        <w:ind w:left="-567" w:right="-427"/>
        <w:jc w:val="both"/>
        <w:rPr>
          <w:rFonts w:ascii="Arial" w:hAnsi="Arial" w:cs="Arial"/>
          <w:color w:val="auto"/>
          <w:sz w:val="20"/>
          <w:szCs w:val="20"/>
          <w:lang w:val="en-GB"/>
        </w:rPr>
      </w:pPr>
    </w:p>
    <w:p w14:paraId="32B71896" w14:textId="77777777" w:rsidR="00887686" w:rsidRPr="000E1F88" w:rsidRDefault="00887686" w:rsidP="00816272">
      <w:pPr>
        <w:pStyle w:val="Default"/>
        <w:ind w:left="142" w:right="-427"/>
        <w:jc w:val="both"/>
        <w:rPr>
          <w:rFonts w:ascii="Open Sans" w:hAnsi="Open Sans" w:cs="Open Sans"/>
          <w:color w:val="auto"/>
          <w:sz w:val="20"/>
          <w:szCs w:val="20"/>
          <w:lang w:val="en-GB"/>
        </w:rPr>
      </w:pPr>
      <w:r w:rsidRPr="000E1F88">
        <w:rPr>
          <w:rFonts w:ascii="Open Sans" w:hAnsi="Open Sans" w:cs="Open Sans"/>
          <w:color w:val="auto"/>
          <w:sz w:val="20"/>
          <w:szCs w:val="20"/>
          <w:lang w:val="en-GB"/>
        </w:rPr>
        <w:t xml:space="preserve">It is difficult to confirm whether this list is complete without more detailed guidance on when each category should be used, and exactly which events fall into each category. A full list of applicable events for each event type and worked examples would be very useful. </w:t>
      </w:r>
    </w:p>
    <w:p w14:paraId="3537079D" w14:textId="77777777" w:rsidR="00887686" w:rsidRPr="00D2274F" w:rsidRDefault="00887686" w:rsidP="00887686">
      <w:pPr>
        <w:pStyle w:val="Default"/>
        <w:ind w:left="-567" w:right="-427"/>
        <w:jc w:val="both"/>
        <w:rPr>
          <w:rFonts w:ascii="Open Sans" w:hAnsi="Open Sans" w:cs="Open Sans"/>
          <w:color w:val="4F81BD" w:themeColor="accent1"/>
          <w:sz w:val="20"/>
          <w:szCs w:val="20"/>
          <w:lang w:val="en-GB"/>
        </w:rPr>
      </w:pPr>
    </w:p>
    <w:p w14:paraId="75E8751B" w14:textId="0A0C7D52" w:rsidR="004F7B49" w:rsidRPr="000E1F88" w:rsidRDefault="00887686" w:rsidP="00816272">
      <w:pPr>
        <w:pStyle w:val="Default"/>
        <w:ind w:left="142" w:right="-427"/>
        <w:jc w:val="both"/>
        <w:rPr>
          <w:rFonts w:ascii="Open Sans" w:hAnsi="Open Sans" w:cs="Open Sans"/>
          <w:color w:val="auto"/>
          <w:sz w:val="20"/>
          <w:szCs w:val="20"/>
          <w:lang w:val="en-GB"/>
        </w:rPr>
      </w:pPr>
      <w:r w:rsidRPr="000E1F88">
        <w:rPr>
          <w:rFonts w:ascii="Open Sans" w:hAnsi="Open Sans" w:cs="Open Sans"/>
          <w:color w:val="auto"/>
          <w:sz w:val="20"/>
          <w:szCs w:val="20"/>
          <w:lang w:val="en-GB"/>
        </w:rPr>
        <w:t>There is also some clarification needed when CCPs use the Clearing event and if Clearing is intended to include all cleared transactions including OTC transactions which were previously bilaterally agreed among counterparties and subsequently cleared.</w:t>
      </w:r>
      <w:r w:rsidR="001B3B24" w:rsidRPr="000E1F88">
        <w:rPr>
          <w:rFonts w:ascii="Open Sans" w:hAnsi="Open Sans" w:cs="Open Sans"/>
          <w:color w:val="auto"/>
          <w:sz w:val="20"/>
          <w:szCs w:val="20"/>
          <w:lang w:val="en-GB"/>
        </w:rPr>
        <w:t xml:space="preserve"> In the second case we should use Step-in </w:t>
      </w:r>
      <w:r w:rsidR="007E663D" w:rsidRPr="000E1F88">
        <w:rPr>
          <w:rFonts w:ascii="Open Sans" w:hAnsi="Open Sans" w:cs="Open Sans"/>
          <w:color w:val="auto"/>
          <w:sz w:val="20"/>
          <w:szCs w:val="20"/>
          <w:lang w:val="en-GB"/>
        </w:rPr>
        <w:t>event type</w:t>
      </w:r>
      <w:r w:rsidR="006250F5" w:rsidRPr="000E1F88">
        <w:rPr>
          <w:rFonts w:ascii="Open Sans" w:hAnsi="Open Sans" w:cs="Open Sans"/>
          <w:color w:val="auto"/>
          <w:sz w:val="20"/>
          <w:szCs w:val="20"/>
          <w:lang w:val="en-GB"/>
        </w:rPr>
        <w:t>?</w:t>
      </w:r>
      <w:r w:rsidR="007E663D" w:rsidRPr="000E1F88">
        <w:rPr>
          <w:rFonts w:ascii="Open Sans" w:hAnsi="Open Sans" w:cs="Open Sans"/>
          <w:color w:val="auto"/>
          <w:sz w:val="20"/>
          <w:szCs w:val="20"/>
          <w:lang w:val="en-GB"/>
        </w:rPr>
        <w:t xml:space="preserve">. </w:t>
      </w:r>
    </w:p>
    <w:p w14:paraId="589673C7" w14:textId="2AFDF7CD" w:rsidR="007A4619" w:rsidRPr="000E1F88" w:rsidRDefault="007A4619" w:rsidP="006250F5">
      <w:pPr>
        <w:pStyle w:val="Default"/>
        <w:ind w:left="-567" w:right="-427"/>
        <w:jc w:val="both"/>
        <w:rPr>
          <w:rFonts w:ascii="Open Sans" w:hAnsi="Open Sans" w:cs="Open Sans"/>
          <w:color w:val="auto"/>
          <w:sz w:val="20"/>
          <w:szCs w:val="20"/>
          <w:lang w:val="en-GB"/>
        </w:rPr>
      </w:pPr>
    </w:p>
    <w:p w14:paraId="6C183808" w14:textId="60870B55" w:rsidR="007A4619" w:rsidRPr="000E1F88" w:rsidRDefault="007A4619" w:rsidP="00816272">
      <w:pPr>
        <w:pStyle w:val="Default"/>
        <w:ind w:left="142" w:right="-427"/>
        <w:jc w:val="both"/>
        <w:rPr>
          <w:rFonts w:ascii="Open Sans" w:hAnsi="Open Sans" w:cs="Open Sans"/>
          <w:color w:val="auto"/>
          <w:sz w:val="20"/>
          <w:szCs w:val="20"/>
          <w:lang w:val="en-GB"/>
        </w:rPr>
      </w:pPr>
      <w:r w:rsidRPr="000E1F88">
        <w:rPr>
          <w:rFonts w:ascii="Open Sans" w:hAnsi="Open Sans" w:cs="Open Sans"/>
          <w:color w:val="auto"/>
          <w:sz w:val="20"/>
          <w:szCs w:val="20"/>
          <w:lang w:val="en-GB"/>
        </w:rPr>
        <w:t>We would also like to stress out that table 4 on paragraph 117, when Event Type = ‘PTRR’ does not match with the validation rules as shown below. Can you please confirm?:</w:t>
      </w:r>
    </w:p>
    <w:p w14:paraId="3DFF3E41" w14:textId="04040854" w:rsidR="007A4619" w:rsidRPr="000E1F88" w:rsidRDefault="007A4619" w:rsidP="006250F5">
      <w:pPr>
        <w:pStyle w:val="Default"/>
        <w:ind w:left="-567" w:right="-427"/>
        <w:jc w:val="both"/>
        <w:rPr>
          <w:rFonts w:ascii="Open Sans" w:hAnsi="Open Sans" w:cs="Open Sans"/>
          <w:color w:val="auto"/>
          <w:sz w:val="20"/>
          <w:szCs w:val="20"/>
          <w:lang w:val="en-GB"/>
        </w:rPr>
      </w:pPr>
    </w:p>
    <w:p w14:paraId="29C02149" w14:textId="55E9BB27" w:rsidR="007A4619" w:rsidRPr="000E1F88" w:rsidRDefault="007A4619" w:rsidP="007A4619">
      <w:pPr>
        <w:pStyle w:val="Default"/>
        <w:numPr>
          <w:ilvl w:val="0"/>
          <w:numId w:val="46"/>
        </w:numPr>
        <w:ind w:right="-427"/>
        <w:jc w:val="both"/>
        <w:rPr>
          <w:rFonts w:ascii="Open Sans" w:hAnsi="Open Sans" w:cs="Open Sans"/>
          <w:color w:val="auto"/>
          <w:sz w:val="20"/>
          <w:szCs w:val="20"/>
          <w:lang w:val="en-GB"/>
        </w:rPr>
      </w:pPr>
      <w:r w:rsidRPr="000E1F88">
        <w:rPr>
          <w:rFonts w:ascii="Open Sans" w:hAnsi="Open Sans" w:cs="Open Sans"/>
          <w:color w:val="auto"/>
          <w:sz w:val="20"/>
          <w:szCs w:val="20"/>
          <w:lang w:val="en-GB"/>
        </w:rPr>
        <w:t>TABLE 4:</w:t>
      </w:r>
    </w:p>
    <w:p w14:paraId="02BDB0AC" w14:textId="77777777" w:rsidR="007A4619" w:rsidRPr="000E1F88" w:rsidRDefault="007A4619" w:rsidP="007A4619">
      <w:pPr>
        <w:pStyle w:val="Default"/>
        <w:ind w:left="153" w:right="-427"/>
        <w:jc w:val="both"/>
        <w:rPr>
          <w:rFonts w:ascii="Arial" w:hAnsi="Arial" w:cs="Arial"/>
          <w:color w:val="auto"/>
          <w:sz w:val="20"/>
          <w:szCs w:val="20"/>
          <w:lang w:val="en-GB"/>
        </w:rPr>
      </w:pPr>
    </w:p>
    <w:p w14:paraId="75A17A30" w14:textId="4ED983B7" w:rsidR="007A4619" w:rsidRPr="005F6D9F" w:rsidRDefault="007A4619" w:rsidP="007A4619">
      <w:pPr>
        <w:pStyle w:val="Default"/>
        <w:ind w:left="153" w:right="-427"/>
        <w:jc w:val="both"/>
        <w:rPr>
          <w:rFonts w:ascii="Arial" w:hAnsi="Arial" w:cs="Arial"/>
          <w:color w:val="auto"/>
          <w:sz w:val="20"/>
          <w:szCs w:val="20"/>
          <w:lang w:val="en-GB"/>
        </w:rPr>
      </w:pPr>
      <w:r w:rsidRPr="005F6D9F">
        <w:rPr>
          <w:rFonts w:ascii="Arial" w:hAnsi="Arial" w:cs="Arial"/>
          <w:noProof/>
          <w:color w:val="auto"/>
          <w:sz w:val="20"/>
          <w:szCs w:val="20"/>
        </w:rPr>
        <w:drawing>
          <wp:inline distT="0" distB="0" distL="0" distR="0" wp14:anchorId="099EDC20" wp14:editId="2E6F6688">
            <wp:extent cx="5400040" cy="934720"/>
            <wp:effectExtent l="0" t="0" r="0" b="0"/>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21"/>
                    <a:stretch>
                      <a:fillRect/>
                    </a:stretch>
                  </pic:blipFill>
                  <pic:spPr>
                    <a:xfrm>
                      <a:off x="0" y="0"/>
                      <a:ext cx="5400040" cy="934720"/>
                    </a:xfrm>
                    <a:prstGeom prst="rect">
                      <a:avLst/>
                    </a:prstGeom>
                  </pic:spPr>
                </pic:pic>
              </a:graphicData>
            </a:graphic>
          </wp:inline>
        </w:drawing>
      </w:r>
    </w:p>
    <w:p w14:paraId="101E578F" w14:textId="657620AB" w:rsidR="007A4619" w:rsidRPr="005F6D9F" w:rsidRDefault="007A4619" w:rsidP="007A4619">
      <w:pPr>
        <w:pStyle w:val="Default"/>
        <w:ind w:left="153" w:right="-427"/>
        <w:jc w:val="both"/>
        <w:rPr>
          <w:rFonts w:ascii="Arial" w:hAnsi="Arial" w:cs="Arial"/>
          <w:color w:val="auto"/>
          <w:sz w:val="20"/>
          <w:szCs w:val="20"/>
          <w:lang w:val="en-GB"/>
        </w:rPr>
      </w:pPr>
    </w:p>
    <w:p w14:paraId="23ED15D2" w14:textId="26FE0B89" w:rsidR="007A4619" w:rsidRPr="000E1F88" w:rsidRDefault="007A4619" w:rsidP="007A4619">
      <w:pPr>
        <w:pStyle w:val="Default"/>
        <w:ind w:left="153" w:right="-427"/>
        <w:jc w:val="both"/>
        <w:rPr>
          <w:rFonts w:ascii="Arial" w:hAnsi="Arial" w:cs="Arial"/>
          <w:color w:val="auto"/>
          <w:sz w:val="20"/>
          <w:szCs w:val="20"/>
          <w:lang w:val="en-GB"/>
        </w:rPr>
      </w:pPr>
    </w:p>
    <w:p w14:paraId="590BA049" w14:textId="7FA8D043" w:rsidR="007A4619" w:rsidRPr="000E1F88" w:rsidRDefault="007A4619" w:rsidP="007A4619">
      <w:pPr>
        <w:pStyle w:val="Default"/>
        <w:numPr>
          <w:ilvl w:val="0"/>
          <w:numId w:val="46"/>
        </w:numPr>
        <w:ind w:right="-427"/>
        <w:jc w:val="both"/>
        <w:rPr>
          <w:rFonts w:ascii="Open Sans" w:hAnsi="Open Sans" w:cs="Open Sans"/>
          <w:color w:val="auto"/>
          <w:sz w:val="20"/>
          <w:szCs w:val="20"/>
          <w:lang w:val="en-GB"/>
        </w:rPr>
      </w:pPr>
      <w:r w:rsidRPr="000E1F88">
        <w:rPr>
          <w:rFonts w:ascii="Open Sans" w:hAnsi="Open Sans" w:cs="Open Sans"/>
          <w:color w:val="auto"/>
          <w:sz w:val="20"/>
          <w:szCs w:val="20"/>
          <w:lang w:val="en-GB"/>
        </w:rPr>
        <w:t>VALIDATION RULES:</w:t>
      </w:r>
    </w:p>
    <w:p w14:paraId="11114C47" w14:textId="69516CAD" w:rsidR="007A4619" w:rsidRDefault="007A4619" w:rsidP="00B305B2">
      <w:pPr>
        <w:pStyle w:val="Default"/>
        <w:ind w:left="153" w:right="-427"/>
        <w:jc w:val="both"/>
        <w:rPr>
          <w:color w:val="4F81BD" w:themeColor="accent1"/>
          <w:sz w:val="22"/>
          <w:szCs w:val="22"/>
          <w:lang w:val="en-GB"/>
        </w:rPr>
      </w:pPr>
      <w:r w:rsidRPr="007716DA">
        <w:rPr>
          <w:noProof/>
          <w:color w:val="auto"/>
        </w:rPr>
        <w:drawing>
          <wp:inline distT="0" distB="0" distL="0" distR="0" wp14:anchorId="21BA598A" wp14:editId="0509B497">
            <wp:extent cx="2622550" cy="1904618"/>
            <wp:effectExtent l="0" t="0" r="6350" b="635"/>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22"/>
                    <a:stretch>
                      <a:fillRect/>
                    </a:stretch>
                  </pic:blipFill>
                  <pic:spPr>
                    <a:xfrm>
                      <a:off x="0" y="0"/>
                      <a:ext cx="2639478" cy="1916912"/>
                    </a:xfrm>
                    <a:prstGeom prst="rect">
                      <a:avLst/>
                    </a:prstGeom>
                  </pic:spPr>
                </pic:pic>
              </a:graphicData>
            </a:graphic>
          </wp:inline>
        </w:drawing>
      </w:r>
    </w:p>
    <w:p w14:paraId="73C30827" w14:textId="77777777" w:rsidR="00B305B2" w:rsidRPr="007A4619" w:rsidRDefault="00B305B2" w:rsidP="00B305B2">
      <w:pPr>
        <w:pStyle w:val="Default"/>
        <w:ind w:left="153" w:right="-427"/>
        <w:jc w:val="both"/>
        <w:rPr>
          <w:color w:val="4F81BD" w:themeColor="accent1"/>
          <w:sz w:val="22"/>
          <w:szCs w:val="22"/>
          <w:lang w:val="en-GB"/>
        </w:rPr>
      </w:pP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5C02F778" w14:textId="77777777" w:rsidR="00180FAE" w:rsidRPr="00FB13B2" w:rsidRDefault="00087FE3" w:rsidP="00087FE3">
      <w:pPr>
        <w:ind w:right="-227"/>
        <w:rPr>
          <w:rFonts w:ascii="Open Sans" w:hAnsi="Open Sans" w:cs="Open Sans"/>
        </w:rPr>
      </w:pPr>
      <w:permStart w:id="2094935916" w:edGrp="everyone"/>
      <w:r w:rsidRPr="00FB13B2">
        <w:rPr>
          <w:rFonts w:ascii="Open Sans" w:hAnsi="Open Sans" w:cs="Open Sans"/>
        </w:rPr>
        <w:t xml:space="preserve">We welcome that linking IDs shall only be reported pertaining to a given lifecycle events. </w:t>
      </w:r>
    </w:p>
    <w:p w14:paraId="419AB89E" w14:textId="77777777" w:rsidR="00180FAE" w:rsidRPr="00FB13B2" w:rsidRDefault="00180FAE" w:rsidP="00087FE3">
      <w:pPr>
        <w:ind w:right="-227"/>
        <w:rPr>
          <w:rFonts w:ascii="Open Sans" w:hAnsi="Open Sans" w:cs="Open Sans"/>
        </w:rPr>
      </w:pPr>
    </w:p>
    <w:p w14:paraId="33BA6A40" w14:textId="708125A2" w:rsidR="00087FE3" w:rsidRPr="00FB13B2" w:rsidRDefault="00087FE3" w:rsidP="00087FE3">
      <w:pPr>
        <w:ind w:right="-227"/>
        <w:rPr>
          <w:rFonts w:ascii="Open Sans" w:hAnsi="Open Sans" w:cs="Open Sans"/>
        </w:rPr>
      </w:pPr>
      <w:r w:rsidRPr="00FB13B2">
        <w:rPr>
          <w:rFonts w:ascii="Open Sans" w:hAnsi="Open Sans" w:cs="Open Sans"/>
        </w:rPr>
        <w:t xml:space="preserve">However, </w:t>
      </w:r>
      <w:r w:rsidR="00D22BC6" w:rsidRPr="00FB13B2">
        <w:rPr>
          <w:rFonts w:ascii="Open Sans" w:hAnsi="Open Sans" w:cs="Open Sans"/>
        </w:rPr>
        <w:t xml:space="preserve">we ask ESMA to reconsider the population of </w:t>
      </w:r>
      <w:r w:rsidR="00F62FAB" w:rsidRPr="00FB13B2">
        <w:rPr>
          <w:rFonts w:ascii="Open Sans" w:hAnsi="Open Sans" w:cs="Open Sans"/>
        </w:rPr>
        <w:t xml:space="preserve">the </w:t>
      </w:r>
      <w:r w:rsidR="00D22BC6" w:rsidRPr="00FB13B2">
        <w:rPr>
          <w:rFonts w:ascii="Open Sans" w:hAnsi="Open Sans" w:cs="Open Sans"/>
        </w:rPr>
        <w:t xml:space="preserve">PRIOR UTI and SUSBSEQUENT </w:t>
      </w:r>
      <w:r w:rsidR="00180FAE" w:rsidRPr="00FB13B2">
        <w:rPr>
          <w:rFonts w:ascii="Open Sans" w:hAnsi="Open Sans" w:cs="Open Sans"/>
        </w:rPr>
        <w:t xml:space="preserve">POSITION UTI </w:t>
      </w:r>
      <w:r w:rsidR="00F62FAB" w:rsidRPr="00FB13B2">
        <w:rPr>
          <w:rFonts w:ascii="Open Sans" w:hAnsi="Open Sans" w:cs="Open Sans"/>
        </w:rPr>
        <w:t xml:space="preserve">fields </w:t>
      </w:r>
      <w:r w:rsidR="00180FAE" w:rsidRPr="00FB13B2">
        <w:rPr>
          <w:rFonts w:ascii="Open Sans" w:hAnsi="Open Sans" w:cs="Open Sans"/>
        </w:rPr>
        <w:t>in the following cases:</w:t>
      </w:r>
    </w:p>
    <w:p w14:paraId="27645C27" w14:textId="5030080D" w:rsidR="00180FAE" w:rsidRPr="00FB13B2" w:rsidRDefault="00180FAE" w:rsidP="00087FE3">
      <w:pPr>
        <w:ind w:right="-227"/>
        <w:rPr>
          <w:rFonts w:ascii="Open Sans" w:hAnsi="Open Sans" w:cs="Open Sans"/>
        </w:rPr>
      </w:pPr>
    </w:p>
    <w:p w14:paraId="30A90BE3" w14:textId="4E7ADEF4" w:rsidR="00087FE3" w:rsidRPr="00FB13B2" w:rsidRDefault="009812E7" w:rsidP="009812E7">
      <w:pPr>
        <w:pStyle w:val="Prrafodelista"/>
        <w:numPr>
          <w:ilvl w:val="0"/>
          <w:numId w:val="47"/>
        </w:numPr>
        <w:spacing w:after="120"/>
        <w:ind w:left="1072" w:right="-227"/>
        <w:contextualSpacing w:val="0"/>
        <w:jc w:val="both"/>
        <w:rPr>
          <w:rFonts w:cs="Arial"/>
          <w:noProof/>
          <w:lang w:val="en-US"/>
        </w:rPr>
      </w:pPr>
      <w:r w:rsidRPr="00FB13B2">
        <w:rPr>
          <w:rFonts w:ascii="Open Sans" w:hAnsi="Open Sans" w:cs="Open Sans"/>
        </w:rPr>
        <w:t>PRIOR UTI in a n</w:t>
      </w:r>
      <w:r w:rsidR="00004BF9" w:rsidRPr="00FB13B2">
        <w:rPr>
          <w:rFonts w:ascii="Open Sans" w:hAnsi="Open Sans" w:cs="Open Sans"/>
        </w:rPr>
        <w:t>ew cleared derivative at trade level resulting from clearing of a bilateral derivative on the same day or after.</w:t>
      </w:r>
    </w:p>
    <w:p w14:paraId="1DE81CE1" w14:textId="7EC435BD" w:rsidR="00004BF9" w:rsidRPr="00FB13B2" w:rsidRDefault="00004BF9" w:rsidP="009812E7">
      <w:pPr>
        <w:pStyle w:val="Prrafodelista"/>
        <w:spacing w:after="120"/>
        <w:ind w:left="1072" w:right="-227"/>
        <w:contextualSpacing w:val="0"/>
        <w:jc w:val="both"/>
        <w:rPr>
          <w:rFonts w:ascii="Open Sans" w:hAnsi="Open Sans" w:cs="Open Sans"/>
        </w:rPr>
      </w:pPr>
      <w:r w:rsidRPr="00FB13B2">
        <w:rPr>
          <w:rFonts w:ascii="Open Sans" w:hAnsi="Open Sans" w:cs="Open Sans"/>
        </w:rPr>
        <w:t xml:space="preserve">As </w:t>
      </w:r>
      <w:r w:rsidR="00F62FAB" w:rsidRPr="00FB13B2">
        <w:rPr>
          <w:rFonts w:ascii="Open Sans" w:hAnsi="Open Sans" w:cs="Open Sans"/>
        </w:rPr>
        <w:t>indicated</w:t>
      </w:r>
      <w:r w:rsidRPr="00FB13B2">
        <w:rPr>
          <w:rFonts w:ascii="Open Sans" w:hAnsi="Open Sans" w:cs="Open Sans"/>
        </w:rPr>
        <w:t xml:space="preserve"> in Table 54 of the draft </w:t>
      </w:r>
      <w:r w:rsidR="00F62FAB" w:rsidRPr="00FB13B2">
        <w:rPr>
          <w:rFonts w:ascii="Open Sans" w:hAnsi="Open Sans" w:cs="Open Sans"/>
        </w:rPr>
        <w:t>G</w:t>
      </w:r>
      <w:r w:rsidRPr="00FB13B2">
        <w:rPr>
          <w:rFonts w:ascii="Open Sans" w:hAnsi="Open Sans" w:cs="Open Sans"/>
        </w:rPr>
        <w:t xml:space="preserve">uidelines, the PRIOR UTI of the bilateral trade shall be populated. </w:t>
      </w:r>
    </w:p>
    <w:p w14:paraId="3613E0D8" w14:textId="510BBA57" w:rsidR="00004BF9" w:rsidRPr="00FB13B2" w:rsidRDefault="00004BF9" w:rsidP="009812E7">
      <w:pPr>
        <w:pStyle w:val="Prrafodelista"/>
        <w:spacing w:after="120"/>
        <w:ind w:left="1072" w:right="-227"/>
        <w:contextualSpacing w:val="0"/>
        <w:jc w:val="both"/>
        <w:rPr>
          <w:rFonts w:ascii="Open Sans" w:hAnsi="Open Sans" w:cs="Open Sans"/>
        </w:rPr>
      </w:pPr>
      <w:r w:rsidRPr="00FB13B2">
        <w:rPr>
          <w:rFonts w:ascii="Open Sans" w:hAnsi="Open Sans" w:cs="Open Sans"/>
        </w:rPr>
        <w:t>What</w:t>
      </w:r>
      <w:r w:rsidR="00F62FAB" w:rsidRPr="00FB13B2">
        <w:rPr>
          <w:rFonts w:ascii="Open Sans" w:hAnsi="Open Sans" w:cs="Open Sans"/>
        </w:rPr>
        <w:t xml:space="preserve"> i</w:t>
      </w:r>
      <w:r w:rsidRPr="00FB13B2">
        <w:rPr>
          <w:rFonts w:ascii="Open Sans" w:hAnsi="Open Sans" w:cs="Open Sans"/>
        </w:rPr>
        <w:t xml:space="preserve">s the purpose </w:t>
      </w:r>
      <w:r w:rsidR="00F62FAB" w:rsidRPr="00FB13B2">
        <w:rPr>
          <w:rFonts w:ascii="Open Sans" w:hAnsi="Open Sans" w:cs="Open Sans"/>
        </w:rPr>
        <w:t xml:space="preserve">of doing </w:t>
      </w:r>
      <w:r w:rsidRPr="00FB13B2">
        <w:rPr>
          <w:rFonts w:ascii="Open Sans" w:hAnsi="Open Sans" w:cs="Open Sans"/>
        </w:rPr>
        <w:t>so? We believe that this requirement will only increase the burden of EMIR REFIT not only for C</w:t>
      </w:r>
      <w:r w:rsidR="00FB13B2" w:rsidRPr="00FB13B2">
        <w:rPr>
          <w:rFonts w:ascii="Open Sans" w:hAnsi="Open Sans" w:cs="Open Sans"/>
        </w:rPr>
        <w:t>C</w:t>
      </w:r>
      <w:r w:rsidRPr="00FB13B2">
        <w:rPr>
          <w:rFonts w:ascii="Open Sans" w:hAnsi="Open Sans" w:cs="Open Sans"/>
        </w:rPr>
        <w:t xml:space="preserve">Ps in particular, but also </w:t>
      </w:r>
      <w:r w:rsidR="00F62FAB" w:rsidRPr="00FB13B2">
        <w:rPr>
          <w:rFonts w:ascii="Open Sans" w:hAnsi="Open Sans" w:cs="Open Sans"/>
        </w:rPr>
        <w:t>f</w:t>
      </w:r>
      <w:r w:rsidRPr="00FB13B2">
        <w:rPr>
          <w:rFonts w:ascii="Open Sans" w:hAnsi="Open Sans" w:cs="Open Sans"/>
        </w:rPr>
        <w:t>o</w:t>
      </w:r>
      <w:r w:rsidR="00F62FAB" w:rsidRPr="00FB13B2">
        <w:rPr>
          <w:rFonts w:ascii="Open Sans" w:hAnsi="Open Sans" w:cs="Open Sans"/>
        </w:rPr>
        <w:t>r</w:t>
      </w:r>
      <w:r w:rsidRPr="00FB13B2">
        <w:rPr>
          <w:rFonts w:ascii="Open Sans" w:hAnsi="Open Sans" w:cs="Open Sans"/>
        </w:rPr>
        <w:t xml:space="preserve"> Clearing Members </w:t>
      </w:r>
      <w:r w:rsidR="009812E7" w:rsidRPr="00FB13B2">
        <w:rPr>
          <w:rFonts w:ascii="Open Sans" w:hAnsi="Open Sans" w:cs="Open Sans"/>
        </w:rPr>
        <w:t xml:space="preserve">in general, given that the latter will </w:t>
      </w:r>
      <w:r w:rsidR="00F62FAB" w:rsidRPr="00FB13B2">
        <w:rPr>
          <w:rFonts w:ascii="Open Sans" w:hAnsi="Open Sans" w:cs="Open Sans"/>
        </w:rPr>
        <w:t>have</w:t>
      </w:r>
      <w:r w:rsidR="009812E7" w:rsidRPr="00FB13B2">
        <w:rPr>
          <w:rFonts w:ascii="Open Sans" w:hAnsi="Open Sans" w:cs="Open Sans"/>
        </w:rPr>
        <w:t xml:space="preserve"> to provide this information to CCPs in order to</w:t>
      </w:r>
      <w:r w:rsidR="00F62FAB" w:rsidRPr="00FB13B2">
        <w:rPr>
          <w:rFonts w:ascii="Open Sans" w:hAnsi="Open Sans" w:cs="Open Sans"/>
        </w:rPr>
        <w:t xml:space="preserve"> comply with</w:t>
      </w:r>
      <w:r w:rsidR="009812E7" w:rsidRPr="00FB13B2">
        <w:rPr>
          <w:rFonts w:ascii="Open Sans" w:hAnsi="Open Sans" w:cs="Open Sans"/>
        </w:rPr>
        <w:t xml:space="preserve"> this requirement.</w:t>
      </w:r>
    </w:p>
    <w:p w14:paraId="0404FBFE" w14:textId="2193EE51" w:rsidR="009812E7" w:rsidRPr="00FB13B2" w:rsidRDefault="009812E7" w:rsidP="009812E7">
      <w:pPr>
        <w:pStyle w:val="Prrafodelista"/>
        <w:spacing w:after="120"/>
        <w:ind w:left="1072" w:right="-227"/>
        <w:contextualSpacing w:val="0"/>
        <w:jc w:val="both"/>
        <w:rPr>
          <w:rFonts w:ascii="Open Sans" w:hAnsi="Open Sans" w:cs="Open Sans"/>
        </w:rPr>
      </w:pPr>
      <w:r w:rsidRPr="00FB13B2">
        <w:rPr>
          <w:rFonts w:ascii="Open Sans" w:hAnsi="Open Sans" w:cs="Open Sans"/>
        </w:rPr>
        <w:t xml:space="preserve">In addition, while CCPs are not required to populate the </w:t>
      </w:r>
      <w:r w:rsidR="00F62FAB" w:rsidRPr="00FB13B2">
        <w:rPr>
          <w:rFonts w:ascii="Open Sans" w:hAnsi="Open Sans" w:cs="Open Sans"/>
        </w:rPr>
        <w:t>PRIOR</w:t>
      </w:r>
      <w:r w:rsidRPr="00FB13B2">
        <w:rPr>
          <w:rFonts w:ascii="Open Sans" w:hAnsi="Open Sans" w:cs="Open Sans"/>
        </w:rPr>
        <w:t xml:space="preserve"> UTI of the bilateral transaction </w:t>
      </w:r>
      <w:r w:rsidR="00334005" w:rsidRPr="00FB13B2">
        <w:rPr>
          <w:rFonts w:ascii="Open Sans" w:hAnsi="Open Sans" w:cs="Open Sans"/>
        </w:rPr>
        <w:t>for</w:t>
      </w:r>
      <w:r w:rsidRPr="00FB13B2">
        <w:rPr>
          <w:rFonts w:ascii="Open Sans" w:hAnsi="Open Sans" w:cs="Open Sans"/>
        </w:rPr>
        <w:t xml:space="preserve"> CCP-cleared SFTs under SFTR, it does not make sense for CCPs to have this obligation under EMIR REFIT. </w:t>
      </w:r>
      <w:r w:rsidR="00334005" w:rsidRPr="00FB13B2">
        <w:rPr>
          <w:rFonts w:ascii="Open Sans" w:hAnsi="Open Sans" w:cs="Open Sans"/>
        </w:rPr>
        <w:t>We t</w:t>
      </w:r>
      <w:r w:rsidRPr="00FB13B2">
        <w:rPr>
          <w:rFonts w:ascii="Open Sans" w:hAnsi="Open Sans" w:cs="Open Sans"/>
        </w:rPr>
        <w:t>herefore</w:t>
      </w:r>
      <w:r w:rsidR="00334005" w:rsidRPr="00FB13B2">
        <w:rPr>
          <w:rFonts w:ascii="Open Sans" w:hAnsi="Open Sans" w:cs="Open Sans"/>
        </w:rPr>
        <w:t xml:space="preserve"> </w:t>
      </w:r>
      <w:r w:rsidR="00C14A82" w:rsidRPr="00FB13B2">
        <w:rPr>
          <w:rFonts w:ascii="Open Sans" w:hAnsi="Open Sans" w:cs="Open Sans"/>
        </w:rPr>
        <w:t xml:space="preserve">ask ESMA to align EMIR with </w:t>
      </w:r>
      <w:r w:rsidR="00273537" w:rsidRPr="00FB13B2">
        <w:rPr>
          <w:rFonts w:ascii="Open Sans" w:hAnsi="Open Sans" w:cs="Open Sans"/>
        </w:rPr>
        <w:t>SFTR and</w:t>
      </w:r>
      <w:r w:rsidR="00C14A82" w:rsidRPr="00FB13B2">
        <w:rPr>
          <w:rFonts w:ascii="Open Sans" w:hAnsi="Open Sans" w:cs="Open Sans"/>
        </w:rPr>
        <w:t xml:space="preserve"> clarify that CCPs are not expected to report the PRIOR UTI of the bilateral derivative. We strongly believe that this will be beneficial and avoid the confusion of doing it in different ways depending on the report</w:t>
      </w:r>
      <w:r w:rsidR="00334005" w:rsidRPr="00FB13B2">
        <w:rPr>
          <w:rFonts w:ascii="Open Sans" w:hAnsi="Open Sans" w:cs="Open Sans"/>
        </w:rPr>
        <w:t>ing concerned</w:t>
      </w:r>
      <w:r w:rsidR="00C14A82" w:rsidRPr="00FB13B2">
        <w:rPr>
          <w:rFonts w:ascii="Open Sans" w:hAnsi="Open Sans" w:cs="Open Sans"/>
        </w:rPr>
        <w:t>.</w:t>
      </w:r>
    </w:p>
    <w:p w14:paraId="3DC96CC3" w14:textId="51EC32D1" w:rsidR="005F6D9F" w:rsidRPr="00FB13B2" w:rsidRDefault="00334005" w:rsidP="00850727">
      <w:pPr>
        <w:pStyle w:val="Prrafodelista"/>
        <w:numPr>
          <w:ilvl w:val="0"/>
          <w:numId w:val="47"/>
        </w:numPr>
        <w:spacing w:after="120"/>
        <w:ind w:left="1072" w:right="-227"/>
        <w:contextualSpacing w:val="0"/>
        <w:jc w:val="both"/>
        <w:rPr>
          <w:lang w:val="en-US"/>
        </w:rPr>
      </w:pPr>
      <w:r w:rsidRPr="00FB13B2">
        <w:rPr>
          <w:rFonts w:ascii="Open Sans" w:hAnsi="Open Sans" w:cs="Open Sans"/>
        </w:rPr>
        <w:t>As regards</w:t>
      </w:r>
      <w:r w:rsidR="00F62FAB" w:rsidRPr="00FB13B2">
        <w:rPr>
          <w:rFonts w:ascii="Open Sans" w:hAnsi="Open Sans" w:cs="Open Sans"/>
        </w:rPr>
        <w:t xml:space="preserve"> the SUBSEQUENT POSITION field, we believe</w:t>
      </w:r>
      <w:r w:rsidRPr="00FB13B2">
        <w:rPr>
          <w:rFonts w:ascii="Open Sans" w:hAnsi="Open Sans" w:cs="Open Sans"/>
        </w:rPr>
        <w:t xml:space="preserve"> that</w:t>
      </w:r>
      <w:r w:rsidR="00F62FAB" w:rsidRPr="00FB13B2">
        <w:rPr>
          <w:rFonts w:ascii="Open Sans" w:hAnsi="Open Sans" w:cs="Open Sans"/>
        </w:rPr>
        <w:t xml:space="preserve"> it could be a technical challenge given that </w:t>
      </w:r>
      <w:r w:rsidRPr="00FB13B2">
        <w:rPr>
          <w:rFonts w:ascii="Open Sans" w:hAnsi="Open Sans" w:cs="Open Sans"/>
        </w:rPr>
        <w:t>a</w:t>
      </w:r>
      <w:r w:rsidR="00F62FAB" w:rsidRPr="00FB13B2">
        <w:rPr>
          <w:rFonts w:ascii="Open Sans" w:hAnsi="Open Sans" w:cs="Open Sans"/>
        </w:rPr>
        <w:t xml:space="preserve"> trade can be compressed into multiple positions. Clarification is needed </w:t>
      </w:r>
      <w:r w:rsidRPr="00FB13B2">
        <w:rPr>
          <w:rFonts w:ascii="Open Sans" w:hAnsi="Open Sans" w:cs="Open Sans"/>
        </w:rPr>
        <w:t xml:space="preserve">on </w:t>
      </w:r>
      <w:r w:rsidR="00F62FAB" w:rsidRPr="00FB13B2">
        <w:rPr>
          <w:rFonts w:ascii="Open Sans" w:hAnsi="Open Sans" w:cs="Open Sans"/>
        </w:rPr>
        <w:t>whether multiple UTIs can be populated in the linking ID fields.</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55C532CF" w14:textId="1DFCB234" w:rsidR="00334005" w:rsidRPr="00FB13B2" w:rsidRDefault="001A4B57" w:rsidP="00334005">
      <w:pPr>
        <w:jc w:val="both"/>
        <w:rPr>
          <w:rStyle w:val="Hipervnculo"/>
          <w:rFonts w:ascii="Open Sans" w:hAnsi="Open Sans" w:cs="Open Sans"/>
          <w:color w:val="auto"/>
          <w:u w:val="none"/>
        </w:rPr>
      </w:pPr>
      <w:permStart w:id="2030509467" w:edGrp="everyone"/>
      <w:r w:rsidRPr="00FB13B2">
        <w:rPr>
          <w:rFonts w:ascii="Open Sans" w:hAnsi="Open Sans" w:cs="Open Sans"/>
        </w:rPr>
        <w:t>BME CLEARING</w:t>
      </w:r>
      <w:r w:rsidR="001C530F" w:rsidRPr="00FB13B2">
        <w:rPr>
          <w:rFonts w:ascii="Open Sans" w:hAnsi="Open Sans" w:cs="Open Sans"/>
        </w:rPr>
        <w:t xml:space="preserve"> agrees with the approach related to leaving the Event type blank in the case of multi</w:t>
      </w:r>
      <w:r w:rsidR="00623BF8" w:rsidRPr="00FB13B2">
        <w:rPr>
          <w:rFonts w:ascii="Open Sans" w:hAnsi="Open Sans" w:cs="Open Sans"/>
        </w:rPr>
        <w:t xml:space="preserve">ple events </w:t>
      </w:r>
      <w:r w:rsidR="00623BF8" w:rsidRPr="00FB13B2">
        <w:rPr>
          <w:rStyle w:val="Hipervnculo"/>
          <w:rFonts w:ascii="Open Sans" w:hAnsi="Open Sans" w:cs="Open Sans"/>
          <w:color w:val="auto"/>
          <w:u w:val="none"/>
        </w:rPr>
        <w:t xml:space="preserve">impacting the same position on a </w:t>
      </w:r>
      <w:r w:rsidR="0054215D" w:rsidRPr="00FB13B2">
        <w:rPr>
          <w:rStyle w:val="Hipervnculo"/>
          <w:rFonts w:ascii="Open Sans" w:hAnsi="Open Sans" w:cs="Open Sans"/>
          <w:color w:val="auto"/>
          <w:u w:val="none"/>
        </w:rPr>
        <w:t>given</w:t>
      </w:r>
      <w:r w:rsidR="00623BF8" w:rsidRPr="00FB13B2">
        <w:rPr>
          <w:rStyle w:val="Hipervnculo"/>
          <w:rFonts w:ascii="Open Sans" w:hAnsi="Open Sans" w:cs="Open Sans"/>
          <w:color w:val="auto"/>
          <w:u w:val="none"/>
        </w:rPr>
        <w:t xml:space="preserve"> day</w:t>
      </w:r>
      <w:r w:rsidR="00911ABC" w:rsidRPr="00FB13B2">
        <w:rPr>
          <w:rStyle w:val="Hipervnculo"/>
          <w:rFonts w:ascii="Open Sans" w:hAnsi="Open Sans" w:cs="Open Sans"/>
          <w:color w:val="auto"/>
          <w:u w:val="none"/>
        </w:rPr>
        <w:t xml:space="preserve">. </w:t>
      </w:r>
    </w:p>
    <w:p w14:paraId="39E4CA26" w14:textId="77777777" w:rsidR="00334005" w:rsidRPr="00FB13B2" w:rsidRDefault="00334005" w:rsidP="00334005">
      <w:pPr>
        <w:jc w:val="both"/>
        <w:rPr>
          <w:rStyle w:val="Hipervnculo"/>
          <w:rFonts w:ascii="Open Sans" w:hAnsi="Open Sans" w:cs="Open Sans"/>
          <w:color w:val="auto"/>
          <w:u w:val="none"/>
        </w:rPr>
      </w:pPr>
    </w:p>
    <w:p w14:paraId="7FC76F6C" w14:textId="1CA03433" w:rsidR="00C15F68" w:rsidRPr="00FB13B2" w:rsidRDefault="00C15F68" w:rsidP="00334005">
      <w:pPr>
        <w:jc w:val="both"/>
        <w:rPr>
          <w:rStyle w:val="Hipervnculo"/>
          <w:rFonts w:ascii="Open Sans" w:hAnsi="Open Sans" w:cs="Open Sans"/>
          <w:color w:val="auto"/>
          <w:u w:val="none"/>
        </w:rPr>
      </w:pPr>
      <w:r w:rsidRPr="00FB13B2">
        <w:rPr>
          <w:rStyle w:val="Hipervnculo"/>
          <w:rFonts w:ascii="Open Sans" w:hAnsi="Open Sans" w:cs="Open Sans"/>
          <w:color w:val="auto"/>
          <w:u w:val="none"/>
        </w:rPr>
        <w:t xml:space="preserve">It is uncommon at </w:t>
      </w:r>
      <w:r w:rsidR="00334005" w:rsidRPr="00FB13B2">
        <w:rPr>
          <w:rStyle w:val="Hipervnculo"/>
          <w:rFonts w:ascii="Open Sans" w:hAnsi="Open Sans" w:cs="Open Sans"/>
          <w:color w:val="auto"/>
          <w:u w:val="none"/>
        </w:rPr>
        <w:t>BME CLEARING</w:t>
      </w:r>
      <w:r w:rsidRPr="00FB13B2">
        <w:rPr>
          <w:rStyle w:val="Hipervnculo"/>
          <w:rFonts w:ascii="Open Sans" w:hAnsi="Open Sans" w:cs="Open Sans"/>
          <w:color w:val="auto"/>
          <w:u w:val="none"/>
        </w:rPr>
        <w:t xml:space="preserve"> for several </w:t>
      </w:r>
      <w:r w:rsidR="007C352A" w:rsidRPr="00FB13B2">
        <w:rPr>
          <w:rStyle w:val="Hipervnculo"/>
          <w:rFonts w:ascii="Open Sans" w:hAnsi="Open Sans" w:cs="Open Sans"/>
          <w:color w:val="auto"/>
          <w:u w:val="none"/>
        </w:rPr>
        <w:t>events</w:t>
      </w:r>
      <w:r w:rsidRPr="00FB13B2">
        <w:rPr>
          <w:rStyle w:val="Hipervnculo"/>
          <w:rFonts w:ascii="Open Sans" w:hAnsi="Open Sans" w:cs="Open Sans"/>
          <w:color w:val="auto"/>
          <w:u w:val="none"/>
        </w:rPr>
        <w:t xml:space="preserve"> to </w:t>
      </w:r>
      <w:r w:rsidR="004B4963" w:rsidRPr="00FB13B2">
        <w:rPr>
          <w:rStyle w:val="Hipervnculo"/>
          <w:rFonts w:ascii="Open Sans" w:hAnsi="Open Sans" w:cs="Open Sans"/>
          <w:color w:val="auto"/>
          <w:u w:val="none"/>
        </w:rPr>
        <w:t>impact the position on a same day</w:t>
      </w:r>
      <w:r w:rsidRPr="00FB13B2">
        <w:rPr>
          <w:rStyle w:val="Hipervnculo"/>
          <w:rFonts w:ascii="Open Sans" w:hAnsi="Open Sans" w:cs="Open Sans"/>
          <w:color w:val="auto"/>
          <w:u w:val="none"/>
        </w:rPr>
        <w:t xml:space="preserve">, although our systems </w:t>
      </w:r>
      <w:r w:rsidR="00816391" w:rsidRPr="00FB13B2">
        <w:rPr>
          <w:rStyle w:val="Hipervnculo"/>
          <w:rFonts w:ascii="Open Sans" w:hAnsi="Open Sans" w:cs="Open Sans"/>
          <w:color w:val="auto"/>
          <w:u w:val="none"/>
        </w:rPr>
        <w:t xml:space="preserve">are </w:t>
      </w:r>
      <w:r w:rsidR="002F23DE" w:rsidRPr="00FB13B2">
        <w:rPr>
          <w:rStyle w:val="Hipervnculo"/>
          <w:rFonts w:ascii="Open Sans" w:hAnsi="Open Sans" w:cs="Open Sans"/>
          <w:color w:val="auto"/>
          <w:u w:val="none"/>
        </w:rPr>
        <w:t>already</w:t>
      </w:r>
      <w:r w:rsidR="000E7D67" w:rsidRPr="00FB13B2">
        <w:rPr>
          <w:rStyle w:val="Hipervnculo"/>
          <w:rFonts w:ascii="Open Sans" w:hAnsi="Open Sans" w:cs="Open Sans"/>
          <w:color w:val="auto"/>
          <w:u w:val="none"/>
        </w:rPr>
        <w:t xml:space="preserve"> </w:t>
      </w:r>
      <w:r w:rsidR="00816391" w:rsidRPr="00FB13B2">
        <w:rPr>
          <w:rStyle w:val="Hipervnculo"/>
          <w:rFonts w:ascii="Open Sans" w:hAnsi="Open Sans" w:cs="Open Sans"/>
          <w:color w:val="auto"/>
          <w:u w:val="none"/>
        </w:rPr>
        <w:t>set up</w:t>
      </w:r>
      <w:r w:rsidR="002F23DE" w:rsidRPr="00FB13B2">
        <w:rPr>
          <w:rStyle w:val="Hipervnculo"/>
          <w:rFonts w:ascii="Open Sans" w:hAnsi="Open Sans" w:cs="Open Sans"/>
          <w:color w:val="auto"/>
          <w:u w:val="none"/>
        </w:rPr>
        <w:t xml:space="preserve"> </w:t>
      </w:r>
      <w:r w:rsidR="00FC53F6" w:rsidRPr="00FB13B2">
        <w:rPr>
          <w:rStyle w:val="Hipervnculo"/>
          <w:rFonts w:ascii="Open Sans" w:hAnsi="Open Sans" w:cs="Open Sans"/>
          <w:color w:val="auto"/>
          <w:u w:val="none"/>
        </w:rPr>
        <w:t>to identify all the events impact</w:t>
      </w:r>
      <w:r w:rsidR="00816391" w:rsidRPr="00FB13B2">
        <w:rPr>
          <w:rStyle w:val="Hipervnculo"/>
          <w:rFonts w:ascii="Open Sans" w:hAnsi="Open Sans" w:cs="Open Sans"/>
          <w:color w:val="auto"/>
          <w:u w:val="none"/>
        </w:rPr>
        <w:t>ing the</w:t>
      </w:r>
      <w:r w:rsidR="00FC53F6" w:rsidRPr="00FB13B2">
        <w:rPr>
          <w:rStyle w:val="Hipervnculo"/>
          <w:rFonts w:ascii="Open Sans" w:hAnsi="Open Sans" w:cs="Open Sans"/>
          <w:color w:val="auto"/>
          <w:u w:val="none"/>
        </w:rPr>
        <w:t xml:space="preserve"> </w:t>
      </w:r>
      <w:r w:rsidR="00BF4C3D" w:rsidRPr="00FB13B2">
        <w:rPr>
          <w:rStyle w:val="Hipervnculo"/>
          <w:rFonts w:ascii="Open Sans" w:hAnsi="Open Sans" w:cs="Open Sans"/>
          <w:color w:val="auto"/>
          <w:u w:val="none"/>
        </w:rPr>
        <w:t>position on a sam</w:t>
      </w:r>
      <w:r w:rsidR="00334005" w:rsidRPr="00FB13B2">
        <w:rPr>
          <w:rStyle w:val="Hipervnculo"/>
          <w:rFonts w:ascii="Open Sans" w:hAnsi="Open Sans" w:cs="Open Sans"/>
          <w:color w:val="auto"/>
          <w:u w:val="none"/>
        </w:rPr>
        <w:t>e</w:t>
      </w:r>
      <w:r w:rsidR="002B1585" w:rsidRPr="00FB13B2">
        <w:rPr>
          <w:rStyle w:val="Hipervnculo"/>
          <w:rFonts w:ascii="Open Sans" w:hAnsi="Open Sans" w:cs="Open Sans"/>
          <w:color w:val="auto"/>
          <w:u w:val="none"/>
        </w:rPr>
        <w:t xml:space="preserve"> </w:t>
      </w:r>
      <w:r w:rsidR="00BF4C3D" w:rsidRPr="00FB13B2">
        <w:rPr>
          <w:rStyle w:val="Hipervnculo"/>
          <w:rFonts w:ascii="Open Sans" w:hAnsi="Open Sans" w:cs="Open Sans"/>
          <w:color w:val="auto"/>
          <w:u w:val="none"/>
        </w:rPr>
        <w:t>day</w:t>
      </w:r>
      <w:r w:rsidRPr="00FB13B2">
        <w:rPr>
          <w:rStyle w:val="Hipervnculo"/>
          <w:rFonts w:ascii="Open Sans" w:hAnsi="Open Sans" w:cs="Open Sans"/>
          <w:color w:val="auto"/>
          <w:u w:val="none"/>
        </w:rPr>
        <w:t>.</w:t>
      </w:r>
    </w:p>
    <w:p w14:paraId="2A0D0217" w14:textId="77777777" w:rsidR="00C15F68" w:rsidRPr="00FB13B2" w:rsidRDefault="00C15F68" w:rsidP="00334005">
      <w:pPr>
        <w:jc w:val="both"/>
        <w:rPr>
          <w:rStyle w:val="Hipervnculo"/>
          <w:rFonts w:ascii="Open Sans" w:hAnsi="Open Sans" w:cs="Open Sans"/>
          <w:color w:val="auto"/>
          <w:u w:val="none"/>
        </w:rPr>
      </w:pPr>
    </w:p>
    <w:p w14:paraId="1CAD80B7" w14:textId="17B7FF80" w:rsidR="00C15F68" w:rsidRPr="00FB13B2" w:rsidRDefault="00C15F68" w:rsidP="004F7B49">
      <w:pPr>
        <w:rPr>
          <w:rStyle w:val="Hipervnculo"/>
          <w:rFonts w:ascii="Open Sans" w:hAnsi="Open Sans" w:cs="Open Sans"/>
          <w:color w:val="auto"/>
          <w:u w:val="none"/>
        </w:rPr>
      </w:pPr>
      <w:r w:rsidRPr="00FB13B2">
        <w:rPr>
          <w:rStyle w:val="Hipervnculo"/>
          <w:rFonts w:ascii="Open Sans" w:hAnsi="Open Sans" w:cs="Open Sans"/>
          <w:color w:val="auto"/>
          <w:u w:val="none"/>
        </w:rPr>
        <w:lastRenderedPageBreak/>
        <w:t xml:space="preserve">However, </w:t>
      </w:r>
      <w:r w:rsidR="00816391" w:rsidRPr="00FB13B2">
        <w:rPr>
          <w:rStyle w:val="Hipervnculo"/>
          <w:rFonts w:ascii="Open Sans" w:hAnsi="Open Sans" w:cs="Open Sans"/>
          <w:color w:val="auto"/>
          <w:u w:val="none"/>
        </w:rPr>
        <w:t>w</w:t>
      </w:r>
      <w:r w:rsidR="00EB751E" w:rsidRPr="00FB13B2">
        <w:rPr>
          <w:rStyle w:val="Hipervnculo"/>
          <w:rFonts w:ascii="Open Sans" w:hAnsi="Open Sans" w:cs="Open Sans"/>
          <w:color w:val="auto"/>
          <w:u w:val="none"/>
        </w:rPr>
        <w:t>e</w:t>
      </w:r>
      <w:r w:rsidR="00816391" w:rsidRPr="00FB13B2">
        <w:rPr>
          <w:rStyle w:val="Hipervnculo"/>
          <w:rFonts w:ascii="Open Sans" w:hAnsi="Open Sans" w:cs="Open Sans"/>
          <w:color w:val="auto"/>
          <w:u w:val="none"/>
        </w:rPr>
        <w:t xml:space="preserve"> believe</w:t>
      </w:r>
      <w:r w:rsidR="00EB751E" w:rsidRPr="00FB13B2">
        <w:rPr>
          <w:rStyle w:val="Hipervnculo"/>
          <w:rFonts w:ascii="Open Sans" w:hAnsi="Open Sans" w:cs="Open Sans"/>
          <w:color w:val="auto"/>
          <w:u w:val="none"/>
        </w:rPr>
        <w:t xml:space="preserve"> that implementing the </w:t>
      </w:r>
      <w:r w:rsidR="00816391" w:rsidRPr="00FB13B2">
        <w:rPr>
          <w:rStyle w:val="Hipervnculo"/>
          <w:rFonts w:ascii="Open Sans" w:hAnsi="Open Sans" w:cs="Open Sans"/>
          <w:color w:val="auto"/>
          <w:u w:val="none"/>
        </w:rPr>
        <w:t>r</w:t>
      </w:r>
      <w:r w:rsidR="00EB751E" w:rsidRPr="00FB13B2">
        <w:rPr>
          <w:rStyle w:val="Hipervnculo"/>
          <w:rFonts w:ascii="Open Sans" w:hAnsi="Open Sans" w:cs="Open Sans"/>
          <w:color w:val="auto"/>
          <w:u w:val="none"/>
        </w:rPr>
        <w:t xml:space="preserve">eporting of </w:t>
      </w:r>
      <w:r w:rsidR="00816391" w:rsidRPr="00FB13B2">
        <w:rPr>
          <w:rStyle w:val="Hipervnculo"/>
          <w:rFonts w:ascii="Open Sans" w:hAnsi="Open Sans" w:cs="Open Sans"/>
          <w:color w:val="auto"/>
          <w:u w:val="none"/>
        </w:rPr>
        <w:t xml:space="preserve">these </w:t>
      </w:r>
      <w:r w:rsidR="00EB751E" w:rsidRPr="00FB13B2">
        <w:rPr>
          <w:rStyle w:val="Hipervnculo"/>
          <w:rFonts w:ascii="Open Sans" w:hAnsi="Open Sans" w:cs="Open Sans"/>
          <w:color w:val="auto"/>
          <w:u w:val="none"/>
        </w:rPr>
        <w:t xml:space="preserve">events </w:t>
      </w:r>
      <w:r w:rsidR="00C33D75" w:rsidRPr="00FB13B2">
        <w:rPr>
          <w:rStyle w:val="Hipervnculo"/>
          <w:rFonts w:ascii="Open Sans" w:hAnsi="Open Sans" w:cs="Open Sans"/>
          <w:color w:val="auto"/>
          <w:u w:val="none"/>
        </w:rPr>
        <w:t xml:space="preserve">only </w:t>
      </w:r>
      <w:r w:rsidR="00816391" w:rsidRPr="00FB13B2">
        <w:rPr>
          <w:rStyle w:val="Hipervnculo"/>
          <w:rFonts w:ascii="Open Sans" w:hAnsi="Open Sans" w:cs="Open Sans"/>
          <w:color w:val="auto"/>
          <w:u w:val="none"/>
        </w:rPr>
        <w:t>worsens</w:t>
      </w:r>
      <w:r w:rsidR="000E7D67" w:rsidRPr="00FB13B2">
        <w:rPr>
          <w:rStyle w:val="Hipervnculo"/>
          <w:rFonts w:ascii="Open Sans" w:hAnsi="Open Sans" w:cs="Open Sans"/>
          <w:color w:val="auto"/>
          <w:u w:val="none"/>
        </w:rPr>
        <w:t xml:space="preserve"> </w:t>
      </w:r>
      <w:r w:rsidR="00E62AB8" w:rsidRPr="00FB13B2">
        <w:rPr>
          <w:rStyle w:val="Hipervnculo"/>
          <w:rFonts w:ascii="Open Sans" w:hAnsi="Open Sans" w:cs="Open Sans"/>
          <w:color w:val="auto"/>
          <w:u w:val="none"/>
        </w:rPr>
        <w:t>the EMIR REFIT</w:t>
      </w:r>
      <w:r w:rsidR="00816391" w:rsidRPr="00FB13B2">
        <w:rPr>
          <w:rStyle w:val="Hipervnculo"/>
          <w:rFonts w:ascii="Open Sans" w:hAnsi="Open Sans" w:cs="Open Sans"/>
          <w:color w:val="auto"/>
          <w:u w:val="none"/>
        </w:rPr>
        <w:t xml:space="preserve"> situation</w:t>
      </w:r>
      <w:r w:rsidR="00E62AB8" w:rsidRPr="00FB13B2">
        <w:rPr>
          <w:rStyle w:val="Hipervnculo"/>
          <w:rFonts w:ascii="Open Sans" w:hAnsi="Open Sans" w:cs="Open Sans"/>
          <w:color w:val="auto"/>
          <w:u w:val="none"/>
        </w:rPr>
        <w:t xml:space="preserve"> for </w:t>
      </w:r>
      <w:r w:rsidR="00334005" w:rsidRPr="00FB13B2">
        <w:rPr>
          <w:rStyle w:val="Hipervnculo"/>
          <w:rFonts w:ascii="Open Sans" w:hAnsi="Open Sans" w:cs="Open Sans"/>
          <w:color w:val="auto"/>
          <w:u w:val="none"/>
        </w:rPr>
        <w:t xml:space="preserve">all counterparties </w:t>
      </w:r>
      <w:r w:rsidRPr="00FB13B2">
        <w:rPr>
          <w:rStyle w:val="Hipervnculo"/>
          <w:rFonts w:ascii="Open Sans" w:hAnsi="Open Sans" w:cs="Open Sans"/>
          <w:color w:val="auto"/>
          <w:u w:val="none"/>
        </w:rPr>
        <w:t>in</w:t>
      </w:r>
      <w:r w:rsidR="00334005" w:rsidRPr="00FB13B2">
        <w:rPr>
          <w:rStyle w:val="Hipervnculo"/>
          <w:rFonts w:ascii="Open Sans" w:hAnsi="Open Sans" w:cs="Open Sans"/>
          <w:color w:val="auto"/>
          <w:u w:val="none"/>
        </w:rPr>
        <w:t xml:space="preserve"> the industry</w:t>
      </w:r>
      <w:r w:rsidR="00816391" w:rsidRPr="00FB13B2">
        <w:rPr>
          <w:rStyle w:val="Hipervnculo"/>
          <w:rFonts w:ascii="Open Sans" w:hAnsi="Open Sans" w:cs="Open Sans"/>
          <w:color w:val="auto"/>
          <w:u w:val="none"/>
        </w:rPr>
        <w:t xml:space="preserve">. </w:t>
      </w:r>
      <w:r w:rsidRPr="00FB13B2">
        <w:rPr>
          <w:rStyle w:val="Hipervnculo"/>
          <w:rFonts w:ascii="Open Sans" w:hAnsi="Open Sans" w:cs="Open Sans"/>
          <w:color w:val="auto"/>
          <w:u w:val="none"/>
        </w:rPr>
        <w:t>We t</w:t>
      </w:r>
      <w:r w:rsidR="00816391" w:rsidRPr="00FB13B2">
        <w:rPr>
          <w:rStyle w:val="Hipervnculo"/>
          <w:rFonts w:ascii="Open Sans" w:hAnsi="Open Sans" w:cs="Open Sans"/>
          <w:color w:val="auto"/>
          <w:u w:val="none"/>
        </w:rPr>
        <w:t>herefore</w:t>
      </w:r>
      <w:r w:rsidR="00E62AB8" w:rsidRPr="00FB13B2">
        <w:rPr>
          <w:rStyle w:val="Hipervnculo"/>
          <w:rFonts w:ascii="Open Sans" w:hAnsi="Open Sans" w:cs="Open Sans"/>
          <w:color w:val="auto"/>
          <w:u w:val="none"/>
        </w:rPr>
        <w:t xml:space="preserve"> </w:t>
      </w:r>
      <w:r w:rsidR="00816391" w:rsidRPr="00FB13B2">
        <w:rPr>
          <w:rStyle w:val="Hipervnculo"/>
          <w:rFonts w:ascii="Open Sans" w:hAnsi="Open Sans" w:cs="Open Sans"/>
          <w:color w:val="auto"/>
          <w:u w:val="none"/>
        </w:rPr>
        <w:t xml:space="preserve">fully </w:t>
      </w:r>
      <w:r w:rsidR="00E62AB8" w:rsidRPr="00FB13B2">
        <w:rPr>
          <w:rStyle w:val="Hipervnculo"/>
          <w:rFonts w:ascii="Open Sans" w:hAnsi="Open Sans" w:cs="Open Sans"/>
          <w:color w:val="auto"/>
          <w:u w:val="none"/>
        </w:rPr>
        <w:t xml:space="preserve">agree with </w:t>
      </w:r>
      <w:r w:rsidR="00816391" w:rsidRPr="00FB13B2">
        <w:rPr>
          <w:rStyle w:val="Hipervnculo"/>
          <w:rFonts w:ascii="Open Sans" w:hAnsi="Open Sans" w:cs="Open Sans"/>
          <w:color w:val="auto"/>
          <w:u w:val="none"/>
        </w:rPr>
        <w:t>ESMA’s</w:t>
      </w:r>
      <w:r w:rsidR="00ED218F" w:rsidRPr="00FB13B2">
        <w:rPr>
          <w:rStyle w:val="Hipervnculo"/>
          <w:rFonts w:ascii="Open Sans" w:hAnsi="Open Sans" w:cs="Open Sans"/>
          <w:color w:val="auto"/>
          <w:u w:val="none"/>
        </w:rPr>
        <w:t xml:space="preserve"> approach.</w:t>
      </w:r>
    </w:p>
    <w:permEnd w:id="2030509467"/>
    <w:p w14:paraId="2DC61C62" w14:textId="4DAA633A"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4FDD9FD5" w14:textId="2CFAAA2B" w:rsidR="00CC676C" w:rsidRPr="00FB13B2" w:rsidRDefault="00CC676C" w:rsidP="00CC676C">
      <w:pPr>
        <w:jc w:val="both"/>
        <w:rPr>
          <w:rFonts w:ascii="Open Sans" w:hAnsi="Open Sans" w:cs="Open Sans"/>
        </w:rPr>
      </w:pPr>
      <w:permStart w:id="838819497" w:edGrp="everyone"/>
      <w:r w:rsidRPr="00FB13B2">
        <w:rPr>
          <w:rFonts w:ascii="Open Sans" w:hAnsi="Open Sans" w:cs="Open Sans"/>
        </w:rPr>
        <w:t xml:space="preserve">As regards position-level reporting, changes have been added to some fields that are currently reported differently, in accordance with best practice. </w:t>
      </w:r>
    </w:p>
    <w:p w14:paraId="0449921D" w14:textId="77777777" w:rsidR="00CC676C" w:rsidRPr="00FB13B2" w:rsidRDefault="00CC676C" w:rsidP="00CC676C">
      <w:pPr>
        <w:jc w:val="both"/>
        <w:rPr>
          <w:rFonts w:ascii="Open Sans" w:hAnsi="Open Sans" w:cs="Open Sans"/>
        </w:rPr>
      </w:pPr>
    </w:p>
    <w:p w14:paraId="15770CF3" w14:textId="0CF5B234" w:rsidR="00CC676C" w:rsidRPr="00FB13B2" w:rsidRDefault="00CC676C" w:rsidP="00023FCB">
      <w:pPr>
        <w:spacing w:after="120"/>
        <w:jc w:val="both"/>
        <w:rPr>
          <w:rFonts w:ascii="Open Sans" w:hAnsi="Open Sans" w:cs="Open Sans"/>
        </w:rPr>
      </w:pPr>
      <w:r w:rsidRPr="00FB13B2">
        <w:rPr>
          <w:rFonts w:ascii="Open Sans" w:hAnsi="Open Sans" w:cs="Open Sans"/>
        </w:rPr>
        <w:t>In particular, we refer to the introduction of the timestamp fields referred to in paragraphs 145 and 147.  Nowadays these fields area reported as follows:</w:t>
      </w:r>
    </w:p>
    <w:p w14:paraId="1338726A" w14:textId="5233F5AB" w:rsidR="00CC676C" w:rsidRPr="00FB13B2" w:rsidRDefault="00CC676C" w:rsidP="00023FCB">
      <w:pPr>
        <w:pStyle w:val="Prrafodelista"/>
        <w:numPr>
          <w:ilvl w:val="1"/>
          <w:numId w:val="46"/>
        </w:numPr>
        <w:spacing w:after="120"/>
        <w:ind w:left="867" w:hanging="357"/>
        <w:contextualSpacing w:val="0"/>
        <w:jc w:val="both"/>
        <w:rPr>
          <w:rFonts w:ascii="Open Sans" w:hAnsi="Open Sans" w:cs="Open Sans"/>
        </w:rPr>
      </w:pPr>
      <w:r w:rsidRPr="00FB13B2">
        <w:rPr>
          <w:rFonts w:ascii="Open Sans" w:hAnsi="Open Sans" w:cs="Open Sans"/>
        </w:rPr>
        <w:t>the execution timestamp is left blank, and</w:t>
      </w:r>
    </w:p>
    <w:p w14:paraId="7789FF75" w14:textId="6788AA42" w:rsidR="00CC676C" w:rsidRPr="00FB13B2" w:rsidRDefault="00CC676C" w:rsidP="00023FCB">
      <w:pPr>
        <w:pStyle w:val="Prrafodelista"/>
        <w:numPr>
          <w:ilvl w:val="1"/>
          <w:numId w:val="46"/>
        </w:numPr>
        <w:spacing w:after="120"/>
        <w:ind w:left="867" w:hanging="357"/>
        <w:contextualSpacing w:val="0"/>
        <w:jc w:val="both"/>
        <w:rPr>
          <w:rFonts w:ascii="Open Sans" w:hAnsi="Open Sans" w:cs="Open Sans"/>
        </w:rPr>
      </w:pPr>
      <w:r w:rsidRPr="00FB13B2">
        <w:rPr>
          <w:rFonts w:ascii="Open Sans" w:hAnsi="Open Sans" w:cs="Open Sans"/>
        </w:rPr>
        <w:t>the clearing timestamp is populated by default as '23:59:00'</w:t>
      </w:r>
    </w:p>
    <w:p w14:paraId="041A1921" w14:textId="3F71E742" w:rsidR="00CC676C" w:rsidRPr="00FB13B2" w:rsidRDefault="00CC676C" w:rsidP="00CC676C">
      <w:pPr>
        <w:jc w:val="both"/>
        <w:rPr>
          <w:rFonts w:ascii="Open Sans" w:hAnsi="Open Sans" w:cs="Open Sans"/>
        </w:rPr>
      </w:pPr>
      <w:r w:rsidRPr="00FB13B2">
        <w:rPr>
          <w:rFonts w:ascii="Open Sans" w:hAnsi="Open Sans" w:cs="Open Sans"/>
        </w:rPr>
        <w:t>because the</w:t>
      </w:r>
      <w:r w:rsidR="0001408C" w:rsidRPr="00FB13B2">
        <w:rPr>
          <w:rFonts w:ascii="Open Sans" w:hAnsi="Open Sans" w:cs="Open Sans"/>
        </w:rPr>
        <w:t>se</w:t>
      </w:r>
      <w:r w:rsidRPr="00FB13B2">
        <w:rPr>
          <w:rFonts w:ascii="Open Sans" w:hAnsi="Open Sans" w:cs="Open Sans"/>
        </w:rPr>
        <w:t xml:space="preserve"> items are neither executed nor cleared.</w:t>
      </w:r>
    </w:p>
    <w:p w14:paraId="7842B092" w14:textId="77777777" w:rsidR="00CC676C" w:rsidRPr="00FB13B2" w:rsidRDefault="00CC676C" w:rsidP="00CC676C">
      <w:pPr>
        <w:jc w:val="both"/>
        <w:rPr>
          <w:rFonts w:ascii="Open Sans" w:hAnsi="Open Sans" w:cs="Open Sans"/>
        </w:rPr>
      </w:pPr>
    </w:p>
    <w:p w14:paraId="317CC9F9" w14:textId="0FC1939D" w:rsidR="00CC676C" w:rsidRPr="00FB13B2" w:rsidRDefault="00CC676C" w:rsidP="00CC676C">
      <w:pPr>
        <w:jc w:val="both"/>
        <w:rPr>
          <w:rFonts w:ascii="Open Sans" w:hAnsi="Open Sans" w:cs="Open Sans"/>
        </w:rPr>
      </w:pPr>
      <w:r w:rsidRPr="00FB13B2">
        <w:rPr>
          <w:rFonts w:ascii="Open Sans" w:hAnsi="Open Sans" w:cs="Open Sans"/>
        </w:rPr>
        <w:t xml:space="preserve">When we refer to position-level reporting, these fields do not provide additional information to the authorities, so we believe it would be advisable to reconsider these changes to avoid a major technical challenge of the reporting </w:t>
      </w:r>
      <w:r w:rsidR="0062585A" w:rsidRPr="00FB13B2">
        <w:rPr>
          <w:rFonts w:ascii="Open Sans" w:hAnsi="Open Sans" w:cs="Open Sans"/>
        </w:rPr>
        <w:t>counterparties</w:t>
      </w:r>
      <w:r w:rsidRPr="00FB13B2">
        <w:rPr>
          <w:rFonts w:ascii="Open Sans" w:hAnsi="Open Sans" w:cs="Open Sans"/>
        </w:rPr>
        <w:t xml:space="preserve"> to find trade with the most recent execution timestamp comprising that position, as well as to avoid an increase in the number of </w:t>
      </w:r>
      <w:proofErr w:type="gramStart"/>
      <w:r w:rsidRPr="00FB13B2">
        <w:rPr>
          <w:rFonts w:ascii="Open Sans" w:hAnsi="Open Sans" w:cs="Open Sans"/>
        </w:rPr>
        <w:t>reconciliation</w:t>
      </w:r>
      <w:proofErr w:type="gramEnd"/>
      <w:r w:rsidRPr="00FB13B2">
        <w:rPr>
          <w:rFonts w:ascii="Open Sans" w:hAnsi="Open Sans" w:cs="Open Sans"/>
        </w:rPr>
        <w:t xml:space="preserve"> breaks due to the fact that counterparties could close out trades on different orders. </w:t>
      </w:r>
    </w:p>
    <w:p w14:paraId="1B5D35E4" w14:textId="77777777" w:rsidR="00CC676C" w:rsidRPr="00FB13B2" w:rsidRDefault="00CC676C" w:rsidP="00CC676C">
      <w:pPr>
        <w:jc w:val="both"/>
        <w:rPr>
          <w:rFonts w:ascii="Open Sans" w:hAnsi="Open Sans" w:cs="Open Sans"/>
        </w:rPr>
      </w:pPr>
    </w:p>
    <w:p w14:paraId="59D219ED" w14:textId="4D39B482" w:rsidR="00CC676C" w:rsidRPr="00CC676C" w:rsidRDefault="00CC676C" w:rsidP="00CC676C">
      <w:pPr>
        <w:jc w:val="both"/>
        <w:rPr>
          <w:rFonts w:ascii="Open Sans" w:hAnsi="Open Sans" w:cs="Open Sans"/>
          <w:color w:val="C0504D" w:themeColor="accent2"/>
        </w:rPr>
      </w:pPr>
      <w:r w:rsidRPr="00FB13B2">
        <w:rPr>
          <w:rFonts w:ascii="Open Sans" w:hAnsi="Open Sans" w:cs="Open Sans"/>
        </w:rPr>
        <w:t xml:space="preserve">Our suggestion would then be </w:t>
      </w:r>
      <w:r w:rsidR="00023FCB" w:rsidRPr="00FB13B2">
        <w:rPr>
          <w:rFonts w:ascii="Open Sans" w:hAnsi="Open Sans" w:cs="Open Sans"/>
        </w:rPr>
        <w:t xml:space="preserve">to </w:t>
      </w:r>
      <w:r w:rsidRPr="00FB13B2">
        <w:rPr>
          <w:rFonts w:ascii="Open Sans" w:hAnsi="Open Sans" w:cs="Open Sans"/>
        </w:rPr>
        <w:t>leav</w:t>
      </w:r>
      <w:r w:rsidR="00023FCB" w:rsidRPr="00FB13B2">
        <w:rPr>
          <w:rFonts w:ascii="Open Sans" w:hAnsi="Open Sans" w:cs="Open Sans"/>
        </w:rPr>
        <w:t xml:space="preserve">e </w:t>
      </w:r>
      <w:r w:rsidRPr="00FB13B2">
        <w:rPr>
          <w:rFonts w:ascii="Open Sans" w:hAnsi="Open Sans" w:cs="Open Sans"/>
        </w:rPr>
        <w:t xml:space="preserve">both, </w:t>
      </w:r>
      <w:r w:rsidR="00023FCB" w:rsidRPr="00FB13B2">
        <w:rPr>
          <w:rFonts w:ascii="Open Sans" w:hAnsi="Open Sans" w:cs="Open Sans"/>
        </w:rPr>
        <w:t xml:space="preserve">the </w:t>
      </w:r>
      <w:r w:rsidRPr="00FB13B2">
        <w:rPr>
          <w:rFonts w:ascii="Open Sans" w:hAnsi="Open Sans" w:cs="Open Sans"/>
        </w:rPr>
        <w:t>execution and clearing timestamp</w:t>
      </w:r>
      <w:r w:rsidR="00023FCB" w:rsidRPr="00FB13B2">
        <w:rPr>
          <w:rFonts w:ascii="Open Sans" w:hAnsi="Open Sans" w:cs="Open Sans"/>
        </w:rPr>
        <w:t xml:space="preserve"> fields blank</w:t>
      </w:r>
      <w:r w:rsidRPr="00FB13B2">
        <w:rPr>
          <w:rFonts w:ascii="Open Sans" w:hAnsi="Open Sans" w:cs="Open Sans"/>
        </w:rPr>
        <w:t xml:space="preserve"> in position-level reporting.</w:t>
      </w:r>
    </w:p>
    <w:permEnd w:id="838819497"/>
    <w:p w14:paraId="3DAFF9FC" w14:textId="4BD231EC"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6EC769C4" w14:textId="2CDD6958" w:rsidR="0091025C" w:rsidRPr="000E1F88" w:rsidRDefault="0091025C" w:rsidP="00E32C76">
      <w:pPr>
        <w:pStyle w:val="Default"/>
        <w:ind w:right="56"/>
        <w:jc w:val="both"/>
        <w:rPr>
          <w:rFonts w:ascii="Open Sans" w:hAnsi="Open Sans" w:cs="Open Sans"/>
          <w:color w:val="auto"/>
          <w:sz w:val="20"/>
          <w:szCs w:val="20"/>
          <w:lang w:val="en-GB"/>
        </w:rPr>
      </w:pPr>
      <w:permStart w:id="487798687" w:edGrp="everyone"/>
      <w:r w:rsidRPr="000E1F88">
        <w:rPr>
          <w:rFonts w:ascii="Open Sans" w:hAnsi="Open Sans" w:cs="Open Sans"/>
          <w:color w:val="auto"/>
          <w:sz w:val="20"/>
          <w:szCs w:val="20"/>
          <w:lang w:val="en-GB"/>
        </w:rPr>
        <w:t>In relation to paragraph 1</w:t>
      </w:r>
      <w:r w:rsidR="00082014" w:rsidRPr="000E1F88">
        <w:rPr>
          <w:rFonts w:ascii="Open Sans" w:hAnsi="Open Sans" w:cs="Open Sans"/>
          <w:color w:val="auto"/>
          <w:sz w:val="20"/>
          <w:szCs w:val="20"/>
          <w:lang w:val="en-GB"/>
        </w:rPr>
        <w:t>30</w:t>
      </w:r>
      <w:r w:rsidRPr="000E1F88">
        <w:rPr>
          <w:rFonts w:ascii="Open Sans" w:hAnsi="Open Sans" w:cs="Open Sans"/>
          <w:color w:val="auto"/>
          <w:sz w:val="20"/>
          <w:szCs w:val="20"/>
          <w:lang w:val="en-GB"/>
        </w:rPr>
        <w:t xml:space="preserve"> which states “</w:t>
      </w:r>
      <w:r w:rsidRPr="000E1F88">
        <w:rPr>
          <w:rFonts w:ascii="Open Sans" w:hAnsi="Open Sans" w:cs="Open Sans"/>
          <w:i/>
          <w:iCs/>
          <w:color w:val="auto"/>
          <w:sz w:val="20"/>
          <w:szCs w:val="20"/>
          <w:lang w:val="en-GB"/>
        </w:rPr>
        <w:t>ESMA clarifies that the reporting at position level should be agreed between the two counterparties</w:t>
      </w:r>
      <w:r w:rsidRPr="000E1F88">
        <w:rPr>
          <w:rFonts w:ascii="Open Sans" w:hAnsi="Open Sans" w:cs="Open Sans"/>
          <w:color w:val="auto"/>
          <w:sz w:val="20"/>
          <w:szCs w:val="20"/>
          <w:lang w:val="en-GB"/>
        </w:rPr>
        <w:t>”</w:t>
      </w:r>
      <w:r w:rsidR="00816272" w:rsidRPr="000E1F88">
        <w:rPr>
          <w:rFonts w:ascii="Open Sans" w:hAnsi="Open Sans" w:cs="Open Sans"/>
          <w:color w:val="auto"/>
          <w:sz w:val="20"/>
          <w:szCs w:val="20"/>
          <w:lang w:val="en-GB"/>
        </w:rPr>
        <w:t>, w</w:t>
      </w:r>
      <w:r w:rsidRPr="000E1F88">
        <w:rPr>
          <w:rFonts w:ascii="Open Sans" w:hAnsi="Open Sans" w:cs="Open Sans"/>
          <w:color w:val="auto"/>
          <w:sz w:val="20"/>
          <w:szCs w:val="20"/>
          <w:lang w:val="en-GB"/>
        </w:rPr>
        <w:t>e strongly believe that ETD</w:t>
      </w:r>
      <w:r w:rsidR="00E6679C" w:rsidRPr="000E1F88">
        <w:rPr>
          <w:rFonts w:ascii="Open Sans" w:hAnsi="Open Sans" w:cs="Open Sans"/>
          <w:color w:val="auto"/>
          <w:sz w:val="20"/>
          <w:szCs w:val="20"/>
          <w:lang w:val="en-GB"/>
        </w:rPr>
        <w:t>s</w:t>
      </w:r>
      <w:r w:rsidRPr="000E1F88">
        <w:rPr>
          <w:rFonts w:ascii="Open Sans" w:hAnsi="Open Sans" w:cs="Open Sans"/>
          <w:color w:val="auto"/>
          <w:sz w:val="20"/>
          <w:szCs w:val="20"/>
          <w:lang w:val="en-GB"/>
        </w:rPr>
        <w:t xml:space="preserve"> reporting should be done at </w:t>
      </w:r>
      <w:r w:rsidR="00816272" w:rsidRPr="000E1F88">
        <w:rPr>
          <w:rFonts w:ascii="Open Sans" w:hAnsi="Open Sans" w:cs="Open Sans"/>
          <w:color w:val="auto"/>
          <w:sz w:val="20"/>
          <w:szCs w:val="20"/>
          <w:lang w:val="en-GB"/>
        </w:rPr>
        <w:t xml:space="preserve">both, </w:t>
      </w:r>
      <w:r w:rsidRPr="000E1F88">
        <w:rPr>
          <w:rFonts w:ascii="Open Sans" w:hAnsi="Open Sans" w:cs="Open Sans"/>
          <w:color w:val="auto"/>
          <w:sz w:val="20"/>
          <w:szCs w:val="20"/>
          <w:lang w:val="en-GB"/>
        </w:rPr>
        <w:t>trade and at position</w:t>
      </w:r>
      <w:r w:rsidR="00E66953" w:rsidRPr="000E1F88">
        <w:rPr>
          <w:rFonts w:ascii="Open Sans" w:hAnsi="Open Sans" w:cs="Open Sans"/>
          <w:color w:val="auto"/>
          <w:sz w:val="20"/>
          <w:szCs w:val="20"/>
          <w:lang w:val="en-GB"/>
        </w:rPr>
        <w:t xml:space="preserve"> </w:t>
      </w:r>
      <w:r w:rsidRPr="000E1F88">
        <w:rPr>
          <w:rFonts w:ascii="Open Sans" w:hAnsi="Open Sans" w:cs="Open Sans"/>
          <w:color w:val="auto"/>
          <w:sz w:val="20"/>
          <w:szCs w:val="20"/>
          <w:lang w:val="en-GB"/>
        </w:rPr>
        <w:t>level</w:t>
      </w:r>
      <w:r w:rsidR="00E66953" w:rsidRPr="000E1F88">
        <w:rPr>
          <w:rFonts w:ascii="Open Sans" w:hAnsi="Open Sans" w:cs="Open Sans"/>
          <w:color w:val="auto"/>
          <w:sz w:val="20"/>
          <w:szCs w:val="20"/>
          <w:lang w:val="en-GB"/>
        </w:rPr>
        <w:t>s</w:t>
      </w:r>
      <w:r w:rsidRPr="000E1F88">
        <w:rPr>
          <w:rFonts w:ascii="Open Sans" w:hAnsi="Open Sans" w:cs="Open Sans"/>
          <w:color w:val="auto"/>
          <w:sz w:val="20"/>
          <w:szCs w:val="20"/>
          <w:lang w:val="en-GB"/>
        </w:rPr>
        <w:t xml:space="preserve">. </w:t>
      </w:r>
    </w:p>
    <w:p w14:paraId="733173C5" w14:textId="77777777" w:rsidR="0091025C" w:rsidRPr="000E1F88" w:rsidRDefault="0091025C" w:rsidP="00E6679C">
      <w:pPr>
        <w:pStyle w:val="Default"/>
        <w:ind w:right="-427"/>
        <w:jc w:val="both"/>
        <w:rPr>
          <w:rFonts w:ascii="Open Sans" w:hAnsi="Open Sans" w:cs="Open Sans"/>
          <w:color w:val="auto"/>
          <w:sz w:val="20"/>
          <w:szCs w:val="20"/>
          <w:lang w:val="en-GB"/>
        </w:rPr>
      </w:pPr>
    </w:p>
    <w:p w14:paraId="4B33383D" w14:textId="184E35ED" w:rsidR="0091025C" w:rsidRPr="000E1F88" w:rsidRDefault="0091025C" w:rsidP="00E32C76">
      <w:pPr>
        <w:pStyle w:val="Default"/>
        <w:ind w:right="56"/>
        <w:jc w:val="both"/>
        <w:rPr>
          <w:rFonts w:ascii="Open Sans" w:hAnsi="Open Sans" w:cs="Open Sans"/>
          <w:color w:val="auto"/>
          <w:sz w:val="20"/>
          <w:szCs w:val="20"/>
          <w:lang w:val="en-GB"/>
        </w:rPr>
      </w:pPr>
      <w:r w:rsidRPr="000E1F88">
        <w:rPr>
          <w:rFonts w:ascii="Open Sans" w:hAnsi="Open Sans" w:cs="Open Sans"/>
          <w:color w:val="auto"/>
          <w:sz w:val="20"/>
          <w:szCs w:val="20"/>
          <w:lang w:val="en-GB"/>
        </w:rPr>
        <w:t>As noted in some other response</w:t>
      </w:r>
      <w:r w:rsidR="00E66953" w:rsidRPr="000E1F88">
        <w:rPr>
          <w:rFonts w:ascii="Open Sans" w:hAnsi="Open Sans" w:cs="Open Sans"/>
          <w:color w:val="auto"/>
          <w:sz w:val="20"/>
          <w:szCs w:val="20"/>
          <w:lang w:val="en-GB"/>
        </w:rPr>
        <w:t>s to this consultation paper</w:t>
      </w:r>
      <w:r w:rsidRPr="000E1F88">
        <w:rPr>
          <w:rFonts w:ascii="Open Sans" w:hAnsi="Open Sans" w:cs="Open Sans"/>
          <w:color w:val="auto"/>
          <w:sz w:val="20"/>
          <w:szCs w:val="20"/>
          <w:lang w:val="en-GB"/>
        </w:rPr>
        <w:t xml:space="preserve">, we believe that </w:t>
      </w:r>
      <w:r w:rsidR="00E66953" w:rsidRPr="000E1F88">
        <w:rPr>
          <w:rFonts w:ascii="Open Sans" w:hAnsi="Open Sans" w:cs="Open Sans"/>
          <w:color w:val="auto"/>
          <w:sz w:val="20"/>
          <w:szCs w:val="20"/>
          <w:lang w:val="en-GB"/>
        </w:rPr>
        <w:t xml:space="preserve">the main objective of </w:t>
      </w:r>
      <w:r w:rsidRPr="000E1F88">
        <w:rPr>
          <w:rFonts w:ascii="Open Sans" w:hAnsi="Open Sans" w:cs="Open Sans"/>
          <w:color w:val="auto"/>
          <w:sz w:val="20"/>
          <w:szCs w:val="20"/>
          <w:lang w:val="en-GB"/>
        </w:rPr>
        <w:t xml:space="preserve">EMIR reporting is </w:t>
      </w:r>
      <w:r w:rsidR="00E66953" w:rsidRPr="000E1F88">
        <w:rPr>
          <w:rFonts w:ascii="Open Sans" w:hAnsi="Open Sans" w:cs="Open Sans"/>
          <w:color w:val="auto"/>
          <w:sz w:val="20"/>
          <w:szCs w:val="20"/>
          <w:lang w:val="en-GB"/>
        </w:rPr>
        <w:t xml:space="preserve">to identify financial stability </w:t>
      </w:r>
      <w:r w:rsidRPr="000E1F88">
        <w:rPr>
          <w:rFonts w:ascii="Open Sans" w:hAnsi="Open Sans" w:cs="Open Sans"/>
          <w:color w:val="auto"/>
          <w:sz w:val="20"/>
          <w:szCs w:val="20"/>
          <w:lang w:val="en-GB"/>
        </w:rPr>
        <w:t>risk</w:t>
      </w:r>
      <w:r w:rsidR="00E66953" w:rsidRPr="000E1F88">
        <w:rPr>
          <w:rFonts w:ascii="Open Sans" w:hAnsi="Open Sans" w:cs="Open Sans"/>
          <w:color w:val="auto"/>
          <w:sz w:val="20"/>
          <w:szCs w:val="20"/>
          <w:lang w:val="en-GB"/>
        </w:rPr>
        <w:t>s</w:t>
      </w:r>
      <w:r w:rsidRPr="000E1F88">
        <w:rPr>
          <w:rFonts w:ascii="Open Sans" w:hAnsi="Open Sans" w:cs="Open Sans"/>
          <w:color w:val="auto"/>
          <w:sz w:val="20"/>
          <w:szCs w:val="20"/>
          <w:lang w:val="en-GB"/>
        </w:rPr>
        <w:t xml:space="preserve">. We also believe that due to the netting process that CCPs perform, ETD trades are not significant </w:t>
      </w:r>
      <w:r w:rsidR="00E66953" w:rsidRPr="000E1F88">
        <w:rPr>
          <w:rFonts w:ascii="Open Sans" w:hAnsi="Open Sans" w:cs="Open Sans"/>
          <w:color w:val="auto"/>
          <w:sz w:val="20"/>
          <w:szCs w:val="20"/>
          <w:lang w:val="en-GB"/>
        </w:rPr>
        <w:t xml:space="preserve">to the </w:t>
      </w:r>
      <w:r w:rsidRPr="000E1F88">
        <w:rPr>
          <w:rFonts w:ascii="Open Sans" w:hAnsi="Open Sans" w:cs="Open Sans"/>
          <w:color w:val="auto"/>
          <w:sz w:val="20"/>
          <w:szCs w:val="20"/>
          <w:lang w:val="en-GB"/>
        </w:rPr>
        <w:t xml:space="preserve">risk </w:t>
      </w:r>
      <w:r w:rsidR="00E66953" w:rsidRPr="000E1F88">
        <w:rPr>
          <w:rFonts w:ascii="Open Sans" w:hAnsi="Open Sans" w:cs="Open Sans"/>
          <w:color w:val="auto"/>
          <w:sz w:val="20"/>
          <w:szCs w:val="20"/>
          <w:lang w:val="en-GB"/>
        </w:rPr>
        <w:t xml:space="preserve">assessment </w:t>
      </w:r>
      <w:r w:rsidRPr="000E1F88">
        <w:rPr>
          <w:rFonts w:ascii="Open Sans" w:hAnsi="Open Sans" w:cs="Open Sans"/>
          <w:color w:val="auto"/>
          <w:sz w:val="20"/>
          <w:szCs w:val="20"/>
          <w:lang w:val="en-GB"/>
        </w:rPr>
        <w:t xml:space="preserve">and </w:t>
      </w:r>
      <w:r w:rsidR="00E66953" w:rsidRPr="000E1F88">
        <w:rPr>
          <w:rFonts w:ascii="Open Sans" w:hAnsi="Open Sans" w:cs="Open Sans"/>
          <w:color w:val="auto"/>
          <w:sz w:val="20"/>
          <w:szCs w:val="20"/>
          <w:lang w:val="en-GB"/>
        </w:rPr>
        <w:t xml:space="preserve">hence, </w:t>
      </w:r>
      <w:r w:rsidRPr="000E1F88">
        <w:rPr>
          <w:rFonts w:ascii="Open Sans" w:hAnsi="Open Sans" w:cs="Open Sans"/>
          <w:color w:val="auto"/>
          <w:sz w:val="20"/>
          <w:szCs w:val="20"/>
          <w:lang w:val="en-GB"/>
        </w:rPr>
        <w:t>in an ideal world</w:t>
      </w:r>
      <w:r w:rsidR="00E66953" w:rsidRPr="000E1F88">
        <w:rPr>
          <w:rFonts w:ascii="Open Sans" w:hAnsi="Open Sans" w:cs="Open Sans"/>
          <w:color w:val="auto"/>
          <w:sz w:val="20"/>
          <w:szCs w:val="20"/>
          <w:lang w:val="en-GB"/>
        </w:rPr>
        <w:t>,</w:t>
      </w:r>
      <w:r w:rsidRPr="000E1F88">
        <w:rPr>
          <w:rFonts w:ascii="Open Sans" w:hAnsi="Open Sans" w:cs="Open Sans"/>
          <w:color w:val="auto"/>
          <w:sz w:val="20"/>
          <w:szCs w:val="20"/>
          <w:lang w:val="en-GB"/>
        </w:rPr>
        <w:t xml:space="preserve"> they should not be reported under EMIR. </w:t>
      </w:r>
    </w:p>
    <w:p w14:paraId="070156C1" w14:textId="77777777" w:rsidR="0091025C" w:rsidRPr="000E1F88" w:rsidRDefault="0091025C" w:rsidP="00E6679C">
      <w:pPr>
        <w:pStyle w:val="Default"/>
        <w:ind w:right="-427"/>
        <w:jc w:val="both"/>
        <w:rPr>
          <w:rFonts w:ascii="Open Sans" w:hAnsi="Open Sans" w:cs="Open Sans"/>
          <w:color w:val="auto"/>
          <w:sz w:val="20"/>
          <w:szCs w:val="20"/>
          <w:lang w:val="en-GB"/>
        </w:rPr>
      </w:pPr>
    </w:p>
    <w:p w14:paraId="5969CE61" w14:textId="3C4773F8" w:rsidR="0091025C" w:rsidRPr="000E1F88" w:rsidRDefault="00E66953" w:rsidP="00E32C76">
      <w:pPr>
        <w:pStyle w:val="Default"/>
        <w:ind w:right="56"/>
        <w:jc w:val="both"/>
        <w:rPr>
          <w:rFonts w:ascii="Open Sans" w:hAnsi="Open Sans" w:cs="Open Sans"/>
          <w:color w:val="auto"/>
          <w:sz w:val="20"/>
          <w:szCs w:val="20"/>
          <w:lang w:val="en-GB"/>
        </w:rPr>
      </w:pPr>
      <w:r w:rsidRPr="000E1F88">
        <w:rPr>
          <w:rFonts w:ascii="Open Sans" w:hAnsi="Open Sans" w:cs="Open Sans"/>
          <w:color w:val="auto"/>
          <w:sz w:val="20"/>
          <w:szCs w:val="20"/>
          <w:lang w:val="en-GB"/>
        </w:rPr>
        <w:t>However</w:t>
      </w:r>
      <w:r w:rsidR="0091025C" w:rsidRPr="000E1F88">
        <w:rPr>
          <w:rFonts w:ascii="Open Sans" w:hAnsi="Open Sans" w:cs="Open Sans"/>
          <w:color w:val="auto"/>
          <w:sz w:val="20"/>
          <w:szCs w:val="20"/>
          <w:lang w:val="en-GB"/>
        </w:rPr>
        <w:t>, on the other hand</w:t>
      </w:r>
      <w:r w:rsidRPr="000E1F88">
        <w:rPr>
          <w:rFonts w:ascii="Open Sans" w:hAnsi="Open Sans" w:cs="Open Sans"/>
          <w:color w:val="auto"/>
          <w:sz w:val="20"/>
          <w:szCs w:val="20"/>
          <w:lang w:val="en-GB"/>
        </w:rPr>
        <w:t>,</w:t>
      </w:r>
      <w:r w:rsidR="0091025C" w:rsidRPr="000E1F88">
        <w:rPr>
          <w:rFonts w:ascii="Open Sans" w:hAnsi="Open Sans" w:cs="Open Sans"/>
          <w:color w:val="auto"/>
          <w:sz w:val="20"/>
          <w:szCs w:val="20"/>
          <w:lang w:val="en-GB"/>
        </w:rPr>
        <w:t xml:space="preserve"> ETD position is relevant in order to assess the risk of any CCP or FC</w:t>
      </w:r>
      <w:r w:rsidRPr="000E1F88">
        <w:rPr>
          <w:rFonts w:ascii="Open Sans" w:hAnsi="Open Sans" w:cs="Open Sans"/>
          <w:color w:val="auto"/>
          <w:sz w:val="20"/>
          <w:szCs w:val="20"/>
          <w:lang w:val="en-GB"/>
        </w:rPr>
        <w:t xml:space="preserve"> holding</w:t>
      </w:r>
      <w:r w:rsidR="0091025C" w:rsidRPr="000E1F88">
        <w:rPr>
          <w:rFonts w:ascii="Open Sans" w:hAnsi="Open Sans" w:cs="Open Sans"/>
          <w:color w:val="auto"/>
          <w:sz w:val="20"/>
          <w:szCs w:val="20"/>
          <w:lang w:val="en-GB"/>
        </w:rPr>
        <w:t xml:space="preserve"> positions in a CCP. Therefore, we recommend that the RTS sets that ETD reporting should be done at least at a position level.</w:t>
      </w:r>
    </w:p>
    <w:p w14:paraId="4B1F35C8" w14:textId="77777777" w:rsidR="0091025C" w:rsidRPr="000E1F88" w:rsidRDefault="0091025C" w:rsidP="00E6679C">
      <w:pPr>
        <w:pStyle w:val="Default"/>
        <w:ind w:right="-427"/>
        <w:jc w:val="both"/>
        <w:rPr>
          <w:rFonts w:ascii="Open Sans" w:hAnsi="Open Sans" w:cs="Open Sans"/>
          <w:color w:val="auto"/>
          <w:sz w:val="20"/>
          <w:szCs w:val="20"/>
          <w:lang w:val="en-GB"/>
        </w:rPr>
      </w:pPr>
    </w:p>
    <w:p w14:paraId="4F0A994B" w14:textId="495F0562" w:rsidR="00F03FC9" w:rsidRPr="00D2274F" w:rsidRDefault="00F23D8E" w:rsidP="00E32C76">
      <w:pPr>
        <w:pStyle w:val="Default"/>
        <w:ind w:right="56"/>
        <w:jc w:val="both"/>
        <w:rPr>
          <w:color w:val="4F81BD" w:themeColor="accent1"/>
        </w:rPr>
      </w:pPr>
      <w:r w:rsidRPr="000E1F88">
        <w:rPr>
          <w:rFonts w:ascii="Open Sans" w:hAnsi="Open Sans" w:cs="Open Sans"/>
          <w:color w:val="auto"/>
          <w:sz w:val="20"/>
          <w:szCs w:val="20"/>
          <w:lang w:val="en-GB"/>
        </w:rPr>
        <w:t>Furthermore, returning to</w:t>
      </w:r>
      <w:r w:rsidR="0091025C" w:rsidRPr="000E1F88">
        <w:rPr>
          <w:rFonts w:ascii="Open Sans" w:hAnsi="Open Sans" w:cs="Open Sans"/>
          <w:color w:val="auto"/>
          <w:sz w:val="20"/>
          <w:szCs w:val="20"/>
          <w:lang w:val="en-GB"/>
        </w:rPr>
        <w:t xml:space="preserve"> paragraph 1</w:t>
      </w:r>
      <w:r w:rsidR="009259EA" w:rsidRPr="000E1F88">
        <w:rPr>
          <w:rFonts w:ascii="Open Sans" w:hAnsi="Open Sans" w:cs="Open Sans"/>
          <w:color w:val="auto"/>
          <w:sz w:val="20"/>
          <w:szCs w:val="20"/>
          <w:lang w:val="en-GB"/>
        </w:rPr>
        <w:t>30</w:t>
      </w:r>
      <w:r w:rsidR="0091025C" w:rsidRPr="000E1F88">
        <w:rPr>
          <w:rFonts w:ascii="Open Sans" w:hAnsi="Open Sans" w:cs="Open Sans"/>
          <w:color w:val="auto"/>
          <w:sz w:val="20"/>
          <w:szCs w:val="20"/>
          <w:lang w:val="en-GB"/>
        </w:rPr>
        <w:t>, “</w:t>
      </w:r>
      <w:r w:rsidR="0091025C" w:rsidRPr="000E1F88">
        <w:rPr>
          <w:rFonts w:ascii="Open Sans" w:hAnsi="Open Sans" w:cs="Open Sans"/>
          <w:i/>
          <w:iCs/>
          <w:color w:val="auto"/>
          <w:sz w:val="20"/>
          <w:szCs w:val="20"/>
          <w:lang w:val="en-GB"/>
        </w:rPr>
        <w:t>the reporting at position level should be agreed between the two counterparties</w:t>
      </w:r>
      <w:r w:rsidR="0091025C" w:rsidRPr="000E1F88">
        <w:rPr>
          <w:rFonts w:ascii="Open Sans" w:hAnsi="Open Sans" w:cs="Open Sans"/>
          <w:color w:val="auto"/>
          <w:sz w:val="20"/>
          <w:szCs w:val="20"/>
          <w:lang w:val="en-GB"/>
        </w:rPr>
        <w:t>.”</w:t>
      </w:r>
      <w:r w:rsidRPr="000E1F88">
        <w:rPr>
          <w:rFonts w:ascii="Open Sans" w:hAnsi="Open Sans" w:cs="Open Sans"/>
          <w:color w:val="auto"/>
          <w:sz w:val="20"/>
          <w:szCs w:val="20"/>
          <w:lang w:val="en-GB"/>
        </w:rPr>
        <w:t xml:space="preserve">, we would like to highlight that due to the large number of Clearing Members per </w:t>
      </w:r>
      <w:r w:rsidR="0091025C" w:rsidRPr="000E1F88">
        <w:rPr>
          <w:rFonts w:ascii="Open Sans" w:hAnsi="Open Sans" w:cs="Open Sans"/>
          <w:color w:val="auto"/>
          <w:sz w:val="20"/>
          <w:szCs w:val="20"/>
          <w:lang w:val="en-GB"/>
        </w:rPr>
        <w:t>CCP</w:t>
      </w:r>
      <w:r w:rsidRPr="000E1F88">
        <w:rPr>
          <w:rFonts w:ascii="Open Sans" w:hAnsi="Open Sans" w:cs="Open Sans"/>
          <w:color w:val="auto"/>
          <w:sz w:val="20"/>
          <w:szCs w:val="20"/>
          <w:lang w:val="en-GB"/>
        </w:rPr>
        <w:t xml:space="preserve"> </w:t>
      </w:r>
      <w:r w:rsidR="0091025C" w:rsidRPr="000E1F88">
        <w:rPr>
          <w:rFonts w:ascii="Open Sans" w:hAnsi="Open Sans" w:cs="Open Sans"/>
          <w:color w:val="auto"/>
          <w:sz w:val="20"/>
          <w:szCs w:val="20"/>
          <w:lang w:val="en-GB"/>
        </w:rPr>
        <w:t xml:space="preserve">it is not practical to agree bilaterally with all clearing participants in advance and create a reporting logic bespoke to hundreds of bilateral agreements with individual clearing participants. This </w:t>
      </w:r>
      <w:r w:rsidR="0091025C" w:rsidRPr="000E1F88">
        <w:rPr>
          <w:rFonts w:ascii="Open Sans" w:hAnsi="Open Sans" w:cs="Open Sans"/>
          <w:color w:val="auto"/>
          <w:sz w:val="20"/>
          <w:szCs w:val="20"/>
          <w:lang w:val="en-GB"/>
        </w:rPr>
        <w:lastRenderedPageBreak/>
        <w:t xml:space="preserve">would also create an inconsistent reporting framework that would make CCPs unable to provide consistent guidance to </w:t>
      </w:r>
      <w:r w:rsidRPr="000E1F88">
        <w:rPr>
          <w:rFonts w:ascii="Open Sans" w:hAnsi="Open Sans" w:cs="Open Sans"/>
          <w:color w:val="auto"/>
          <w:sz w:val="20"/>
          <w:szCs w:val="20"/>
          <w:lang w:val="en-GB"/>
        </w:rPr>
        <w:t>C</w:t>
      </w:r>
      <w:r w:rsidR="0091025C" w:rsidRPr="000E1F88">
        <w:rPr>
          <w:rFonts w:ascii="Open Sans" w:hAnsi="Open Sans" w:cs="Open Sans"/>
          <w:color w:val="auto"/>
          <w:sz w:val="20"/>
          <w:szCs w:val="20"/>
          <w:lang w:val="en-GB"/>
        </w:rPr>
        <w:t xml:space="preserve">learing </w:t>
      </w:r>
      <w:r w:rsidRPr="000E1F88">
        <w:rPr>
          <w:rFonts w:ascii="Open Sans" w:hAnsi="Open Sans" w:cs="Open Sans"/>
          <w:color w:val="auto"/>
          <w:sz w:val="20"/>
          <w:szCs w:val="20"/>
          <w:lang w:val="en-GB"/>
        </w:rPr>
        <w:t>M</w:t>
      </w:r>
      <w:r w:rsidR="0091025C" w:rsidRPr="000E1F88">
        <w:rPr>
          <w:rFonts w:ascii="Open Sans" w:hAnsi="Open Sans" w:cs="Open Sans"/>
          <w:color w:val="auto"/>
          <w:sz w:val="20"/>
          <w:szCs w:val="20"/>
          <w:lang w:val="en-GB"/>
        </w:rPr>
        <w:t xml:space="preserve">embers on their reporting policies. </w:t>
      </w:r>
      <w:r w:rsidRPr="000E1F88">
        <w:rPr>
          <w:rFonts w:ascii="Open Sans" w:hAnsi="Open Sans" w:cs="Open Sans"/>
          <w:color w:val="auto"/>
          <w:sz w:val="20"/>
          <w:szCs w:val="20"/>
          <w:lang w:val="en-GB"/>
        </w:rPr>
        <w:t xml:space="preserve">It is not feasible to </w:t>
      </w:r>
      <w:r w:rsidR="005D7ED7" w:rsidRPr="000E1F88">
        <w:rPr>
          <w:rFonts w:ascii="Open Sans" w:hAnsi="Open Sans" w:cs="Open Sans"/>
          <w:color w:val="auto"/>
          <w:sz w:val="20"/>
          <w:szCs w:val="20"/>
          <w:lang w:val="en-GB"/>
        </w:rPr>
        <w:t>come to an</w:t>
      </w:r>
      <w:r w:rsidRPr="000E1F88">
        <w:rPr>
          <w:rFonts w:ascii="Open Sans" w:hAnsi="Open Sans" w:cs="Open Sans"/>
          <w:color w:val="auto"/>
          <w:sz w:val="20"/>
          <w:szCs w:val="20"/>
          <w:lang w:val="en-GB"/>
        </w:rPr>
        <w:t xml:space="preserve"> a</w:t>
      </w:r>
      <w:r w:rsidR="0091025C" w:rsidRPr="000E1F88">
        <w:rPr>
          <w:rFonts w:ascii="Open Sans" w:hAnsi="Open Sans" w:cs="Open Sans"/>
          <w:color w:val="auto"/>
          <w:sz w:val="20"/>
          <w:szCs w:val="20"/>
          <w:lang w:val="en-GB"/>
        </w:rPr>
        <w:t xml:space="preserve">greement </w:t>
      </w:r>
      <w:r w:rsidR="005D7ED7" w:rsidRPr="000E1F88">
        <w:rPr>
          <w:rFonts w:ascii="Open Sans" w:hAnsi="Open Sans" w:cs="Open Sans"/>
          <w:color w:val="auto"/>
          <w:sz w:val="20"/>
          <w:szCs w:val="20"/>
          <w:lang w:val="en-GB"/>
        </w:rPr>
        <w:t>among t</w:t>
      </w:r>
      <w:r w:rsidRPr="000E1F88">
        <w:rPr>
          <w:rFonts w:ascii="Open Sans" w:hAnsi="Open Sans" w:cs="Open Sans"/>
          <w:color w:val="auto"/>
          <w:sz w:val="20"/>
          <w:szCs w:val="20"/>
          <w:lang w:val="en-GB"/>
        </w:rPr>
        <w:t xml:space="preserve">his large </w:t>
      </w:r>
      <w:r w:rsidR="00273537" w:rsidRPr="000E1F88">
        <w:rPr>
          <w:rFonts w:ascii="Open Sans" w:hAnsi="Open Sans" w:cs="Open Sans"/>
          <w:color w:val="auto"/>
          <w:sz w:val="20"/>
          <w:szCs w:val="20"/>
          <w:lang w:val="en-GB"/>
        </w:rPr>
        <w:t>number</w:t>
      </w:r>
      <w:r w:rsidR="000E7D67" w:rsidRPr="000E1F88">
        <w:rPr>
          <w:rFonts w:ascii="Open Sans" w:hAnsi="Open Sans" w:cs="Open Sans"/>
          <w:color w:val="auto"/>
          <w:sz w:val="20"/>
          <w:szCs w:val="20"/>
          <w:lang w:val="en-GB"/>
        </w:rPr>
        <w:t xml:space="preserve"> </w:t>
      </w:r>
      <w:r w:rsidR="0091025C" w:rsidRPr="000E1F88">
        <w:rPr>
          <w:rFonts w:ascii="Open Sans" w:hAnsi="Open Sans" w:cs="Open Sans"/>
          <w:color w:val="auto"/>
          <w:sz w:val="20"/>
          <w:szCs w:val="20"/>
          <w:lang w:val="en-GB"/>
        </w:rPr>
        <w:t xml:space="preserve">of counterparties </w:t>
      </w:r>
      <w:r w:rsidR="005D7ED7" w:rsidRPr="000E1F88">
        <w:rPr>
          <w:rFonts w:ascii="Open Sans" w:hAnsi="Open Sans" w:cs="Open Sans"/>
          <w:color w:val="auto"/>
          <w:sz w:val="20"/>
          <w:szCs w:val="20"/>
          <w:lang w:val="en-GB"/>
        </w:rPr>
        <w:t>so</w:t>
      </w:r>
      <w:r w:rsidR="0091025C" w:rsidRPr="000E1F88">
        <w:rPr>
          <w:rFonts w:ascii="Open Sans" w:hAnsi="Open Sans" w:cs="Open Sans"/>
          <w:color w:val="auto"/>
          <w:sz w:val="20"/>
          <w:szCs w:val="20"/>
          <w:lang w:val="en-GB"/>
        </w:rPr>
        <w:t xml:space="preserve"> it would be preferable for ESMA to clarify its preference on when additional position level reporting is appropriate or not and to provide examples. As stated previously, good guidance should be the basis of EMIR reporting.</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2B29B426" w14:textId="582295C1" w:rsidR="0034120E" w:rsidRPr="000E1F88" w:rsidRDefault="0034120E" w:rsidP="00E32C76">
      <w:pPr>
        <w:ind w:right="56"/>
        <w:jc w:val="both"/>
        <w:rPr>
          <w:rFonts w:ascii="Open Sans" w:hAnsi="Open Sans" w:cs="Open Sans"/>
        </w:rPr>
      </w:pPr>
      <w:permStart w:id="773726107" w:edGrp="everyone"/>
      <w:r w:rsidRPr="000E1F88">
        <w:rPr>
          <w:rFonts w:ascii="Open Sans" w:hAnsi="Open Sans" w:cs="Open Sans"/>
        </w:rPr>
        <w:t xml:space="preserve">One of the main reasons for non-reconciliation of transactions that we have been observing during EMIR reporting is precisely the interpretation that can be made of paragraph 170 </w:t>
      </w:r>
      <w:r w:rsidRPr="000E1F88">
        <w:rPr>
          <w:rFonts w:ascii="Open Sans" w:hAnsi="Open Sans" w:cs="Open Sans"/>
          <w:i/>
          <w:iCs/>
        </w:rPr>
        <w:t>‘....lifecycle events on ETD reports is not mandatory...</w:t>
      </w:r>
      <w:r w:rsidRPr="000E1F88">
        <w:rPr>
          <w:rFonts w:ascii="Open Sans" w:hAnsi="Open Sans" w:cs="Open Sans"/>
        </w:rPr>
        <w:t xml:space="preserve">’ , since the reporting of life cycle events occurring during the day is left as optional. </w:t>
      </w:r>
    </w:p>
    <w:p w14:paraId="79F0CD2C" w14:textId="77777777" w:rsidR="0034120E" w:rsidRPr="000E1F88" w:rsidRDefault="0034120E" w:rsidP="00E32C76">
      <w:pPr>
        <w:jc w:val="both"/>
        <w:rPr>
          <w:rFonts w:ascii="Open Sans" w:hAnsi="Open Sans" w:cs="Open Sans"/>
        </w:rPr>
      </w:pPr>
    </w:p>
    <w:p w14:paraId="25FC1A1B" w14:textId="1C97E41B" w:rsidR="0034120E" w:rsidRPr="000E1F88" w:rsidRDefault="0034120E" w:rsidP="00E32C76">
      <w:pPr>
        <w:ind w:right="56"/>
        <w:jc w:val="both"/>
        <w:rPr>
          <w:rFonts w:ascii="Open Sans" w:hAnsi="Open Sans" w:cs="Open Sans"/>
        </w:rPr>
      </w:pPr>
      <w:r w:rsidRPr="000E1F88">
        <w:rPr>
          <w:rFonts w:ascii="Open Sans" w:hAnsi="Open Sans" w:cs="Open Sans"/>
        </w:rPr>
        <w:t xml:space="preserve">As an example, let's assume a give-up on the same day as the trading date of the original transaction. </w:t>
      </w:r>
    </w:p>
    <w:p w14:paraId="538240DE" w14:textId="6AE218DA" w:rsidR="0034120E" w:rsidRPr="000E1F88" w:rsidRDefault="0034120E" w:rsidP="00E32C76">
      <w:pPr>
        <w:ind w:right="56"/>
        <w:jc w:val="both"/>
        <w:rPr>
          <w:rFonts w:ascii="Open Sans" w:hAnsi="Open Sans" w:cs="Open Sans"/>
        </w:rPr>
      </w:pPr>
      <w:r w:rsidRPr="000E1F88">
        <w:rPr>
          <w:rFonts w:ascii="Open Sans" w:hAnsi="Open Sans" w:cs="Open Sans"/>
        </w:rPr>
        <w:t xml:space="preserve">Counterparty A may have decided to report only the information at the </w:t>
      </w:r>
      <w:proofErr w:type="spellStart"/>
      <w:r w:rsidRPr="000E1F88">
        <w:rPr>
          <w:rFonts w:ascii="Open Sans" w:hAnsi="Open Sans" w:cs="Open Sans"/>
        </w:rPr>
        <w:t>EoD</w:t>
      </w:r>
      <w:proofErr w:type="spellEnd"/>
      <w:r w:rsidRPr="000E1F88">
        <w:rPr>
          <w:rFonts w:ascii="Open Sans" w:hAnsi="Open Sans" w:cs="Open Sans"/>
        </w:rPr>
        <w:t xml:space="preserve"> in the state that it is in at that point, while counterparty B has decided to report all intraday transactions.</w:t>
      </w:r>
    </w:p>
    <w:p w14:paraId="46FF744B" w14:textId="77777777" w:rsidR="0034120E" w:rsidRPr="000E1F88" w:rsidRDefault="0034120E" w:rsidP="00E32C76">
      <w:pPr>
        <w:jc w:val="both"/>
        <w:rPr>
          <w:rFonts w:ascii="Open Sans" w:hAnsi="Open Sans" w:cs="Open Sans"/>
        </w:rPr>
      </w:pPr>
    </w:p>
    <w:p w14:paraId="511D2D73" w14:textId="63B5BAD5" w:rsidR="0034120E" w:rsidRPr="000E1F88" w:rsidRDefault="0034120E" w:rsidP="00E32C76">
      <w:pPr>
        <w:ind w:right="56"/>
        <w:jc w:val="both"/>
        <w:rPr>
          <w:rFonts w:ascii="Open Sans" w:hAnsi="Open Sans" w:cs="Open Sans"/>
        </w:rPr>
      </w:pPr>
      <w:r w:rsidRPr="000E1F88">
        <w:rPr>
          <w:rFonts w:ascii="Open Sans" w:hAnsi="Open Sans" w:cs="Open Sans"/>
        </w:rPr>
        <w:t xml:space="preserve">Because of this different approach to the rule, being optional and even though both reports are made in accordance with the rule, they produce a large number of unmatched trades. </w:t>
      </w:r>
    </w:p>
    <w:p w14:paraId="4DCD6202" w14:textId="77777777" w:rsidR="0034120E" w:rsidRPr="000E1F88" w:rsidRDefault="0034120E" w:rsidP="00E32C76">
      <w:pPr>
        <w:jc w:val="both"/>
        <w:rPr>
          <w:rFonts w:ascii="Open Sans" w:hAnsi="Open Sans" w:cs="Open Sans"/>
        </w:rPr>
      </w:pPr>
    </w:p>
    <w:p w14:paraId="198BEFB7" w14:textId="12D9E591" w:rsidR="0034120E" w:rsidRPr="000E1F88" w:rsidRDefault="0034120E" w:rsidP="00E32C76">
      <w:pPr>
        <w:ind w:right="56"/>
        <w:jc w:val="both"/>
        <w:rPr>
          <w:rFonts w:ascii="Open Sans" w:hAnsi="Open Sans" w:cs="Open Sans"/>
        </w:rPr>
      </w:pPr>
      <w:r w:rsidRPr="000E1F88">
        <w:rPr>
          <w:rFonts w:ascii="Open Sans" w:hAnsi="Open Sans" w:cs="Open Sans"/>
        </w:rPr>
        <w:t>We therefore kindly ask that instead of leaving it as non-mandatory, it should be specified that it is not allowed under EMIR REFIT.</w:t>
      </w:r>
    </w:p>
    <w:p w14:paraId="562A9F8B" w14:textId="02414DDA" w:rsidR="0034120E" w:rsidRPr="000E1F88" w:rsidRDefault="0034120E" w:rsidP="00E32C76">
      <w:pPr>
        <w:jc w:val="both"/>
        <w:rPr>
          <w:rFonts w:ascii="Open Sans" w:hAnsi="Open Sans" w:cs="Open Sans"/>
        </w:rPr>
      </w:pPr>
    </w:p>
    <w:p w14:paraId="176A0156" w14:textId="2F2D22E7" w:rsidR="00DF20F5" w:rsidRPr="000E1F88" w:rsidRDefault="00DF20F5" w:rsidP="00E32C76">
      <w:pPr>
        <w:jc w:val="both"/>
        <w:rPr>
          <w:rFonts w:ascii="Open Sans" w:hAnsi="Open Sans" w:cs="Open Sans"/>
          <w:lang w:val="en-US"/>
        </w:rPr>
      </w:pPr>
      <w:r w:rsidRPr="000E1F88">
        <w:rPr>
          <w:rFonts w:ascii="Open Sans" w:hAnsi="Open Sans" w:cs="Open Sans"/>
          <w:lang w:val="en-US"/>
        </w:rPr>
        <w:t xml:space="preserve">Regarding the remarks in paragraph 169, </w:t>
      </w:r>
      <w:r w:rsidR="0001408C">
        <w:rPr>
          <w:rFonts w:ascii="Open Sans" w:hAnsi="Open Sans" w:cs="Open Sans"/>
          <w:lang w:val="en-US"/>
        </w:rPr>
        <w:t>d</w:t>
      </w:r>
      <w:r w:rsidRPr="000E1F88">
        <w:rPr>
          <w:rFonts w:ascii="Open Sans" w:hAnsi="Open Sans" w:cs="Open Sans"/>
          <w:lang w:val="en-US"/>
        </w:rPr>
        <w:t>o they apply to the CCP's activity?</w:t>
      </w:r>
    </w:p>
    <w:p w14:paraId="58C20E51" w14:textId="77777777" w:rsidR="00DF20F5" w:rsidRPr="000E1F88" w:rsidRDefault="00DF20F5" w:rsidP="00E32C76">
      <w:pPr>
        <w:jc w:val="both"/>
        <w:rPr>
          <w:rFonts w:ascii="Open Sans" w:hAnsi="Open Sans" w:cs="Open Sans"/>
          <w:lang w:val="en-US"/>
        </w:rPr>
      </w:pPr>
    </w:p>
    <w:p w14:paraId="27AC1D9B" w14:textId="715669FF" w:rsidR="00DF20F5" w:rsidRPr="000E1F88" w:rsidRDefault="00DF20F5" w:rsidP="00E32C76">
      <w:pPr>
        <w:ind w:right="56"/>
        <w:jc w:val="both"/>
        <w:rPr>
          <w:rFonts w:ascii="Open Sans" w:hAnsi="Open Sans" w:cs="Open Sans"/>
        </w:rPr>
      </w:pPr>
      <w:r w:rsidRPr="000E1F88">
        <w:rPr>
          <w:rFonts w:ascii="Open Sans" w:hAnsi="Open Sans" w:cs="Open Sans"/>
          <w:lang w:val="en-US"/>
        </w:rPr>
        <w:t xml:space="preserve">Does this </w:t>
      </w:r>
      <w:r w:rsidR="00273537" w:rsidRPr="000E1F88">
        <w:rPr>
          <w:rFonts w:ascii="Open Sans" w:hAnsi="Open Sans" w:cs="Open Sans"/>
          <w:lang w:val="en-US"/>
        </w:rPr>
        <w:t>imply</w:t>
      </w:r>
      <w:r w:rsidRPr="000E1F88">
        <w:rPr>
          <w:rFonts w:ascii="Open Sans" w:hAnsi="Open Sans" w:cs="Open Sans"/>
          <w:lang w:val="en-US"/>
        </w:rPr>
        <w:t xml:space="preserve"> that in the case where a Clearing Member that delegates reporting to the CCP, the latter as the submitting entity on behalf of this Clearing Member does not need to </w:t>
      </w:r>
      <w:r w:rsidRPr="000E1F88">
        <w:rPr>
          <w:rFonts w:ascii="Open Sans" w:hAnsi="Open Sans" w:cs="Open Sans"/>
        </w:rPr>
        <w:t>submit any report on the value of the collateral as well as any subsequent modification or termination of the concluded derivative contract when the process of collateralisation takes place through direct arrangements between the client and the Clearing Member?</w:t>
      </w:r>
    </w:p>
    <w:p w14:paraId="10F89788" w14:textId="77777777" w:rsidR="00DF20F5" w:rsidRPr="000E1F88" w:rsidRDefault="00DF20F5" w:rsidP="00E32C76">
      <w:pPr>
        <w:jc w:val="both"/>
        <w:rPr>
          <w:rFonts w:ascii="Open Sans" w:hAnsi="Open Sans" w:cs="Open Sans"/>
        </w:rPr>
      </w:pPr>
    </w:p>
    <w:p w14:paraId="1E545460" w14:textId="323B292F" w:rsidR="00DF20F5" w:rsidRPr="000E1F88" w:rsidRDefault="00DF20F5" w:rsidP="00E32C76">
      <w:pPr>
        <w:jc w:val="both"/>
        <w:rPr>
          <w:rFonts w:ascii="Open Sans" w:hAnsi="Open Sans" w:cs="Open Sans"/>
          <w:lang w:val="en-US"/>
        </w:rPr>
      </w:pPr>
      <w:r w:rsidRPr="000E1F88">
        <w:rPr>
          <w:rFonts w:ascii="Open Sans" w:hAnsi="Open Sans" w:cs="Open Sans"/>
          <w:lang w:val="en-US"/>
        </w:rPr>
        <w:t>Clarification would be welcome.</w:t>
      </w:r>
    </w:p>
    <w:p w14:paraId="22A7C1D3" w14:textId="43F270E3" w:rsidR="006A1EA8" w:rsidRDefault="006A1EA8" w:rsidP="00E32C76">
      <w:pPr>
        <w:jc w:val="both"/>
        <w:rPr>
          <w:rFonts w:ascii="Open Sans" w:hAnsi="Open Sans" w:cs="Open Sans"/>
          <w:lang w:val="en-US"/>
        </w:rPr>
      </w:pPr>
    </w:p>
    <w:p w14:paraId="4FC29897" w14:textId="40789456" w:rsidR="006A1EA8" w:rsidRPr="006A1EA8" w:rsidRDefault="006A1EA8" w:rsidP="00E32C76">
      <w:pPr>
        <w:jc w:val="both"/>
        <w:rPr>
          <w:rFonts w:ascii="Open Sans" w:hAnsi="Open Sans" w:cs="Open Sans"/>
          <w:color w:val="C00000"/>
          <w:lang w:val="en-US"/>
        </w:rPr>
      </w:pPr>
      <w:r w:rsidRPr="00FB13B2">
        <w:rPr>
          <w:rFonts w:ascii="Open Sans" w:hAnsi="Open Sans" w:cs="Open Sans"/>
          <w:lang w:val="en-US"/>
        </w:rPr>
        <w:t xml:space="preserve">Finally, it would be desirable that it is explicitly stated in the Guidelines whether there is a link between the Trading Venue Transaction Identification Code (TVTIC) under </w:t>
      </w:r>
      <w:proofErr w:type="spellStart"/>
      <w:r w:rsidRPr="00FB13B2">
        <w:rPr>
          <w:rFonts w:ascii="Open Sans" w:hAnsi="Open Sans" w:cs="Open Sans"/>
          <w:lang w:val="en-US"/>
        </w:rPr>
        <w:t>MiFIR</w:t>
      </w:r>
      <w:proofErr w:type="spellEnd"/>
      <w:r w:rsidRPr="00FB13B2">
        <w:rPr>
          <w:rFonts w:ascii="Open Sans" w:hAnsi="Open Sans" w:cs="Open Sans"/>
          <w:lang w:val="en-US"/>
        </w:rPr>
        <w:t xml:space="preserve"> and the Report Tracking number under EMIR. Basically, whether they will be the same.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57223856" w14:textId="5927CC0C" w:rsidR="00433D71" w:rsidRPr="00DF20F5" w:rsidRDefault="00DF20F5"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14D85815" w:rsidR="004F7B49" w:rsidRPr="00DF20F5" w:rsidRDefault="00433D71" w:rsidP="004F7B49">
      <w:permStart w:id="1905620869" w:edGrp="everyone"/>
      <w:r w:rsidRPr="00DF20F5">
        <w:t>.</w:t>
      </w:r>
      <w:r w:rsidR="004F7B49" w:rsidRPr="006C6255">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0C592DD2" w:rsidR="004F7B49" w:rsidRPr="000E1F88" w:rsidRDefault="00383A71" w:rsidP="00E32C76">
      <w:pPr>
        <w:ind w:right="56"/>
        <w:jc w:val="both"/>
      </w:pPr>
      <w:permStart w:id="1579104281" w:edGrp="everyone"/>
      <w:r w:rsidRPr="000E1F88">
        <w:rPr>
          <w:rFonts w:ascii="Open Sans" w:hAnsi="Open Sans" w:cs="Open Sans"/>
        </w:rPr>
        <w:t xml:space="preserve">We agree with the </w:t>
      </w:r>
      <w:r w:rsidR="0062585A" w:rsidRPr="000E1F88">
        <w:rPr>
          <w:rFonts w:ascii="Open Sans" w:hAnsi="Open Sans" w:cs="Open Sans"/>
        </w:rPr>
        <w:t>interpretation</w:t>
      </w:r>
      <w:r w:rsidRPr="000E1F88">
        <w:rPr>
          <w:rFonts w:ascii="Open Sans" w:hAnsi="Open Sans" w:cs="Open Sans"/>
        </w:rPr>
        <w:t xml:space="preserve"> of the business events </w:t>
      </w:r>
      <w:r w:rsidR="00CA6CFA" w:rsidRPr="000E1F88">
        <w:rPr>
          <w:rFonts w:ascii="Open Sans" w:hAnsi="Open Sans" w:cs="Open Sans"/>
        </w:rPr>
        <w:t>and the suggested action and event types but as we men</w:t>
      </w:r>
      <w:r w:rsidR="00674FDE" w:rsidRPr="000E1F88">
        <w:rPr>
          <w:rFonts w:ascii="Open Sans" w:hAnsi="Open Sans" w:cs="Open Sans"/>
        </w:rPr>
        <w:t xml:space="preserve">tioned in Q23, we still </w:t>
      </w:r>
      <w:r w:rsidR="00164203" w:rsidRPr="000E1F88">
        <w:rPr>
          <w:rFonts w:ascii="Open Sans" w:hAnsi="Open Sans" w:cs="Open Sans"/>
        </w:rPr>
        <w:t xml:space="preserve">need </w:t>
      </w:r>
      <w:r w:rsidR="00674FDE" w:rsidRPr="000E1F88">
        <w:rPr>
          <w:rFonts w:ascii="Open Sans" w:hAnsi="Open Sans" w:cs="Open Sans"/>
        </w:rPr>
        <w:t>a clarification about the use of Step-in</w:t>
      </w:r>
      <w:r w:rsidR="000533CB" w:rsidRPr="000E1F88">
        <w:rPr>
          <w:rFonts w:ascii="Open Sans" w:hAnsi="Open Sans" w:cs="Open Sans"/>
        </w:rPr>
        <w:t xml:space="preserve"> E</w:t>
      </w:r>
      <w:r w:rsidR="009F66B3" w:rsidRPr="000E1F88">
        <w:rPr>
          <w:rFonts w:ascii="Open Sans" w:hAnsi="Open Sans" w:cs="Open Sans"/>
        </w:rPr>
        <w:t>vent type and in which cases it could be use</w:t>
      </w:r>
      <w:r w:rsidR="009F66B3" w:rsidRPr="000E1F88">
        <w:t>.</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6FEAD19C" w:rsidR="004F7B49" w:rsidRPr="00D2274F" w:rsidRDefault="003D071F" w:rsidP="00E32C76">
      <w:pPr>
        <w:ind w:right="56"/>
        <w:jc w:val="both"/>
        <w:rPr>
          <w:rFonts w:ascii="Open Sans" w:hAnsi="Open Sans" w:cs="Open Sans"/>
          <w:color w:val="4F81BD" w:themeColor="accent1"/>
        </w:rPr>
      </w:pPr>
      <w:permStart w:id="1955139634" w:edGrp="everyone"/>
      <w:r w:rsidRPr="000E1F88">
        <w:rPr>
          <w:rFonts w:ascii="Open Sans" w:hAnsi="Open Sans" w:cs="Open Sans"/>
        </w:rPr>
        <w:t>We miss a descrip</w:t>
      </w:r>
      <w:r w:rsidR="000533CB" w:rsidRPr="000E1F88">
        <w:rPr>
          <w:rFonts w:ascii="Open Sans" w:hAnsi="Open Sans" w:cs="Open Sans"/>
        </w:rPr>
        <w:t>t</w:t>
      </w:r>
      <w:r w:rsidRPr="000E1F88">
        <w:rPr>
          <w:rFonts w:ascii="Open Sans" w:hAnsi="Open Sans" w:cs="Open Sans"/>
        </w:rPr>
        <w:t xml:space="preserve">ion about </w:t>
      </w:r>
      <w:r w:rsidRPr="00FB13B2">
        <w:rPr>
          <w:rFonts w:ascii="Open Sans" w:hAnsi="Open Sans" w:cs="Open Sans"/>
        </w:rPr>
        <w:t>cascading</w:t>
      </w:r>
      <w:r w:rsidR="000E1F88" w:rsidRPr="00FB13B2">
        <w:rPr>
          <w:rFonts w:ascii="Open Sans" w:hAnsi="Open Sans" w:cs="Open Sans"/>
        </w:rPr>
        <w:t>, currently in EMIR:</w:t>
      </w:r>
    </w:p>
    <w:p w14:paraId="330156F9" w14:textId="0A0EC7DF" w:rsidR="005E4F92" w:rsidRPr="00D2274F" w:rsidRDefault="005E4F92" w:rsidP="004F7B49">
      <w:pPr>
        <w:rPr>
          <w:color w:val="4F81BD" w:themeColor="accent1"/>
        </w:rPr>
      </w:pPr>
    </w:p>
    <w:tbl>
      <w:tblPr>
        <w:tblStyle w:val="Tablaconcuadrcula"/>
        <w:tblW w:w="9493" w:type="dxa"/>
        <w:tblLook w:val="04A0" w:firstRow="1" w:lastRow="0" w:firstColumn="1" w:lastColumn="0" w:noHBand="0" w:noVBand="1"/>
      </w:tblPr>
      <w:tblGrid>
        <w:gridCol w:w="1343"/>
        <w:gridCol w:w="1913"/>
        <w:gridCol w:w="1417"/>
        <w:gridCol w:w="851"/>
        <w:gridCol w:w="1559"/>
        <w:gridCol w:w="1134"/>
        <w:gridCol w:w="1276"/>
      </w:tblGrid>
      <w:tr w:rsidR="000E1F88" w:rsidRPr="000E1F88" w14:paraId="5F4CA104" w14:textId="77777777" w:rsidTr="00E32C76">
        <w:tc>
          <w:tcPr>
            <w:tcW w:w="1343" w:type="dxa"/>
          </w:tcPr>
          <w:p w14:paraId="257EC656" w14:textId="0BB69534" w:rsidR="005E4F92" w:rsidRPr="000E1F88" w:rsidRDefault="005E4F92" w:rsidP="00E32C76">
            <w:pPr>
              <w:jc w:val="center"/>
              <w:rPr>
                <w:rFonts w:ascii="Open Sans" w:hAnsi="Open Sans" w:cs="Open Sans"/>
              </w:rPr>
            </w:pPr>
            <w:r w:rsidRPr="000E1F88">
              <w:rPr>
                <w:rFonts w:ascii="Open Sans" w:hAnsi="Open Sans" w:cs="Open Sans"/>
              </w:rPr>
              <w:t>Category</w:t>
            </w:r>
          </w:p>
        </w:tc>
        <w:tc>
          <w:tcPr>
            <w:tcW w:w="1913" w:type="dxa"/>
          </w:tcPr>
          <w:p w14:paraId="0B8B95BB" w14:textId="66B17787" w:rsidR="005E4F92" w:rsidRPr="000E1F88" w:rsidRDefault="005E4F92" w:rsidP="00E32C76">
            <w:pPr>
              <w:jc w:val="center"/>
              <w:rPr>
                <w:rFonts w:ascii="Open Sans" w:hAnsi="Open Sans" w:cs="Open Sans"/>
              </w:rPr>
            </w:pPr>
            <w:r w:rsidRPr="000E1F88">
              <w:rPr>
                <w:rFonts w:ascii="Open Sans" w:hAnsi="Open Sans" w:cs="Open Sans"/>
              </w:rPr>
              <w:t>Business Event</w:t>
            </w:r>
          </w:p>
        </w:tc>
        <w:tc>
          <w:tcPr>
            <w:tcW w:w="1417" w:type="dxa"/>
          </w:tcPr>
          <w:p w14:paraId="04FBDB2A" w14:textId="2BB7E0E6" w:rsidR="005E4F92" w:rsidRPr="000E1F88" w:rsidRDefault="005E4F92" w:rsidP="00E32C76">
            <w:pPr>
              <w:jc w:val="center"/>
              <w:rPr>
                <w:rFonts w:ascii="Open Sans" w:hAnsi="Open Sans" w:cs="Open Sans"/>
              </w:rPr>
            </w:pPr>
            <w:r w:rsidRPr="000E1F88">
              <w:rPr>
                <w:rFonts w:ascii="Open Sans" w:hAnsi="Open Sans" w:cs="Open Sans"/>
              </w:rPr>
              <w:t>Detail</w:t>
            </w:r>
          </w:p>
        </w:tc>
        <w:tc>
          <w:tcPr>
            <w:tcW w:w="851" w:type="dxa"/>
          </w:tcPr>
          <w:p w14:paraId="4D137E86" w14:textId="0C4348A6" w:rsidR="005E4F92" w:rsidRPr="000E1F88" w:rsidRDefault="00CD6A89" w:rsidP="00E32C76">
            <w:pPr>
              <w:jc w:val="center"/>
              <w:rPr>
                <w:rFonts w:ascii="Open Sans" w:hAnsi="Open Sans" w:cs="Open Sans"/>
              </w:rPr>
            </w:pPr>
            <w:r w:rsidRPr="000E1F88">
              <w:rPr>
                <w:rFonts w:ascii="Open Sans" w:hAnsi="Open Sans" w:cs="Open Sans"/>
              </w:rPr>
              <w:t>Reportable?</w:t>
            </w:r>
          </w:p>
        </w:tc>
        <w:tc>
          <w:tcPr>
            <w:tcW w:w="1559" w:type="dxa"/>
          </w:tcPr>
          <w:p w14:paraId="7FE9B138" w14:textId="5545E7E3" w:rsidR="005E4F92" w:rsidRPr="000E1F88" w:rsidRDefault="00CD6A89" w:rsidP="00E32C76">
            <w:pPr>
              <w:jc w:val="center"/>
              <w:rPr>
                <w:rFonts w:ascii="Open Sans" w:hAnsi="Open Sans" w:cs="Open Sans"/>
              </w:rPr>
            </w:pPr>
            <w:r w:rsidRPr="000E1F88">
              <w:rPr>
                <w:rFonts w:ascii="Open Sans" w:hAnsi="Open Sans" w:cs="Open Sans"/>
              </w:rPr>
              <w:t>Action Type</w:t>
            </w:r>
          </w:p>
        </w:tc>
        <w:tc>
          <w:tcPr>
            <w:tcW w:w="1134" w:type="dxa"/>
          </w:tcPr>
          <w:p w14:paraId="4340A9AE" w14:textId="28DCCD2A" w:rsidR="005E4F92" w:rsidRPr="000E1F88" w:rsidRDefault="00CD6A89" w:rsidP="00E32C76">
            <w:pPr>
              <w:jc w:val="center"/>
              <w:rPr>
                <w:rFonts w:ascii="Open Sans" w:hAnsi="Open Sans" w:cs="Open Sans"/>
              </w:rPr>
            </w:pPr>
            <w:r w:rsidRPr="000E1F88">
              <w:rPr>
                <w:rFonts w:ascii="Open Sans" w:hAnsi="Open Sans" w:cs="Open Sans"/>
              </w:rPr>
              <w:t>Event Type</w:t>
            </w:r>
          </w:p>
        </w:tc>
        <w:tc>
          <w:tcPr>
            <w:tcW w:w="1276" w:type="dxa"/>
          </w:tcPr>
          <w:p w14:paraId="22BA4743" w14:textId="74F5715C" w:rsidR="005E4F92" w:rsidRPr="000E1F88" w:rsidRDefault="00CD6A89" w:rsidP="00E32C76">
            <w:pPr>
              <w:jc w:val="center"/>
              <w:rPr>
                <w:rFonts w:ascii="Open Sans" w:hAnsi="Open Sans" w:cs="Open Sans"/>
              </w:rPr>
            </w:pPr>
            <w:r w:rsidRPr="000E1F88">
              <w:rPr>
                <w:rFonts w:ascii="Open Sans" w:hAnsi="Open Sans" w:cs="Open Sans"/>
              </w:rPr>
              <w:t>Comment</w:t>
            </w:r>
          </w:p>
        </w:tc>
      </w:tr>
      <w:tr w:rsidR="000E1F88" w:rsidRPr="000E1F88" w14:paraId="141CEFF0" w14:textId="77777777" w:rsidTr="00E32C76">
        <w:trPr>
          <w:trHeight w:val="541"/>
        </w:trPr>
        <w:tc>
          <w:tcPr>
            <w:tcW w:w="1343" w:type="dxa"/>
            <w:vMerge w:val="restart"/>
          </w:tcPr>
          <w:p w14:paraId="19CA01D4" w14:textId="33E20E4B" w:rsidR="00CB4676" w:rsidRPr="000E1F88" w:rsidRDefault="00CB4676" w:rsidP="004F7B49">
            <w:pPr>
              <w:rPr>
                <w:rFonts w:ascii="Open Sans" w:hAnsi="Open Sans" w:cs="Open Sans"/>
              </w:rPr>
            </w:pPr>
            <w:r w:rsidRPr="000E1F88">
              <w:rPr>
                <w:rFonts w:ascii="Open Sans" w:hAnsi="Open Sans" w:cs="Open Sans"/>
              </w:rPr>
              <w:t>Cascade</w:t>
            </w:r>
          </w:p>
        </w:tc>
        <w:tc>
          <w:tcPr>
            <w:tcW w:w="1913" w:type="dxa"/>
            <w:vMerge w:val="restart"/>
          </w:tcPr>
          <w:p w14:paraId="75B4E0A7" w14:textId="52156266" w:rsidR="00CB4676" w:rsidRPr="000E1F88" w:rsidRDefault="00CB4676" w:rsidP="004F7B49">
            <w:pPr>
              <w:rPr>
                <w:rFonts w:ascii="Open Sans" w:hAnsi="Open Sans" w:cs="Open Sans"/>
              </w:rPr>
            </w:pPr>
            <w:r w:rsidRPr="000E1F88">
              <w:rPr>
                <w:rFonts w:ascii="Open Sans" w:hAnsi="Open Sans" w:cs="Open Sans"/>
              </w:rPr>
              <w:t xml:space="preserve">A Cascade is the breakdown of a Position in a smaller level (for example, the breakdown of an annual Contract in quarterly Contracts). </w:t>
            </w:r>
          </w:p>
        </w:tc>
        <w:tc>
          <w:tcPr>
            <w:tcW w:w="1417" w:type="dxa"/>
          </w:tcPr>
          <w:p w14:paraId="371B612D" w14:textId="772467B7" w:rsidR="00CB4676" w:rsidRPr="000E1F88" w:rsidRDefault="00CB4676" w:rsidP="004F7B49">
            <w:pPr>
              <w:rPr>
                <w:rFonts w:ascii="Open Sans" w:hAnsi="Open Sans" w:cs="Open Sans"/>
              </w:rPr>
            </w:pPr>
            <w:proofErr w:type="spellStart"/>
            <w:r w:rsidRPr="000E1F88">
              <w:rPr>
                <w:rFonts w:ascii="Open Sans" w:hAnsi="Open Sans" w:cs="Open Sans"/>
              </w:rPr>
              <w:t>EoD</w:t>
            </w:r>
            <w:proofErr w:type="spellEnd"/>
            <w:r w:rsidRPr="000E1F88">
              <w:rPr>
                <w:rFonts w:ascii="Open Sans" w:hAnsi="Open Sans" w:cs="Open Sans"/>
              </w:rPr>
              <w:t xml:space="preserve"> position</w:t>
            </w:r>
          </w:p>
        </w:tc>
        <w:tc>
          <w:tcPr>
            <w:tcW w:w="851" w:type="dxa"/>
          </w:tcPr>
          <w:p w14:paraId="306BD497" w14:textId="64372DAB" w:rsidR="00CB4676" w:rsidRPr="000E1F88" w:rsidRDefault="00CB4676" w:rsidP="004F7B49">
            <w:pPr>
              <w:rPr>
                <w:rFonts w:ascii="Open Sans" w:hAnsi="Open Sans" w:cs="Open Sans"/>
              </w:rPr>
            </w:pPr>
            <w:r w:rsidRPr="000E1F88">
              <w:rPr>
                <w:rFonts w:ascii="Open Sans" w:hAnsi="Open Sans" w:cs="Open Sans"/>
              </w:rPr>
              <w:t>Yes</w:t>
            </w:r>
          </w:p>
        </w:tc>
        <w:tc>
          <w:tcPr>
            <w:tcW w:w="1559" w:type="dxa"/>
          </w:tcPr>
          <w:p w14:paraId="33C76525" w14:textId="1A1410D9" w:rsidR="00CB4676" w:rsidRPr="000E1F88" w:rsidRDefault="00CB4676" w:rsidP="004F7B49">
            <w:pPr>
              <w:rPr>
                <w:rFonts w:ascii="Open Sans" w:hAnsi="Open Sans" w:cs="Open Sans"/>
              </w:rPr>
            </w:pPr>
            <w:r w:rsidRPr="000E1F88">
              <w:rPr>
                <w:rFonts w:ascii="Open Sans" w:hAnsi="Open Sans" w:cs="Open Sans"/>
              </w:rPr>
              <w:t>New</w:t>
            </w:r>
          </w:p>
        </w:tc>
        <w:tc>
          <w:tcPr>
            <w:tcW w:w="1134" w:type="dxa"/>
          </w:tcPr>
          <w:p w14:paraId="03801071" w14:textId="77777777" w:rsidR="00CB4676" w:rsidRPr="000E1F88" w:rsidRDefault="00CB4676" w:rsidP="004F7B49">
            <w:pPr>
              <w:rPr>
                <w:rFonts w:ascii="Open Sans" w:hAnsi="Open Sans" w:cs="Open Sans"/>
              </w:rPr>
            </w:pPr>
          </w:p>
        </w:tc>
        <w:tc>
          <w:tcPr>
            <w:tcW w:w="1276" w:type="dxa"/>
          </w:tcPr>
          <w:p w14:paraId="630363EA" w14:textId="77777777" w:rsidR="00CB4676" w:rsidRPr="000E1F88" w:rsidRDefault="00CB4676" w:rsidP="004F7B49">
            <w:pPr>
              <w:rPr>
                <w:rFonts w:ascii="Open Sans" w:hAnsi="Open Sans" w:cs="Open Sans"/>
              </w:rPr>
            </w:pPr>
          </w:p>
        </w:tc>
      </w:tr>
      <w:tr w:rsidR="000E1F88" w:rsidRPr="000E1F88" w14:paraId="451BF084" w14:textId="77777777" w:rsidTr="00E32C76">
        <w:trPr>
          <w:trHeight w:val="870"/>
        </w:trPr>
        <w:tc>
          <w:tcPr>
            <w:tcW w:w="1343" w:type="dxa"/>
            <w:vMerge/>
          </w:tcPr>
          <w:p w14:paraId="75646AC6" w14:textId="77777777" w:rsidR="00CB4676" w:rsidRPr="000E1F88" w:rsidRDefault="00CB4676" w:rsidP="004F7B49">
            <w:pPr>
              <w:rPr>
                <w:rFonts w:ascii="Open Sans" w:hAnsi="Open Sans" w:cs="Open Sans"/>
              </w:rPr>
            </w:pPr>
          </w:p>
        </w:tc>
        <w:tc>
          <w:tcPr>
            <w:tcW w:w="1913" w:type="dxa"/>
            <w:vMerge/>
          </w:tcPr>
          <w:p w14:paraId="28613181" w14:textId="77777777" w:rsidR="00CB4676" w:rsidRPr="000E1F88" w:rsidRDefault="00CB4676" w:rsidP="004F7B49">
            <w:pPr>
              <w:rPr>
                <w:rFonts w:ascii="Open Sans" w:hAnsi="Open Sans" w:cs="Open Sans"/>
              </w:rPr>
            </w:pPr>
          </w:p>
        </w:tc>
        <w:tc>
          <w:tcPr>
            <w:tcW w:w="1417" w:type="dxa"/>
          </w:tcPr>
          <w:p w14:paraId="33B4FA34" w14:textId="4CD16FAC" w:rsidR="00CB4676" w:rsidRPr="000E1F88" w:rsidRDefault="00CB4676" w:rsidP="004F7B49">
            <w:pPr>
              <w:rPr>
                <w:rFonts w:ascii="Open Sans" w:hAnsi="Open Sans" w:cs="Open Sans"/>
              </w:rPr>
            </w:pPr>
            <w:r w:rsidRPr="000E1F88">
              <w:rPr>
                <w:rFonts w:ascii="Open Sans" w:hAnsi="Open Sans" w:cs="Open Sans"/>
              </w:rPr>
              <w:t xml:space="preserve">Closing </w:t>
            </w:r>
            <w:proofErr w:type="spellStart"/>
            <w:r w:rsidRPr="000E1F88">
              <w:rPr>
                <w:rFonts w:ascii="Open Sans" w:hAnsi="Open Sans" w:cs="Open Sans"/>
              </w:rPr>
              <w:t>EoD</w:t>
            </w:r>
            <w:proofErr w:type="spellEnd"/>
            <w:r w:rsidRPr="000E1F88">
              <w:rPr>
                <w:rFonts w:ascii="Open Sans" w:hAnsi="Open Sans" w:cs="Open Sans"/>
              </w:rPr>
              <w:t xml:space="preserve"> position</w:t>
            </w:r>
          </w:p>
        </w:tc>
        <w:tc>
          <w:tcPr>
            <w:tcW w:w="851" w:type="dxa"/>
          </w:tcPr>
          <w:p w14:paraId="40EF7CA6" w14:textId="39EA0A3C" w:rsidR="00CB4676" w:rsidRPr="000E1F88" w:rsidRDefault="00CB4676" w:rsidP="004F7B49">
            <w:pPr>
              <w:rPr>
                <w:rFonts w:ascii="Open Sans" w:hAnsi="Open Sans" w:cs="Open Sans"/>
              </w:rPr>
            </w:pPr>
            <w:r w:rsidRPr="000E1F88">
              <w:rPr>
                <w:rFonts w:ascii="Open Sans" w:hAnsi="Open Sans" w:cs="Open Sans"/>
              </w:rPr>
              <w:t>Yes</w:t>
            </w:r>
          </w:p>
        </w:tc>
        <w:tc>
          <w:tcPr>
            <w:tcW w:w="1559" w:type="dxa"/>
          </w:tcPr>
          <w:p w14:paraId="3E8DCB64" w14:textId="443CFC2E" w:rsidR="00CB4676" w:rsidRPr="000E1F88" w:rsidRDefault="00CB4676" w:rsidP="004F7B49">
            <w:pPr>
              <w:rPr>
                <w:rFonts w:ascii="Open Sans" w:hAnsi="Open Sans" w:cs="Open Sans"/>
              </w:rPr>
            </w:pPr>
            <w:r w:rsidRPr="000E1F88">
              <w:rPr>
                <w:rFonts w:ascii="Open Sans" w:hAnsi="Open Sans" w:cs="Open Sans"/>
              </w:rPr>
              <w:t>Position component</w:t>
            </w:r>
          </w:p>
        </w:tc>
        <w:tc>
          <w:tcPr>
            <w:tcW w:w="1134" w:type="dxa"/>
          </w:tcPr>
          <w:p w14:paraId="60C0820F" w14:textId="77777777" w:rsidR="00CB4676" w:rsidRPr="000E1F88" w:rsidRDefault="00CB4676" w:rsidP="004F7B49">
            <w:pPr>
              <w:rPr>
                <w:rFonts w:ascii="Open Sans" w:hAnsi="Open Sans" w:cs="Open Sans"/>
              </w:rPr>
            </w:pPr>
          </w:p>
        </w:tc>
        <w:tc>
          <w:tcPr>
            <w:tcW w:w="1276" w:type="dxa"/>
          </w:tcPr>
          <w:p w14:paraId="544A6545" w14:textId="77777777" w:rsidR="00CB4676" w:rsidRPr="000E1F88" w:rsidRDefault="00CB4676" w:rsidP="004F7B49">
            <w:pPr>
              <w:rPr>
                <w:rFonts w:ascii="Open Sans" w:hAnsi="Open Sans" w:cs="Open Sans"/>
              </w:rPr>
            </w:pPr>
          </w:p>
        </w:tc>
      </w:tr>
      <w:tr w:rsidR="000E1F88" w:rsidRPr="000E1F88" w14:paraId="50A44C7A" w14:textId="77777777" w:rsidTr="00E32C76">
        <w:tc>
          <w:tcPr>
            <w:tcW w:w="1343" w:type="dxa"/>
            <w:vMerge/>
          </w:tcPr>
          <w:p w14:paraId="56AB75CC" w14:textId="77777777" w:rsidR="00CB4676" w:rsidRPr="000E1F88" w:rsidRDefault="00CB4676" w:rsidP="004F7B49">
            <w:pPr>
              <w:rPr>
                <w:rFonts w:ascii="Open Sans" w:hAnsi="Open Sans" w:cs="Open Sans"/>
              </w:rPr>
            </w:pPr>
          </w:p>
        </w:tc>
        <w:tc>
          <w:tcPr>
            <w:tcW w:w="1913" w:type="dxa"/>
            <w:vMerge/>
          </w:tcPr>
          <w:p w14:paraId="0AD3047B" w14:textId="77777777" w:rsidR="00CB4676" w:rsidRPr="000E1F88" w:rsidRDefault="00CB4676" w:rsidP="004F7B49">
            <w:pPr>
              <w:rPr>
                <w:rFonts w:ascii="Open Sans" w:hAnsi="Open Sans" w:cs="Open Sans"/>
              </w:rPr>
            </w:pPr>
          </w:p>
        </w:tc>
        <w:tc>
          <w:tcPr>
            <w:tcW w:w="1417" w:type="dxa"/>
          </w:tcPr>
          <w:p w14:paraId="5C5F8F57" w14:textId="4AABC40D" w:rsidR="00CB4676" w:rsidRPr="000E1F88" w:rsidRDefault="00CB4676" w:rsidP="004F7B49">
            <w:pPr>
              <w:rPr>
                <w:rFonts w:ascii="Open Sans" w:hAnsi="Open Sans" w:cs="Open Sans"/>
              </w:rPr>
            </w:pPr>
            <w:r w:rsidRPr="000E1F88">
              <w:rPr>
                <w:rFonts w:ascii="Open Sans" w:hAnsi="Open Sans" w:cs="Open Sans"/>
              </w:rPr>
              <w:t>Opening trades new position</w:t>
            </w:r>
          </w:p>
        </w:tc>
        <w:tc>
          <w:tcPr>
            <w:tcW w:w="851" w:type="dxa"/>
          </w:tcPr>
          <w:p w14:paraId="590AE055" w14:textId="421AD5B7" w:rsidR="00CB4676" w:rsidRPr="000E1F88" w:rsidRDefault="00CB4676" w:rsidP="004F7B49">
            <w:pPr>
              <w:rPr>
                <w:rFonts w:ascii="Open Sans" w:hAnsi="Open Sans" w:cs="Open Sans"/>
              </w:rPr>
            </w:pPr>
            <w:r w:rsidRPr="000E1F88">
              <w:rPr>
                <w:rFonts w:ascii="Open Sans" w:hAnsi="Open Sans" w:cs="Open Sans"/>
              </w:rPr>
              <w:t>Yes</w:t>
            </w:r>
          </w:p>
        </w:tc>
        <w:tc>
          <w:tcPr>
            <w:tcW w:w="1559" w:type="dxa"/>
          </w:tcPr>
          <w:p w14:paraId="114D1405" w14:textId="07B7150B" w:rsidR="00CB4676" w:rsidRPr="000E1F88" w:rsidRDefault="00CB4676" w:rsidP="004F7B49">
            <w:pPr>
              <w:rPr>
                <w:rFonts w:ascii="Open Sans" w:hAnsi="Open Sans" w:cs="Open Sans"/>
              </w:rPr>
            </w:pPr>
            <w:r w:rsidRPr="000E1F88">
              <w:rPr>
                <w:rFonts w:ascii="Open Sans" w:hAnsi="Open Sans" w:cs="Open Sans"/>
              </w:rPr>
              <w:t>Position component</w:t>
            </w:r>
          </w:p>
        </w:tc>
        <w:tc>
          <w:tcPr>
            <w:tcW w:w="1134" w:type="dxa"/>
          </w:tcPr>
          <w:p w14:paraId="5505AFF3" w14:textId="77777777" w:rsidR="00CB4676" w:rsidRPr="000E1F88" w:rsidRDefault="00CB4676" w:rsidP="004F7B49">
            <w:pPr>
              <w:rPr>
                <w:rFonts w:ascii="Open Sans" w:hAnsi="Open Sans" w:cs="Open Sans"/>
              </w:rPr>
            </w:pPr>
          </w:p>
        </w:tc>
        <w:tc>
          <w:tcPr>
            <w:tcW w:w="1276" w:type="dxa"/>
          </w:tcPr>
          <w:p w14:paraId="563BD697" w14:textId="77777777" w:rsidR="00CB4676" w:rsidRPr="000E1F88" w:rsidRDefault="00CB4676" w:rsidP="004F7B49">
            <w:pPr>
              <w:rPr>
                <w:rFonts w:ascii="Open Sans" w:hAnsi="Open Sans" w:cs="Open Sans"/>
              </w:rPr>
            </w:pPr>
          </w:p>
        </w:tc>
      </w:tr>
      <w:tr w:rsidR="000E1F88" w:rsidRPr="000E1F88" w14:paraId="220B114D" w14:textId="77777777" w:rsidTr="00E32C76">
        <w:tc>
          <w:tcPr>
            <w:tcW w:w="1343" w:type="dxa"/>
            <w:vMerge/>
          </w:tcPr>
          <w:p w14:paraId="0AB45561" w14:textId="77777777" w:rsidR="00CB4676" w:rsidRPr="000E1F88" w:rsidRDefault="00CB4676" w:rsidP="004F7B49">
            <w:pPr>
              <w:rPr>
                <w:rFonts w:ascii="Open Sans" w:hAnsi="Open Sans" w:cs="Open Sans"/>
              </w:rPr>
            </w:pPr>
          </w:p>
        </w:tc>
        <w:tc>
          <w:tcPr>
            <w:tcW w:w="1913" w:type="dxa"/>
            <w:vMerge/>
          </w:tcPr>
          <w:p w14:paraId="433C2E33" w14:textId="77777777" w:rsidR="00CB4676" w:rsidRPr="000E1F88" w:rsidRDefault="00CB4676" w:rsidP="004F7B49">
            <w:pPr>
              <w:rPr>
                <w:rFonts w:ascii="Open Sans" w:hAnsi="Open Sans" w:cs="Open Sans"/>
              </w:rPr>
            </w:pPr>
          </w:p>
        </w:tc>
        <w:tc>
          <w:tcPr>
            <w:tcW w:w="1417" w:type="dxa"/>
          </w:tcPr>
          <w:p w14:paraId="76C52AB3" w14:textId="5D26EB97" w:rsidR="00CB4676" w:rsidRPr="000E1F88" w:rsidRDefault="00CB4676" w:rsidP="004F7B49">
            <w:pPr>
              <w:rPr>
                <w:rFonts w:ascii="Open Sans" w:hAnsi="Open Sans" w:cs="Open Sans"/>
              </w:rPr>
            </w:pPr>
            <w:proofErr w:type="spellStart"/>
            <w:r w:rsidRPr="000E1F88">
              <w:rPr>
                <w:rFonts w:ascii="Open Sans" w:hAnsi="Open Sans" w:cs="Open Sans"/>
              </w:rPr>
              <w:t>EoD</w:t>
            </w:r>
            <w:proofErr w:type="spellEnd"/>
            <w:r w:rsidRPr="000E1F88">
              <w:rPr>
                <w:rFonts w:ascii="Open Sans" w:hAnsi="Open Sans" w:cs="Open Sans"/>
              </w:rPr>
              <w:t xml:space="preserve"> Position</w:t>
            </w:r>
          </w:p>
        </w:tc>
        <w:tc>
          <w:tcPr>
            <w:tcW w:w="851" w:type="dxa"/>
          </w:tcPr>
          <w:p w14:paraId="0503FC82" w14:textId="740C2E04" w:rsidR="00CB4676" w:rsidRPr="000E1F88" w:rsidRDefault="00CB4676" w:rsidP="004F7B49">
            <w:pPr>
              <w:rPr>
                <w:rFonts w:ascii="Open Sans" w:hAnsi="Open Sans" w:cs="Open Sans"/>
              </w:rPr>
            </w:pPr>
            <w:r w:rsidRPr="000E1F88">
              <w:rPr>
                <w:rFonts w:ascii="Open Sans" w:hAnsi="Open Sans" w:cs="Open Sans"/>
              </w:rPr>
              <w:t>Yes</w:t>
            </w:r>
          </w:p>
        </w:tc>
        <w:tc>
          <w:tcPr>
            <w:tcW w:w="1559" w:type="dxa"/>
          </w:tcPr>
          <w:p w14:paraId="04FAB4DD" w14:textId="23275F3F" w:rsidR="00CB4676" w:rsidRPr="000E1F88" w:rsidRDefault="00CB4676" w:rsidP="004F7B49">
            <w:pPr>
              <w:rPr>
                <w:rFonts w:ascii="Open Sans" w:hAnsi="Open Sans" w:cs="Open Sans"/>
              </w:rPr>
            </w:pPr>
            <w:r w:rsidRPr="000E1F88">
              <w:rPr>
                <w:rFonts w:ascii="Open Sans" w:hAnsi="Open Sans" w:cs="Open Sans"/>
              </w:rPr>
              <w:t>New</w:t>
            </w:r>
          </w:p>
        </w:tc>
        <w:tc>
          <w:tcPr>
            <w:tcW w:w="1134" w:type="dxa"/>
          </w:tcPr>
          <w:p w14:paraId="20F92727" w14:textId="77777777" w:rsidR="00CB4676" w:rsidRPr="000E1F88" w:rsidRDefault="00CB4676" w:rsidP="004F7B49">
            <w:pPr>
              <w:rPr>
                <w:rFonts w:ascii="Open Sans" w:hAnsi="Open Sans" w:cs="Open Sans"/>
              </w:rPr>
            </w:pPr>
          </w:p>
        </w:tc>
        <w:tc>
          <w:tcPr>
            <w:tcW w:w="1276" w:type="dxa"/>
          </w:tcPr>
          <w:p w14:paraId="115FC4BC" w14:textId="77777777" w:rsidR="00CB4676" w:rsidRPr="000E1F88" w:rsidRDefault="00CB4676" w:rsidP="004F7B49">
            <w:pPr>
              <w:rPr>
                <w:rFonts w:ascii="Open Sans" w:hAnsi="Open Sans" w:cs="Open Sans"/>
              </w:rPr>
            </w:pPr>
          </w:p>
        </w:tc>
      </w:tr>
    </w:tbl>
    <w:p w14:paraId="01848D22" w14:textId="77777777" w:rsidR="000533CB" w:rsidRPr="00D2274F" w:rsidRDefault="000533CB" w:rsidP="004F7B49">
      <w:pPr>
        <w:rPr>
          <w:color w:val="4F81BD" w:themeColor="accent1"/>
          <w:lang w:val="es-ES"/>
        </w:rPr>
      </w:pP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0A4F9B62" w14:textId="7158D3C0" w:rsidR="00EB123C" w:rsidRPr="00FB13B2" w:rsidRDefault="00EB123C" w:rsidP="00EB123C">
      <w:pPr>
        <w:ind w:right="56"/>
        <w:jc w:val="both"/>
        <w:rPr>
          <w:rFonts w:ascii="Open Sans" w:hAnsi="Open Sans" w:cs="Open Sans"/>
        </w:rPr>
      </w:pPr>
      <w:permStart w:id="1677329523" w:edGrp="everyone"/>
      <w:r w:rsidRPr="00FB13B2">
        <w:rPr>
          <w:rFonts w:ascii="Open Sans" w:hAnsi="Open Sans" w:cs="Open Sans"/>
        </w:rPr>
        <w:t xml:space="preserve">We believe that </w:t>
      </w:r>
      <w:r w:rsidR="00E32C76" w:rsidRPr="00FB13B2">
        <w:rPr>
          <w:rFonts w:ascii="Open Sans" w:hAnsi="Open Sans" w:cs="Open Sans"/>
        </w:rPr>
        <w:t>the second approach</w:t>
      </w:r>
      <w:r w:rsidRPr="00FB13B2">
        <w:rPr>
          <w:rFonts w:ascii="Open Sans" w:hAnsi="Open Sans" w:cs="Open Sans"/>
        </w:rPr>
        <w:t xml:space="preserve"> -following the sun- will be easier to implement for determining the entity with the soonest reporting deadline.</w:t>
      </w:r>
      <w:r w:rsidR="00E32C76" w:rsidRPr="00FB13B2">
        <w:rPr>
          <w:rFonts w:ascii="Open Sans" w:hAnsi="Open Sans" w:cs="Open Sans"/>
        </w:rPr>
        <w:t xml:space="preserve"> </w:t>
      </w:r>
    </w:p>
    <w:p w14:paraId="07F7D731" w14:textId="77777777" w:rsidR="00EB123C" w:rsidRPr="00FB13B2" w:rsidRDefault="00EB123C" w:rsidP="00EB123C">
      <w:pPr>
        <w:ind w:right="56"/>
        <w:jc w:val="both"/>
        <w:rPr>
          <w:rFonts w:ascii="Open Sans" w:hAnsi="Open Sans" w:cs="Open Sans"/>
        </w:rPr>
      </w:pPr>
    </w:p>
    <w:p w14:paraId="538FF3A9" w14:textId="6F99F167" w:rsidR="00E32C76" w:rsidRPr="00CB5703" w:rsidRDefault="00EB123C" w:rsidP="00EB123C">
      <w:pPr>
        <w:ind w:right="56"/>
        <w:jc w:val="both"/>
        <w:rPr>
          <w:rFonts w:ascii="Open Sans" w:hAnsi="Open Sans" w:cs="Open Sans"/>
          <w:color w:val="C00000"/>
        </w:rPr>
      </w:pPr>
      <w:r w:rsidRPr="00FB13B2">
        <w:rPr>
          <w:rFonts w:ascii="Open Sans" w:hAnsi="Open Sans" w:cs="Open Sans"/>
        </w:rPr>
        <w:lastRenderedPageBreak/>
        <w:t xml:space="preserve">We </w:t>
      </w:r>
      <w:r w:rsidR="00E32C76" w:rsidRPr="00FB13B2">
        <w:rPr>
          <w:rFonts w:ascii="Open Sans" w:hAnsi="Open Sans" w:cs="Open Sans"/>
        </w:rPr>
        <w:t>consider that having a static order</w:t>
      </w:r>
      <w:r w:rsidRPr="00FB13B2">
        <w:rPr>
          <w:rFonts w:ascii="Open Sans" w:hAnsi="Open Sans" w:cs="Open Sans"/>
        </w:rPr>
        <w:t>ing</w:t>
      </w:r>
      <w:r w:rsidR="00E32C76" w:rsidRPr="00FB13B2">
        <w:rPr>
          <w:rFonts w:ascii="Open Sans" w:hAnsi="Open Sans" w:cs="Open Sans"/>
        </w:rPr>
        <w:t xml:space="preserve"> of jurisdictions based on </w:t>
      </w:r>
      <w:r w:rsidR="0062585A" w:rsidRPr="00FB13B2">
        <w:rPr>
          <w:rFonts w:ascii="Open Sans" w:hAnsi="Open Sans" w:cs="Open Sans"/>
        </w:rPr>
        <w:t>time zones</w:t>
      </w:r>
      <w:r w:rsidR="00E32C76" w:rsidRPr="00FB13B2">
        <w:rPr>
          <w:rFonts w:ascii="Open Sans" w:hAnsi="Open Sans" w:cs="Open Sans"/>
        </w:rPr>
        <w:t xml:space="preserve"> makes more sense than the first approach wh</w:t>
      </w:r>
      <w:r w:rsidRPr="00FB13B2">
        <w:rPr>
          <w:rFonts w:ascii="Open Sans" w:hAnsi="Open Sans" w:cs="Open Sans"/>
        </w:rPr>
        <w:t>er</w:t>
      </w:r>
      <w:r w:rsidR="00E32C76" w:rsidRPr="00FB13B2">
        <w:rPr>
          <w:rFonts w:ascii="Open Sans" w:hAnsi="Open Sans" w:cs="Open Sans"/>
        </w:rPr>
        <w:t xml:space="preserve">e </w:t>
      </w:r>
      <w:r w:rsidR="0062585A" w:rsidRPr="00FB13B2">
        <w:rPr>
          <w:rFonts w:ascii="Open Sans" w:hAnsi="Open Sans" w:cs="Open Sans"/>
        </w:rPr>
        <w:t>time zones</w:t>
      </w:r>
      <w:r w:rsidR="00E32C76" w:rsidRPr="00FB13B2">
        <w:rPr>
          <w:rFonts w:ascii="Open Sans" w:hAnsi="Open Sans" w:cs="Open Sans"/>
        </w:rPr>
        <w:t xml:space="preserve"> are not </w:t>
      </w:r>
      <w:proofErr w:type="gramStart"/>
      <w:r w:rsidR="00273537" w:rsidRPr="00FB13B2">
        <w:rPr>
          <w:rFonts w:ascii="Open Sans" w:hAnsi="Open Sans" w:cs="Open Sans"/>
        </w:rPr>
        <w:t>taken</w:t>
      </w:r>
      <w:r w:rsidR="00E32C76" w:rsidRPr="00FB13B2">
        <w:rPr>
          <w:rFonts w:ascii="Open Sans" w:hAnsi="Open Sans" w:cs="Open Sans"/>
        </w:rPr>
        <w:t xml:space="preserve"> into account</w:t>
      </w:r>
      <w:proofErr w:type="gramEnd"/>
      <w:r w:rsidR="00E32C76" w:rsidRPr="00FB13B2">
        <w:rPr>
          <w:rFonts w:ascii="Open Sans" w:hAnsi="Open Sans" w:cs="Open Sans"/>
        </w:rPr>
        <w:t>.</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2EAE8252" w14:textId="0673ED7E" w:rsidR="00454173" w:rsidRPr="00EB123C" w:rsidRDefault="00EC11BD" w:rsidP="00EB123C">
      <w:pPr>
        <w:ind w:right="56"/>
        <w:jc w:val="both"/>
        <w:rPr>
          <w:rFonts w:ascii="Open Sans" w:hAnsi="Open Sans" w:cs="Open Sans"/>
        </w:rPr>
      </w:pPr>
      <w:permStart w:id="1383475364" w:edGrp="everyone"/>
      <w:r w:rsidRPr="00EB123C">
        <w:rPr>
          <w:rFonts w:ascii="Open Sans" w:hAnsi="Open Sans" w:cs="Open Sans"/>
        </w:rPr>
        <w:t>Being BME CLEARING a CCP, it is clear that we are the entity which will generate the UTI. The waterfall approach determining the entity responsible for the generation of the UTI is clear for CCPs</w:t>
      </w:r>
      <w:r w:rsidR="00454173" w:rsidRPr="00EB123C">
        <w:rPr>
          <w:rFonts w:ascii="Open Sans" w:hAnsi="Open Sans" w:cs="Open Sans"/>
        </w:rPr>
        <w:t>.</w:t>
      </w:r>
    </w:p>
    <w:p w14:paraId="26FE579D" w14:textId="77777777" w:rsidR="00454173" w:rsidRPr="00EB123C" w:rsidRDefault="00454173" w:rsidP="00454173">
      <w:pPr>
        <w:rPr>
          <w:rFonts w:ascii="Open Sans" w:hAnsi="Open Sans" w:cs="Open Sans"/>
          <w:szCs w:val="20"/>
        </w:rPr>
      </w:pPr>
    </w:p>
    <w:p w14:paraId="233452D6" w14:textId="0B7A794E" w:rsidR="006C6255" w:rsidRPr="00EB123C" w:rsidRDefault="00EB123C" w:rsidP="00EB123C">
      <w:pPr>
        <w:ind w:right="56"/>
        <w:jc w:val="both"/>
        <w:rPr>
          <w:rFonts w:ascii="Open Sans" w:hAnsi="Open Sans" w:cs="Open Sans"/>
        </w:rPr>
      </w:pPr>
      <w:r w:rsidRPr="00EB123C">
        <w:rPr>
          <w:rFonts w:ascii="Open Sans" w:hAnsi="Open Sans" w:cs="Open Sans"/>
        </w:rPr>
        <w:t>I</w:t>
      </w:r>
      <w:r w:rsidR="00454173" w:rsidRPr="00EB123C">
        <w:rPr>
          <w:rFonts w:ascii="Open Sans" w:hAnsi="Open Sans" w:cs="Open Sans"/>
        </w:rPr>
        <w:t xml:space="preserve">n the existing regulatory guidance, it is </w:t>
      </w:r>
      <w:r w:rsidR="008F4F2D" w:rsidRPr="00EB123C">
        <w:rPr>
          <w:rFonts w:ascii="Open Sans" w:hAnsi="Open Sans" w:cs="Open Sans"/>
        </w:rPr>
        <w:t xml:space="preserve">also </w:t>
      </w:r>
      <w:r w:rsidR="0062585A" w:rsidRPr="00EB123C">
        <w:rPr>
          <w:rFonts w:ascii="Open Sans" w:hAnsi="Open Sans" w:cs="Open Sans"/>
        </w:rPr>
        <w:t>crystal</w:t>
      </w:r>
      <w:r w:rsidR="008F4F2D" w:rsidRPr="00EB123C">
        <w:rPr>
          <w:rFonts w:ascii="Open Sans" w:hAnsi="Open Sans" w:cs="Open Sans"/>
        </w:rPr>
        <w:t xml:space="preserve"> </w:t>
      </w:r>
      <w:r w:rsidR="00454173" w:rsidRPr="00EB123C">
        <w:rPr>
          <w:rFonts w:ascii="Open Sans" w:hAnsi="Open Sans" w:cs="Open Sans"/>
        </w:rPr>
        <w:t>clear that CCPs are responsible for providing position UTIs to clearing participants</w:t>
      </w:r>
      <w:r w:rsidR="008F4F2D" w:rsidRPr="00EB123C">
        <w:rPr>
          <w:rFonts w:ascii="Open Sans" w:hAnsi="Open Sans" w:cs="Open Sans"/>
        </w:rPr>
        <w:t>.</w:t>
      </w:r>
    </w:p>
    <w:p w14:paraId="12B3A354" w14:textId="77777777" w:rsidR="006C6255" w:rsidRPr="00F63BC2" w:rsidRDefault="006C6255" w:rsidP="00454173">
      <w:pPr>
        <w:rPr>
          <w:szCs w:val="20"/>
        </w:rPr>
      </w:pPr>
    </w:p>
    <w:p w14:paraId="46FF3608" w14:textId="3B958838" w:rsidR="003B2CA9" w:rsidRPr="00FB13B2" w:rsidRDefault="00454173" w:rsidP="00EB123C">
      <w:pPr>
        <w:ind w:right="56"/>
        <w:jc w:val="both"/>
        <w:rPr>
          <w:rFonts w:ascii="Open Sans" w:hAnsi="Open Sans" w:cs="Open Sans"/>
        </w:rPr>
      </w:pPr>
      <w:r w:rsidRPr="00FB13B2">
        <w:rPr>
          <w:rFonts w:ascii="Open Sans" w:hAnsi="Open Sans" w:cs="Open Sans"/>
        </w:rPr>
        <w:t xml:space="preserve">However, </w:t>
      </w:r>
      <w:r w:rsidR="008F4F2D" w:rsidRPr="00FB13B2">
        <w:rPr>
          <w:rFonts w:ascii="Open Sans" w:hAnsi="Open Sans" w:cs="Open Sans"/>
        </w:rPr>
        <w:t>C</w:t>
      </w:r>
      <w:r w:rsidRPr="00FB13B2">
        <w:rPr>
          <w:rFonts w:ascii="Open Sans" w:hAnsi="Open Sans" w:cs="Open Sans"/>
        </w:rPr>
        <w:t xml:space="preserve">learing </w:t>
      </w:r>
      <w:r w:rsidR="008F4F2D" w:rsidRPr="00FB13B2">
        <w:rPr>
          <w:rFonts w:ascii="Open Sans" w:hAnsi="Open Sans" w:cs="Open Sans"/>
        </w:rPr>
        <w:t>M</w:t>
      </w:r>
      <w:r w:rsidRPr="00FB13B2">
        <w:rPr>
          <w:rFonts w:ascii="Open Sans" w:hAnsi="Open Sans" w:cs="Open Sans"/>
        </w:rPr>
        <w:t xml:space="preserve">embers may have a different </w:t>
      </w:r>
      <w:r w:rsidR="008F4F2D" w:rsidRPr="00FB13B2">
        <w:rPr>
          <w:rFonts w:ascii="Open Sans" w:hAnsi="Open Sans" w:cs="Open Sans"/>
        </w:rPr>
        <w:t>view</w:t>
      </w:r>
      <w:r w:rsidRPr="00FB13B2">
        <w:rPr>
          <w:rFonts w:ascii="Open Sans" w:hAnsi="Open Sans" w:cs="Open Sans"/>
        </w:rPr>
        <w:t xml:space="preserve"> and </w:t>
      </w:r>
      <w:r w:rsidR="008F4F2D" w:rsidRPr="00FB13B2">
        <w:rPr>
          <w:rFonts w:ascii="Open Sans" w:hAnsi="Open Sans" w:cs="Open Sans"/>
        </w:rPr>
        <w:t>request</w:t>
      </w:r>
      <w:r w:rsidRPr="00FB13B2">
        <w:rPr>
          <w:rFonts w:ascii="Open Sans" w:hAnsi="Open Sans" w:cs="Open Sans"/>
        </w:rPr>
        <w:t xml:space="preserve"> further consideration and guidance from ESMA to generate a consistent </w:t>
      </w:r>
      <w:r w:rsidR="008F4F2D" w:rsidRPr="00FB13B2">
        <w:rPr>
          <w:rFonts w:ascii="Open Sans" w:hAnsi="Open Sans" w:cs="Open Sans"/>
        </w:rPr>
        <w:t xml:space="preserve">industry-wide </w:t>
      </w:r>
      <w:r w:rsidRPr="00FB13B2">
        <w:rPr>
          <w:rFonts w:ascii="Open Sans" w:hAnsi="Open Sans" w:cs="Open Sans"/>
        </w:rPr>
        <w:t>view on what constitutes the</w:t>
      </w:r>
      <w:r w:rsidR="00CA03FC" w:rsidRPr="00FB13B2">
        <w:rPr>
          <w:rFonts w:ascii="Open Sans" w:hAnsi="Open Sans" w:cs="Open Sans"/>
        </w:rPr>
        <w:t xml:space="preserve"> reportable</w:t>
      </w:r>
      <w:r w:rsidRPr="00FB13B2">
        <w:rPr>
          <w:rFonts w:ascii="Open Sans" w:hAnsi="Open Sans" w:cs="Open Sans"/>
        </w:rPr>
        <w:t xml:space="preserve"> position </w:t>
      </w:r>
      <w:r w:rsidR="00CA03FC" w:rsidRPr="00FB13B2">
        <w:rPr>
          <w:rFonts w:ascii="Open Sans" w:hAnsi="Open Sans" w:cs="Open Sans"/>
        </w:rPr>
        <w:t xml:space="preserve">vis-à-vis </w:t>
      </w:r>
      <w:r w:rsidRPr="00FB13B2">
        <w:rPr>
          <w:rFonts w:ascii="Open Sans" w:hAnsi="Open Sans" w:cs="Open Sans"/>
        </w:rPr>
        <w:t xml:space="preserve">the </w:t>
      </w:r>
      <w:r w:rsidR="00CA03FC" w:rsidRPr="00FB13B2">
        <w:rPr>
          <w:rFonts w:ascii="Open Sans" w:hAnsi="Open Sans" w:cs="Open Sans"/>
        </w:rPr>
        <w:t>C</w:t>
      </w:r>
      <w:r w:rsidRPr="00FB13B2">
        <w:rPr>
          <w:rFonts w:ascii="Open Sans" w:hAnsi="Open Sans" w:cs="Open Sans"/>
        </w:rPr>
        <w:t xml:space="preserve">learing </w:t>
      </w:r>
      <w:r w:rsidR="00CA03FC" w:rsidRPr="00FB13B2">
        <w:rPr>
          <w:rFonts w:ascii="Open Sans" w:hAnsi="Open Sans" w:cs="Open Sans"/>
        </w:rPr>
        <w:t>M</w:t>
      </w:r>
      <w:r w:rsidRPr="00FB13B2">
        <w:rPr>
          <w:rFonts w:ascii="Open Sans" w:hAnsi="Open Sans" w:cs="Open Sans"/>
        </w:rPr>
        <w:t xml:space="preserve">ember. </w:t>
      </w:r>
    </w:p>
    <w:p w14:paraId="7B19E9BA" w14:textId="77777777" w:rsidR="003B2CA9" w:rsidRPr="00FB13B2" w:rsidRDefault="003B2CA9" w:rsidP="00EB123C">
      <w:pPr>
        <w:ind w:right="56"/>
        <w:jc w:val="both"/>
        <w:rPr>
          <w:rFonts w:ascii="Open Sans" w:hAnsi="Open Sans" w:cs="Open Sans"/>
        </w:rPr>
      </w:pPr>
    </w:p>
    <w:p w14:paraId="7801204D" w14:textId="73786811" w:rsidR="0077166E" w:rsidRPr="00FB13B2" w:rsidRDefault="00454173" w:rsidP="00EB123C">
      <w:pPr>
        <w:ind w:right="56"/>
        <w:jc w:val="both"/>
        <w:rPr>
          <w:rFonts w:ascii="Open Sans" w:hAnsi="Open Sans" w:cs="Open Sans"/>
        </w:rPr>
      </w:pPr>
      <w:r w:rsidRPr="00FB13B2">
        <w:rPr>
          <w:rFonts w:ascii="Open Sans" w:hAnsi="Open Sans" w:cs="Open Sans"/>
        </w:rPr>
        <w:t xml:space="preserve">For example, </w:t>
      </w:r>
      <w:r w:rsidR="00CA03FC" w:rsidRPr="00FB13B2">
        <w:rPr>
          <w:rFonts w:ascii="Open Sans" w:hAnsi="Open Sans" w:cs="Open Sans"/>
        </w:rPr>
        <w:t xml:space="preserve">while </w:t>
      </w:r>
      <w:r w:rsidRPr="00FB13B2">
        <w:rPr>
          <w:rFonts w:ascii="Open Sans" w:hAnsi="Open Sans" w:cs="Open Sans"/>
        </w:rPr>
        <w:t xml:space="preserve">a CCP </w:t>
      </w:r>
      <w:r w:rsidR="00CA03FC" w:rsidRPr="00FB13B2">
        <w:rPr>
          <w:rFonts w:ascii="Open Sans" w:hAnsi="Open Sans" w:cs="Open Sans"/>
        </w:rPr>
        <w:t xml:space="preserve">may </w:t>
      </w:r>
      <w:r w:rsidRPr="00FB13B2">
        <w:rPr>
          <w:rFonts w:ascii="Open Sans" w:hAnsi="Open Sans" w:cs="Open Sans"/>
        </w:rPr>
        <w:t xml:space="preserve">report a position at account level, a clearing firm may report positions at </w:t>
      </w:r>
      <w:r w:rsidR="003B2CA9" w:rsidRPr="00FB13B2">
        <w:rPr>
          <w:rFonts w:ascii="Open Sans" w:hAnsi="Open Sans" w:cs="Open Sans"/>
        </w:rPr>
        <w:t xml:space="preserve">Treasury </w:t>
      </w:r>
      <w:r w:rsidRPr="00FB13B2">
        <w:rPr>
          <w:rFonts w:ascii="Open Sans" w:hAnsi="Open Sans" w:cs="Open Sans"/>
        </w:rPr>
        <w:t>desk level. A firm may have</w:t>
      </w:r>
      <w:r w:rsidR="0077166E" w:rsidRPr="00FB13B2">
        <w:rPr>
          <w:rFonts w:ascii="Open Sans" w:hAnsi="Open Sans" w:cs="Open Sans"/>
        </w:rPr>
        <w:t xml:space="preserve"> several</w:t>
      </w:r>
      <w:r w:rsidRPr="00FB13B2">
        <w:rPr>
          <w:rFonts w:ascii="Open Sans" w:hAnsi="Open Sans" w:cs="Open Sans"/>
        </w:rPr>
        <w:t xml:space="preserve"> desks</w:t>
      </w:r>
      <w:r w:rsidR="00F63BC2" w:rsidRPr="00FB13B2">
        <w:rPr>
          <w:rFonts w:ascii="Open Sans" w:hAnsi="Open Sans" w:cs="Open Sans"/>
        </w:rPr>
        <w:t xml:space="preserve"> </w:t>
      </w:r>
      <w:r w:rsidRPr="00FB13B2">
        <w:rPr>
          <w:rFonts w:ascii="Open Sans" w:hAnsi="Open Sans" w:cs="Open Sans"/>
        </w:rPr>
        <w:t>hold</w:t>
      </w:r>
      <w:r w:rsidR="003B2CA9" w:rsidRPr="00FB13B2">
        <w:rPr>
          <w:rFonts w:ascii="Open Sans" w:hAnsi="Open Sans" w:cs="Open Sans"/>
        </w:rPr>
        <w:t>ing</w:t>
      </w:r>
      <w:r w:rsidRPr="00FB13B2">
        <w:rPr>
          <w:rFonts w:ascii="Open Sans" w:hAnsi="Open Sans" w:cs="Open Sans"/>
        </w:rPr>
        <w:t xml:space="preserve"> positions </w:t>
      </w:r>
      <w:r w:rsidR="0077166E" w:rsidRPr="00FB13B2">
        <w:rPr>
          <w:rFonts w:ascii="Open Sans" w:hAnsi="Open Sans" w:cs="Open Sans"/>
        </w:rPr>
        <w:t xml:space="preserve">in </w:t>
      </w:r>
      <w:r w:rsidRPr="00FB13B2">
        <w:rPr>
          <w:rFonts w:ascii="Open Sans" w:hAnsi="Open Sans" w:cs="Open Sans"/>
        </w:rPr>
        <w:t>a house account (</w:t>
      </w:r>
      <w:r w:rsidR="0012538D" w:rsidRPr="00FB13B2">
        <w:rPr>
          <w:rFonts w:ascii="Open Sans" w:hAnsi="Open Sans" w:cs="Open Sans"/>
        </w:rPr>
        <w:t>i.e.,</w:t>
      </w:r>
      <w:r w:rsidRPr="00FB13B2">
        <w:rPr>
          <w:rFonts w:ascii="Open Sans" w:hAnsi="Open Sans" w:cs="Open Sans"/>
        </w:rPr>
        <w:t xml:space="preserve"> 5 different portfolios). </w:t>
      </w:r>
    </w:p>
    <w:p w14:paraId="041B9C30" w14:textId="77777777" w:rsidR="0077166E" w:rsidRPr="00FB13B2" w:rsidRDefault="0077166E" w:rsidP="00EB123C">
      <w:pPr>
        <w:ind w:right="56"/>
        <w:jc w:val="both"/>
        <w:rPr>
          <w:rFonts w:ascii="Open Sans" w:hAnsi="Open Sans" w:cs="Open Sans"/>
        </w:rPr>
      </w:pPr>
    </w:p>
    <w:p w14:paraId="5FE96D7F" w14:textId="730394CF" w:rsidR="0077166E" w:rsidRPr="00FB13B2" w:rsidRDefault="00454173" w:rsidP="00EB123C">
      <w:pPr>
        <w:ind w:right="56"/>
        <w:jc w:val="both"/>
        <w:rPr>
          <w:rFonts w:ascii="Open Sans" w:hAnsi="Open Sans" w:cs="Open Sans"/>
          <w:szCs w:val="20"/>
        </w:rPr>
      </w:pPr>
      <w:r w:rsidRPr="00FB13B2">
        <w:rPr>
          <w:rFonts w:ascii="Open Sans" w:hAnsi="Open Sans" w:cs="Open Sans"/>
        </w:rPr>
        <w:t>From this point of view, to ensure successful position level pairing and matching</w:t>
      </w:r>
      <w:r w:rsidR="0077166E" w:rsidRPr="00FB13B2">
        <w:rPr>
          <w:rFonts w:ascii="Open Sans" w:hAnsi="Open Sans" w:cs="Open Sans"/>
        </w:rPr>
        <w:t>,</w:t>
      </w:r>
      <w:r w:rsidRPr="00FB13B2">
        <w:rPr>
          <w:rFonts w:ascii="Open Sans" w:hAnsi="Open Sans" w:cs="Open Sans"/>
        </w:rPr>
        <w:t xml:space="preserve"> guidance on the level of position aggregation across CMs and CCPs would be much appreciated</w:t>
      </w:r>
      <w:r w:rsidR="003C1716" w:rsidRPr="00FB13B2">
        <w:rPr>
          <w:rFonts w:ascii="Open Sans" w:hAnsi="Open Sans" w:cs="Open Sans"/>
        </w:rPr>
        <w:t>.</w:t>
      </w:r>
    </w:p>
    <w:permEnd w:id="1383475364"/>
    <w:p w14:paraId="551D5528" w14:textId="09B78156"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47E50582" w14:textId="29B4DDD7" w:rsidR="008B7CEA" w:rsidRPr="00C1707B" w:rsidRDefault="0077166E" w:rsidP="00C1707B">
      <w:pPr>
        <w:ind w:right="56"/>
        <w:jc w:val="both"/>
        <w:rPr>
          <w:rFonts w:ascii="Open Sans" w:hAnsi="Open Sans" w:cs="Open Sans"/>
        </w:rPr>
      </w:pPr>
      <w:permStart w:id="739080107" w:edGrp="everyone"/>
      <w:r w:rsidRPr="00C1707B">
        <w:rPr>
          <w:rFonts w:ascii="Open Sans" w:hAnsi="Open Sans" w:cs="Open Sans"/>
        </w:rPr>
        <w:t xml:space="preserve">BME Clearing </w:t>
      </w:r>
      <w:r w:rsidR="008C2978" w:rsidRPr="00C1707B">
        <w:rPr>
          <w:rFonts w:ascii="Open Sans" w:hAnsi="Open Sans" w:cs="Open Sans"/>
        </w:rPr>
        <w:t xml:space="preserve">provides a Third Party reporting service whereby Members may delegate either the reporting of the trades which the Clearing Members must report with respect to trades of Clearing Members against the CCP and we also offer the reporting of trades which the Members must report with respect to trades of Members against their clients, </w:t>
      </w:r>
      <w:r w:rsidR="008B7CEA" w:rsidRPr="00C1707B">
        <w:rPr>
          <w:rFonts w:ascii="Open Sans" w:hAnsi="Open Sans" w:cs="Open Sans"/>
        </w:rPr>
        <w:t>and we have faced many times difficulties with not renewed LEIs in the case of NFCs.</w:t>
      </w:r>
    </w:p>
    <w:p w14:paraId="38112491" w14:textId="77777777" w:rsidR="008B7CEA" w:rsidRPr="00C1707B" w:rsidRDefault="008B7CEA" w:rsidP="00C1707B">
      <w:pPr>
        <w:ind w:right="56"/>
        <w:jc w:val="both"/>
        <w:rPr>
          <w:rFonts w:ascii="Open Sans" w:hAnsi="Open Sans" w:cs="Open Sans"/>
        </w:rPr>
      </w:pPr>
    </w:p>
    <w:p w14:paraId="04B4AE70" w14:textId="41095990" w:rsidR="008B7CEA" w:rsidRPr="00C1707B" w:rsidRDefault="008B7CEA" w:rsidP="00C1707B">
      <w:pPr>
        <w:ind w:right="56"/>
        <w:jc w:val="both"/>
        <w:rPr>
          <w:rFonts w:ascii="Open Sans" w:hAnsi="Open Sans" w:cs="Open Sans"/>
        </w:rPr>
      </w:pPr>
      <w:r w:rsidRPr="00C1707B">
        <w:rPr>
          <w:rFonts w:ascii="Open Sans" w:hAnsi="Open Sans" w:cs="Open Sans"/>
        </w:rPr>
        <w:t xml:space="preserve">There are many minor NFCs that have the obligation to report. These NFCs need to have a LEI and they need to renew its LEI yearly. It is relatively common that this type of companies </w:t>
      </w:r>
      <w:r w:rsidR="00273537" w:rsidRPr="00C1707B">
        <w:rPr>
          <w:rFonts w:ascii="Open Sans" w:hAnsi="Open Sans" w:cs="Open Sans"/>
        </w:rPr>
        <w:t>does</w:t>
      </w:r>
      <w:r w:rsidRPr="00C1707B">
        <w:rPr>
          <w:rFonts w:ascii="Open Sans" w:hAnsi="Open Sans" w:cs="Open Sans"/>
        </w:rPr>
        <w:t xml:space="preserve"> not renew </w:t>
      </w:r>
      <w:r w:rsidRPr="00C1707B">
        <w:rPr>
          <w:rFonts w:ascii="Open Sans" w:hAnsi="Open Sans" w:cs="Open Sans"/>
        </w:rPr>
        <w:lastRenderedPageBreak/>
        <w:t>their LEIs in due time and therefore, its reporting is stopped for 5 to 10 days (this is the time it takes to renew the LEI in Spain).</w:t>
      </w:r>
    </w:p>
    <w:p w14:paraId="2294B769" w14:textId="77777777" w:rsidR="008B7CEA" w:rsidRPr="00C1707B" w:rsidRDefault="008B7CEA" w:rsidP="00C1707B">
      <w:pPr>
        <w:ind w:right="56"/>
        <w:jc w:val="both"/>
        <w:rPr>
          <w:rFonts w:ascii="Open Sans" w:hAnsi="Open Sans" w:cs="Open Sans"/>
        </w:rPr>
      </w:pPr>
    </w:p>
    <w:p w14:paraId="310FAED0" w14:textId="2E96175F" w:rsidR="00BA74AA" w:rsidRPr="00C1707B" w:rsidRDefault="008B7CEA" w:rsidP="00C1707B">
      <w:pPr>
        <w:ind w:right="56"/>
        <w:jc w:val="both"/>
        <w:rPr>
          <w:rFonts w:ascii="Open Sans" w:hAnsi="Open Sans" w:cs="Open Sans"/>
        </w:rPr>
      </w:pPr>
      <w:r w:rsidRPr="00C1707B">
        <w:rPr>
          <w:rFonts w:ascii="Open Sans" w:hAnsi="Open Sans" w:cs="Open Sans"/>
        </w:rPr>
        <w:t>In our opinion, the LEIs for NFCs (especially for the small ones) should be renewed for 3 to 5 years. This would alleviate this issue.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55C81A15" w14:textId="44D1A32F" w:rsidR="000557F6" w:rsidRDefault="000557F6" w:rsidP="00C1707B">
      <w:pPr>
        <w:ind w:right="56"/>
        <w:jc w:val="both"/>
        <w:rPr>
          <w:rFonts w:ascii="Open Sans" w:hAnsi="Open Sans" w:cs="Open Sans"/>
        </w:rPr>
      </w:pPr>
      <w:permStart w:id="1829988511" w:edGrp="everyone"/>
      <w:r w:rsidRPr="00C1707B">
        <w:rPr>
          <w:rFonts w:ascii="Open Sans" w:hAnsi="Open Sans" w:cs="Open Sans"/>
        </w:rPr>
        <w:t xml:space="preserve">In relation to paragraph 246, we would like ESMA to specify the "CFI Dummy" </w:t>
      </w:r>
      <w:proofErr w:type="gramStart"/>
      <w:r w:rsidRPr="00C1707B">
        <w:rPr>
          <w:rFonts w:ascii="Open Sans" w:hAnsi="Open Sans" w:cs="Open Sans"/>
        </w:rPr>
        <w:t>that counterparties</w:t>
      </w:r>
      <w:proofErr w:type="gramEnd"/>
      <w:r w:rsidRPr="00C1707B">
        <w:rPr>
          <w:rFonts w:ascii="Open Sans" w:hAnsi="Open Sans" w:cs="Open Sans"/>
        </w:rPr>
        <w:t xml:space="preserve"> have to use when the CFI code does not exist in official sources. </w:t>
      </w:r>
    </w:p>
    <w:p w14:paraId="396E25C9" w14:textId="77777777" w:rsidR="00C1707B" w:rsidRPr="00C1707B" w:rsidRDefault="00C1707B" w:rsidP="00C1707B">
      <w:pPr>
        <w:ind w:right="56"/>
        <w:jc w:val="both"/>
        <w:rPr>
          <w:rFonts w:ascii="Open Sans" w:hAnsi="Open Sans" w:cs="Open Sans"/>
        </w:rPr>
      </w:pPr>
    </w:p>
    <w:p w14:paraId="48B26BB1" w14:textId="4D195196" w:rsidR="000557F6" w:rsidRPr="00C1707B" w:rsidRDefault="000557F6" w:rsidP="00C1707B">
      <w:pPr>
        <w:ind w:right="56"/>
        <w:jc w:val="both"/>
        <w:rPr>
          <w:rFonts w:ascii="Open Sans" w:hAnsi="Open Sans" w:cs="Open Sans"/>
        </w:rPr>
      </w:pPr>
      <w:r w:rsidRPr="00FB13B2">
        <w:rPr>
          <w:rFonts w:ascii="Open Sans" w:hAnsi="Open Sans" w:cs="Open Sans"/>
        </w:rPr>
        <w:t>If regulated through an RTS or through validation rules</w:t>
      </w:r>
      <w:r w:rsidR="00FC2690" w:rsidRPr="00FB13B2">
        <w:rPr>
          <w:rFonts w:ascii="Open Sans" w:hAnsi="Open Sans" w:cs="Open Sans"/>
        </w:rPr>
        <w:t xml:space="preserve"> rather than bilaterally agreed by the counterparties </w:t>
      </w:r>
      <w:r w:rsidRPr="00FB13B2">
        <w:rPr>
          <w:rFonts w:ascii="Open Sans" w:hAnsi="Open Sans" w:cs="Open Sans"/>
        </w:rPr>
        <w:t xml:space="preserve">, we believe that </w:t>
      </w:r>
      <w:r w:rsidRPr="00C1707B">
        <w:rPr>
          <w:rFonts w:ascii="Open Sans" w:hAnsi="Open Sans" w:cs="Open Sans"/>
        </w:rPr>
        <w:t xml:space="preserve">reconciliation breaks in this field will be significantly reduced. </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7CA6A95C" w14:textId="002E3C73" w:rsidR="00B2258D" w:rsidRPr="00FB13B2" w:rsidRDefault="00023FCB" w:rsidP="00023FCB">
      <w:pPr>
        <w:jc w:val="both"/>
        <w:rPr>
          <w:rFonts w:ascii="Open Sans" w:hAnsi="Open Sans" w:cs="Open Sans"/>
          <w:noProof/>
        </w:rPr>
      </w:pPr>
      <w:bookmarkStart w:id="3" w:name="_Hlk83436772"/>
      <w:permStart w:id="1935019154" w:edGrp="everyone"/>
      <w:r w:rsidRPr="00FB13B2">
        <w:rPr>
          <w:rFonts w:ascii="Open Sans" w:hAnsi="Open Sans" w:cs="Open Sans"/>
          <w:noProof/>
        </w:rPr>
        <w:t>Whe</w:t>
      </w:r>
      <w:r w:rsidR="00B2258D" w:rsidRPr="00FB13B2">
        <w:rPr>
          <w:rFonts w:ascii="Open Sans" w:hAnsi="Open Sans" w:cs="Open Sans"/>
          <w:noProof/>
        </w:rPr>
        <w:t>re</w:t>
      </w:r>
      <w:r w:rsidRPr="00FB13B2">
        <w:rPr>
          <w:rFonts w:ascii="Open Sans" w:hAnsi="Open Sans" w:cs="Open Sans"/>
          <w:noProof/>
        </w:rPr>
        <w:t xml:space="preserve"> the underlying of the derivative </w:t>
      </w:r>
      <w:r w:rsidR="00B2258D" w:rsidRPr="00FB13B2">
        <w:rPr>
          <w:rFonts w:ascii="Open Sans" w:hAnsi="Open Sans" w:cs="Open Sans"/>
          <w:noProof/>
        </w:rPr>
        <w:t xml:space="preserve">is an index, we need clarification on </w:t>
      </w:r>
      <w:r w:rsidRPr="00FB13B2">
        <w:rPr>
          <w:rFonts w:ascii="Open Sans" w:hAnsi="Open Sans" w:cs="Open Sans"/>
          <w:noProof/>
        </w:rPr>
        <w:t xml:space="preserve">the purpose of reporting the </w:t>
      </w:r>
      <w:r w:rsidR="00B2258D" w:rsidRPr="00FB13B2">
        <w:rPr>
          <w:rFonts w:ascii="Open Sans" w:hAnsi="Open Sans" w:cs="Open Sans"/>
          <w:noProof/>
        </w:rPr>
        <w:t>name of the underlying index assigned by the index provider, where the ISIN code is available.</w:t>
      </w:r>
    </w:p>
    <w:p w14:paraId="420DA354" w14:textId="2CAE9C74" w:rsidR="00B2258D" w:rsidRPr="00FB13B2" w:rsidRDefault="00B2258D" w:rsidP="00023FCB">
      <w:pPr>
        <w:jc w:val="both"/>
        <w:rPr>
          <w:rFonts w:ascii="Open Sans" w:hAnsi="Open Sans" w:cs="Open Sans"/>
          <w:noProof/>
        </w:rPr>
      </w:pPr>
    </w:p>
    <w:p w14:paraId="41B4D699" w14:textId="3B32859B" w:rsidR="00B2258D" w:rsidRPr="00FB13B2" w:rsidRDefault="00B2258D" w:rsidP="00023FCB">
      <w:pPr>
        <w:jc w:val="both"/>
        <w:rPr>
          <w:rFonts w:ascii="Open Sans" w:hAnsi="Open Sans" w:cs="Open Sans"/>
          <w:noProof/>
        </w:rPr>
      </w:pPr>
      <w:r w:rsidRPr="00FB13B2">
        <w:rPr>
          <w:rFonts w:ascii="Open Sans" w:hAnsi="Open Sans" w:cs="Open Sans"/>
          <w:noProof/>
        </w:rPr>
        <w:t>Again, we believe that will only lead to increased reconciliation breaks and the infrmation provided is redundant</w:t>
      </w:r>
      <w:r w:rsidR="00FB13B2">
        <w:rPr>
          <w:rFonts w:ascii="Open Sans" w:hAnsi="Open Sans" w:cs="Open Sans"/>
          <w:noProof/>
        </w:rPr>
        <w:t>.</w:t>
      </w:r>
    </w:p>
    <w:bookmarkEnd w:id="3"/>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lastRenderedPageBreak/>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7DBD5D89" w14:textId="77777777" w:rsidR="00B2258D" w:rsidRPr="00FB13B2" w:rsidRDefault="00B2258D" w:rsidP="004F7B49">
      <w:pPr>
        <w:rPr>
          <w:rFonts w:ascii="Open Sans" w:hAnsi="Open Sans" w:cs="Open Sans"/>
        </w:rPr>
      </w:pPr>
      <w:permStart w:id="465711427" w:edGrp="everyone"/>
      <w:r w:rsidRPr="00FB13B2">
        <w:rPr>
          <w:rFonts w:ascii="Open Sans" w:hAnsi="Open Sans" w:cs="Open Sans"/>
        </w:rPr>
        <w:t>We fully endorse this response from EACH on behalf of the CCPs.</w:t>
      </w:r>
    </w:p>
    <w:permEnd w:id="465711427"/>
    <w:p w14:paraId="00C40B4D" w14:textId="2A9A550B"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332D2F0C" w14:textId="7DD80BBB" w:rsidR="00AB4AB8" w:rsidRPr="00FB13B2" w:rsidRDefault="00AB4AB8" w:rsidP="00C1707B">
      <w:pPr>
        <w:ind w:right="56"/>
        <w:jc w:val="both"/>
        <w:rPr>
          <w:rFonts w:ascii="Open Sans" w:hAnsi="Open Sans" w:cs="Open Sans"/>
        </w:rPr>
      </w:pPr>
      <w:permStart w:id="1506410867" w:edGrp="everyone"/>
      <w:r w:rsidRPr="00FB13B2">
        <w:rPr>
          <w:rFonts w:ascii="Open Sans" w:hAnsi="Open Sans" w:cs="Open Sans"/>
        </w:rPr>
        <w:t xml:space="preserve">We do not understand the need to report the IM/VM Posted/Received fields with a value pre and post haircut. </w:t>
      </w:r>
    </w:p>
    <w:p w14:paraId="3526C2FF" w14:textId="77777777" w:rsidR="00AB4AB8" w:rsidRPr="00FB13B2" w:rsidRDefault="00AB4AB8" w:rsidP="00C1707B">
      <w:pPr>
        <w:ind w:right="56"/>
        <w:jc w:val="both"/>
        <w:rPr>
          <w:rFonts w:ascii="Open Sans" w:hAnsi="Open Sans" w:cs="Open Sans"/>
        </w:rPr>
      </w:pPr>
    </w:p>
    <w:p w14:paraId="203D87F3" w14:textId="730B1C8D" w:rsidR="00AB4AB8" w:rsidRPr="00FB13B2" w:rsidRDefault="00AB4AB8" w:rsidP="00C1707B">
      <w:pPr>
        <w:ind w:right="56"/>
        <w:jc w:val="both"/>
        <w:rPr>
          <w:rFonts w:ascii="Open Sans" w:hAnsi="Open Sans" w:cs="Open Sans"/>
        </w:rPr>
      </w:pPr>
      <w:r w:rsidRPr="00FB13B2">
        <w:rPr>
          <w:rFonts w:ascii="Open Sans" w:hAnsi="Open Sans" w:cs="Open Sans"/>
        </w:rPr>
        <w:t>In our view, it does not add significant value</w:t>
      </w:r>
      <w:r w:rsidRPr="00FB13B2">
        <w:rPr>
          <w:rFonts w:ascii="Open Sans" w:hAnsi="Open Sans" w:cs="Open Sans"/>
          <w:vertAlign w:val="superscript"/>
        </w:rPr>
        <w:footnoteReference w:id="2"/>
      </w:r>
      <w:r w:rsidRPr="00FB13B2">
        <w:rPr>
          <w:rFonts w:ascii="Open Sans" w:hAnsi="Open Sans" w:cs="Open Sans"/>
          <w:vertAlign w:val="superscript"/>
        </w:rPr>
        <w:t xml:space="preserve"> </w:t>
      </w:r>
      <w:r w:rsidRPr="00FB13B2">
        <w:rPr>
          <w:rFonts w:ascii="Open Sans" w:hAnsi="Open Sans" w:cs="Open Sans"/>
        </w:rPr>
        <w:t>to the report but increases the complexity of the EMIR REFIT reporting, taking into consideration the complexity already existing in the current EMIR reporting.</w:t>
      </w:r>
    </w:p>
    <w:p w14:paraId="0C53311B" w14:textId="41110D56" w:rsidR="00313AB2" w:rsidRPr="00FB13B2" w:rsidRDefault="00313AB2" w:rsidP="00AB4AB8">
      <w:pPr>
        <w:rPr>
          <w:rFonts w:ascii="Open Sans" w:hAnsi="Open Sans" w:cs="Open Sans"/>
          <w:szCs w:val="20"/>
        </w:rPr>
      </w:pPr>
    </w:p>
    <w:p w14:paraId="579C1A68" w14:textId="13AAA36B" w:rsidR="00597139" w:rsidRPr="00FB13B2" w:rsidRDefault="00597139" w:rsidP="00597139">
      <w:pPr>
        <w:ind w:right="56"/>
        <w:jc w:val="both"/>
        <w:rPr>
          <w:rFonts w:ascii="Open Sans" w:hAnsi="Open Sans" w:cs="Open Sans"/>
        </w:rPr>
      </w:pPr>
      <w:r w:rsidRPr="00FB13B2">
        <w:rPr>
          <w:rFonts w:ascii="Open Sans" w:hAnsi="Open Sans" w:cs="Open Sans"/>
        </w:rPr>
        <w:t xml:space="preserve">Also, </w:t>
      </w:r>
      <w:r w:rsidR="00F92BF5" w:rsidRPr="00FB13B2">
        <w:rPr>
          <w:rFonts w:ascii="Open Sans" w:hAnsi="Open Sans" w:cs="Open Sans"/>
        </w:rPr>
        <w:t>a</w:t>
      </w:r>
      <w:r w:rsidRPr="00FB13B2">
        <w:rPr>
          <w:rFonts w:ascii="Open Sans" w:hAnsi="Open Sans" w:cs="Open Sans"/>
        </w:rPr>
        <w:t xml:space="preserve">lthough </w:t>
      </w:r>
      <w:r w:rsidR="00F92BF5" w:rsidRPr="00FB13B2">
        <w:rPr>
          <w:rFonts w:ascii="Open Sans" w:hAnsi="Open Sans" w:cs="Open Sans"/>
        </w:rPr>
        <w:t xml:space="preserve">this is </w:t>
      </w:r>
      <w:r w:rsidRPr="00FB13B2">
        <w:rPr>
          <w:rFonts w:ascii="Open Sans" w:hAnsi="Open Sans" w:cs="Open Sans"/>
        </w:rPr>
        <w:t>not an amendment to EMIR</w:t>
      </w:r>
      <w:r w:rsidR="00F92BF5" w:rsidRPr="00FB13B2">
        <w:rPr>
          <w:rFonts w:ascii="Open Sans" w:hAnsi="Open Sans" w:cs="Open Sans"/>
        </w:rPr>
        <w:t>’s current</w:t>
      </w:r>
      <w:r w:rsidRPr="00FB13B2">
        <w:rPr>
          <w:rFonts w:ascii="Open Sans" w:hAnsi="Open Sans" w:cs="Open Sans"/>
        </w:rPr>
        <w:t xml:space="preserve"> reporting, we would like to know </w:t>
      </w:r>
      <w:r w:rsidR="00F92BF5" w:rsidRPr="00FB13B2">
        <w:rPr>
          <w:rFonts w:ascii="Open Sans" w:hAnsi="Open Sans" w:cs="Open Sans"/>
        </w:rPr>
        <w:t xml:space="preserve">what </w:t>
      </w:r>
      <w:proofErr w:type="gramStart"/>
      <w:r w:rsidR="00273537" w:rsidRPr="00FB13B2">
        <w:rPr>
          <w:rFonts w:ascii="Open Sans" w:hAnsi="Open Sans" w:cs="Open Sans"/>
        </w:rPr>
        <w:t>is t</w:t>
      </w:r>
      <w:r w:rsidRPr="00FB13B2">
        <w:rPr>
          <w:rFonts w:ascii="Open Sans" w:hAnsi="Open Sans" w:cs="Open Sans"/>
        </w:rPr>
        <w:t>he purpose</w:t>
      </w:r>
      <w:proofErr w:type="gramEnd"/>
      <w:r w:rsidRPr="00FB13B2">
        <w:rPr>
          <w:rFonts w:ascii="Open Sans" w:hAnsi="Open Sans" w:cs="Open Sans"/>
        </w:rPr>
        <w:t xml:space="preserve"> </w:t>
      </w:r>
      <w:r w:rsidR="00273537" w:rsidRPr="00FB13B2">
        <w:rPr>
          <w:rFonts w:ascii="Open Sans" w:hAnsi="Open Sans" w:cs="Open Sans"/>
        </w:rPr>
        <w:t xml:space="preserve">of </w:t>
      </w:r>
      <w:r w:rsidRPr="00FB13B2">
        <w:rPr>
          <w:rFonts w:ascii="Open Sans" w:hAnsi="Open Sans" w:cs="Open Sans"/>
        </w:rPr>
        <w:t>reporting the total value of margins in those products where Variation Margin is cash-settled on a daily basis</w:t>
      </w:r>
      <w:r w:rsidR="00F92BF5" w:rsidRPr="00FB13B2">
        <w:rPr>
          <w:rFonts w:ascii="Open Sans" w:hAnsi="Open Sans" w:cs="Open Sans"/>
        </w:rPr>
        <w:t xml:space="preserve">, as stated in </w:t>
      </w:r>
      <w:r w:rsidRPr="00FB13B2">
        <w:rPr>
          <w:rFonts w:ascii="Open Sans" w:hAnsi="Open Sans" w:cs="Open Sans"/>
        </w:rPr>
        <w:t xml:space="preserve">paragraph 299 and </w:t>
      </w:r>
      <w:r w:rsidR="00F92BF5" w:rsidRPr="00FB13B2">
        <w:rPr>
          <w:rFonts w:ascii="Open Sans" w:hAnsi="Open Sans" w:cs="Open Sans"/>
        </w:rPr>
        <w:t xml:space="preserve">explained </w:t>
      </w:r>
      <w:r w:rsidRPr="00FB13B2">
        <w:rPr>
          <w:rFonts w:ascii="Open Sans" w:hAnsi="Open Sans" w:cs="Open Sans"/>
        </w:rPr>
        <w:t>in Table 18 on page 82 of the Gu</w:t>
      </w:r>
      <w:r w:rsidR="00F92BF5" w:rsidRPr="00FB13B2">
        <w:rPr>
          <w:rFonts w:ascii="Open Sans" w:hAnsi="Open Sans" w:cs="Open Sans"/>
        </w:rPr>
        <w:t>i</w:t>
      </w:r>
      <w:r w:rsidRPr="00FB13B2">
        <w:rPr>
          <w:rFonts w:ascii="Open Sans" w:hAnsi="Open Sans" w:cs="Open Sans"/>
        </w:rPr>
        <w:t>delines.</w:t>
      </w:r>
    </w:p>
    <w:p w14:paraId="1AADDD34" w14:textId="77777777" w:rsidR="00597139" w:rsidRPr="00F92BF5" w:rsidRDefault="00597139" w:rsidP="00597139">
      <w:pPr>
        <w:ind w:right="56"/>
        <w:jc w:val="both"/>
        <w:rPr>
          <w:rFonts w:ascii="Open Sans" w:hAnsi="Open Sans" w:cs="Open Sans"/>
          <w:color w:val="C00000"/>
        </w:rPr>
      </w:pPr>
    </w:p>
    <w:p w14:paraId="108A069F" w14:textId="6A8B7B9E" w:rsidR="00597139" w:rsidRPr="00F92BF5" w:rsidRDefault="00597139" w:rsidP="00597139">
      <w:pPr>
        <w:ind w:right="56"/>
        <w:jc w:val="both"/>
        <w:rPr>
          <w:rFonts w:ascii="Open Sans" w:hAnsi="Open Sans" w:cs="Open Sans"/>
          <w:color w:val="C00000"/>
        </w:rPr>
      </w:pPr>
      <w:r w:rsidRPr="00FB13B2">
        <w:rPr>
          <w:rFonts w:ascii="Open Sans" w:hAnsi="Open Sans" w:cs="Open Sans"/>
        </w:rPr>
        <w:lastRenderedPageBreak/>
        <w:t>We believe that including the total value of margins does not represent the real exposure of such derivative</w:t>
      </w:r>
      <w:r w:rsidRPr="00F92BF5">
        <w:rPr>
          <w:rFonts w:ascii="Open Sans" w:hAnsi="Open Sans" w:cs="Open Sans"/>
          <w:color w:val="C00000"/>
        </w:rPr>
        <w:t>.</w:t>
      </w:r>
    </w:p>
    <w:p w14:paraId="1673E021" w14:textId="77777777" w:rsidR="00597139" w:rsidRPr="00C619A3" w:rsidRDefault="00597139" w:rsidP="00597139">
      <w:pPr>
        <w:ind w:right="56"/>
        <w:jc w:val="both"/>
        <w:rPr>
          <w:rFonts w:cs="Arial"/>
          <w:color w:val="4F81BD" w:themeColor="accent1"/>
          <w:szCs w:val="20"/>
        </w:rPr>
      </w:pP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21A70022" w14:textId="77777777" w:rsidR="00A326FF" w:rsidRPr="004F7B49" w:rsidRDefault="00A326FF" w:rsidP="00A326FF">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56AF858E" w14:textId="77777777" w:rsidR="006A1EA8" w:rsidRPr="00FB13B2" w:rsidRDefault="0084427C" w:rsidP="00F92BF5">
      <w:pPr>
        <w:ind w:right="56"/>
        <w:jc w:val="both"/>
        <w:rPr>
          <w:rFonts w:ascii="Open Sans" w:hAnsi="Open Sans" w:cs="Open Sans"/>
        </w:rPr>
      </w:pPr>
      <w:permStart w:id="36243596" w:edGrp="everyone"/>
      <w:r w:rsidRPr="00FB13B2">
        <w:rPr>
          <w:rFonts w:ascii="Open Sans" w:hAnsi="Open Sans" w:cs="Open Sans"/>
        </w:rPr>
        <w:t xml:space="preserve">Our preference is Option 1 because is less tedious than Option 2. </w:t>
      </w:r>
    </w:p>
    <w:p w14:paraId="6BADE020" w14:textId="77777777" w:rsidR="006A1EA8" w:rsidRPr="00FB13B2" w:rsidRDefault="006A1EA8" w:rsidP="00F92BF5">
      <w:pPr>
        <w:ind w:right="56"/>
        <w:jc w:val="both"/>
        <w:rPr>
          <w:rFonts w:ascii="Open Sans" w:hAnsi="Open Sans" w:cs="Open Sans"/>
        </w:rPr>
      </w:pPr>
    </w:p>
    <w:p w14:paraId="2479924E" w14:textId="26A38EE6" w:rsidR="001429E6" w:rsidRPr="00FB13B2" w:rsidRDefault="0084427C" w:rsidP="00F92BF5">
      <w:pPr>
        <w:ind w:right="56"/>
        <w:jc w:val="both"/>
        <w:rPr>
          <w:rFonts w:ascii="Open Sans" w:hAnsi="Open Sans" w:cs="Open Sans"/>
        </w:rPr>
      </w:pPr>
      <w:r w:rsidRPr="00FB13B2">
        <w:rPr>
          <w:rFonts w:ascii="Open Sans" w:hAnsi="Open Sans" w:cs="Open Sans"/>
        </w:rPr>
        <w:t xml:space="preserve">Even this new requirement </w:t>
      </w:r>
      <w:r w:rsidR="00F92BF5" w:rsidRPr="00FB13B2">
        <w:rPr>
          <w:rFonts w:ascii="Open Sans" w:hAnsi="Open Sans" w:cs="Open Sans"/>
        </w:rPr>
        <w:t>made</w:t>
      </w:r>
      <w:r w:rsidRPr="00FB13B2">
        <w:rPr>
          <w:rFonts w:ascii="Open Sans" w:hAnsi="Open Sans" w:cs="Open Sans"/>
        </w:rPr>
        <w:t xml:space="preserve"> by ESMA </w:t>
      </w:r>
      <w:r w:rsidR="00F92BF5" w:rsidRPr="00FB13B2">
        <w:rPr>
          <w:rFonts w:ascii="Open Sans" w:hAnsi="Open Sans" w:cs="Open Sans"/>
        </w:rPr>
        <w:t xml:space="preserve">still </w:t>
      </w:r>
      <w:r w:rsidRPr="00FB13B2">
        <w:rPr>
          <w:rFonts w:ascii="Open Sans" w:hAnsi="Open Sans" w:cs="Open Sans"/>
        </w:rPr>
        <w:t>increas</w:t>
      </w:r>
      <w:r w:rsidR="00F92BF5" w:rsidRPr="00FB13B2">
        <w:rPr>
          <w:rFonts w:ascii="Open Sans" w:hAnsi="Open Sans" w:cs="Open Sans"/>
        </w:rPr>
        <w:t>es</w:t>
      </w:r>
      <w:r w:rsidRPr="00FB13B2">
        <w:rPr>
          <w:rFonts w:ascii="Open Sans" w:hAnsi="Open Sans" w:cs="Open Sans"/>
        </w:rPr>
        <w:t xml:space="preserve"> the burden o</w:t>
      </w:r>
      <w:r w:rsidR="00F92BF5" w:rsidRPr="00FB13B2">
        <w:rPr>
          <w:rFonts w:ascii="Open Sans" w:hAnsi="Open Sans" w:cs="Open Sans"/>
        </w:rPr>
        <w:t>n</w:t>
      </w:r>
      <w:r w:rsidRPr="00FB13B2">
        <w:rPr>
          <w:rFonts w:ascii="Open Sans" w:hAnsi="Open Sans" w:cs="Open Sans"/>
        </w:rPr>
        <w:t xml:space="preserve"> EMIR REFIT</w:t>
      </w:r>
      <w:r w:rsidR="00F92BF5" w:rsidRPr="00FB13B2">
        <w:rPr>
          <w:rFonts w:ascii="Open Sans" w:hAnsi="Open Sans" w:cs="Open Sans"/>
        </w:rPr>
        <w:t>,</w:t>
      </w:r>
      <w:r w:rsidRPr="00FB13B2">
        <w:rPr>
          <w:rFonts w:ascii="Open Sans" w:hAnsi="Open Sans" w:cs="Open Sans"/>
        </w:rPr>
        <w:t xml:space="preserve"> if we had to choose</w:t>
      </w:r>
      <w:r w:rsidR="00F92BF5" w:rsidRPr="00FB13B2">
        <w:rPr>
          <w:rFonts w:ascii="Open Sans" w:hAnsi="Open Sans" w:cs="Open Sans"/>
        </w:rPr>
        <w:t>,</w:t>
      </w:r>
      <w:r w:rsidRPr="00FB13B2">
        <w:rPr>
          <w:rFonts w:ascii="Open Sans" w:hAnsi="Open Sans" w:cs="Open Sans"/>
        </w:rPr>
        <w:t xml:space="preserve"> our choice is Option 1.</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17D8A608" w14:textId="77777777" w:rsidR="009C1E96" w:rsidRPr="00FB13B2" w:rsidRDefault="009C1E96" w:rsidP="009C1E96">
      <w:pPr>
        <w:jc w:val="both"/>
        <w:rPr>
          <w:rFonts w:ascii="Open Sans" w:hAnsi="Open Sans" w:cs="Open Sans"/>
          <w:szCs w:val="20"/>
          <w:lang w:val="en-US"/>
        </w:rPr>
      </w:pPr>
      <w:permStart w:id="1418361629" w:edGrp="everyone"/>
      <w:r w:rsidRPr="00FB13B2">
        <w:rPr>
          <w:rFonts w:ascii="Open Sans" w:hAnsi="Open Sans" w:cs="Open Sans"/>
          <w:szCs w:val="20"/>
          <w:lang w:val="en-US"/>
        </w:rPr>
        <w:t xml:space="preserve">We believe that a quantitative threshold would help to assess the importance of a reporting issue. </w:t>
      </w:r>
    </w:p>
    <w:p w14:paraId="04DA8671" w14:textId="77777777" w:rsidR="009C1E96" w:rsidRPr="00FB13B2" w:rsidRDefault="009C1E96" w:rsidP="009C1E96">
      <w:pPr>
        <w:jc w:val="both"/>
        <w:rPr>
          <w:rFonts w:ascii="Open Sans" w:hAnsi="Open Sans" w:cs="Open Sans"/>
          <w:szCs w:val="20"/>
          <w:lang w:val="en-US"/>
        </w:rPr>
      </w:pPr>
    </w:p>
    <w:p w14:paraId="646C3B3B" w14:textId="6D6633B5" w:rsidR="009C1E96" w:rsidRPr="00FB13B2" w:rsidRDefault="009C1E96" w:rsidP="009C1E96">
      <w:pPr>
        <w:jc w:val="both"/>
        <w:rPr>
          <w:rFonts w:ascii="Open Sans" w:hAnsi="Open Sans" w:cs="Open Sans"/>
          <w:szCs w:val="20"/>
          <w:lang w:val="en-US"/>
        </w:rPr>
      </w:pPr>
      <w:r w:rsidRPr="00FB13B2">
        <w:rPr>
          <w:rFonts w:ascii="Open Sans" w:hAnsi="Open Sans" w:cs="Open Sans"/>
          <w:szCs w:val="20"/>
          <w:lang w:val="en-US"/>
        </w:rPr>
        <w:t xml:space="preserve">The absence of such a threshold, would lead to an increased operational burden for reporting counterparties and hence to an increase in the number of issues to be reported to NCAs.  </w:t>
      </w:r>
    </w:p>
    <w:permEnd w:id="1418361629"/>
    <w:p w14:paraId="038E12A8" w14:textId="08DB6988"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3AEB7AE4" w14:textId="0637A1FF" w:rsidR="00CB5703" w:rsidRPr="00FB13B2" w:rsidRDefault="00204E15" w:rsidP="00CB5703">
      <w:pPr>
        <w:jc w:val="both"/>
        <w:rPr>
          <w:rFonts w:ascii="Open Sans" w:hAnsi="Open Sans" w:cs="Open Sans"/>
          <w:szCs w:val="20"/>
          <w:lang w:val="en-US"/>
        </w:rPr>
      </w:pPr>
      <w:permStart w:id="817460526" w:edGrp="everyone"/>
      <w:r w:rsidRPr="00FB13B2">
        <w:rPr>
          <w:rFonts w:ascii="Open Sans" w:hAnsi="Open Sans" w:cs="Open Sans"/>
          <w:szCs w:val="20"/>
          <w:lang w:val="en-US"/>
        </w:rPr>
        <w:t>We would like to remark that regarding</w:t>
      </w:r>
      <w:r w:rsidR="00CB5703" w:rsidRPr="00FB13B2">
        <w:rPr>
          <w:rFonts w:ascii="Open Sans" w:hAnsi="Open Sans" w:cs="Open Sans"/>
          <w:szCs w:val="20"/>
          <w:lang w:val="en-US"/>
        </w:rPr>
        <w:t xml:space="preserve"> paragraph 364</w:t>
      </w:r>
      <w:r w:rsidRPr="00FB13B2">
        <w:rPr>
          <w:rFonts w:ascii="Open Sans" w:hAnsi="Open Sans" w:cs="Open Sans"/>
          <w:szCs w:val="20"/>
          <w:lang w:val="en-US"/>
        </w:rPr>
        <w:t>.b)</w:t>
      </w:r>
      <w:r w:rsidR="00CB5703" w:rsidRPr="00FB13B2">
        <w:rPr>
          <w:rFonts w:ascii="Open Sans" w:hAnsi="Open Sans" w:cs="Open Sans"/>
          <w:szCs w:val="20"/>
          <w:lang w:val="en-US"/>
        </w:rPr>
        <w:t xml:space="preserve">, </w:t>
      </w:r>
      <w:r w:rsidRPr="00FB13B2">
        <w:rPr>
          <w:rFonts w:ascii="Open Sans" w:hAnsi="Open Sans" w:cs="Open Sans"/>
          <w:szCs w:val="20"/>
          <w:lang w:val="en-US"/>
        </w:rPr>
        <w:t>i</w:t>
      </w:r>
      <w:r w:rsidR="00CB5703" w:rsidRPr="00FB13B2">
        <w:rPr>
          <w:rFonts w:ascii="Open Sans" w:hAnsi="Open Sans" w:cs="Open Sans"/>
          <w:szCs w:val="20"/>
          <w:lang w:val="en-US"/>
        </w:rPr>
        <w:t>n the over 6</w:t>
      </w:r>
      <w:r w:rsidR="00605C44" w:rsidRPr="00FB13B2">
        <w:rPr>
          <w:rFonts w:ascii="Open Sans" w:hAnsi="Open Sans" w:cs="Open Sans"/>
          <w:szCs w:val="20"/>
          <w:lang w:val="en-US"/>
        </w:rPr>
        <w:t>+</w:t>
      </w:r>
      <w:r w:rsidR="00CB5703" w:rsidRPr="00FB13B2">
        <w:rPr>
          <w:rFonts w:ascii="Open Sans" w:hAnsi="Open Sans" w:cs="Open Sans"/>
          <w:szCs w:val="20"/>
          <w:lang w:val="en-US"/>
        </w:rPr>
        <w:t xml:space="preserve"> years of experience </w:t>
      </w:r>
      <w:r w:rsidR="00605C44" w:rsidRPr="00FB13B2">
        <w:rPr>
          <w:rFonts w:ascii="Open Sans" w:hAnsi="Open Sans" w:cs="Open Sans"/>
          <w:szCs w:val="20"/>
          <w:lang w:val="en-US"/>
        </w:rPr>
        <w:t>in</w:t>
      </w:r>
      <w:r w:rsidR="00CB5703" w:rsidRPr="00FB13B2">
        <w:rPr>
          <w:rFonts w:ascii="Open Sans" w:hAnsi="Open Sans" w:cs="Open Sans"/>
          <w:szCs w:val="20"/>
          <w:lang w:val="en-US"/>
        </w:rPr>
        <w:t xml:space="preserve"> EMIR reporting we have not had this </w:t>
      </w:r>
      <w:r w:rsidR="00605C44" w:rsidRPr="00FB13B2">
        <w:rPr>
          <w:rFonts w:ascii="Open Sans" w:hAnsi="Open Sans" w:cs="Open Sans"/>
          <w:szCs w:val="20"/>
          <w:lang w:val="en-US"/>
        </w:rPr>
        <w:t>type</w:t>
      </w:r>
      <w:r w:rsidR="00CB5703" w:rsidRPr="00FB13B2">
        <w:rPr>
          <w:rFonts w:ascii="Open Sans" w:hAnsi="Open Sans" w:cs="Open Sans"/>
          <w:szCs w:val="20"/>
          <w:lang w:val="en-US"/>
        </w:rPr>
        <w:t xml:space="preserve"> of failure. However, if that w</w:t>
      </w:r>
      <w:r w:rsidR="00605C44" w:rsidRPr="00FB13B2">
        <w:rPr>
          <w:rFonts w:ascii="Open Sans" w:hAnsi="Open Sans" w:cs="Open Sans"/>
          <w:szCs w:val="20"/>
          <w:lang w:val="en-US"/>
        </w:rPr>
        <w:t xml:space="preserve">ere </w:t>
      </w:r>
      <w:r w:rsidR="00CB5703" w:rsidRPr="00FB13B2">
        <w:rPr>
          <w:rFonts w:ascii="Open Sans" w:hAnsi="Open Sans" w:cs="Open Sans"/>
          <w:szCs w:val="20"/>
          <w:lang w:val="en-US"/>
        </w:rPr>
        <w:t xml:space="preserve">the case, we </w:t>
      </w:r>
      <w:r w:rsidR="00EF3E03" w:rsidRPr="00FB13B2">
        <w:rPr>
          <w:rFonts w:ascii="Open Sans" w:hAnsi="Open Sans" w:cs="Open Sans"/>
          <w:szCs w:val="20"/>
          <w:lang w:val="en-US"/>
        </w:rPr>
        <w:t xml:space="preserve">would </w:t>
      </w:r>
      <w:r w:rsidR="00CB5703" w:rsidRPr="00FB13B2">
        <w:rPr>
          <w:rFonts w:ascii="Open Sans" w:hAnsi="Open Sans" w:cs="Open Sans"/>
          <w:szCs w:val="20"/>
          <w:lang w:val="en-US"/>
        </w:rPr>
        <w:t>suggest th</w:t>
      </w:r>
      <w:r w:rsidRPr="00FB13B2">
        <w:rPr>
          <w:rFonts w:ascii="Open Sans" w:hAnsi="Open Sans" w:cs="Open Sans"/>
          <w:szCs w:val="20"/>
          <w:lang w:val="en-US"/>
        </w:rPr>
        <w:t xml:space="preserve">is task to be handed over to the </w:t>
      </w:r>
      <w:r w:rsidR="00CB5703" w:rsidRPr="00FB13B2">
        <w:rPr>
          <w:rFonts w:ascii="Open Sans" w:hAnsi="Open Sans" w:cs="Open Sans"/>
          <w:szCs w:val="20"/>
          <w:lang w:val="en-US"/>
        </w:rPr>
        <w:t>TRs</w:t>
      </w:r>
      <w:r w:rsidR="00605C44" w:rsidRPr="00FB13B2">
        <w:rPr>
          <w:rFonts w:ascii="Open Sans" w:hAnsi="Open Sans" w:cs="Open Sans"/>
          <w:szCs w:val="20"/>
          <w:lang w:val="en-US"/>
        </w:rPr>
        <w:t xml:space="preserve">, as </w:t>
      </w:r>
      <w:r w:rsidRPr="00FB13B2">
        <w:rPr>
          <w:rFonts w:ascii="Open Sans" w:hAnsi="Open Sans" w:cs="Open Sans"/>
          <w:szCs w:val="20"/>
          <w:lang w:val="en-US"/>
        </w:rPr>
        <w:t xml:space="preserve">they </w:t>
      </w:r>
      <w:r w:rsidR="00CB5703" w:rsidRPr="00FB13B2">
        <w:rPr>
          <w:rFonts w:ascii="Open Sans" w:hAnsi="Open Sans" w:cs="Open Sans"/>
          <w:szCs w:val="20"/>
          <w:lang w:val="en-US"/>
        </w:rPr>
        <w:t xml:space="preserve">can easily </w:t>
      </w:r>
      <w:r w:rsidR="00C072AB" w:rsidRPr="00FB13B2">
        <w:rPr>
          <w:rFonts w:ascii="Open Sans" w:hAnsi="Open Sans" w:cs="Open Sans"/>
          <w:szCs w:val="20"/>
          <w:lang w:val="en-US"/>
        </w:rPr>
        <w:t>monitor/</w:t>
      </w:r>
      <w:r w:rsidR="00CB5703" w:rsidRPr="00FB13B2">
        <w:rPr>
          <w:rFonts w:ascii="Open Sans" w:hAnsi="Open Sans" w:cs="Open Sans"/>
          <w:szCs w:val="20"/>
          <w:lang w:val="en-US"/>
        </w:rPr>
        <w:t xml:space="preserve">control the daily flow of messages </w:t>
      </w:r>
      <w:r w:rsidR="00605C44" w:rsidRPr="00FB13B2">
        <w:rPr>
          <w:rFonts w:ascii="Open Sans" w:hAnsi="Open Sans" w:cs="Open Sans"/>
          <w:szCs w:val="20"/>
          <w:lang w:val="en-US"/>
        </w:rPr>
        <w:t>from</w:t>
      </w:r>
      <w:r w:rsidR="00CB5703" w:rsidRPr="00FB13B2">
        <w:rPr>
          <w:rFonts w:ascii="Open Sans" w:hAnsi="Open Sans" w:cs="Open Sans"/>
          <w:szCs w:val="20"/>
          <w:lang w:val="en-US"/>
        </w:rPr>
        <w:t xml:space="preserve"> any relevant counterpart</w:t>
      </w:r>
      <w:r w:rsidR="00605C44" w:rsidRPr="00FB13B2">
        <w:rPr>
          <w:rFonts w:ascii="Open Sans" w:hAnsi="Open Sans" w:cs="Open Sans"/>
          <w:szCs w:val="20"/>
          <w:lang w:val="en-US"/>
        </w:rPr>
        <w:t xml:space="preserve">ies. </w:t>
      </w:r>
      <w:proofErr w:type="gramStart"/>
      <w:r w:rsidR="00605C44" w:rsidRPr="00FB13B2">
        <w:rPr>
          <w:rFonts w:ascii="Open Sans" w:hAnsi="Open Sans" w:cs="Open Sans"/>
          <w:szCs w:val="20"/>
          <w:lang w:val="en-US"/>
        </w:rPr>
        <w:t>I</w:t>
      </w:r>
      <w:r w:rsidR="00C072AB" w:rsidRPr="00FB13B2">
        <w:rPr>
          <w:rFonts w:ascii="Open Sans" w:hAnsi="Open Sans" w:cs="Open Sans"/>
          <w:szCs w:val="20"/>
          <w:lang w:val="en-US"/>
        </w:rPr>
        <w:t xml:space="preserve">n </w:t>
      </w:r>
      <w:r w:rsidR="00605C44" w:rsidRPr="00FB13B2">
        <w:rPr>
          <w:rFonts w:ascii="Open Sans" w:hAnsi="Open Sans" w:cs="Open Sans"/>
          <w:szCs w:val="20"/>
          <w:lang w:val="en-US"/>
        </w:rPr>
        <w:t>the event that</w:t>
      </w:r>
      <w:proofErr w:type="gramEnd"/>
      <w:r w:rsidR="00C072AB" w:rsidRPr="00FB13B2">
        <w:rPr>
          <w:rFonts w:ascii="Open Sans" w:hAnsi="Open Sans" w:cs="Open Sans"/>
          <w:szCs w:val="20"/>
          <w:lang w:val="en-US"/>
        </w:rPr>
        <w:t xml:space="preserve"> no messages </w:t>
      </w:r>
      <w:r w:rsidR="00605C44" w:rsidRPr="00FB13B2">
        <w:rPr>
          <w:rFonts w:ascii="Open Sans" w:hAnsi="Open Sans" w:cs="Open Sans"/>
          <w:szCs w:val="20"/>
          <w:lang w:val="en-US"/>
        </w:rPr>
        <w:t xml:space="preserve">are received, </w:t>
      </w:r>
      <w:r w:rsidR="00C072AB" w:rsidRPr="00FB13B2">
        <w:rPr>
          <w:rFonts w:ascii="Open Sans" w:hAnsi="Open Sans" w:cs="Open Sans"/>
          <w:szCs w:val="20"/>
          <w:lang w:val="en-US"/>
        </w:rPr>
        <w:t>or an outlier number of messages</w:t>
      </w:r>
      <w:r w:rsidR="00605C44" w:rsidRPr="00FB13B2">
        <w:rPr>
          <w:rFonts w:ascii="Open Sans" w:hAnsi="Open Sans" w:cs="Open Sans"/>
          <w:szCs w:val="20"/>
          <w:lang w:val="en-US"/>
        </w:rPr>
        <w:t xml:space="preserve"> is received</w:t>
      </w:r>
      <w:r w:rsidR="00C072AB" w:rsidRPr="00FB13B2">
        <w:rPr>
          <w:rFonts w:ascii="Open Sans" w:hAnsi="Open Sans" w:cs="Open Sans"/>
          <w:szCs w:val="20"/>
          <w:lang w:val="en-US"/>
        </w:rPr>
        <w:t xml:space="preserve"> from a given counterparty, the</w:t>
      </w:r>
      <w:r w:rsidR="00C072AB" w:rsidRPr="00FB13B2">
        <w:t xml:space="preserve"> T</w:t>
      </w:r>
      <w:r w:rsidR="00C072AB" w:rsidRPr="00FB13B2">
        <w:rPr>
          <w:rFonts w:ascii="Open Sans" w:hAnsi="Open Sans" w:cs="Open Sans"/>
          <w:szCs w:val="20"/>
          <w:lang w:val="en-US"/>
        </w:rPr>
        <w:t xml:space="preserve">R would contact the latter and in case an incident </w:t>
      </w:r>
      <w:r w:rsidR="00605C44" w:rsidRPr="00FB13B2">
        <w:rPr>
          <w:rFonts w:ascii="Open Sans" w:hAnsi="Open Sans" w:cs="Open Sans"/>
          <w:szCs w:val="20"/>
          <w:lang w:val="en-US"/>
        </w:rPr>
        <w:t xml:space="preserve">is </w:t>
      </w:r>
      <w:r w:rsidR="00C072AB" w:rsidRPr="00FB13B2">
        <w:rPr>
          <w:rFonts w:ascii="Open Sans" w:hAnsi="Open Sans" w:cs="Open Sans"/>
          <w:szCs w:val="20"/>
          <w:lang w:val="en-US"/>
        </w:rPr>
        <w:t>confirm</w:t>
      </w:r>
      <w:r w:rsidR="00605C44" w:rsidRPr="00FB13B2">
        <w:rPr>
          <w:rFonts w:ascii="Open Sans" w:hAnsi="Open Sans" w:cs="Open Sans"/>
          <w:szCs w:val="20"/>
          <w:lang w:val="en-US"/>
        </w:rPr>
        <w:t>ed</w:t>
      </w:r>
      <w:r w:rsidR="00C072AB" w:rsidRPr="00FB13B2">
        <w:rPr>
          <w:rFonts w:ascii="Open Sans" w:hAnsi="Open Sans" w:cs="Open Sans"/>
          <w:szCs w:val="20"/>
          <w:lang w:val="en-US"/>
        </w:rPr>
        <w:t xml:space="preserve">, the TR would be responsible for communicating </w:t>
      </w:r>
      <w:r w:rsidR="00605C44" w:rsidRPr="00FB13B2">
        <w:rPr>
          <w:rFonts w:ascii="Open Sans" w:hAnsi="Open Sans" w:cs="Open Sans"/>
          <w:szCs w:val="20"/>
          <w:lang w:val="en-US"/>
        </w:rPr>
        <w:t>it</w:t>
      </w:r>
      <w:r w:rsidR="00C072AB" w:rsidRPr="00FB13B2">
        <w:rPr>
          <w:rFonts w:ascii="Open Sans" w:hAnsi="Open Sans" w:cs="Open Sans"/>
          <w:szCs w:val="20"/>
          <w:lang w:val="en-US"/>
        </w:rPr>
        <w:t xml:space="preserve"> to the relevant NCA. </w:t>
      </w:r>
    </w:p>
    <w:p w14:paraId="17CD6F89" w14:textId="77777777" w:rsidR="00CB5703" w:rsidRPr="00FB13B2" w:rsidRDefault="00CB5703" w:rsidP="00CB5703">
      <w:pPr>
        <w:jc w:val="both"/>
        <w:rPr>
          <w:rFonts w:ascii="Open Sans" w:hAnsi="Open Sans" w:cs="Open Sans"/>
          <w:szCs w:val="20"/>
          <w:lang w:val="en-US"/>
        </w:rPr>
      </w:pPr>
    </w:p>
    <w:p w14:paraId="6AB16149" w14:textId="0DF7A322" w:rsidR="00D2274F" w:rsidRPr="00FB13B2" w:rsidRDefault="00CB5703" w:rsidP="00CB5703">
      <w:pPr>
        <w:jc w:val="both"/>
        <w:rPr>
          <w:rFonts w:ascii="Open Sans" w:hAnsi="Open Sans" w:cs="Open Sans"/>
          <w:szCs w:val="20"/>
          <w:lang w:val="en-US"/>
        </w:rPr>
      </w:pPr>
      <w:r w:rsidRPr="00FB13B2">
        <w:rPr>
          <w:rFonts w:ascii="Open Sans" w:hAnsi="Open Sans" w:cs="Open Sans"/>
          <w:szCs w:val="20"/>
          <w:lang w:val="en-US"/>
        </w:rPr>
        <w:t xml:space="preserve">Additionally, </w:t>
      </w:r>
      <w:r w:rsidR="00EF3E03" w:rsidRPr="00FB13B2">
        <w:rPr>
          <w:rFonts w:ascii="Open Sans" w:hAnsi="Open Sans" w:cs="Open Sans"/>
          <w:szCs w:val="20"/>
          <w:lang w:val="en-US"/>
        </w:rPr>
        <w:t xml:space="preserve">to ensure data quality, the size of reporting counterparties in terms of number of transactions reported should be considered. </w:t>
      </w:r>
      <w:r w:rsidRPr="00FB13B2">
        <w:rPr>
          <w:rFonts w:ascii="Open Sans" w:hAnsi="Open Sans" w:cs="Open Sans"/>
          <w:szCs w:val="20"/>
          <w:lang w:val="en-US"/>
        </w:rPr>
        <w:t xml:space="preserve">It is reasonable </w:t>
      </w:r>
      <w:r w:rsidR="00EF3E03" w:rsidRPr="00FB13B2">
        <w:rPr>
          <w:rFonts w:ascii="Open Sans" w:hAnsi="Open Sans" w:cs="Open Sans"/>
          <w:szCs w:val="20"/>
          <w:lang w:val="en-US"/>
        </w:rPr>
        <w:t xml:space="preserve">for </w:t>
      </w:r>
      <w:r w:rsidR="0018224D" w:rsidRPr="00FB13B2">
        <w:rPr>
          <w:rFonts w:ascii="Open Sans" w:hAnsi="Open Sans" w:cs="Open Sans"/>
          <w:szCs w:val="20"/>
          <w:lang w:val="en-US"/>
        </w:rPr>
        <w:t>R</w:t>
      </w:r>
      <w:r w:rsidRPr="00FB13B2">
        <w:rPr>
          <w:rFonts w:ascii="Open Sans" w:hAnsi="Open Sans" w:cs="Open Sans"/>
          <w:szCs w:val="20"/>
          <w:lang w:val="en-US"/>
        </w:rPr>
        <w:t xml:space="preserve">egulators </w:t>
      </w:r>
      <w:r w:rsidR="00EF3E03" w:rsidRPr="00FB13B2">
        <w:rPr>
          <w:rFonts w:ascii="Open Sans" w:hAnsi="Open Sans" w:cs="Open Sans"/>
          <w:szCs w:val="20"/>
          <w:lang w:val="en-US"/>
        </w:rPr>
        <w:t xml:space="preserve">to </w:t>
      </w:r>
      <w:r w:rsidRPr="00FB13B2">
        <w:rPr>
          <w:rFonts w:ascii="Open Sans" w:hAnsi="Open Sans" w:cs="Open Sans"/>
          <w:szCs w:val="20"/>
          <w:lang w:val="en-US"/>
        </w:rPr>
        <w:t>have a desire to be informed of significant omissions in reporting where records are not submitted to the TR</w:t>
      </w:r>
      <w:r w:rsidR="00C15F6A" w:rsidRPr="00FB13B2">
        <w:rPr>
          <w:rFonts w:ascii="Open Sans" w:hAnsi="Open Sans" w:cs="Open Sans"/>
          <w:szCs w:val="20"/>
          <w:lang w:val="en-US"/>
        </w:rPr>
        <w:t>s</w:t>
      </w:r>
      <w:r w:rsidRPr="00FB13B2">
        <w:rPr>
          <w:rFonts w:ascii="Open Sans" w:hAnsi="Open Sans" w:cs="Open Sans"/>
          <w:szCs w:val="20"/>
          <w:lang w:val="en-US"/>
        </w:rPr>
        <w:t xml:space="preserve"> at all</w:t>
      </w:r>
      <w:r w:rsidR="00EF3E03" w:rsidRPr="00FB13B2">
        <w:rPr>
          <w:rFonts w:ascii="Open Sans" w:hAnsi="Open Sans" w:cs="Open Sans"/>
          <w:szCs w:val="20"/>
          <w:lang w:val="en-US"/>
        </w:rPr>
        <w:t xml:space="preserve">, although we believe that if attention were </w:t>
      </w:r>
      <w:r w:rsidR="00C15F6A" w:rsidRPr="00FB13B2">
        <w:rPr>
          <w:rFonts w:ascii="Open Sans" w:hAnsi="Open Sans" w:cs="Open Sans"/>
          <w:szCs w:val="20"/>
          <w:lang w:val="en-US"/>
        </w:rPr>
        <w:t xml:space="preserve">to be </w:t>
      </w:r>
      <w:r w:rsidR="00EF3E03" w:rsidRPr="00FB13B2">
        <w:rPr>
          <w:rFonts w:ascii="Open Sans" w:hAnsi="Open Sans" w:cs="Open Sans"/>
          <w:szCs w:val="20"/>
          <w:lang w:val="en-US"/>
        </w:rPr>
        <w:t xml:space="preserve">focused on the </w:t>
      </w:r>
      <w:r w:rsidR="00C15F6A" w:rsidRPr="00FB13B2">
        <w:rPr>
          <w:rFonts w:ascii="Open Sans" w:hAnsi="Open Sans" w:cs="Open Sans"/>
          <w:szCs w:val="20"/>
          <w:lang w:val="en-US"/>
        </w:rPr>
        <w:t>largest</w:t>
      </w:r>
      <w:r w:rsidR="00EF3E03" w:rsidRPr="00FB13B2">
        <w:rPr>
          <w:rFonts w:ascii="Open Sans" w:hAnsi="Open Sans" w:cs="Open Sans"/>
          <w:szCs w:val="20"/>
          <w:lang w:val="en-US"/>
        </w:rPr>
        <w:t xml:space="preserve"> players</w:t>
      </w:r>
      <w:r w:rsidR="00C15F6A" w:rsidRPr="00FB13B2">
        <w:rPr>
          <w:rFonts w:ascii="Open Sans" w:hAnsi="Open Sans" w:cs="Open Sans"/>
          <w:szCs w:val="20"/>
          <w:lang w:val="en-US"/>
        </w:rPr>
        <w:t xml:space="preserve"> first</w:t>
      </w:r>
      <w:r w:rsidR="00EF3E03" w:rsidRPr="00FB13B2">
        <w:rPr>
          <w:rFonts w:ascii="Open Sans" w:hAnsi="Open Sans" w:cs="Open Sans"/>
          <w:szCs w:val="20"/>
          <w:lang w:val="en-US"/>
        </w:rPr>
        <w:t xml:space="preserve">, </w:t>
      </w:r>
      <w:r w:rsidR="00C15F6A" w:rsidRPr="00FB13B2">
        <w:rPr>
          <w:rFonts w:ascii="Open Sans" w:hAnsi="Open Sans" w:cs="Open Sans"/>
          <w:szCs w:val="20"/>
          <w:lang w:val="en-US"/>
        </w:rPr>
        <w:t>this would inevitably reduce t</w:t>
      </w:r>
      <w:r w:rsidR="00EF3E03" w:rsidRPr="00FB13B2">
        <w:rPr>
          <w:rFonts w:ascii="Open Sans" w:hAnsi="Open Sans" w:cs="Open Sans"/>
          <w:szCs w:val="20"/>
          <w:lang w:val="en-US"/>
        </w:rPr>
        <w:t xml:space="preserve">he number of reconciliation </w:t>
      </w:r>
      <w:r w:rsidR="00C15F6A" w:rsidRPr="00FB13B2">
        <w:rPr>
          <w:rFonts w:ascii="Open Sans" w:hAnsi="Open Sans" w:cs="Open Sans"/>
          <w:szCs w:val="20"/>
          <w:lang w:val="en-US"/>
        </w:rPr>
        <w:t xml:space="preserve">failures, and once this milestone is reached, </w:t>
      </w:r>
      <w:r w:rsidR="0018224D" w:rsidRPr="00FB13B2">
        <w:rPr>
          <w:rFonts w:ascii="Open Sans" w:hAnsi="Open Sans" w:cs="Open Sans"/>
          <w:szCs w:val="20"/>
          <w:lang w:val="en-US"/>
        </w:rPr>
        <w:t>Regulators</w:t>
      </w:r>
      <w:r w:rsidR="00C15F6A" w:rsidRPr="00FB13B2">
        <w:rPr>
          <w:rFonts w:ascii="Open Sans" w:hAnsi="Open Sans" w:cs="Open Sans"/>
          <w:szCs w:val="20"/>
          <w:lang w:val="en-US"/>
        </w:rPr>
        <w:t xml:space="preserve"> could then focus on smaller counterparties. </w:t>
      </w:r>
    </w:p>
    <w:p w14:paraId="703A0CCA" w14:textId="77777777" w:rsidR="00FB13B2" w:rsidRPr="00FB13B2" w:rsidRDefault="00FB13B2" w:rsidP="00CB5703">
      <w:pPr>
        <w:jc w:val="both"/>
        <w:rPr>
          <w:rFonts w:cs="Arial"/>
          <w:szCs w:val="20"/>
          <w:lang w:val="en-US"/>
        </w:rPr>
      </w:pPr>
    </w:p>
    <w:p w14:paraId="159C2559" w14:textId="3FE283EE" w:rsidR="00CB5703" w:rsidRPr="00FB13B2" w:rsidRDefault="00CB5703" w:rsidP="00CB5703">
      <w:pPr>
        <w:jc w:val="both"/>
        <w:rPr>
          <w:rFonts w:ascii="Open Sans" w:hAnsi="Open Sans" w:cs="Open Sans"/>
          <w:szCs w:val="20"/>
          <w:lang w:val="en-US"/>
        </w:rPr>
      </w:pPr>
      <w:r w:rsidRPr="00FB13B2">
        <w:rPr>
          <w:rFonts w:ascii="Open Sans" w:hAnsi="Open Sans" w:cs="Open Sans"/>
          <w:szCs w:val="20"/>
          <w:lang w:val="en-US"/>
        </w:rPr>
        <w:t>Nevertheless, it is only significant omission</w:t>
      </w:r>
      <w:r w:rsidR="00C15F6A" w:rsidRPr="00FB13B2">
        <w:rPr>
          <w:rFonts w:ascii="Open Sans" w:hAnsi="Open Sans" w:cs="Open Sans"/>
          <w:szCs w:val="20"/>
          <w:lang w:val="en-US"/>
        </w:rPr>
        <w:t>s</w:t>
      </w:r>
      <w:r w:rsidRPr="00FB13B2">
        <w:rPr>
          <w:rFonts w:ascii="Open Sans" w:hAnsi="Open Sans" w:cs="Open Sans"/>
          <w:szCs w:val="20"/>
          <w:lang w:val="en-US"/>
        </w:rPr>
        <w:t xml:space="preserve"> that would impact </w:t>
      </w:r>
      <w:r w:rsidR="0018224D" w:rsidRPr="00FB13B2">
        <w:rPr>
          <w:rFonts w:ascii="Open Sans" w:hAnsi="Open Sans" w:cs="Open Sans"/>
          <w:szCs w:val="20"/>
          <w:lang w:val="en-US"/>
        </w:rPr>
        <w:t>Regulator’s</w:t>
      </w:r>
      <w:r w:rsidRPr="00FB13B2">
        <w:rPr>
          <w:rFonts w:ascii="Open Sans" w:hAnsi="Open Sans" w:cs="Open Sans"/>
          <w:szCs w:val="20"/>
          <w:lang w:val="en-US"/>
        </w:rPr>
        <w:t xml:space="preserve"> ability to monitor systematic </w:t>
      </w:r>
      <w:r w:rsidR="0062585A" w:rsidRPr="00FB13B2">
        <w:rPr>
          <w:rFonts w:ascii="Open Sans" w:hAnsi="Open Sans" w:cs="Open Sans"/>
          <w:szCs w:val="20"/>
          <w:lang w:val="en-US"/>
        </w:rPr>
        <w:t>risk. Furthermore</w:t>
      </w:r>
      <w:r w:rsidRPr="00FB13B2">
        <w:rPr>
          <w:rFonts w:ascii="Open Sans" w:hAnsi="Open Sans" w:cs="Open Sans"/>
          <w:szCs w:val="20"/>
          <w:lang w:val="en-US"/>
        </w:rPr>
        <w:t xml:space="preserve">, a notification obligation may negatively impact the administrative burden of firms that have better detective controls in place to identify omissions in the first place who already have strong relationships and do notify regulators of significant issues on a voluntary basis, while doing little to tackle the issue of omissions from other firms that do not have strong controls in place to identify the omission in the first place to be in a position to notify their NCA of the </w:t>
      </w:r>
      <w:r w:rsidR="0062585A" w:rsidRPr="00FB13B2">
        <w:rPr>
          <w:rFonts w:ascii="Open Sans" w:hAnsi="Open Sans" w:cs="Open Sans"/>
          <w:szCs w:val="20"/>
          <w:lang w:val="en-US"/>
        </w:rPr>
        <w:t>issue. Efficient</w:t>
      </w:r>
      <w:r w:rsidRPr="00FB13B2">
        <w:rPr>
          <w:rFonts w:ascii="Open Sans" w:hAnsi="Open Sans" w:cs="Open Sans"/>
          <w:szCs w:val="20"/>
          <w:lang w:val="en-US"/>
        </w:rPr>
        <w:t xml:space="preserve"> controls use a risk-based approach to </w:t>
      </w:r>
      <w:r w:rsidR="0062585A" w:rsidRPr="00FB13B2">
        <w:rPr>
          <w:rFonts w:ascii="Open Sans" w:hAnsi="Open Sans" w:cs="Open Sans"/>
          <w:szCs w:val="20"/>
          <w:lang w:val="en-US"/>
        </w:rPr>
        <w:t>prioritize</w:t>
      </w:r>
      <w:r w:rsidRPr="00FB13B2">
        <w:rPr>
          <w:rFonts w:ascii="Open Sans" w:hAnsi="Open Sans" w:cs="Open Sans"/>
          <w:szCs w:val="20"/>
          <w:lang w:val="en-US"/>
        </w:rPr>
        <w:t xml:space="preserve"> the identification and resolution of significant risks of EMIR compliance breaches due to omissions and many controls use thresholds which vary based on internal and external risk factors of the entity. It would be more effective if ESMA issued guidance on best practice controls to prevent or detect omissions and principles for effective </w:t>
      </w:r>
      <w:r w:rsidR="0062585A" w:rsidRPr="00FB13B2">
        <w:rPr>
          <w:rFonts w:ascii="Open Sans" w:hAnsi="Open Sans" w:cs="Open Sans"/>
          <w:szCs w:val="20"/>
          <w:lang w:val="en-US"/>
        </w:rPr>
        <w:t>prioritization</w:t>
      </w:r>
      <w:r w:rsidRPr="00FB13B2">
        <w:rPr>
          <w:rFonts w:ascii="Open Sans" w:hAnsi="Open Sans" w:cs="Open Sans"/>
          <w:szCs w:val="20"/>
          <w:lang w:val="en-US"/>
        </w:rPr>
        <w:t xml:space="preserve"> of reporting risks in line with the use and aims of Regulators receiving the data. </w:t>
      </w:r>
    </w:p>
    <w:p w14:paraId="22518C0B" w14:textId="77777777" w:rsidR="00CB5703" w:rsidRPr="00FB13B2" w:rsidRDefault="00CB5703" w:rsidP="00CB5703">
      <w:pPr>
        <w:jc w:val="both"/>
        <w:rPr>
          <w:rFonts w:ascii="Open Sans" w:hAnsi="Open Sans" w:cs="Open Sans"/>
          <w:szCs w:val="20"/>
          <w:lang w:val="en-US"/>
        </w:rPr>
      </w:pPr>
    </w:p>
    <w:p w14:paraId="2D764B21" w14:textId="2171FF32" w:rsidR="00CB5703" w:rsidRPr="00FB13B2" w:rsidRDefault="00CB5703" w:rsidP="00CB5703">
      <w:pPr>
        <w:jc w:val="both"/>
        <w:rPr>
          <w:rFonts w:ascii="Open Sans" w:hAnsi="Open Sans" w:cs="Open Sans"/>
          <w:szCs w:val="20"/>
          <w:u w:val="single"/>
          <w:lang w:val="en-US"/>
        </w:rPr>
      </w:pPr>
      <w:r w:rsidRPr="00FB13B2">
        <w:rPr>
          <w:rFonts w:ascii="Open Sans" w:hAnsi="Open Sans" w:cs="Open Sans"/>
          <w:szCs w:val="20"/>
          <w:u w:val="single"/>
          <w:lang w:val="en-US"/>
        </w:rPr>
        <w:t xml:space="preserve">Proposed </w:t>
      </w:r>
      <w:r w:rsidR="0018224D" w:rsidRPr="00FB13B2">
        <w:rPr>
          <w:rFonts w:ascii="Open Sans" w:hAnsi="Open Sans" w:cs="Open Sans"/>
          <w:szCs w:val="20"/>
          <w:u w:val="single"/>
          <w:lang w:val="en-US"/>
        </w:rPr>
        <w:t>m</w:t>
      </w:r>
      <w:r w:rsidRPr="00FB13B2">
        <w:rPr>
          <w:rFonts w:ascii="Open Sans" w:hAnsi="Open Sans" w:cs="Open Sans"/>
          <w:szCs w:val="20"/>
          <w:u w:val="single"/>
          <w:lang w:val="en-US"/>
        </w:rPr>
        <w:t xml:space="preserve">isreporting of </w:t>
      </w:r>
      <w:r w:rsidR="0018224D" w:rsidRPr="00FB13B2">
        <w:rPr>
          <w:rFonts w:ascii="Open Sans" w:hAnsi="Open Sans" w:cs="Open Sans"/>
          <w:szCs w:val="20"/>
          <w:u w:val="single"/>
          <w:lang w:val="en-US"/>
        </w:rPr>
        <w:t>e</w:t>
      </w:r>
      <w:r w:rsidRPr="00FB13B2">
        <w:rPr>
          <w:rFonts w:ascii="Open Sans" w:hAnsi="Open Sans" w:cs="Open Sans"/>
          <w:szCs w:val="20"/>
          <w:u w:val="single"/>
          <w:lang w:val="en-US"/>
        </w:rPr>
        <w:t xml:space="preserve">rrors </w:t>
      </w:r>
      <w:r w:rsidR="0018224D" w:rsidRPr="00FB13B2">
        <w:rPr>
          <w:rFonts w:ascii="Open Sans" w:hAnsi="Open Sans" w:cs="Open Sans"/>
          <w:szCs w:val="20"/>
          <w:u w:val="single"/>
          <w:lang w:val="en-US"/>
        </w:rPr>
        <w:t>m</w:t>
      </w:r>
      <w:r w:rsidRPr="00FB13B2">
        <w:rPr>
          <w:rFonts w:ascii="Open Sans" w:hAnsi="Open Sans" w:cs="Open Sans"/>
          <w:szCs w:val="20"/>
          <w:u w:val="single"/>
          <w:lang w:val="en-US"/>
        </w:rPr>
        <w:t xml:space="preserve">andatory </w:t>
      </w:r>
      <w:r w:rsidR="0018224D" w:rsidRPr="00FB13B2">
        <w:rPr>
          <w:rFonts w:ascii="Open Sans" w:hAnsi="Open Sans" w:cs="Open Sans"/>
          <w:szCs w:val="20"/>
          <w:u w:val="single"/>
          <w:lang w:val="en-US"/>
        </w:rPr>
        <w:t>n</w:t>
      </w:r>
      <w:r w:rsidRPr="00FB13B2">
        <w:rPr>
          <w:rFonts w:ascii="Open Sans" w:hAnsi="Open Sans" w:cs="Open Sans"/>
          <w:szCs w:val="20"/>
          <w:u w:val="single"/>
          <w:lang w:val="en-US"/>
        </w:rPr>
        <w:t>otification</w:t>
      </w:r>
    </w:p>
    <w:p w14:paraId="2E2CEF41" w14:textId="77777777" w:rsidR="00CB5703" w:rsidRPr="00FB13B2" w:rsidRDefault="00CB5703" w:rsidP="00CB5703">
      <w:pPr>
        <w:jc w:val="both"/>
        <w:rPr>
          <w:rFonts w:ascii="Open Sans" w:hAnsi="Open Sans" w:cs="Open Sans"/>
          <w:szCs w:val="20"/>
          <w:lang w:val="en-US"/>
        </w:rPr>
      </w:pPr>
    </w:p>
    <w:p w14:paraId="0CE36848" w14:textId="77777777" w:rsidR="00CB5703" w:rsidRPr="00FB13B2" w:rsidRDefault="00CB5703" w:rsidP="00CB5703">
      <w:pPr>
        <w:jc w:val="both"/>
        <w:rPr>
          <w:rFonts w:ascii="Open Sans" w:hAnsi="Open Sans" w:cs="Open Sans"/>
          <w:szCs w:val="20"/>
          <w:lang w:val="en-US"/>
        </w:rPr>
      </w:pPr>
      <w:r w:rsidRPr="00FB13B2">
        <w:rPr>
          <w:rFonts w:ascii="Open Sans" w:hAnsi="Open Sans" w:cs="Open Sans"/>
          <w:szCs w:val="20"/>
          <w:lang w:val="en-US"/>
        </w:rPr>
        <w:t>For misreporting due to errors, the use of the error action type signals to Regulators the identification and rectification of errors in reporting is already in place. Therefore, we do not believe an additional obligatory notification is required as we think that it would potentially disincentive investment in effective controls to identify misreporting. However, for the purpose of identifying and rectifying misreporting, the definition of misreporting and what constitutes an error would be a useful guidance. Furthermore, we believe that not all errors are of equal significance to Regulators.</w:t>
      </w:r>
    </w:p>
    <w:p w14:paraId="0B245991" w14:textId="77777777" w:rsidR="00CB5703" w:rsidRPr="00FB13B2" w:rsidRDefault="00CB5703" w:rsidP="00CB5703">
      <w:pPr>
        <w:jc w:val="both"/>
        <w:rPr>
          <w:rFonts w:ascii="Open Sans" w:hAnsi="Open Sans" w:cs="Open Sans"/>
          <w:szCs w:val="20"/>
          <w:lang w:val="en-US"/>
        </w:rPr>
      </w:pPr>
    </w:p>
    <w:p w14:paraId="0C8CC720" w14:textId="02FA288A" w:rsidR="00CB5703" w:rsidRPr="00FB13B2" w:rsidRDefault="00CB5703" w:rsidP="00CB5703">
      <w:pPr>
        <w:jc w:val="both"/>
        <w:rPr>
          <w:rFonts w:ascii="Open Sans" w:hAnsi="Open Sans" w:cs="Open Sans"/>
          <w:szCs w:val="20"/>
          <w:lang w:val="en-US"/>
        </w:rPr>
      </w:pPr>
      <w:r w:rsidRPr="00FB13B2">
        <w:rPr>
          <w:rFonts w:ascii="Open Sans" w:hAnsi="Open Sans" w:cs="Open Sans"/>
          <w:szCs w:val="20"/>
          <w:lang w:val="en-US"/>
        </w:rPr>
        <w:t xml:space="preserve">We would like to suggest that Regulators </w:t>
      </w:r>
      <w:r w:rsidR="0062585A" w:rsidRPr="00FB13B2">
        <w:rPr>
          <w:rFonts w:ascii="Open Sans" w:hAnsi="Open Sans" w:cs="Open Sans"/>
          <w:szCs w:val="20"/>
          <w:lang w:val="en-US"/>
        </w:rPr>
        <w:t>prioritize</w:t>
      </w:r>
      <w:r w:rsidRPr="00FB13B2">
        <w:rPr>
          <w:rFonts w:ascii="Open Sans" w:hAnsi="Open Sans" w:cs="Open Sans"/>
          <w:szCs w:val="20"/>
          <w:lang w:val="en-US"/>
        </w:rPr>
        <w:t xml:space="preserve"> the significance of risk setting at the position level reports, instead of transaction level reports. Moreover, the </w:t>
      </w:r>
      <w:r w:rsidR="0062585A" w:rsidRPr="00FB13B2">
        <w:rPr>
          <w:rFonts w:ascii="Open Sans" w:hAnsi="Open Sans" w:cs="Open Sans"/>
          <w:szCs w:val="20"/>
          <w:lang w:val="en-US"/>
        </w:rPr>
        <w:t>categorization</w:t>
      </w:r>
      <w:r w:rsidRPr="00FB13B2">
        <w:rPr>
          <w:rFonts w:ascii="Open Sans" w:hAnsi="Open Sans" w:cs="Open Sans"/>
          <w:szCs w:val="20"/>
          <w:lang w:val="en-US"/>
        </w:rPr>
        <w:t xml:space="preserve"> of fields for reconciliation and potential enhanced validation controls to identify potential errors would be very useful and effective.</w:t>
      </w:r>
    </w:p>
    <w:p w14:paraId="0FBFD9FD" w14:textId="77777777" w:rsidR="00CB5703" w:rsidRPr="00FB13B2" w:rsidRDefault="00CB5703" w:rsidP="00CB5703">
      <w:pPr>
        <w:jc w:val="both"/>
        <w:rPr>
          <w:rFonts w:ascii="Open Sans" w:hAnsi="Open Sans" w:cs="Open Sans"/>
          <w:szCs w:val="20"/>
          <w:lang w:val="en-US"/>
        </w:rPr>
      </w:pPr>
    </w:p>
    <w:p w14:paraId="72D7360F" w14:textId="7FCB99AC" w:rsidR="00D37192" w:rsidRPr="00FB13B2" w:rsidRDefault="00CB5703" w:rsidP="00CB5703">
      <w:pPr>
        <w:jc w:val="both"/>
        <w:rPr>
          <w:rFonts w:ascii="Open Sans" w:hAnsi="Open Sans" w:cs="Open Sans"/>
          <w:szCs w:val="20"/>
          <w:lang w:val="en-US"/>
        </w:rPr>
      </w:pPr>
      <w:r w:rsidRPr="00FB13B2">
        <w:rPr>
          <w:rFonts w:ascii="Open Sans" w:hAnsi="Open Sans" w:cs="Open Sans"/>
          <w:szCs w:val="20"/>
          <w:lang w:val="en-US"/>
        </w:rPr>
        <w:t>To end up, in respect of rectifying historical errors, we kindly ask ESMA to provide a guidance.</w:t>
      </w:r>
    </w:p>
    <w:p w14:paraId="40D345BC" w14:textId="45913E80" w:rsidR="00CB5703" w:rsidRDefault="00CB5703" w:rsidP="00CB5703">
      <w:pPr>
        <w:jc w:val="both"/>
        <w:rPr>
          <w:rFonts w:ascii="Open Sans" w:hAnsi="Open Sans" w:cs="Open Sans"/>
          <w:color w:val="C00000"/>
          <w:szCs w:val="20"/>
          <w:lang w:val="en-US"/>
        </w:rPr>
      </w:pPr>
    </w:p>
    <w:p w14:paraId="70178053" w14:textId="6AD04540" w:rsidR="00FB13B2" w:rsidRDefault="00FB13B2" w:rsidP="00CB5703">
      <w:pPr>
        <w:jc w:val="both"/>
        <w:rPr>
          <w:rFonts w:ascii="Open Sans" w:hAnsi="Open Sans" w:cs="Open Sans"/>
          <w:color w:val="C00000"/>
          <w:szCs w:val="20"/>
          <w:lang w:val="en-US"/>
        </w:rPr>
      </w:pPr>
    </w:p>
    <w:p w14:paraId="52FD9C9D" w14:textId="77777777" w:rsidR="00FB13B2" w:rsidRPr="00CB5703" w:rsidRDefault="00FB13B2" w:rsidP="00CB5703">
      <w:pPr>
        <w:jc w:val="both"/>
        <w:rPr>
          <w:rFonts w:ascii="Open Sans" w:hAnsi="Open Sans" w:cs="Open Sans"/>
          <w:color w:val="C00000"/>
          <w:szCs w:val="20"/>
          <w:lang w:val="en-US"/>
        </w:rPr>
      </w:pPr>
    </w:p>
    <w:p w14:paraId="5981F8E0" w14:textId="77777777" w:rsidR="00D37192" w:rsidRPr="000E1F88" w:rsidRDefault="00D37192" w:rsidP="00AB4AB8">
      <w:pPr>
        <w:rPr>
          <w:rFonts w:ascii="Open Sans" w:hAnsi="Open Sans" w:cs="Open Sans"/>
          <w:color w:val="4F81BD" w:themeColor="accent1"/>
          <w:szCs w:val="20"/>
          <w:u w:val="single"/>
        </w:rPr>
      </w:pPr>
      <w:r w:rsidRPr="000E1F88">
        <w:rPr>
          <w:rFonts w:ascii="Open Sans" w:hAnsi="Open Sans" w:cs="Open Sans"/>
          <w:szCs w:val="20"/>
          <w:u w:val="single"/>
        </w:rPr>
        <w:lastRenderedPageBreak/>
        <w:t xml:space="preserve">Conclusion </w:t>
      </w:r>
    </w:p>
    <w:p w14:paraId="2586DDA8" w14:textId="77777777" w:rsidR="00D37192" w:rsidRPr="000E1F88" w:rsidRDefault="00D37192" w:rsidP="00D37192">
      <w:pPr>
        <w:pStyle w:val="Default"/>
        <w:ind w:left="-567" w:right="-427"/>
        <w:jc w:val="both"/>
        <w:rPr>
          <w:rFonts w:ascii="Open Sans" w:hAnsi="Open Sans" w:cs="Open Sans"/>
          <w:color w:val="auto"/>
          <w:sz w:val="20"/>
          <w:szCs w:val="20"/>
          <w:u w:val="single"/>
          <w:lang w:val="en-GB"/>
        </w:rPr>
      </w:pPr>
    </w:p>
    <w:p w14:paraId="1AF63FF3" w14:textId="6A359AF7" w:rsidR="004F7B49" w:rsidRPr="000E1F88" w:rsidRDefault="00D37192" w:rsidP="000E1F88">
      <w:pPr>
        <w:jc w:val="both"/>
        <w:rPr>
          <w:rFonts w:ascii="Open Sans" w:hAnsi="Open Sans" w:cs="Open Sans"/>
          <w:szCs w:val="20"/>
          <w:u w:val="single"/>
        </w:rPr>
      </w:pPr>
      <w:r w:rsidRPr="000E1F88">
        <w:rPr>
          <w:rFonts w:ascii="Open Sans" w:hAnsi="Open Sans" w:cs="Open Sans"/>
          <w:szCs w:val="20"/>
        </w:rPr>
        <w:t xml:space="preserve">In summary, we believe that there are more effective ways to manage risks of omissions and misreporting. The obligation of notification to Regulators, if deemed necessary by ESMA and NCAs, should be limited to significant omissions only based on materiality set by firms </w:t>
      </w:r>
      <w:r w:rsidRPr="000E1F88">
        <w:rPr>
          <w:rFonts w:ascii="Open Sans" w:hAnsi="Open Sans" w:cs="Open Sans"/>
        </w:rPr>
        <w:t>using</w:t>
      </w:r>
      <w:r w:rsidRPr="000E1F88">
        <w:rPr>
          <w:rFonts w:ascii="Open Sans" w:hAnsi="Open Sans" w:cs="Open Sans"/>
          <w:szCs w:val="20"/>
        </w:rPr>
        <w:t xml:space="preserve"> a risk-based approach and good guidance from ESMA on effective controls and prioritisation principles</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lastRenderedPageBreak/>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60AFC382" w14:textId="77777777" w:rsidR="0084427C" w:rsidRPr="004F7B49" w:rsidRDefault="0084427C" w:rsidP="0084427C">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lastRenderedPageBreak/>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426E9F17" w14:textId="051B11E8" w:rsidR="00F92BF5" w:rsidRPr="00FB13B2" w:rsidRDefault="0084427C" w:rsidP="00F92BF5">
      <w:pPr>
        <w:ind w:right="56"/>
        <w:jc w:val="both"/>
        <w:rPr>
          <w:rFonts w:ascii="Open Sans" w:hAnsi="Open Sans" w:cs="Open Sans"/>
        </w:rPr>
      </w:pPr>
      <w:permStart w:id="160379486" w:edGrp="everyone"/>
      <w:r w:rsidRPr="00FB13B2">
        <w:rPr>
          <w:rFonts w:ascii="Open Sans" w:hAnsi="Open Sans" w:cs="Open Sans"/>
        </w:rPr>
        <w:t>Alternative B is</w:t>
      </w:r>
      <w:r w:rsidR="00C05E29" w:rsidRPr="00FB13B2">
        <w:rPr>
          <w:rFonts w:ascii="Open Sans" w:hAnsi="Open Sans" w:cs="Open Sans"/>
        </w:rPr>
        <w:t xml:space="preserve"> the one</w:t>
      </w:r>
      <w:r w:rsidRPr="00FB13B2">
        <w:rPr>
          <w:rFonts w:ascii="Open Sans" w:hAnsi="Open Sans" w:cs="Open Sans"/>
        </w:rPr>
        <w:t xml:space="preserve"> chosen </w:t>
      </w:r>
      <w:r w:rsidR="00C05E29" w:rsidRPr="00FB13B2">
        <w:rPr>
          <w:rFonts w:ascii="Open Sans" w:hAnsi="Open Sans" w:cs="Open Sans"/>
        </w:rPr>
        <w:t>by BME Clearing</w:t>
      </w:r>
      <w:r w:rsidR="00F92BF5" w:rsidRPr="00FB13B2">
        <w:rPr>
          <w:rFonts w:ascii="Open Sans" w:hAnsi="Open Sans" w:cs="Open Sans"/>
        </w:rPr>
        <w:t xml:space="preserve"> due to the following reasons:</w:t>
      </w:r>
    </w:p>
    <w:p w14:paraId="7A8AB098" w14:textId="77777777" w:rsidR="007D433A" w:rsidRPr="00FB13B2" w:rsidRDefault="007D433A" w:rsidP="00F92BF5">
      <w:pPr>
        <w:ind w:right="56"/>
        <w:jc w:val="both"/>
        <w:rPr>
          <w:rFonts w:ascii="Open Sans" w:hAnsi="Open Sans" w:cs="Open Sans"/>
        </w:rPr>
      </w:pPr>
    </w:p>
    <w:p w14:paraId="0117829F" w14:textId="492B44D8" w:rsidR="00D029F5" w:rsidRPr="00FB13B2" w:rsidRDefault="007D433A" w:rsidP="00F92BF5">
      <w:pPr>
        <w:pStyle w:val="Prrafodelista"/>
        <w:numPr>
          <w:ilvl w:val="0"/>
          <w:numId w:val="48"/>
        </w:numPr>
        <w:ind w:right="56"/>
        <w:jc w:val="both"/>
        <w:rPr>
          <w:rFonts w:ascii="Open Sans" w:hAnsi="Open Sans" w:cs="Open Sans"/>
        </w:rPr>
      </w:pPr>
      <w:r w:rsidRPr="00FB13B2">
        <w:rPr>
          <w:rFonts w:ascii="Open Sans" w:hAnsi="Open Sans" w:cs="Open Sans"/>
        </w:rPr>
        <w:t>We believe it will simplify the data reporting logic by alleviating the EMIR REFIT burden on counterparties and by involving TRs more in the day-to-day business.</w:t>
      </w:r>
    </w:p>
    <w:p w14:paraId="1BFCE6D7" w14:textId="77777777" w:rsidR="007D433A" w:rsidRPr="00FB13B2" w:rsidRDefault="007D433A" w:rsidP="007D433A">
      <w:pPr>
        <w:pStyle w:val="Prrafodelista"/>
        <w:ind w:left="1069" w:right="56"/>
        <w:jc w:val="both"/>
        <w:rPr>
          <w:rFonts w:ascii="Open Sans" w:hAnsi="Open Sans" w:cs="Open Sans"/>
        </w:rPr>
      </w:pPr>
    </w:p>
    <w:p w14:paraId="0BC838BE" w14:textId="36432690" w:rsidR="00C05E29" w:rsidRPr="00FB13B2" w:rsidRDefault="007D433A" w:rsidP="00F92BF5">
      <w:pPr>
        <w:pStyle w:val="Prrafodelista"/>
        <w:numPr>
          <w:ilvl w:val="0"/>
          <w:numId w:val="48"/>
        </w:numPr>
        <w:ind w:right="56"/>
        <w:jc w:val="both"/>
        <w:rPr>
          <w:rFonts w:ascii="Open Sans" w:hAnsi="Open Sans" w:cs="Open Sans"/>
        </w:rPr>
      </w:pPr>
      <w:r w:rsidRPr="00FB13B2">
        <w:rPr>
          <w:rFonts w:ascii="Open Sans" w:hAnsi="Open Sans" w:cs="Open Sans"/>
        </w:rPr>
        <w:t>Furthermore, we estimate that this option will reduce the number of reports processed and therefore also the number of reports stored by the EMIR REFIT agents.</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CDB49C2" w14:textId="77777777" w:rsidR="005825E0" w:rsidRPr="00FB13B2" w:rsidRDefault="005825E0" w:rsidP="005825E0">
      <w:pPr>
        <w:jc w:val="both"/>
        <w:rPr>
          <w:rFonts w:ascii="Open Sans" w:hAnsi="Open Sans" w:cs="Open Sans"/>
          <w:noProof/>
        </w:rPr>
      </w:pPr>
      <w:permStart w:id="23098055" w:edGrp="everyone"/>
      <w:r w:rsidRPr="00FB13B2">
        <w:rPr>
          <w:rFonts w:ascii="Open Sans" w:hAnsi="Open Sans" w:cs="Open Sans"/>
          <w:noProof/>
        </w:rPr>
        <w:lastRenderedPageBreak/>
        <w:t>We believe that approach B should be followed, and that TRs should update the trade state report when counterparties have reported lately.</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3FD082CB" w14:textId="1F08013C" w:rsidR="00272AD3" w:rsidRPr="00C040E9" w:rsidRDefault="00C040E9" w:rsidP="00272AD3">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5910F2EB" w14:textId="0D3A3C19" w:rsidR="002C440D" w:rsidRPr="00FB13B2" w:rsidRDefault="007D433A" w:rsidP="007D433A">
      <w:pPr>
        <w:ind w:right="56"/>
        <w:jc w:val="both"/>
      </w:pPr>
      <w:permStart w:id="177222125" w:edGrp="everyone"/>
      <w:r w:rsidRPr="00FB13B2">
        <w:rPr>
          <w:rFonts w:ascii="Open Sans" w:hAnsi="Open Sans" w:cs="Open Sans"/>
        </w:rPr>
        <w:t xml:space="preserve">In our view, </w:t>
      </w:r>
      <w:r w:rsidR="002C440D" w:rsidRPr="00FB13B2">
        <w:rPr>
          <w:rFonts w:ascii="Open Sans" w:hAnsi="Open Sans" w:cs="Open Sans"/>
        </w:rPr>
        <w:t xml:space="preserve">field 1.14 is </w:t>
      </w:r>
      <w:r w:rsidRPr="00FB13B2">
        <w:rPr>
          <w:rFonts w:ascii="Open Sans" w:hAnsi="Open Sans" w:cs="Open Sans"/>
        </w:rPr>
        <w:t xml:space="preserve">already sufficient </w:t>
      </w:r>
      <w:r w:rsidR="002C440D" w:rsidRPr="00FB13B2">
        <w:rPr>
          <w:rFonts w:ascii="Open Sans" w:hAnsi="Open Sans" w:cs="Open Sans"/>
        </w:rPr>
        <w:t>for determining the eligibility of derivative, although including the field 2.37 Intragroup</w:t>
      </w:r>
      <w:r w:rsidR="00872F9F" w:rsidRPr="00FB13B2">
        <w:rPr>
          <w:rFonts w:ascii="Open Sans" w:hAnsi="Open Sans" w:cs="Open Sans"/>
        </w:rPr>
        <w:t xml:space="preserve"> could also </w:t>
      </w:r>
      <w:r w:rsidR="00FE5F60" w:rsidRPr="00FB13B2">
        <w:rPr>
          <w:rFonts w:ascii="Open Sans" w:hAnsi="Open Sans" w:cs="Open Sans"/>
        </w:rPr>
        <w:t xml:space="preserve">be </w:t>
      </w:r>
      <w:r w:rsidR="00872F9F" w:rsidRPr="00FB13B2">
        <w:rPr>
          <w:rFonts w:ascii="Open Sans" w:hAnsi="Open Sans" w:cs="Open Sans"/>
        </w:rPr>
        <w:t>a good addition</w:t>
      </w:r>
      <w:r w:rsidR="002C440D" w:rsidRPr="00FB13B2">
        <w:rPr>
          <w:rFonts w:ascii="Open Sans" w:hAnsi="Open Sans" w:cs="Open Sans"/>
        </w:rPr>
        <w:t xml:space="preserve"> </w:t>
      </w:r>
      <w:r w:rsidR="00FE5F60" w:rsidRPr="00FB13B2">
        <w:rPr>
          <w:rFonts w:ascii="Open Sans" w:hAnsi="Open Sans" w:cs="Open Sans"/>
        </w:rPr>
        <w:t xml:space="preserve">to find out </w:t>
      </w:r>
      <w:r w:rsidR="00872F9F" w:rsidRPr="00FB13B2">
        <w:rPr>
          <w:rFonts w:ascii="Open Sans" w:hAnsi="Open Sans" w:cs="Open Sans"/>
        </w:rPr>
        <w:t xml:space="preserve">more information </w:t>
      </w:r>
      <w:r w:rsidR="00FE5F60" w:rsidRPr="00FB13B2">
        <w:rPr>
          <w:rFonts w:ascii="Open Sans" w:hAnsi="Open Sans" w:cs="Open Sans"/>
        </w:rPr>
        <w:t>on the non-</w:t>
      </w:r>
      <w:r w:rsidR="00872F9F" w:rsidRPr="00FB13B2">
        <w:rPr>
          <w:rFonts w:ascii="Open Sans" w:hAnsi="Open Sans" w:cs="Open Sans"/>
        </w:rPr>
        <w:t>reporting obligation.</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lastRenderedPageBreak/>
        <w:t>&lt;ESMA_QUESTION_REPO_91&gt;</w:t>
      </w:r>
    </w:p>
    <w:p w14:paraId="76C5D401" w14:textId="54552A10" w:rsidR="00163648" w:rsidRPr="00FB13B2" w:rsidRDefault="00163648" w:rsidP="00163648">
      <w:pPr>
        <w:ind w:right="56"/>
        <w:jc w:val="both"/>
        <w:rPr>
          <w:rFonts w:ascii="Open Sans" w:hAnsi="Open Sans" w:cs="Open Sans"/>
        </w:rPr>
      </w:pPr>
      <w:permStart w:id="1930586842" w:edGrp="everyone"/>
      <w:r w:rsidRPr="00FB13B2">
        <w:rPr>
          <w:rFonts w:ascii="Open Sans" w:hAnsi="Open Sans" w:cs="Open Sans"/>
        </w:rPr>
        <w:t xml:space="preserve">With reference to reporting of ETDs, as noted in the introduction to this paper, we believe that the focus should be </w:t>
      </w:r>
      <w:r w:rsidR="00D2274F" w:rsidRPr="00FB13B2">
        <w:rPr>
          <w:rFonts w:ascii="Open Sans" w:hAnsi="Open Sans" w:cs="Open Sans"/>
        </w:rPr>
        <w:t xml:space="preserve">placed </w:t>
      </w:r>
      <w:r w:rsidRPr="00FB13B2">
        <w:rPr>
          <w:rFonts w:ascii="Open Sans" w:hAnsi="Open Sans" w:cs="Open Sans"/>
        </w:rPr>
        <w:t xml:space="preserve">on position level reporting. </w:t>
      </w:r>
    </w:p>
    <w:p w14:paraId="1E632CE4" w14:textId="77777777" w:rsidR="00163648" w:rsidRPr="00FB13B2" w:rsidRDefault="00163648" w:rsidP="00163648">
      <w:pPr>
        <w:ind w:right="56"/>
        <w:jc w:val="both"/>
        <w:rPr>
          <w:rFonts w:ascii="Open Sans" w:hAnsi="Open Sans" w:cs="Open Sans"/>
        </w:rPr>
      </w:pPr>
    </w:p>
    <w:p w14:paraId="5DBDEA7D" w14:textId="66099A3F" w:rsidR="00163648" w:rsidRPr="00FB13B2" w:rsidRDefault="00163648" w:rsidP="00163648">
      <w:pPr>
        <w:ind w:right="56"/>
        <w:jc w:val="both"/>
        <w:rPr>
          <w:rFonts w:ascii="Open Sans" w:hAnsi="Open Sans" w:cs="Open Sans"/>
        </w:rPr>
      </w:pPr>
      <w:r w:rsidRPr="00FB13B2">
        <w:rPr>
          <w:rFonts w:ascii="Open Sans" w:hAnsi="Open Sans" w:cs="Open Sans"/>
        </w:rPr>
        <w:t>We understand that EMIR reporting is set up to enable authorities to identify financial stability risks</w:t>
      </w:r>
      <w:r w:rsidRPr="00FB13B2">
        <w:rPr>
          <w:rFonts w:ascii="Open Sans" w:hAnsi="Open Sans" w:cs="Open Sans"/>
          <w:vertAlign w:val="superscript"/>
        </w:rPr>
        <w:footnoteReference w:id="3"/>
      </w:r>
      <w:r w:rsidRPr="00FB13B2">
        <w:rPr>
          <w:rFonts w:ascii="Open Sans" w:hAnsi="Open Sans" w:cs="Open Sans"/>
        </w:rPr>
        <w:t>.</w:t>
      </w:r>
    </w:p>
    <w:p w14:paraId="59D99812" w14:textId="2CF53D23" w:rsidR="00163648" w:rsidRPr="00FB13B2" w:rsidRDefault="00163648" w:rsidP="00163648">
      <w:pPr>
        <w:ind w:right="56"/>
        <w:jc w:val="both"/>
        <w:rPr>
          <w:rFonts w:ascii="Open Sans" w:hAnsi="Open Sans" w:cs="Open Sans"/>
        </w:rPr>
      </w:pPr>
      <w:r w:rsidRPr="00FB13B2">
        <w:rPr>
          <w:rFonts w:ascii="Open Sans" w:hAnsi="Open Sans" w:cs="Open Sans"/>
        </w:rPr>
        <w:t xml:space="preserve">We believe that the reporting of transactions in ETDs does not provide information to control risk, on the one hand due to the clearing process that all CCPs perform during the day and on the other hand due to the large number of transactions in ETDs that are reported daily, resulting in noise and inefficiencies in EMIR reporting. </w:t>
      </w:r>
    </w:p>
    <w:p w14:paraId="0BABE281" w14:textId="77777777" w:rsidR="00163648" w:rsidRPr="00FB13B2" w:rsidRDefault="00163648" w:rsidP="00163648">
      <w:pPr>
        <w:ind w:right="56"/>
        <w:jc w:val="both"/>
        <w:rPr>
          <w:rFonts w:ascii="Open Sans" w:hAnsi="Open Sans" w:cs="Open Sans"/>
        </w:rPr>
      </w:pPr>
    </w:p>
    <w:p w14:paraId="5C1D1AEB" w14:textId="77777777" w:rsidR="00163648" w:rsidRPr="00FB13B2" w:rsidRDefault="00163648" w:rsidP="00163648">
      <w:pPr>
        <w:ind w:right="56"/>
        <w:jc w:val="both"/>
        <w:rPr>
          <w:rFonts w:ascii="Open Sans" w:hAnsi="Open Sans" w:cs="Open Sans"/>
        </w:rPr>
      </w:pPr>
      <w:r w:rsidRPr="00FB13B2">
        <w:rPr>
          <w:rFonts w:ascii="Open Sans" w:hAnsi="Open Sans" w:cs="Open Sans"/>
        </w:rPr>
        <w:t>Thus, while maintaining the mandatory nature of trade level reporting, in terms of data quality, both the industry and regulators should focus exclusively on reconciliation of position level data, as it is the latter that is clearly linked to risk.</w:t>
      </w:r>
    </w:p>
    <w:p w14:paraId="639EA214" w14:textId="77777777" w:rsidR="00163648" w:rsidRPr="00FB13B2" w:rsidRDefault="00163648" w:rsidP="00163648">
      <w:pPr>
        <w:ind w:right="56"/>
        <w:jc w:val="both"/>
        <w:rPr>
          <w:rFonts w:ascii="Open Sans" w:hAnsi="Open Sans" w:cs="Open Sans"/>
        </w:rPr>
      </w:pPr>
    </w:p>
    <w:p w14:paraId="65F51C7D" w14:textId="3E299065" w:rsidR="00163648" w:rsidRPr="000E1F88" w:rsidRDefault="00163648" w:rsidP="00163648">
      <w:pPr>
        <w:ind w:right="56"/>
        <w:jc w:val="both"/>
        <w:rPr>
          <w:rFonts w:ascii="Open Sans" w:hAnsi="Open Sans" w:cs="Open Sans"/>
        </w:rPr>
      </w:pPr>
      <w:r w:rsidRPr="00FB13B2">
        <w:rPr>
          <w:rFonts w:ascii="Open Sans" w:hAnsi="Open Sans" w:cs="Open Sans"/>
        </w:rPr>
        <w:t xml:space="preserve">Finally, given the large number of </w:t>
      </w:r>
      <w:r w:rsidR="00015C24" w:rsidRPr="00FB13B2">
        <w:rPr>
          <w:rFonts w:ascii="Open Sans" w:hAnsi="Open Sans" w:cs="Open Sans"/>
        </w:rPr>
        <w:t xml:space="preserve">ETD </w:t>
      </w:r>
      <w:r w:rsidRPr="00FB13B2">
        <w:rPr>
          <w:rFonts w:ascii="Open Sans" w:hAnsi="Open Sans" w:cs="Open Sans"/>
        </w:rPr>
        <w:t xml:space="preserve">positions reported by both CCPs and significant counterparties, it is </w:t>
      </w:r>
      <w:r w:rsidR="00015C24" w:rsidRPr="00FB13B2">
        <w:rPr>
          <w:rFonts w:ascii="Open Sans" w:hAnsi="Open Sans" w:cs="Open Sans"/>
        </w:rPr>
        <w:t xml:space="preserve">virtually </w:t>
      </w:r>
      <w:r w:rsidRPr="00FB13B2">
        <w:rPr>
          <w:rFonts w:ascii="Open Sans" w:hAnsi="Open Sans" w:cs="Open Sans"/>
        </w:rPr>
        <w:t xml:space="preserve">impossible to obtain a 100% accurate report that is also 100% reconciled with the other counterparties. </w:t>
      </w:r>
      <w:r w:rsidR="00D2274F" w:rsidRPr="00FB13B2">
        <w:rPr>
          <w:rFonts w:ascii="Open Sans" w:hAnsi="Open Sans" w:cs="Open Sans"/>
        </w:rPr>
        <w:t xml:space="preserve">In our </w:t>
      </w:r>
      <w:r w:rsidR="00015C24" w:rsidRPr="00FB13B2">
        <w:rPr>
          <w:rFonts w:ascii="Open Sans" w:hAnsi="Open Sans" w:cs="Open Sans"/>
        </w:rPr>
        <w:t>view</w:t>
      </w:r>
      <w:r w:rsidR="00D2274F" w:rsidRPr="00FB13B2">
        <w:rPr>
          <w:rFonts w:ascii="Open Sans" w:hAnsi="Open Sans" w:cs="Open Sans"/>
        </w:rPr>
        <w:t xml:space="preserve">, the approach should be to </w:t>
      </w:r>
      <w:proofErr w:type="gramStart"/>
      <w:r w:rsidR="00D2274F" w:rsidRPr="00FB13B2">
        <w:rPr>
          <w:rFonts w:ascii="Open Sans" w:hAnsi="Open Sans" w:cs="Open Sans"/>
        </w:rPr>
        <w:t>continuously</w:t>
      </w:r>
      <w:r w:rsidR="00015C24" w:rsidRPr="00FB13B2">
        <w:rPr>
          <w:rFonts w:ascii="Open Sans" w:hAnsi="Open Sans" w:cs="Open Sans"/>
        </w:rPr>
        <w:t xml:space="preserve">, </w:t>
      </w:r>
      <w:r w:rsidR="00D2274F" w:rsidRPr="00FB13B2">
        <w:rPr>
          <w:rFonts w:ascii="Open Sans" w:hAnsi="Open Sans" w:cs="Open Sans"/>
        </w:rPr>
        <w:t xml:space="preserve">gradually and </w:t>
      </w:r>
      <w:r w:rsidR="00015C24" w:rsidRPr="00FB13B2">
        <w:rPr>
          <w:rFonts w:ascii="Open Sans" w:hAnsi="Open Sans" w:cs="Open Sans"/>
        </w:rPr>
        <w:t>steadily</w:t>
      </w:r>
      <w:r w:rsidR="00D2274F" w:rsidRPr="00FB13B2">
        <w:rPr>
          <w:rFonts w:ascii="Open Sans" w:hAnsi="Open Sans" w:cs="Open Sans"/>
        </w:rPr>
        <w:t xml:space="preserve"> </w:t>
      </w:r>
      <w:r w:rsidR="00015C24" w:rsidRPr="00FB13B2">
        <w:rPr>
          <w:rFonts w:ascii="Open Sans" w:hAnsi="Open Sans" w:cs="Open Sans"/>
        </w:rPr>
        <w:t xml:space="preserve">increase </w:t>
      </w:r>
      <w:r w:rsidR="00D2274F" w:rsidRPr="00FB13B2">
        <w:rPr>
          <w:rFonts w:ascii="Open Sans" w:hAnsi="Open Sans" w:cs="Open Sans"/>
        </w:rPr>
        <w:t xml:space="preserve">reconciliation </w:t>
      </w:r>
      <w:r w:rsidR="00015C24" w:rsidRPr="00FB13B2">
        <w:rPr>
          <w:rFonts w:ascii="Open Sans" w:hAnsi="Open Sans" w:cs="Open Sans"/>
        </w:rPr>
        <w:t>ratios</w:t>
      </w:r>
      <w:proofErr w:type="gramEnd"/>
      <w:r w:rsidR="00015C24" w:rsidRPr="00FB13B2">
        <w:rPr>
          <w:rFonts w:ascii="Open Sans" w:hAnsi="Open Sans" w:cs="Open Sans"/>
        </w:rPr>
        <w:t xml:space="preserve">, </w:t>
      </w:r>
      <w:r w:rsidR="00D2274F" w:rsidRPr="00FB13B2">
        <w:rPr>
          <w:rFonts w:ascii="Open Sans" w:hAnsi="Open Sans" w:cs="Open Sans"/>
        </w:rPr>
        <w:t xml:space="preserve">first </w:t>
      </w:r>
      <w:r w:rsidR="00015C24" w:rsidRPr="00FB13B2">
        <w:rPr>
          <w:rFonts w:ascii="Open Sans" w:hAnsi="Open Sans" w:cs="Open Sans"/>
        </w:rPr>
        <w:t xml:space="preserve">in terms of </w:t>
      </w:r>
      <w:r w:rsidR="00D2274F" w:rsidRPr="00FB13B2">
        <w:rPr>
          <w:rFonts w:ascii="Open Sans" w:hAnsi="Open Sans" w:cs="Open Sans"/>
        </w:rPr>
        <w:t xml:space="preserve">pairing and then </w:t>
      </w:r>
      <w:r w:rsidR="00015C24" w:rsidRPr="00FB13B2">
        <w:rPr>
          <w:rFonts w:ascii="Open Sans" w:hAnsi="Open Sans" w:cs="Open Sans"/>
        </w:rPr>
        <w:t xml:space="preserve">in terms of </w:t>
      </w:r>
      <w:r w:rsidR="00D2274F" w:rsidRPr="00FB13B2">
        <w:rPr>
          <w:rFonts w:ascii="Open Sans" w:hAnsi="Open Sans" w:cs="Open Sans"/>
        </w:rPr>
        <w:t>matching.</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175951AD" w:rsidR="004F7B49" w:rsidRPr="00FB13B2" w:rsidRDefault="00EC32CB" w:rsidP="00163648">
      <w:pPr>
        <w:ind w:right="56"/>
        <w:jc w:val="both"/>
        <w:rPr>
          <w:rFonts w:ascii="Open Sans" w:hAnsi="Open Sans" w:cs="Open Sans"/>
        </w:rPr>
      </w:pPr>
      <w:permStart w:id="1698656546" w:edGrp="everyone"/>
      <w:r w:rsidRPr="00FB13B2">
        <w:rPr>
          <w:rFonts w:ascii="Open Sans" w:hAnsi="Open Sans" w:cs="Open Sans"/>
        </w:rPr>
        <w:t xml:space="preserve">We see </w:t>
      </w:r>
      <w:r w:rsidR="00163648" w:rsidRPr="00FB13B2">
        <w:rPr>
          <w:rFonts w:ascii="Open Sans" w:hAnsi="Open Sans" w:cs="Open Sans"/>
        </w:rPr>
        <w:t>no</w:t>
      </w:r>
      <w:r w:rsidRPr="00FB13B2">
        <w:rPr>
          <w:rFonts w:ascii="Open Sans" w:hAnsi="Open Sans" w:cs="Open Sans"/>
        </w:rPr>
        <w:t xml:space="preserve"> reason why </w:t>
      </w:r>
      <w:r w:rsidR="00252082" w:rsidRPr="00FB13B2">
        <w:rPr>
          <w:rFonts w:ascii="Open Sans" w:hAnsi="Open Sans" w:cs="Open Sans"/>
        </w:rPr>
        <w:t>the information in the TSR and in the reconciliation report w</w:t>
      </w:r>
      <w:r w:rsidR="00163648" w:rsidRPr="00FB13B2">
        <w:rPr>
          <w:rFonts w:ascii="Open Sans" w:hAnsi="Open Sans" w:cs="Open Sans"/>
        </w:rPr>
        <w:t xml:space="preserve">ould </w:t>
      </w:r>
      <w:r w:rsidR="00252082" w:rsidRPr="00FB13B2">
        <w:rPr>
          <w:rFonts w:ascii="Open Sans" w:hAnsi="Open Sans" w:cs="Open Sans"/>
        </w:rPr>
        <w:t>be different.</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6E856A0C" w:rsidR="004F7B49" w:rsidRPr="00FB13B2" w:rsidRDefault="0038315B" w:rsidP="00163648">
      <w:pPr>
        <w:ind w:right="56"/>
        <w:jc w:val="both"/>
        <w:rPr>
          <w:rFonts w:ascii="Open Sans" w:hAnsi="Open Sans" w:cs="Open Sans"/>
        </w:rPr>
      </w:pPr>
      <w:permStart w:id="1132283836" w:edGrp="everyone"/>
      <w:r w:rsidRPr="00FB13B2">
        <w:rPr>
          <w:rFonts w:ascii="Open Sans" w:hAnsi="Open Sans" w:cs="Open Sans"/>
        </w:rPr>
        <w:t>We prefer alternative B because it is easier and cheap</w:t>
      </w:r>
      <w:r w:rsidR="00163648" w:rsidRPr="00FB13B2">
        <w:rPr>
          <w:rFonts w:ascii="Open Sans" w:hAnsi="Open Sans" w:cs="Open Sans"/>
        </w:rPr>
        <w:t>er</w:t>
      </w:r>
      <w:r w:rsidRPr="00FB13B2">
        <w:rPr>
          <w:rFonts w:ascii="Open Sans" w:hAnsi="Open Sans" w:cs="Open Sans"/>
        </w:rPr>
        <w:t xml:space="preserve"> for BME Clearing </w:t>
      </w:r>
      <w:r w:rsidR="00163648" w:rsidRPr="00FB13B2">
        <w:rPr>
          <w:rFonts w:ascii="Open Sans" w:hAnsi="Open Sans" w:cs="Open Sans"/>
        </w:rPr>
        <w:t>to implement since it is not required to</w:t>
      </w:r>
      <w:r w:rsidRPr="00FB13B2">
        <w:rPr>
          <w:rFonts w:ascii="Open Sans" w:hAnsi="Open Sans" w:cs="Open Sans"/>
        </w:rPr>
        <w:t xml:space="preserve"> send a derivative with two legs in a specific order, </w:t>
      </w:r>
      <w:r w:rsidR="00163648" w:rsidRPr="00FB13B2">
        <w:rPr>
          <w:rFonts w:ascii="Open Sans" w:hAnsi="Open Sans" w:cs="Open Sans"/>
        </w:rPr>
        <w:t>slightly reducing the EMIR REFIT burden for entities at the expense of the TRs.</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lastRenderedPageBreak/>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ipervnculo"/>
          <w:color w:val="auto"/>
          <w:u w:val="none"/>
        </w:rPr>
      </w:pPr>
      <w:r w:rsidRPr="004F7B49">
        <w:rPr>
          <w:rStyle w:val="Hipervnculo"/>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514D" w14:textId="77777777" w:rsidR="002C440D" w:rsidRDefault="002C440D">
      <w:r>
        <w:separator/>
      </w:r>
    </w:p>
    <w:p w14:paraId="105ED8D5" w14:textId="77777777" w:rsidR="002C440D" w:rsidRDefault="002C440D"/>
  </w:endnote>
  <w:endnote w:type="continuationSeparator" w:id="0">
    <w:p w14:paraId="230E527D" w14:textId="77777777" w:rsidR="002C440D" w:rsidRDefault="002C440D">
      <w:r>
        <w:continuationSeparator/>
      </w:r>
    </w:p>
    <w:p w14:paraId="777F555B" w14:textId="77777777" w:rsidR="002C440D" w:rsidRDefault="002C440D"/>
  </w:endnote>
  <w:endnote w:type="continuationNotice" w:id="1">
    <w:p w14:paraId="2699FCB5" w14:textId="77777777" w:rsidR="002C440D" w:rsidRDefault="002C4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F2EB" w14:textId="77777777" w:rsidR="002C440D" w:rsidRDefault="002C44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440D" w:rsidRPr="00616B9B" w14:paraId="313FAE1A" w14:textId="77777777" w:rsidTr="00315E96">
      <w:trPr>
        <w:trHeight w:val="284"/>
      </w:trPr>
      <w:tc>
        <w:tcPr>
          <w:tcW w:w="8460" w:type="dxa"/>
        </w:tcPr>
        <w:p w14:paraId="0BEF8BC6" w14:textId="77777777" w:rsidR="002C440D" w:rsidRPr="00315E96" w:rsidRDefault="002C440D" w:rsidP="00315E96">
          <w:pPr>
            <w:pStyle w:val="00Footer"/>
            <w:rPr>
              <w:lang w:val="fr-FR"/>
            </w:rPr>
          </w:pPr>
        </w:p>
      </w:tc>
      <w:tc>
        <w:tcPr>
          <w:tcW w:w="952" w:type="dxa"/>
        </w:tcPr>
        <w:p w14:paraId="7FD1DE07" w14:textId="77777777" w:rsidR="002C440D" w:rsidRPr="00616B9B" w:rsidRDefault="002C440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C440D" w:rsidRDefault="002C44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C440D" w:rsidRDefault="002C440D" w:rsidP="00B61CD3">
    <w:pPr>
      <w:pStyle w:val="Piedepgina"/>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C440D" w:rsidRDefault="002C44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76BF" w14:textId="77777777" w:rsidR="002C440D" w:rsidRDefault="002C440D">
      <w:r>
        <w:separator/>
      </w:r>
    </w:p>
    <w:p w14:paraId="0975567B" w14:textId="77777777" w:rsidR="002C440D" w:rsidRDefault="002C440D"/>
  </w:footnote>
  <w:footnote w:type="continuationSeparator" w:id="0">
    <w:p w14:paraId="4BE1B882" w14:textId="77777777" w:rsidR="002C440D" w:rsidRDefault="002C440D">
      <w:r>
        <w:continuationSeparator/>
      </w:r>
    </w:p>
    <w:p w14:paraId="2D701DC8" w14:textId="77777777" w:rsidR="002C440D" w:rsidRDefault="002C440D"/>
  </w:footnote>
  <w:footnote w:type="continuationNotice" w:id="1">
    <w:p w14:paraId="68C01A86" w14:textId="77777777" w:rsidR="002C440D" w:rsidRDefault="002C440D"/>
  </w:footnote>
  <w:footnote w:id="2">
    <w:p w14:paraId="7524607A" w14:textId="1D91A04E" w:rsidR="002C440D" w:rsidRPr="00C1707B" w:rsidRDefault="002C440D">
      <w:pPr>
        <w:pStyle w:val="Textonotapie"/>
        <w:rPr>
          <w:rFonts w:ascii="Open Sans" w:hAnsi="Open Sans" w:cs="Open Sans"/>
        </w:rPr>
      </w:pPr>
      <w:r w:rsidRPr="00C1707B">
        <w:rPr>
          <w:rStyle w:val="Refdenotaalpie"/>
          <w:rFonts w:ascii="Open Sans" w:hAnsi="Open Sans" w:cs="Open Sans"/>
        </w:rPr>
        <w:footnoteRef/>
      </w:r>
      <w:r w:rsidRPr="00C1707B">
        <w:rPr>
          <w:rFonts w:ascii="Open Sans" w:hAnsi="Open Sans" w:cs="Open Sans"/>
        </w:rPr>
        <w:t xml:space="preserve"> </w:t>
      </w:r>
      <w:r w:rsidRPr="00C1707B">
        <w:rPr>
          <w:rFonts w:ascii="Open Sans" w:hAnsi="Open Sans" w:cs="Open Sans"/>
          <w:sz w:val="18"/>
          <w:szCs w:val="18"/>
          <w:lang w:val="en-US"/>
        </w:rPr>
        <w:t>“</w:t>
      </w:r>
      <w:r w:rsidR="004E508F" w:rsidRPr="00C1707B">
        <w:rPr>
          <w:rFonts w:ascii="Open Sans" w:hAnsi="Open Sans" w:cs="Open Sans"/>
          <w:sz w:val="18"/>
          <w:szCs w:val="18"/>
          <w:lang w:val="en-US"/>
        </w:rPr>
        <w:t>Providing</w:t>
      </w:r>
      <w:r w:rsidRPr="00C1707B">
        <w:rPr>
          <w:rFonts w:ascii="Open Sans" w:hAnsi="Open Sans" w:cs="Open Sans"/>
          <w:sz w:val="18"/>
          <w:szCs w:val="18"/>
          <w:lang w:val="en-US"/>
        </w:rPr>
        <w:t xml:space="preserve"> both</w:t>
      </w:r>
      <w:r w:rsidR="00C1707B">
        <w:rPr>
          <w:rFonts w:ascii="Open Sans" w:hAnsi="Open Sans" w:cs="Open Sans"/>
          <w:sz w:val="18"/>
          <w:szCs w:val="18"/>
          <w:lang w:val="en-US"/>
        </w:rPr>
        <w:t>,</w:t>
      </w:r>
      <w:r w:rsidRPr="00C1707B">
        <w:rPr>
          <w:rFonts w:ascii="Open Sans" w:hAnsi="Open Sans" w:cs="Open Sans"/>
          <w:sz w:val="18"/>
          <w:szCs w:val="18"/>
          <w:lang w:val="en-US"/>
        </w:rPr>
        <w:t xml:space="preserve"> pre and post</w:t>
      </w:r>
      <w:r w:rsidR="00C1707B">
        <w:rPr>
          <w:rFonts w:ascii="Open Sans" w:hAnsi="Open Sans" w:cs="Open Sans"/>
          <w:sz w:val="18"/>
          <w:szCs w:val="18"/>
          <w:lang w:val="en-US"/>
        </w:rPr>
        <w:t xml:space="preserve"> </w:t>
      </w:r>
      <w:r w:rsidRPr="00C1707B">
        <w:rPr>
          <w:rFonts w:ascii="Open Sans" w:hAnsi="Open Sans" w:cs="Open Sans"/>
          <w:sz w:val="18"/>
          <w:szCs w:val="18"/>
          <w:lang w:val="en-US"/>
        </w:rPr>
        <w:t>haircut information would enable authorities to identify emerging risks on derivatives markets due to changes in the applied haircuts. On an aggregated basis, they could also be used to determine the weighted average level of haircuts applied per portfolio as well as its evolution over time”.</w:t>
      </w:r>
    </w:p>
  </w:footnote>
  <w:footnote w:id="3">
    <w:p w14:paraId="196F6171" w14:textId="77777777" w:rsidR="00163648" w:rsidRPr="00FB1736" w:rsidRDefault="00163648" w:rsidP="00163648">
      <w:pPr>
        <w:pStyle w:val="Textonotapie"/>
        <w:jc w:val="both"/>
        <w:rPr>
          <w:lang w:val="en-US"/>
        </w:rPr>
      </w:pPr>
      <w:r>
        <w:rPr>
          <w:rStyle w:val="Refdenotaalpie"/>
        </w:rPr>
        <w:footnoteRef/>
      </w:r>
      <w:r w:rsidRPr="00FB1736">
        <w:rPr>
          <w:lang w:val="en-US"/>
        </w:rPr>
        <w:t xml:space="preserve"> </w:t>
      </w:r>
      <w:r w:rsidRPr="00FB1736">
        <w:rPr>
          <w:rFonts w:cs="Arial"/>
          <w:lang w:val="en-US"/>
        </w:rPr>
        <w:t>See Recital 41 of EMIR “It is important that market participants report all details regarding derivative contracts they have entered into to trade repositories. As a result, information on the risks inherent in derivatives markets will be centrally stored and easily accessible, inter alia, to ESMA, the relevant competent authorities, the European Systemic Risk Board (ESRB) and the relevant central banks of the ESCB”</w:t>
      </w:r>
      <w:r>
        <w:rPr>
          <w:rFonts w:cs="Arial"/>
          <w:lang w:val="en-US"/>
        </w:rPr>
        <w:t xml:space="preserve"> or Recital 43 “</w:t>
      </w:r>
      <w:r w:rsidRPr="00FB1736">
        <w:rPr>
          <w:rFonts w:cs="Arial"/>
          <w:lang w:val="en-US"/>
        </w:rPr>
        <w:t>In order to allow for a comprehensive overview of the market and for assessing systemic risk, both CCP-cleared and non-CCP-cleared derivative contracts should be</w:t>
      </w:r>
      <w:r>
        <w:rPr>
          <w:rFonts w:cs="Arial"/>
          <w:lang w:val="en-US"/>
        </w:rPr>
        <w:t xml:space="preserve"> reported to trade repositories”</w:t>
      </w:r>
      <w:r w:rsidRPr="00FB1736">
        <w:rPr>
          <w:rFonts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E89F" w14:textId="77777777" w:rsidR="002C440D" w:rsidRDefault="002C44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C440D" w:rsidRDefault="002C440D">
    <w:pPr>
      <w:pStyle w:val="Encabezado"/>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F1A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C440D" w:rsidRDefault="002C440D" w:rsidP="00013CCE">
    <w:pPr>
      <w:pStyle w:val="Encabezado"/>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C440D" w:rsidRDefault="002C44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440D" w:rsidRPr="002F4496" w14:paraId="60C7474C" w14:textId="77777777" w:rsidTr="000C06C9">
      <w:trPr>
        <w:trHeight w:val="284"/>
      </w:trPr>
      <w:tc>
        <w:tcPr>
          <w:tcW w:w="8460" w:type="dxa"/>
        </w:tcPr>
        <w:p w14:paraId="54B7E7F0" w14:textId="77777777" w:rsidR="002C440D" w:rsidRPr="000C3B6D" w:rsidRDefault="002C440D" w:rsidP="000C06C9">
          <w:pPr>
            <w:pStyle w:val="00Footer"/>
            <w:rPr>
              <w:lang w:val="fr-FR"/>
            </w:rPr>
          </w:pPr>
        </w:p>
      </w:tc>
      <w:tc>
        <w:tcPr>
          <w:tcW w:w="952" w:type="dxa"/>
        </w:tcPr>
        <w:p w14:paraId="2E49D042" w14:textId="77777777" w:rsidR="002C440D" w:rsidRPr="00146B34" w:rsidRDefault="002C440D" w:rsidP="000C06C9">
          <w:pPr>
            <w:pStyle w:val="00aPagenumber"/>
            <w:rPr>
              <w:lang w:val="fr-FR"/>
            </w:rPr>
          </w:pPr>
        </w:p>
      </w:tc>
    </w:tr>
  </w:tbl>
  <w:p w14:paraId="580707D9" w14:textId="77777777" w:rsidR="002C440D" w:rsidRPr="00DB46C3" w:rsidRDefault="002C440D">
    <w:pPr>
      <w:rPr>
        <w:lang w:val="fr-FR"/>
      </w:rPr>
    </w:pPr>
  </w:p>
  <w:p w14:paraId="20C4F67C" w14:textId="77777777" w:rsidR="002C440D" w:rsidRPr="002F4496" w:rsidRDefault="002C440D">
    <w:pPr>
      <w:pStyle w:val="Encabezado"/>
      <w:rPr>
        <w:lang w:val="fr-FR"/>
      </w:rPr>
    </w:pPr>
  </w:p>
  <w:p w14:paraId="3F30C70B" w14:textId="77777777" w:rsidR="002C440D" w:rsidRPr="002F4496" w:rsidRDefault="002C440D" w:rsidP="000C06C9">
    <w:pPr>
      <w:pStyle w:val="Encabezado"/>
      <w:tabs>
        <w:tab w:val="clear" w:pos="4536"/>
        <w:tab w:val="clear" w:pos="9072"/>
        <w:tab w:val="left" w:pos="8227"/>
      </w:tabs>
      <w:rPr>
        <w:lang w:val="fr-FR"/>
      </w:rPr>
    </w:pPr>
  </w:p>
  <w:p w14:paraId="4D50BC39" w14:textId="77777777" w:rsidR="002C440D" w:rsidRPr="002F4496" w:rsidRDefault="002C440D" w:rsidP="00583885">
    <w:pPr>
      <w:pStyle w:val="Encabezado"/>
      <w:jc w:val="right"/>
      <w:rPr>
        <w:lang w:val="fr-FR"/>
      </w:rPr>
    </w:pPr>
  </w:p>
  <w:p w14:paraId="2D51BEA2" w14:textId="77777777" w:rsidR="002C440D" w:rsidRPr="002F4496" w:rsidRDefault="002C440D">
    <w:pPr>
      <w:pStyle w:val="Encabezado"/>
      <w:rPr>
        <w:lang w:val="fr-FR"/>
      </w:rPr>
    </w:pPr>
  </w:p>
  <w:p w14:paraId="340B2438" w14:textId="77777777" w:rsidR="002C440D" w:rsidRPr="002F4496" w:rsidRDefault="002C440D">
    <w:pPr>
      <w:pStyle w:val="Encabezado"/>
      <w:rPr>
        <w:lang w:val="fr-FR"/>
      </w:rPr>
    </w:pPr>
  </w:p>
  <w:p w14:paraId="2A794A3E" w14:textId="77777777" w:rsidR="002C440D" w:rsidRPr="002F4496" w:rsidRDefault="002C440D">
    <w:pPr>
      <w:pStyle w:val="Encabezado"/>
      <w:rPr>
        <w:lang w:val="fr-FR"/>
      </w:rPr>
    </w:pPr>
  </w:p>
  <w:p w14:paraId="0A21F475" w14:textId="77777777" w:rsidR="002C440D" w:rsidRPr="002F4496" w:rsidRDefault="002C440D">
    <w:pPr>
      <w:pStyle w:val="Encabezado"/>
      <w:rPr>
        <w:highlight w:val="yellow"/>
        <w:lang w:val="fr-FR"/>
      </w:rPr>
    </w:pPr>
  </w:p>
  <w:p w14:paraId="53ABEE5D" w14:textId="77777777" w:rsidR="002C440D" w:rsidRDefault="002C440D">
    <w:pPr>
      <w:pStyle w:val="Encabezado"/>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80F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8"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342BA"/>
    <w:multiLevelType w:val="hybridMultilevel"/>
    <w:tmpl w:val="18DE7142"/>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A504C"/>
    <w:multiLevelType w:val="hybridMultilevel"/>
    <w:tmpl w:val="F93627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C8359A"/>
    <w:multiLevelType w:val="hybridMultilevel"/>
    <w:tmpl w:val="378446BC"/>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935CF"/>
    <w:multiLevelType w:val="hybridMultilevel"/>
    <w:tmpl w:val="42E0F064"/>
    <w:lvl w:ilvl="0" w:tplc="0C0A0001">
      <w:start w:val="1"/>
      <w:numFmt w:val="bullet"/>
      <w:lvlText w:val=""/>
      <w:lvlJc w:val="left"/>
      <w:pPr>
        <w:ind w:left="153" w:hanging="360"/>
      </w:pPr>
      <w:rPr>
        <w:rFonts w:ascii="Symbol" w:hAnsi="Symbol" w:hint="default"/>
      </w:rPr>
    </w:lvl>
    <w:lvl w:ilvl="1" w:tplc="0C0A0003">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7914173"/>
    <w:multiLevelType w:val="hybridMultilevel"/>
    <w:tmpl w:val="BC3A7D08"/>
    <w:lvl w:ilvl="0" w:tplc="2000000F">
      <w:start w:val="1"/>
      <w:numFmt w:val="decimal"/>
      <w:lvlText w:val="%1."/>
      <w:lvlJc w:val="left"/>
      <w:pPr>
        <w:ind w:left="1069" w:hanging="360"/>
      </w:pPr>
      <w:rPr>
        <w:rFonts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8"/>
  </w:num>
  <w:num w:numId="5">
    <w:abstractNumId w:val="30"/>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2"/>
  </w:num>
  <w:num w:numId="16">
    <w:abstractNumId w:val="1"/>
  </w:num>
  <w:num w:numId="17">
    <w:abstractNumId w:val="18"/>
  </w:num>
  <w:num w:numId="18">
    <w:abstractNumId w:val="19"/>
  </w:num>
  <w:num w:numId="19">
    <w:abstractNumId w:val="21"/>
  </w:num>
  <w:num w:numId="20">
    <w:abstractNumId w:val="31"/>
  </w:num>
  <w:num w:numId="21">
    <w:abstractNumId w:val="41"/>
  </w:num>
  <w:num w:numId="22">
    <w:abstractNumId w:val="29"/>
  </w:num>
  <w:num w:numId="23">
    <w:abstractNumId w:val="11"/>
  </w:num>
  <w:num w:numId="24">
    <w:abstractNumId w:val="34"/>
  </w:num>
  <w:num w:numId="25">
    <w:abstractNumId w:val="33"/>
  </w:num>
  <w:num w:numId="26">
    <w:abstractNumId w:val="23"/>
  </w:num>
  <w:num w:numId="27">
    <w:abstractNumId w:val="37"/>
  </w:num>
  <w:num w:numId="28">
    <w:abstractNumId w:val="45"/>
  </w:num>
  <w:num w:numId="29">
    <w:abstractNumId w:val="9"/>
  </w:num>
  <w:num w:numId="30">
    <w:abstractNumId w:val="3"/>
  </w:num>
  <w:num w:numId="31">
    <w:abstractNumId w:val="26"/>
  </w:num>
  <w:num w:numId="32">
    <w:abstractNumId w:val="24"/>
  </w:num>
  <w:num w:numId="33">
    <w:abstractNumId w:val="39"/>
  </w:num>
  <w:num w:numId="34">
    <w:abstractNumId w:val="38"/>
  </w:num>
  <w:num w:numId="35">
    <w:abstractNumId w:val="6"/>
  </w:num>
  <w:num w:numId="36">
    <w:abstractNumId w:val="40"/>
  </w:num>
  <w:num w:numId="37">
    <w:abstractNumId w:val="24"/>
    <w:lvlOverride w:ilvl="0">
      <w:startOverride w:val="1"/>
    </w:lvlOverride>
  </w:num>
  <w:num w:numId="38">
    <w:abstractNumId w:val="24"/>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
  </w:num>
  <w:num w:numId="45">
    <w:abstractNumId w:val="2"/>
  </w:num>
  <w:num w:numId="46">
    <w:abstractNumId w:val="25"/>
  </w:num>
  <w:num w:numId="47">
    <w:abstractNumId w:val="15"/>
  </w:num>
  <w:num w:numId="48">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3EE4"/>
    <w:rsid w:val="00004BF9"/>
    <w:rsid w:val="00005BBA"/>
    <w:rsid w:val="00005D8C"/>
    <w:rsid w:val="00006C2B"/>
    <w:rsid w:val="00007014"/>
    <w:rsid w:val="00007968"/>
    <w:rsid w:val="0001067A"/>
    <w:rsid w:val="00013CCE"/>
    <w:rsid w:val="0001408C"/>
    <w:rsid w:val="000140D5"/>
    <w:rsid w:val="0001410B"/>
    <w:rsid w:val="000141D6"/>
    <w:rsid w:val="00014A95"/>
    <w:rsid w:val="00015B5E"/>
    <w:rsid w:val="00015C24"/>
    <w:rsid w:val="00015F1D"/>
    <w:rsid w:val="0001774B"/>
    <w:rsid w:val="00020D0F"/>
    <w:rsid w:val="000215EB"/>
    <w:rsid w:val="00021E83"/>
    <w:rsid w:val="00023713"/>
    <w:rsid w:val="00023C4D"/>
    <w:rsid w:val="00023FCB"/>
    <w:rsid w:val="00025E71"/>
    <w:rsid w:val="00026226"/>
    <w:rsid w:val="00026269"/>
    <w:rsid w:val="00027154"/>
    <w:rsid w:val="00027ECF"/>
    <w:rsid w:val="000303BE"/>
    <w:rsid w:val="000344D6"/>
    <w:rsid w:val="00034960"/>
    <w:rsid w:val="00036FAE"/>
    <w:rsid w:val="0004124D"/>
    <w:rsid w:val="00041858"/>
    <w:rsid w:val="0004389E"/>
    <w:rsid w:val="00045CA6"/>
    <w:rsid w:val="00045DA1"/>
    <w:rsid w:val="000463A6"/>
    <w:rsid w:val="00046CC9"/>
    <w:rsid w:val="00046E91"/>
    <w:rsid w:val="00047350"/>
    <w:rsid w:val="000502FE"/>
    <w:rsid w:val="0005126D"/>
    <w:rsid w:val="00051992"/>
    <w:rsid w:val="00051E9A"/>
    <w:rsid w:val="000521A7"/>
    <w:rsid w:val="00052F47"/>
    <w:rsid w:val="000533CB"/>
    <w:rsid w:val="000537BB"/>
    <w:rsid w:val="0005399B"/>
    <w:rsid w:val="00054DE6"/>
    <w:rsid w:val="000557F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86C"/>
    <w:rsid w:val="0007463D"/>
    <w:rsid w:val="00074979"/>
    <w:rsid w:val="000749F0"/>
    <w:rsid w:val="0007609D"/>
    <w:rsid w:val="00077C67"/>
    <w:rsid w:val="00080976"/>
    <w:rsid w:val="00081CEB"/>
    <w:rsid w:val="00081E60"/>
    <w:rsid w:val="00082014"/>
    <w:rsid w:val="00082D8E"/>
    <w:rsid w:val="00082E31"/>
    <w:rsid w:val="00083AA3"/>
    <w:rsid w:val="00085947"/>
    <w:rsid w:val="000868FE"/>
    <w:rsid w:val="00086E42"/>
    <w:rsid w:val="000878D1"/>
    <w:rsid w:val="00087FE3"/>
    <w:rsid w:val="000921AE"/>
    <w:rsid w:val="000921D7"/>
    <w:rsid w:val="000925FF"/>
    <w:rsid w:val="000932E0"/>
    <w:rsid w:val="00094853"/>
    <w:rsid w:val="00094C4C"/>
    <w:rsid w:val="0009525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014C"/>
    <w:rsid w:val="000B275C"/>
    <w:rsid w:val="000B2C3D"/>
    <w:rsid w:val="000B2F6E"/>
    <w:rsid w:val="000B46EB"/>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D7F08"/>
    <w:rsid w:val="000E0223"/>
    <w:rsid w:val="000E0CF3"/>
    <w:rsid w:val="000E18A8"/>
    <w:rsid w:val="000E1AEC"/>
    <w:rsid w:val="000E1F88"/>
    <w:rsid w:val="000E3937"/>
    <w:rsid w:val="000E4926"/>
    <w:rsid w:val="000E49B7"/>
    <w:rsid w:val="000E524B"/>
    <w:rsid w:val="000E5F7F"/>
    <w:rsid w:val="000E7086"/>
    <w:rsid w:val="000E7C65"/>
    <w:rsid w:val="000E7D67"/>
    <w:rsid w:val="000F04D2"/>
    <w:rsid w:val="000F55B7"/>
    <w:rsid w:val="000F604F"/>
    <w:rsid w:val="000F7399"/>
    <w:rsid w:val="000F7414"/>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38D"/>
    <w:rsid w:val="0012566F"/>
    <w:rsid w:val="001262B1"/>
    <w:rsid w:val="00130F41"/>
    <w:rsid w:val="00130FAF"/>
    <w:rsid w:val="00133EAE"/>
    <w:rsid w:val="00135F2B"/>
    <w:rsid w:val="001372DD"/>
    <w:rsid w:val="001405BA"/>
    <w:rsid w:val="00141497"/>
    <w:rsid w:val="00142526"/>
    <w:rsid w:val="0014253A"/>
    <w:rsid w:val="001425C8"/>
    <w:rsid w:val="001429E6"/>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648"/>
    <w:rsid w:val="001638D4"/>
    <w:rsid w:val="00163E8A"/>
    <w:rsid w:val="00164203"/>
    <w:rsid w:val="00164664"/>
    <w:rsid w:val="00164F15"/>
    <w:rsid w:val="001651A4"/>
    <w:rsid w:val="0016552B"/>
    <w:rsid w:val="00166B04"/>
    <w:rsid w:val="001670A6"/>
    <w:rsid w:val="001673AD"/>
    <w:rsid w:val="001701FA"/>
    <w:rsid w:val="00171183"/>
    <w:rsid w:val="001725A5"/>
    <w:rsid w:val="00172681"/>
    <w:rsid w:val="00173AC7"/>
    <w:rsid w:val="001745D7"/>
    <w:rsid w:val="00175754"/>
    <w:rsid w:val="00176982"/>
    <w:rsid w:val="0017701C"/>
    <w:rsid w:val="00180FAE"/>
    <w:rsid w:val="00181264"/>
    <w:rsid w:val="00181BD1"/>
    <w:rsid w:val="0018204A"/>
    <w:rsid w:val="0018224D"/>
    <w:rsid w:val="00182F7C"/>
    <w:rsid w:val="001843B5"/>
    <w:rsid w:val="00184FF8"/>
    <w:rsid w:val="00186829"/>
    <w:rsid w:val="001868CA"/>
    <w:rsid w:val="00187304"/>
    <w:rsid w:val="001875BE"/>
    <w:rsid w:val="0019017A"/>
    <w:rsid w:val="00190B8C"/>
    <w:rsid w:val="00190E32"/>
    <w:rsid w:val="00190FF8"/>
    <w:rsid w:val="0019311A"/>
    <w:rsid w:val="0019508A"/>
    <w:rsid w:val="001960D8"/>
    <w:rsid w:val="001A1642"/>
    <w:rsid w:val="001A27D1"/>
    <w:rsid w:val="001A371B"/>
    <w:rsid w:val="001A4093"/>
    <w:rsid w:val="001A4766"/>
    <w:rsid w:val="001A4B57"/>
    <w:rsid w:val="001A6A0D"/>
    <w:rsid w:val="001A6C51"/>
    <w:rsid w:val="001A6FAA"/>
    <w:rsid w:val="001A7D73"/>
    <w:rsid w:val="001B0363"/>
    <w:rsid w:val="001B1355"/>
    <w:rsid w:val="001B2FC9"/>
    <w:rsid w:val="001B3138"/>
    <w:rsid w:val="001B3B24"/>
    <w:rsid w:val="001B4E4B"/>
    <w:rsid w:val="001B50AC"/>
    <w:rsid w:val="001B5E05"/>
    <w:rsid w:val="001B6D68"/>
    <w:rsid w:val="001B6F2E"/>
    <w:rsid w:val="001C0344"/>
    <w:rsid w:val="001C0F2A"/>
    <w:rsid w:val="001C1A59"/>
    <w:rsid w:val="001C26EE"/>
    <w:rsid w:val="001C270F"/>
    <w:rsid w:val="001C4679"/>
    <w:rsid w:val="001C530F"/>
    <w:rsid w:val="001C5770"/>
    <w:rsid w:val="001C6195"/>
    <w:rsid w:val="001C76FA"/>
    <w:rsid w:val="001D000A"/>
    <w:rsid w:val="001D0883"/>
    <w:rsid w:val="001D2205"/>
    <w:rsid w:val="001D3A1F"/>
    <w:rsid w:val="001D3FB6"/>
    <w:rsid w:val="001D4550"/>
    <w:rsid w:val="001D5498"/>
    <w:rsid w:val="001D5BAF"/>
    <w:rsid w:val="001D6401"/>
    <w:rsid w:val="001D66C9"/>
    <w:rsid w:val="001D722A"/>
    <w:rsid w:val="001E04FC"/>
    <w:rsid w:val="001E31B9"/>
    <w:rsid w:val="001E407D"/>
    <w:rsid w:val="001E40FB"/>
    <w:rsid w:val="001E66EC"/>
    <w:rsid w:val="001E68C5"/>
    <w:rsid w:val="001F0F63"/>
    <w:rsid w:val="001F3996"/>
    <w:rsid w:val="001F44A4"/>
    <w:rsid w:val="001F4F6B"/>
    <w:rsid w:val="001F579D"/>
    <w:rsid w:val="001F5AF8"/>
    <w:rsid w:val="001F65EF"/>
    <w:rsid w:val="001F697B"/>
    <w:rsid w:val="002005A6"/>
    <w:rsid w:val="00200609"/>
    <w:rsid w:val="00201467"/>
    <w:rsid w:val="00204CBC"/>
    <w:rsid w:val="00204E15"/>
    <w:rsid w:val="002051F1"/>
    <w:rsid w:val="002067BA"/>
    <w:rsid w:val="002100AC"/>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A56"/>
    <w:rsid w:val="00245FB4"/>
    <w:rsid w:val="00250898"/>
    <w:rsid w:val="00250E70"/>
    <w:rsid w:val="00251EA9"/>
    <w:rsid w:val="00252082"/>
    <w:rsid w:val="00252843"/>
    <w:rsid w:val="002543F8"/>
    <w:rsid w:val="0025497A"/>
    <w:rsid w:val="002551A4"/>
    <w:rsid w:val="002559F3"/>
    <w:rsid w:val="0025634A"/>
    <w:rsid w:val="00256DFE"/>
    <w:rsid w:val="00261D56"/>
    <w:rsid w:val="00261FD3"/>
    <w:rsid w:val="00263505"/>
    <w:rsid w:val="00264077"/>
    <w:rsid w:val="00266B9A"/>
    <w:rsid w:val="00270E54"/>
    <w:rsid w:val="00272AD3"/>
    <w:rsid w:val="00273537"/>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6D6"/>
    <w:rsid w:val="0028796B"/>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C16"/>
    <w:rsid w:val="002A3DE0"/>
    <w:rsid w:val="002A40EA"/>
    <w:rsid w:val="002A46E8"/>
    <w:rsid w:val="002A491C"/>
    <w:rsid w:val="002A4C8E"/>
    <w:rsid w:val="002B1585"/>
    <w:rsid w:val="002B1E18"/>
    <w:rsid w:val="002B1FEF"/>
    <w:rsid w:val="002B2DF8"/>
    <w:rsid w:val="002B354F"/>
    <w:rsid w:val="002B3614"/>
    <w:rsid w:val="002B45D1"/>
    <w:rsid w:val="002B4ED8"/>
    <w:rsid w:val="002B4FAA"/>
    <w:rsid w:val="002B52C2"/>
    <w:rsid w:val="002B7656"/>
    <w:rsid w:val="002C0642"/>
    <w:rsid w:val="002C1492"/>
    <w:rsid w:val="002C1E8B"/>
    <w:rsid w:val="002C2EFE"/>
    <w:rsid w:val="002C440D"/>
    <w:rsid w:val="002C53AA"/>
    <w:rsid w:val="002C5B2D"/>
    <w:rsid w:val="002C6AF9"/>
    <w:rsid w:val="002C7DFC"/>
    <w:rsid w:val="002D08B8"/>
    <w:rsid w:val="002D14F3"/>
    <w:rsid w:val="002D16E4"/>
    <w:rsid w:val="002D2FEF"/>
    <w:rsid w:val="002D36C2"/>
    <w:rsid w:val="002D3FCB"/>
    <w:rsid w:val="002D4FEF"/>
    <w:rsid w:val="002D502D"/>
    <w:rsid w:val="002D5FA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23DE"/>
    <w:rsid w:val="002F4139"/>
    <w:rsid w:val="00300624"/>
    <w:rsid w:val="00300F56"/>
    <w:rsid w:val="00301006"/>
    <w:rsid w:val="00301C2B"/>
    <w:rsid w:val="003044E0"/>
    <w:rsid w:val="00304A71"/>
    <w:rsid w:val="003066C8"/>
    <w:rsid w:val="0030739D"/>
    <w:rsid w:val="00307AFB"/>
    <w:rsid w:val="00311184"/>
    <w:rsid w:val="00311E05"/>
    <w:rsid w:val="00312675"/>
    <w:rsid w:val="00313AB2"/>
    <w:rsid w:val="00314013"/>
    <w:rsid w:val="00314945"/>
    <w:rsid w:val="00315389"/>
    <w:rsid w:val="00315746"/>
    <w:rsid w:val="00315E96"/>
    <w:rsid w:val="00315FD6"/>
    <w:rsid w:val="00317FC8"/>
    <w:rsid w:val="003223D7"/>
    <w:rsid w:val="00323D9F"/>
    <w:rsid w:val="00324FDB"/>
    <w:rsid w:val="00325DEF"/>
    <w:rsid w:val="00325F48"/>
    <w:rsid w:val="0033194F"/>
    <w:rsid w:val="00332304"/>
    <w:rsid w:val="00332406"/>
    <w:rsid w:val="00332A90"/>
    <w:rsid w:val="00332D8D"/>
    <w:rsid w:val="00334005"/>
    <w:rsid w:val="00336B56"/>
    <w:rsid w:val="0034120E"/>
    <w:rsid w:val="00341B25"/>
    <w:rsid w:val="00341EC0"/>
    <w:rsid w:val="0034240C"/>
    <w:rsid w:val="00342847"/>
    <w:rsid w:val="00344496"/>
    <w:rsid w:val="00344626"/>
    <w:rsid w:val="00345968"/>
    <w:rsid w:val="003460FD"/>
    <w:rsid w:val="00347667"/>
    <w:rsid w:val="00350485"/>
    <w:rsid w:val="003507E2"/>
    <w:rsid w:val="003522B2"/>
    <w:rsid w:val="0035455E"/>
    <w:rsid w:val="00354A6F"/>
    <w:rsid w:val="00354B48"/>
    <w:rsid w:val="00355789"/>
    <w:rsid w:val="003609B6"/>
    <w:rsid w:val="00361119"/>
    <w:rsid w:val="0036538D"/>
    <w:rsid w:val="00365D12"/>
    <w:rsid w:val="003663FF"/>
    <w:rsid w:val="00366E20"/>
    <w:rsid w:val="0037018D"/>
    <w:rsid w:val="00372299"/>
    <w:rsid w:val="0037269F"/>
    <w:rsid w:val="00372F02"/>
    <w:rsid w:val="00373729"/>
    <w:rsid w:val="00373C91"/>
    <w:rsid w:val="003748F0"/>
    <w:rsid w:val="003755C6"/>
    <w:rsid w:val="00375AEF"/>
    <w:rsid w:val="00376367"/>
    <w:rsid w:val="00376B02"/>
    <w:rsid w:val="0037733A"/>
    <w:rsid w:val="003776DC"/>
    <w:rsid w:val="003779C1"/>
    <w:rsid w:val="00380FEC"/>
    <w:rsid w:val="00381226"/>
    <w:rsid w:val="00381832"/>
    <w:rsid w:val="00381B1B"/>
    <w:rsid w:val="00381FF6"/>
    <w:rsid w:val="0038315B"/>
    <w:rsid w:val="00383A71"/>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2CA9"/>
    <w:rsid w:val="003B381A"/>
    <w:rsid w:val="003B4976"/>
    <w:rsid w:val="003B4B3F"/>
    <w:rsid w:val="003B6258"/>
    <w:rsid w:val="003B7A99"/>
    <w:rsid w:val="003C0343"/>
    <w:rsid w:val="003C1716"/>
    <w:rsid w:val="003C1C32"/>
    <w:rsid w:val="003C214E"/>
    <w:rsid w:val="003C2760"/>
    <w:rsid w:val="003C40DA"/>
    <w:rsid w:val="003C4117"/>
    <w:rsid w:val="003C42BA"/>
    <w:rsid w:val="003C462F"/>
    <w:rsid w:val="003C4A02"/>
    <w:rsid w:val="003C4F05"/>
    <w:rsid w:val="003C6191"/>
    <w:rsid w:val="003C6E49"/>
    <w:rsid w:val="003D071F"/>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0CF9"/>
    <w:rsid w:val="003F1094"/>
    <w:rsid w:val="003F2E45"/>
    <w:rsid w:val="003F3EFE"/>
    <w:rsid w:val="003F40B8"/>
    <w:rsid w:val="003F4169"/>
    <w:rsid w:val="003F5C06"/>
    <w:rsid w:val="003F78C9"/>
    <w:rsid w:val="00400195"/>
    <w:rsid w:val="004018A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D71"/>
    <w:rsid w:val="0043453F"/>
    <w:rsid w:val="00434A74"/>
    <w:rsid w:val="00437929"/>
    <w:rsid w:val="00437A4A"/>
    <w:rsid w:val="00440541"/>
    <w:rsid w:val="0044162D"/>
    <w:rsid w:val="0044277A"/>
    <w:rsid w:val="004434EF"/>
    <w:rsid w:val="00443F23"/>
    <w:rsid w:val="004456DC"/>
    <w:rsid w:val="00447FBE"/>
    <w:rsid w:val="0045035E"/>
    <w:rsid w:val="0045175A"/>
    <w:rsid w:val="00451ED9"/>
    <w:rsid w:val="00452180"/>
    <w:rsid w:val="00453072"/>
    <w:rsid w:val="004539F8"/>
    <w:rsid w:val="00453F26"/>
    <w:rsid w:val="00454173"/>
    <w:rsid w:val="0045503F"/>
    <w:rsid w:val="00455273"/>
    <w:rsid w:val="00460905"/>
    <w:rsid w:val="00461E35"/>
    <w:rsid w:val="004621DB"/>
    <w:rsid w:val="004634A7"/>
    <w:rsid w:val="00463787"/>
    <w:rsid w:val="004668FA"/>
    <w:rsid w:val="00466926"/>
    <w:rsid w:val="00466FDA"/>
    <w:rsid w:val="004671D0"/>
    <w:rsid w:val="004674D1"/>
    <w:rsid w:val="00470773"/>
    <w:rsid w:val="004717E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896"/>
    <w:rsid w:val="00497B44"/>
    <w:rsid w:val="004A00E5"/>
    <w:rsid w:val="004A01A7"/>
    <w:rsid w:val="004A0D09"/>
    <w:rsid w:val="004A116E"/>
    <w:rsid w:val="004A357F"/>
    <w:rsid w:val="004A3DAD"/>
    <w:rsid w:val="004A4DC4"/>
    <w:rsid w:val="004B0335"/>
    <w:rsid w:val="004B0F1C"/>
    <w:rsid w:val="004B1E61"/>
    <w:rsid w:val="004B21AB"/>
    <w:rsid w:val="004B2B14"/>
    <w:rsid w:val="004B4963"/>
    <w:rsid w:val="004B59E0"/>
    <w:rsid w:val="004B667B"/>
    <w:rsid w:val="004B6FB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635"/>
    <w:rsid w:val="004D4F57"/>
    <w:rsid w:val="004D50F6"/>
    <w:rsid w:val="004D5A0D"/>
    <w:rsid w:val="004D64F8"/>
    <w:rsid w:val="004D6679"/>
    <w:rsid w:val="004D6F50"/>
    <w:rsid w:val="004D7910"/>
    <w:rsid w:val="004D7DEA"/>
    <w:rsid w:val="004E0A28"/>
    <w:rsid w:val="004E0B76"/>
    <w:rsid w:val="004E1A0F"/>
    <w:rsid w:val="004E2E89"/>
    <w:rsid w:val="004E304E"/>
    <w:rsid w:val="004E33C2"/>
    <w:rsid w:val="004E3B9A"/>
    <w:rsid w:val="004E49B0"/>
    <w:rsid w:val="004E508F"/>
    <w:rsid w:val="004E5D62"/>
    <w:rsid w:val="004E62DE"/>
    <w:rsid w:val="004E6B05"/>
    <w:rsid w:val="004E76A1"/>
    <w:rsid w:val="004F05DE"/>
    <w:rsid w:val="004F6376"/>
    <w:rsid w:val="004F6A93"/>
    <w:rsid w:val="004F6F14"/>
    <w:rsid w:val="004F728D"/>
    <w:rsid w:val="004F76D9"/>
    <w:rsid w:val="004F79A6"/>
    <w:rsid w:val="004F7B49"/>
    <w:rsid w:val="00501BF5"/>
    <w:rsid w:val="00501D8B"/>
    <w:rsid w:val="0050339D"/>
    <w:rsid w:val="00503A3E"/>
    <w:rsid w:val="00503F59"/>
    <w:rsid w:val="005049A7"/>
    <w:rsid w:val="005053B2"/>
    <w:rsid w:val="00506331"/>
    <w:rsid w:val="005071BE"/>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15D"/>
    <w:rsid w:val="00542297"/>
    <w:rsid w:val="005424BC"/>
    <w:rsid w:val="00542A28"/>
    <w:rsid w:val="00543FD6"/>
    <w:rsid w:val="005441D4"/>
    <w:rsid w:val="00544518"/>
    <w:rsid w:val="005460EC"/>
    <w:rsid w:val="0054672D"/>
    <w:rsid w:val="00550F4E"/>
    <w:rsid w:val="00551E98"/>
    <w:rsid w:val="00551EA1"/>
    <w:rsid w:val="005532B5"/>
    <w:rsid w:val="00554A05"/>
    <w:rsid w:val="00555849"/>
    <w:rsid w:val="005559A8"/>
    <w:rsid w:val="00557048"/>
    <w:rsid w:val="00557164"/>
    <w:rsid w:val="00557FB5"/>
    <w:rsid w:val="005617CB"/>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E0"/>
    <w:rsid w:val="005825F2"/>
    <w:rsid w:val="00583885"/>
    <w:rsid w:val="005860AF"/>
    <w:rsid w:val="00587F1D"/>
    <w:rsid w:val="00590348"/>
    <w:rsid w:val="00591161"/>
    <w:rsid w:val="00591CDF"/>
    <w:rsid w:val="00592318"/>
    <w:rsid w:val="00593133"/>
    <w:rsid w:val="0059575D"/>
    <w:rsid w:val="00596825"/>
    <w:rsid w:val="00597139"/>
    <w:rsid w:val="005A06A0"/>
    <w:rsid w:val="005A150A"/>
    <w:rsid w:val="005A2B3E"/>
    <w:rsid w:val="005A3644"/>
    <w:rsid w:val="005A4087"/>
    <w:rsid w:val="005A4B18"/>
    <w:rsid w:val="005A537E"/>
    <w:rsid w:val="005A6F43"/>
    <w:rsid w:val="005A767D"/>
    <w:rsid w:val="005A7DFB"/>
    <w:rsid w:val="005B00F1"/>
    <w:rsid w:val="005B0CE7"/>
    <w:rsid w:val="005B10E2"/>
    <w:rsid w:val="005B1803"/>
    <w:rsid w:val="005B4079"/>
    <w:rsid w:val="005B428E"/>
    <w:rsid w:val="005B5107"/>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D7ED7"/>
    <w:rsid w:val="005E0481"/>
    <w:rsid w:val="005E10BF"/>
    <w:rsid w:val="005E1323"/>
    <w:rsid w:val="005E1834"/>
    <w:rsid w:val="005E340F"/>
    <w:rsid w:val="005E49E5"/>
    <w:rsid w:val="005E4F92"/>
    <w:rsid w:val="005E5481"/>
    <w:rsid w:val="005E55E4"/>
    <w:rsid w:val="005E6C5F"/>
    <w:rsid w:val="005E7636"/>
    <w:rsid w:val="005F028E"/>
    <w:rsid w:val="005F04B4"/>
    <w:rsid w:val="005F11A4"/>
    <w:rsid w:val="005F19F8"/>
    <w:rsid w:val="005F3FB1"/>
    <w:rsid w:val="005F4C33"/>
    <w:rsid w:val="005F5ACF"/>
    <w:rsid w:val="005F60DC"/>
    <w:rsid w:val="005F6D9F"/>
    <w:rsid w:val="006000DD"/>
    <w:rsid w:val="00600F63"/>
    <w:rsid w:val="006012E1"/>
    <w:rsid w:val="00602253"/>
    <w:rsid w:val="006023E1"/>
    <w:rsid w:val="00605531"/>
    <w:rsid w:val="00605748"/>
    <w:rsid w:val="00605C44"/>
    <w:rsid w:val="00606240"/>
    <w:rsid w:val="0060674A"/>
    <w:rsid w:val="00606F77"/>
    <w:rsid w:val="00607832"/>
    <w:rsid w:val="0060784B"/>
    <w:rsid w:val="00607B74"/>
    <w:rsid w:val="00610254"/>
    <w:rsid w:val="006105FB"/>
    <w:rsid w:val="00610F94"/>
    <w:rsid w:val="00611293"/>
    <w:rsid w:val="00611307"/>
    <w:rsid w:val="0061135E"/>
    <w:rsid w:val="0061263A"/>
    <w:rsid w:val="00612C41"/>
    <w:rsid w:val="006145DE"/>
    <w:rsid w:val="0061478E"/>
    <w:rsid w:val="00614F25"/>
    <w:rsid w:val="00616A11"/>
    <w:rsid w:val="00616B9B"/>
    <w:rsid w:val="00617520"/>
    <w:rsid w:val="0062022D"/>
    <w:rsid w:val="00620D7C"/>
    <w:rsid w:val="00621089"/>
    <w:rsid w:val="006212E1"/>
    <w:rsid w:val="00621E1F"/>
    <w:rsid w:val="006228B2"/>
    <w:rsid w:val="006228E1"/>
    <w:rsid w:val="00622E32"/>
    <w:rsid w:val="00623688"/>
    <w:rsid w:val="00623BF8"/>
    <w:rsid w:val="006247E0"/>
    <w:rsid w:val="006250F5"/>
    <w:rsid w:val="0062585A"/>
    <w:rsid w:val="00625F82"/>
    <w:rsid w:val="00627999"/>
    <w:rsid w:val="00630FF7"/>
    <w:rsid w:val="00633433"/>
    <w:rsid w:val="006341B5"/>
    <w:rsid w:val="00634391"/>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9AB"/>
    <w:rsid w:val="00652BBD"/>
    <w:rsid w:val="0065354A"/>
    <w:rsid w:val="00653633"/>
    <w:rsid w:val="00653F69"/>
    <w:rsid w:val="00654936"/>
    <w:rsid w:val="00655485"/>
    <w:rsid w:val="006558B3"/>
    <w:rsid w:val="00660BF0"/>
    <w:rsid w:val="0066189C"/>
    <w:rsid w:val="006630CF"/>
    <w:rsid w:val="00663EFF"/>
    <w:rsid w:val="00664FFB"/>
    <w:rsid w:val="006664B0"/>
    <w:rsid w:val="00666F74"/>
    <w:rsid w:val="00667FEA"/>
    <w:rsid w:val="006710D2"/>
    <w:rsid w:val="00671A8B"/>
    <w:rsid w:val="00671F53"/>
    <w:rsid w:val="006725A0"/>
    <w:rsid w:val="00674628"/>
    <w:rsid w:val="00674FDE"/>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EA8"/>
    <w:rsid w:val="006A2CA2"/>
    <w:rsid w:val="006A4A3B"/>
    <w:rsid w:val="006A5DF2"/>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255"/>
    <w:rsid w:val="006D399F"/>
    <w:rsid w:val="006D4F0C"/>
    <w:rsid w:val="006D5645"/>
    <w:rsid w:val="006E0C8A"/>
    <w:rsid w:val="006E2A23"/>
    <w:rsid w:val="006E35E5"/>
    <w:rsid w:val="006E3C72"/>
    <w:rsid w:val="006E4F20"/>
    <w:rsid w:val="006E649A"/>
    <w:rsid w:val="006E6A88"/>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F46"/>
    <w:rsid w:val="007151A2"/>
    <w:rsid w:val="00716774"/>
    <w:rsid w:val="0071740A"/>
    <w:rsid w:val="007209DD"/>
    <w:rsid w:val="00722D35"/>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22F"/>
    <w:rsid w:val="00736431"/>
    <w:rsid w:val="00736651"/>
    <w:rsid w:val="0073673C"/>
    <w:rsid w:val="00736935"/>
    <w:rsid w:val="00736AC4"/>
    <w:rsid w:val="00743DE7"/>
    <w:rsid w:val="0074509E"/>
    <w:rsid w:val="00745B9F"/>
    <w:rsid w:val="007470A4"/>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11"/>
    <w:rsid w:val="00766F4D"/>
    <w:rsid w:val="00766F80"/>
    <w:rsid w:val="00770268"/>
    <w:rsid w:val="007706B9"/>
    <w:rsid w:val="007707ED"/>
    <w:rsid w:val="0077166E"/>
    <w:rsid w:val="007716DA"/>
    <w:rsid w:val="00771C3B"/>
    <w:rsid w:val="007726F9"/>
    <w:rsid w:val="00773B94"/>
    <w:rsid w:val="00773C65"/>
    <w:rsid w:val="00775937"/>
    <w:rsid w:val="00777046"/>
    <w:rsid w:val="007770DA"/>
    <w:rsid w:val="007805B9"/>
    <w:rsid w:val="00780C3A"/>
    <w:rsid w:val="007834A1"/>
    <w:rsid w:val="00791EB4"/>
    <w:rsid w:val="00792711"/>
    <w:rsid w:val="007928F1"/>
    <w:rsid w:val="0079357D"/>
    <w:rsid w:val="007937CC"/>
    <w:rsid w:val="00793A31"/>
    <w:rsid w:val="0079485D"/>
    <w:rsid w:val="00794979"/>
    <w:rsid w:val="007956B7"/>
    <w:rsid w:val="00795F1A"/>
    <w:rsid w:val="00796EB0"/>
    <w:rsid w:val="00796EDE"/>
    <w:rsid w:val="00797297"/>
    <w:rsid w:val="007974B3"/>
    <w:rsid w:val="00797875"/>
    <w:rsid w:val="007A076C"/>
    <w:rsid w:val="007A2140"/>
    <w:rsid w:val="007A23E2"/>
    <w:rsid w:val="007A31A5"/>
    <w:rsid w:val="007A411B"/>
    <w:rsid w:val="007A45E6"/>
    <w:rsid w:val="007A4619"/>
    <w:rsid w:val="007A4B28"/>
    <w:rsid w:val="007A5C2C"/>
    <w:rsid w:val="007A7678"/>
    <w:rsid w:val="007B0CD8"/>
    <w:rsid w:val="007B0DE0"/>
    <w:rsid w:val="007B21DE"/>
    <w:rsid w:val="007B2BB9"/>
    <w:rsid w:val="007B43E8"/>
    <w:rsid w:val="007B4740"/>
    <w:rsid w:val="007B4CE9"/>
    <w:rsid w:val="007B502C"/>
    <w:rsid w:val="007B5F3B"/>
    <w:rsid w:val="007C02B0"/>
    <w:rsid w:val="007C063E"/>
    <w:rsid w:val="007C1901"/>
    <w:rsid w:val="007C254D"/>
    <w:rsid w:val="007C352A"/>
    <w:rsid w:val="007C49C0"/>
    <w:rsid w:val="007C55C1"/>
    <w:rsid w:val="007C5738"/>
    <w:rsid w:val="007C5772"/>
    <w:rsid w:val="007C5AC3"/>
    <w:rsid w:val="007C7233"/>
    <w:rsid w:val="007D10EE"/>
    <w:rsid w:val="007D1193"/>
    <w:rsid w:val="007D133C"/>
    <w:rsid w:val="007D21D5"/>
    <w:rsid w:val="007D3E8D"/>
    <w:rsid w:val="007D433A"/>
    <w:rsid w:val="007D5915"/>
    <w:rsid w:val="007D5B4F"/>
    <w:rsid w:val="007D5C30"/>
    <w:rsid w:val="007E0660"/>
    <w:rsid w:val="007E1411"/>
    <w:rsid w:val="007E1882"/>
    <w:rsid w:val="007E1BB4"/>
    <w:rsid w:val="007E2077"/>
    <w:rsid w:val="007E3514"/>
    <w:rsid w:val="007E4AAA"/>
    <w:rsid w:val="007E4BD2"/>
    <w:rsid w:val="007E4C29"/>
    <w:rsid w:val="007E5E44"/>
    <w:rsid w:val="007E663D"/>
    <w:rsid w:val="007F0DDA"/>
    <w:rsid w:val="007F1939"/>
    <w:rsid w:val="007F2944"/>
    <w:rsid w:val="007F365C"/>
    <w:rsid w:val="007F4296"/>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6272"/>
    <w:rsid w:val="00816391"/>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3120"/>
    <w:rsid w:val="0084427C"/>
    <w:rsid w:val="00844515"/>
    <w:rsid w:val="0084465A"/>
    <w:rsid w:val="00844DFF"/>
    <w:rsid w:val="00845D87"/>
    <w:rsid w:val="008465DC"/>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2F9F"/>
    <w:rsid w:val="008746C1"/>
    <w:rsid w:val="00880224"/>
    <w:rsid w:val="00881C2C"/>
    <w:rsid w:val="0088244C"/>
    <w:rsid w:val="00883367"/>
    <w:rsid w:val="00884C47"/>
    <w:rsid w:val="00885E6F"/>
    <w:rsid w:val="008861AC"/>
    <w:rsid w:val="008868E4"/>
    <w:rsid w:val="00886A60"/>
    <w:rsid w:val="0088759B"/>
    <w:rsid w:val="00887686"/>
    <w:rsid w:val="008909B4"/>
    <w:rsid w:val="008915AD"/>
    <w:rsid w:val="008922E8"/>
    <w:rsid w:val="00893916"/>
    <w:rsid w:val="0089442C"/>
    <w:rsid w:val="00895818"/>
    <w:rsid w:val="008A2585"/>
    <w:rsid w:val="008A2718"/>
    <w:rsid w:val="008A4CF6"/>
    <w:rsid w:val="008A4E42"/>
    <w:rsid w:val="008A51AA"/>
    <w:rsid w:val="008A5CA0"/>
    <w:rsid w:val="008A6A12"/>
    <w:rsid w:val="008B0DC6"/>
    <w:rsid w:val="008B2B9E"/>
    <w:rsid w:val="008B31F5"/>
    <w:rsid w:val="008B4C79"/>
    <w:rsid w:val="008B5D2D"/>
    <w:rsid w:val="008B6361"/>
    <w:rsid w:val="008B7CEA"/>
    <w:rsid w:val="008C0320"/>
    <w:rsid w:val="008C2978"/>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4F2D"/>
    <w:rsid w:val="008F6851"/>
    <w:rsid w:val="008F7BC4"/>
    <w:rsid w:val="009003B8"/>
    <w:rsid w:val="00900E7A"/>
    <w:rsid w:val="00903E11"/>
    <w:rsid w:val="00903EBE"/>
    <w:rsid w:val="009041DE"/>
    <w:rsid w:val="00905D59"/>
    <w:rsid w:val="009062CA"/>
    <w:rsid w:val="00907631"/>
    <w:rsid w:val="00907776"/>
    <w:rsid w:val="00907865"/>
    <w:rsid w:val="0091025C"/>
    <w:rsid w:val="00911ABC"/>
    <w:rsid w:val="00913401"/>
    <w:rsid w:val="00913567"/>
    <w:rsid w:val="009137B6"/>
    <w:rsid w:val="00913AA2"/>
    <w:rsid w:val="0091417B"/>
    <w:rsid w:val="00915EBA"/>
    <w:rsid w:val="00917093"/>
    <w:rsid w:val="0092030E"/>
    <w:rsid w:val="009217B1"/>
    <w:rsid w:val="00921A42"/>
    <w:rsid w:val="009223BB"/>
    <w:rsid w:val="00922491"/>
    <w:rsid w:val="00923BCF"/>
    <w:rsid w:val="009259EA"/>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7FC"/>
    <w:rsid w:val="00950F71"/>
    <w:rsid w:val="00952F2C"/>
    <w:rsid w:val="009532E3"/>
    <w:rsid w:val="00953615"/>
    <w:rsid w:val="00953A05"/>
    <w:rsid w:val="00954BAF"/>
    <w:rsid w:val="00955F48"/>
    <w:rsid w:val="009560B3"/>
    <w:rsid w:val="0095745E"/>
    <w:rsid w:val="00957CE0"/>
    <w:rsid w:val="0096002E"/>
    <w:rsid w:val="0096039E"/>
    <w:rsid w:val="00961686"/>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2E7"/>
    <w:rsid w:val="00981BD9"/>
    <w:rsid w:val="0098225F"/>
    <w:rsid w:val="00983A3C"/>
    <w:rsid w:val="00983EFA"/>
    <w:rsid w:val="00984C15"/>
    <w:rsid w:val="00987829"/>
    <w:rsid w:val="00987F7A"/>
    <w:rsid w:val="00991276"/>
    <w:rsid w:val="009923E7"/>
    <w:rsid w:val="00992697"/>
    <w:rsid w:val="00992ADB"/>
    <w:rsid w:val="00992D4E"/>
    <w:rsid w:val="009934BB"/>
    <w:rsid w:val="0099430D"/>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3ABF"/>
    <w:rsid w:val="009B7133"/>
    <w:rsid w:val="009B7658"/>
    <w:rsid w:val="009B7CD1"/>
    <w:rsid w:val="009B7E22"/>
    <w:rsid w:val="009B7E78"/>
    <w:rsid w:val="009C10FE"/>
    <w:rsid w:val="009C13BC"/>
    <w:rsid w:val="009C1CA4"/>
    <w:rsid w:val="009C1E96"/>
    <w:rsid w:val="009C2532"/>
    <w:rsid w:val="009C2BA4"/>
    <w:rsid w:val="009C6091"/>
    <w:rsid w:val="009C634F"/>
    <w:rsid w:val="009D0219"/>
    <w:rsid w:val="009D0D55"/>
    <w:rsid w:val="009D2295"/>
    <w:rsid w:val="009D2511"/>
    <w:rsid w:val="009D35AB"/>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66B3"/>
    <w:rsid w:val="009F7669"/>
    <w:rsid w:val="009F7F45"/>
    <w:rsid w:val="009F7FD5"/>
    <w:rsid w:val="00A005D4"/>
    <w:rsid w:val="00A0083C"/>
    <w:rsid w:val="00A00C58"/>
    <w:rsid w:val="00A01705"/>
    <w:rsid w:val="00A01A90"/>
    <w:rsid w:val="00A02370"/>
    <w:rsid w:val="00A02B04"/>
    <w:rsid w:val="00A04685"/>
    <w:rsid w:val="00A04C57"/>
    <w:rsid w:val="00A06340"/>
    <w:rsid w:val="00A0684F"/>
    <w:rsid w:val="00A06867"/>
    <w:rsid w:val="00A10148"/>
    <w:rsid w:val="00A10AD9"/>
    <w:rsid w:val="00A10EC1"/>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6FF"/>
    <w:rsid w:val="00A32B5A"/>
    <w:rsid w:val="00A33486"/>
    <w:rsid w:val="00A33CCC"/>
    <w:rsid w:val="00A33ECB"/>
    <w:rsid w:val="00A34DE0"/>
    <w:rsid w:val="00A35728"/>
    <w:rsid w:val="00A36EE3"/>
    <w:rsid w:val="00A37435"/>
    <w:rsid w:val="00A4044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323"/>
    <w:rsid w:val="00A67DFD"/>
    <w:rsid w:val="00A720A4"/>
    <w:rsid w:val="00A73623"/>
    <w:rsid w:val="00A74F9F"/>
    <w:rsid w:val="00A750B3"/>
    <w:rsid w:val="00A75559"/>
    <w:rsid w:val="00A7623D"/>
    <w:rsid w:val="00A8217C"/>
    <w:rsid w:val="00A824A7"/>
    <w:rsid w:val="00A83644"/>
    <w:rsid w:val="00A83C07"/>
    <w:rsid w:val="00A83F40"/>
    <w:rsid w:val="00A84945"/>
    <w:rsid w:val="00A85543"/>
    <w:rsid w:val="00A8620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AB8"/>
    <w:rsid w:val="00AB4B1D"/>
    <w:rsid w:val="00AB60CE"/>
    <w:rsid w:val="00AB6B5E"/>
    <w:rsid w:val="00AC047F"/>
    <w:rsid w:val="00AC32D7"/>
    <w:rsid w:val="00AC3934"/>
    <w:rsid w:val="00AC4B91"/>
    <w:rsid w:val="00AC50C8"/>
    <w:rsid w:val="00AC5581"/>
    <w:rsid w:val="00AC56AD"/>
    <w:rsid w:val="00AC61BE"/>
    <w:rsid w:val="00AC6FAD"/>
    <w:rsid w:val="00AD0C8A"/>
    <w:rsid w:val="00AD0CB4"/>
    <w:rsid w:val="00AD1885"/>
    <w:rsid w:val="00AD1FF2"/>
    <w:rsid w:val="00AD2A21"/>
    <w:rsid w:val="00AD3B43"/>
    <w:rsid w:val="00AD4FF2"/>
    <w:rsid w:val="00AD506C"/>
    <w:rsid w:val="00AD6BE5"/>
    <w:rsid w:val="00AD783E"/>
    <w:rsid w:val="00AE1393"/>
    <w:rsid w:val="00AE2D14"/>
    <w:rsid w:val="00AE3BC6"/>
    <w:rsid w:val="00AE4D4F"/>
    <w:rsid w:val="00AE627C"/>
    <w:rsid w:val="00AE62B0"/>
    <w:rsid w:val="00AE68A2"/>
    <w:rsid w:val="00AE7CAC"/>
    <w:rsid w:val="00AF0029"/>
    <w:rsid w:val="00AF0354"/>
    <w:rsid w:val="00AF1236"/>
    <w:rsid w:val="00AF2DE4"/>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ED8"/>
    <w:rsid w:val="00B2258D"/>
    <w:rsid w:val="00B23F86"/>
    <w:rsid w:val="00B242C9"/>
    <w:rsid w:val="00B248A0"/>
    <w:rsid w:val="00B24B42"/>
    <w:rsid w:val="00B24DC6"/>
    <w:rsid w:val="00B24E30"/>
    <w:rsid w:val="00B25253"/>
    <w:rsid w:val="00B258F3"/>
    <w:rsid w:val="00B2659C"/>
    <w:rsid w:val="00B26B13"/>
    <w:rsid w:val="00B26BD2"/>
    <w:rsid w:val="00B26FD7"/>
    <w:rsid w:val="00B270AB"/>
    <w:rsid w:val="00B2725B"/>
    <w:rsid w:val="00B27460"/>
    <w:rsid w:val="00B27E7B"/>
    <w:rsid w:val="00B305B2"/>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D04"/>
    <w:rsid w:val="00B76548"/>
    <w:rsid w:val="00B76BED"/>
    <w:rsid w:val="00B806E6"/>
    <w:rsid w:val="00B82AC9"/>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394"/>
    <w:rsid w:val="00B97E34"/>
    <w:rsid w:val="00B97FEF"/>
    <w:rsid w:val="00BA1354"/>
    <w:rsid w:val="00BA24F8"/>
    <w:rsid w:val="00BA31AA"/>
    <w:rsid w:val="00BA3A19"/>
    <w:rsid w:val="00BA45D8"/>
    <w:rsid w:val="00BA5828"/>
    <w:rsid w:val="00BA64B3"/>
    <w:rsid w:val="00BA74AA"/>
    <w:rsid w:val="00BA754A"/>
    <w:rsid w:val="00BA7820"/>
    <w:rsid w:val="00BA794C"/>
    <w:rsid w:val="00BB09FB"/>
    <w:rsid w:val="00BB238D"/>
    <w:rsid w:val="00BB37CC"/>
    <w:rsid w:val="00BB48C4"/>
    <w:rsid w:val="00BB6907"/>
    <w:rsid w:val="00BB7A20"/>
    <w:rsid w:val="00BC15B1"/>
    <w:rsid w:val="00BC1EA3"/>
    <w:rsid w:val="00BC3C06"/>
    <w:rsid w:val="00BC3FF1"/>
    <w:rsid w:val="00BC4E8B"/>
    <w:rsid w:val="00BC5622"/>
    <w:rsid w:val="00BC6060"/>
    <w:rsid w:val="00BC6A9F"/>
    <w:rsid w:val="00BC76B3"/>
    <w:rsid w:val="00BC7897"/>
    <w:rsid w:val="00BD06D7"/>
    <w:rsid w:val="00BD0F35"/>
    <w:rsid w:val="00BD45A4"/>
    <w:rsid w:val="00BD4A5F"/>
    <w:rsid w:val="00BD5233"/>
    <w:rsid w:val="00BD59AA"/>
    <w:rsid w:val="00BD65E6"/>
    <w:rsid w:val="00BD6AF7"/>
    <w:rsid w:val="00BE19EF"/>
    <w:rsid w:val="00BE26E9"/>
    <w:rsid w:val="00BE425B"/>
    <w:rsid w:val="00BE51BB"/>
    <w:rsid w:val="00BE7595"/>
    <w:rsid w:val="00BE77D3"/>
    <w:rsid w:val="00BF0138"/>
    <w:rsid w:val="00BF114B"/>
    <w:rsid w:val="00BF1620"/>
    <w:rsid w:val="00BF1AC3"/>
    <w:rsid w:val="00BF373A"/>
    <w:rsid w:val="00BF409D"/>
    <w:rsid w:val="00BF4C3D"/>
    <w:rsid w:val="00BF62D2"/>
    <w:rsid w:val="00BF6D9E"/>
    <w:rsid w:val="00BF71BB"/>
    <w:rsid w:val="00BF76F7"/>
    <w:rsid w:val="00BF7C9F"/>
    <w:rsid w:val="00C00012"/>
    <w:rsid w:val="00C000A5"/>
    <w:rsid w:val="00C006B4"/>
    <w:rsid w:val="00C00938"/>
    <w:rsid w:val="00C00E2A"/>
    <w:rsid w:val="00C025B9"/>
    <w:rsid w:val="00C040E9"/>
    <w:rsid w:val="00C044B4"/>
    <w:rsid w:val="00C05105"/>
    <w:rsid w:val="00C05A5D"/>
    <w:rsid w:val="00C05E29"/>
    <w:rsid w:val="00C0654A"/>
    <w:rsid w:val="00C06DE3"/>
    <w:rsid w:val="00C06F97"/>
    <w:rsid w:val="00C072AB"/>
    <w:rsid w:val="00C10BE6"/>
    <w:rsid w:val="00C11296"/>
    <w:rsid w:val="00C11905"/>
    <w:rsid w:val="00C1234A"/>
    <w:rsid w:val="00C12661"/>
    <w:rsid w:val="00C126E3"/>
    <w:rsid w:val="00C1330F"/>
    <w:rsid w:val="00C13ED7"/>
    <w:rsid w:val="00C14615"/>
    <w:rsid w:val="00C14A82"/>
    <w:rsid w:val="00C14F48"/>
    <w:rsid w:val="00C15296"/>
    <w:rsid w:val="00C15620"/>
    <w:rsid w:val="00C157FC"/>
    <w:rsid w:val="00C15F68"/>
    <w:rsid w:val="00C15F6A"/>
    <w:rsid w:val="00C1707B"/>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3D75"/>
    <w:rsid w:val="00C353A0"/>
    <w:rsid w:val="00C368D7"/>
    <w:rsid w:val="00C36FD1"/>
    <w:rsid w:val="00C371A5"/>
    <w:rsid w:val="00C400B0"/>
    <w:rsid w:val="00C413FC"/>
    <w:rsid w:val="00C42424"/>
    <w:rsid w:val="00C42908"/>
    <w:rsid w:val="00C43D33"/>
    <w:rsid w:val="00C44407"/>
    <w:rsid w:val="00C456E8"/>
    <w:rsid w:val="00C46630"/>
    <w:rsid w:val="00C47A2F"/>
    <w:rsid w:val="00C47AA2"/>
    <w:rsid w:val="00C50D18"/>
    <w:rsid w:val="00C51179"/>
    <w:rsid w:val="00C5282C"/>
    <w:rsid w:val="00C52FBE"/>
    <w:rsid w:val="00C5355E"/>
    <w:rsid w:val="00C535E2"/>
    <w:rsid w:val="00C53FC1"/>
    <w:rsid w:val="00C551D2"/>
    <w:rsid w:val="00C56438"/>
    <w:rsid w:val="00C570B3"/>
    <w:rsid w:val="00C6009F"/>
    <w:rsid w:val="00C60417"/>
    <w:rsid w:val="00C6046F"/>
    <w:rsid w:val="00C619A3"/>
    <w:rsid w:val="00C638C2"/>
    <w:rsid w:val="00C651D4"/>
    <w:rsid w:val="00C6669E"/>
    <w:rsid w:val="00C672B0"/>
    <w:rsid w:val="00C729C7"/>
    <w:rsid w:val="00C750D4"/>
    <w:rsid w:val="00C76648"/>
    <w:rsid w:val="00C777AD"/>
    <w:rsid w:val="00C80C53"/>
    <w:rsid w:val="00C81195"/>
    <w:rsid w:val="00C81798"/>
    <w:rsid w:val="00C85387"/>
    <w:rsid w:val="00C85E52"/>
    <w:rsid w:val="00C86471"/>
    <w:rsid w:val="00C8677B"/>
    <w:rsid w:val="00C86F96"/>
    <w:rsid w:val="00C87924"/>
    <w:rsid w:val="00C909C6"/>
    <w:rsid w:val="00C90CE6"/>
    <w:rsid w:val="00C90F51"/>
    <w:rsid w:val="00C923B7"/>
    <w:rsid w:val="00C94D4C"/>
    <w:rsid w:val="00C96C1E"/>
    <w:rsid w:val="00C96CA4"/>
    <w:rsid w:val="00CA012C"/>
    <w:rsid w:val="00CA03FC"/>
    <w:rsid w:val="00CA0AA6"/>
    <w:rsid w:val="00CA2897"/>
    <w:rsid w:val="00CA44F3"/>
    <w:rsid w:val="00CA582C"/>
    <w:rsid w:val="00CA6077"/>
    <w:rsid w:val="00CA6CFA"/>
    <w:rsid w:val="00CA715B"/>
    <w:rsid w:val="00CA71EC"/>
    <w:rsid w:val="00CA7988"/>
    <w:rsid w:val="00CA7BA2"/>
    <w:rsid w:val="00CB0B78"/>
    <w:rsid w:val="00CB12A5"/>
    <w:rsid w:val="00CB17FA"/>
    <w:rsid w:val="00CB23D8"/>
    <w:rsid w:val="00CB2ED9"/>
    <w:rsid w:val="00CB36A5"/>
    <w:rsid w:val="00CB4676"/>
    <w:rsid w:val="00CB56B4"/>
    <w:rsid w:val="00CB5703"/>
    <w:rsid w:val="00CB7286"/>
    <w:rsid w:val="00CB7947"/>
    <w:rsid w:val="00CC1783"/>
    <w:rsid w:val="00CC3759"/>
    <w:rsid w:val="00CC3B46"/>
    <w:rsid w:val="00CC3D8B"/>
    <w:rsid w:val="00CC4E27"/>
    <w:rsid w:val="00CC570C"/>
    <w:rsid w:val="00CC62B6"/>
    <w:rsid w:val="00CC676C"/>
    <w:rsid w:val="00CC76AA"/>
    <w:rsid w:val="00CC7CD2"/>
    <w:rsid w:val="00CD05CF"/>
    <w:rsid w:val="00CD1FAE"/>
    <w:rsid w:val="00CD232F"/>
    <w:rsid w:val="00CD279E"/>
    <w:rsid w:val="00CD2F92"/>
    <w:rsid w:val="00CD4EB0"/>
    <w:rsid w:val="00CD512D"/>
    <w:rsid w:val="00CD5831"/>
    <w:rsid w:val="00CD6A89"/>
    <w:rsid w:val="00CD6F6E"/>
    <w:rsid w:val="00CE157F"/>
    <w:rsid w:val="00CE1966"/>
    <w:rsid w:val="00CE1CC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9F5"/>
    <w:rsid w:val="00D045CE"/>
    <w:rsid w:val="00D05082"/>
    <w:rsid w:val="00D06163"/>
    <w:rsid w:val="00D06937"/>
    <w:rsid w:val="00D07AFD"/>
    <w:rsid w:val="00D11234"/>
    <w:rsid w:val="00D11749"/>
    <w:rsid w:val="00D12A7D"/>
    <w:rsid w:val="00D13AB0"/>
    <w:rsid w:val="00D1519E"/>
    <w:rsid w:val="00D152B7"/>
    <w:rsid w:val="00D16EDC"/>
    <w:rsid w:val="00D17FDE"/>
    <w:rsid w:val="00D200FA"/>
    <w:rsid w:val="00D201CB"/>
    <w:rsid w:val="00D2274F"/>
    <w:rsid w:val="00D22786"/>
    <w:rsid w:val="00D228B4"/>
    <w:rsid w:val="00D22BC6"/>
    <w:rsid w:val="00D247D9"/>
    <w:rsid w:val="00D25AC4"/>
    <w:rsid w:val="00D26747"/>
    <w:rsid w:val="00D305F6"/>
    <w:rsid w:val="00D30B25"/>
    <w:rsid w:val="00D3175A"/>
    <w:rsid w:val="00D31A00"/>
    <w:rsid w:val="00D320F7"/>
    <w:rsid w:val="00D323E4"/>
    <w:rsid w:val="00D32871"/>
    <w:rsid w:val="00D329F6"/>
    <w:rsid w:val="00D32D17"/>
    <w:rsid w:val="00D33881"/>
    <w:rsid w:val="00D34282"/>
    <w:rsid w:val="00D366B1"/>
    <w:rsid w:val="00D37192"/>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09DD"/>
    <w:rsid w:val="00D6240A"/>
    <w:rsid w:val="00D63093"/>
    <w:rsid w:val="00D63599"/>
    <w:rsid w:val="00D63EBD"/>
    <w:rsid w:val="00D67101"/>
    <w:rsid w:val="00D71B45"/>
    <w:rsid w:val="00D71F8A"/>
    <w:rsid w:val="00D75603"/>
    <w:rsid w:val="00D75FEE"/>
    <w:rsid w:val="00D76933"/>
    <w:rsid w:val="00D76D88"/>
    <w:rsid w:val="00D77CC9"/>
    <w:rsid w:val="00D77FCA"/>
    <w:rsid w:val="00D83D4B"/>
    <w:rsid w:val="00D84C6C"/>
    <w:rsid w:val="00D871C6"/>
    <w:rsid w:val="00D91010"/>
    <w:rsid w:val="00D9143D"/>
    <w:rsid w:val="00D920D1"/>
    <w:rsid w:val="00DA0FA7"/>
    <w:rsid w:val="00DA12B0"/>
    <w:rsid w:val="00DA2BA0"/>
    <w:rsid w:val="00DA39AD"/>
    <w:rsid w:val="00DA5B13"/>
    <w:rsid w:val="00DA648A"/>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6F89"/>
    <w:rsid w:val="00DC711C"/>
    <w:rsid w:val="00DC7822"/>
    <w:rsid w:val="00DC7AF1"/>
    <w:rsid w:val="00DD2CDA"/>
    <w:rsid w:val="00DD2D92"/>
    <w:rsid w:val="00DD3026"/>
    <w:rsid w:val="00DD33DC"/>
    <w:rsid w:val="00DD3BB0"/>
    <w:rsid w:val="00DD5993"/>
    <w:rsid w:val="00DD61F5"/>
    <w:rsid w:val="00DD7418"/>
    <w:rsid w:val="00DE64A6"/>
    <w:rsid w:val="00DE66EB"/>
    <w:rsid w:val="00DE7035"/>
    <w:rsid w:val="00DF12E3"/>
    <w:rsid w:val="00DF20F5"/>
    <w:rsid w:val="00DF2A20"/>
    <w:rsid w:val="00DF3F1D"/>
    <w:rsid w:val="00DF595C"/>
    <w:rsid w:val="00DF7EA7"/>
    <w:rsid w:val="00E029C0"/>
    <w:rsid w:val="00E04548"/>
    <w:rsid w:val="00E0484E"/>
    <w:rsid w:val="00E063F8"/>
    <w:rsid w:val="00E113B5"/>
    <w:rsid w:val="00E114D6"/>
    <w:rsid w:val="00E1166E"/>
    <w:rsid w:val="00E116AE"/>
    <w:rsid w:val="00E11DBD"/>
    <w:rsid w:val="00E13211"/>
    <w:rsid w:val="00E16FB5"/>
    <w:rsid w:val="00E179D6"/>
    <w:rsid w:val="00E21407"/>
    <w:rsid w:val="00E22668"/>
    <w:rsid w:val="00E227D3"/>
    <w:rsid w:val="00E22BFF"/>
    <w:rsid w:val="00E22CB0"/>
    <w:rsid w:val="00E23798"/>
    <w:rsid w:val="00E256D9"/>
    <w:rsid w:val="00E2585D"/>
    <w:rsid w:val="00E25DBD"/>
    <w:rsid w:val="00E25FA2"/>
    <w:rsid w:val="00E26AC2"/>
    <w:rsid w:val="00E2723D"/>
    <w:rsid w:val="00E27C77"/>
    <w:rsid w:val="00E302B6"/>
    <w:rsid w:val="00E30D2A"/>
    <w:rsid w:val="00E3179E"/>
    <w:rsid w:val="00E32AC9"/>
    <w:rsid w:val="00E32C76"/>
    <w:rsid w:val="00E354DA"/>
    <w:rsid w:val="00E354F5"/>
    <w:rsid w:val="00E3687E"/>
    <w:rsid w:val="00E40974"/>
    <w:rsid w:val="00E40AAB"/>
    <w:rsid w:val="00E41205"/>
    <w:rsid w:val="00E41F32"/>
    <w:rsid w:val="00E42608"/>
    <w:rsid w:val="00E43536"/>
    <w:rsid w:val="00E43DA3"/>
    <w:rsid w:val="00E44B80"/>
    <w:rsid w:val="00E4552C"/>
    <w:rsid w:val="00E45938"/>
    <w:rsid w:val="00E45C02"/>
    <w:rsid w:val="00E47430"/>
    <w:rsid w:val="00E50FB7"/>
    <w:rsid w:val="00E5199F"/>
    <w:rsid w:val="00E526DF"/>
    <w:rsid w:val="00E53C15"/>
    <w:rsid w:val="00E54EE6"/>
    <w:rsid w:val="00E55C74"/>
    <w:rsid w:val="00E56715"/>
    <w:rsid w:val="00E56C2C"/>
    <w:rsid w:val="00E57F8E"/>
    <w:rsid w:val="00E611C8"/>
    <w:rsid w:val="00E62AB8"/>
    <w:rsid w:val="00E6344A"/>
    <w:rsid w:val="00E64E69"/>
    <w:rsid w:val="00E64FB7"/>
    <w:rsid w:val="00E6679C"/>
    <w:rsid w:val="00E66953"/>
    <w:rsid w:val="00E669A1"/>
    <w:rsid w:val="00E679BA"/>
    <w:rsid w:val="00E67EC7"/>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23C"/>
    <w:rsid w:val="00EB167E"/>
    <w:rsid w:val="00EB24ED"/>
    <w:rsid w:val="00EB2A00"/>
    <w:rsid w:val="00EB309B"/>
    <w:rsid w:val="00EB32B6"/>
    <w:rsid w:val="00EB3AA2"/>
    <w:rsid w:val="00EB4763"/>
    <w:rsid w:val="00EB52E3"/>
    <w:rsid w:val="00EB6225"/>
    <w:rsid w:val="00EB6CB7"/>
    <w:rsid w:val="00EB751E"/>
    <w:rsid w:val="00EC078B"/>
    <w:rsid w:val="00EC07A0"/>
    <w:rsid w:val="00EC08E4"/>
    <w:rsid w:val="00EC11BD"/>
    <w:rsid w:val="00EC32CB"/>
    <w:rsid w:val="00EC3CB4"/>
    <w:rsid w:val="00EC443E"/>
    <w:rsid w:val="00EC4BC7"/>
    <w:rsid w:val="00EC4D83"/>
    <w:rsid w:val="00EC4EEE"/>
    <w:rsid w:val="00EC634F"/>
    <w:rsid w:val="00EC6848"/>
    <w:rsid w:val="00EC6C6E"/>
    <w:rsid w:val="00EC7B97"/>
    <w:rsid w:val="00ED049C"/>
    <w:rsid w:val="00ED07B7"/>
    <w:rsid w:val="00ED19D7"/>
    <w:rsid w:val="00ED2167"/>
    <w:rsid w:val="00ED218F"/>
    <w:rsid w:val="00ED2C91"/>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7DB"/>
    <w:rsid w:val="00EF383B"/>
    <w:rsid w:val="00EF3E03"/>
    <w:rsid w:val="00EF40E2"/>
    <w:rsid w:val="00EF4D49"/>
    <w:rsid w:val="00EF61C1"/>
    <w:rsid w:val="00EF6E68"/>
    <w:rsid w:val="00EF76DB"/>
    <w:rsid w:val="00F005FD"/>
    <w:rsid w:val="00F016BE"/>
    <w:rsid w:val="00F02C04"/>
    <w:rsid w:val="00F03AF1"/>
    <w:rsid w:val="00F03FC9"/>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3D8E"/>
    <w:rsid w:val="00F24E6F"/>
    <w:rsid w:val="00F26069"/>
    <w:rsid w:val="00F26B7E"/>
    <w:rsid w:val="00F27D7D"/>
    <w:rsid w:val="00F3002B"/>
    <w:rsid w:val="00F30BC9"/>
    <w:rsid w:val="00F32462"/>
    <w:rsid w:val="00F3275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1C46"/>
    <w:rsid w:val="00F52221"/>
    <w:rsid w:val="00F52B28"/>
    <w:rsid w:val="00F536BB"/>
    <w:rsid w:val="00F53755"/>
    <w:rsid w:val="00F53E59"/>
    <w:rsid w:val="00F5475B"/>
    <w:rsid w:val="00F574D0"/>
    <w:rsid w:val="00F6031F"/>
    <w:rsid w:val="00F61664"/>
    <w:rsid w:val="00F61B99"/>
    <w:rsid w:val="00F62FAB"/>
    <w:rsid w:val="00F63BC2"/>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63B"/>
    <w:rsid w:val="00F90EF4"/>
    <w:rsid w:val="00F917BF"/>
    <w:rsid w:val="00F920B4"/>
    <w:rsid w:val="00F9260D"/>
    <w:rsid w:val="00F92727"/>
    <w:rsid w:val="00F92BF5"/>
    <w:rsid w:val="00F93CCF"/>
    <w:rsid w:val="00F94307"/>
    <w:rsid w:val="00F9580B"/>
    <w:rsid w:val="00F95F15"/>
    <w:rsid w:val="00F975CA"/>
    <w:rsid w:val="00FA0B60"/>
    <w:rsid w:val="00FA2528"/>
    <w:rsid w:val="00FA5524"/>
    <w:rsid w:val="00FA5535"/>
    <w:rsid w:val="00FA7206"/>
    <w:rsid w:val="00FA7EFB"/>
    <w:rsid w:val="00FB0816"/>
    <w:rsid w:val="00FB08C2"/>
    <w:rsid w:val="00FB136A"/>
    <w:rsid w:val="00FB13B2"/>
    <w:rsid w:val="00FB3DD1"/>
    <w:rsid w:val="00FB51FD"/>
    <w:rsid w:val="00FB5667"/>
    <w:rsid w:val="00FB7A97"/>
    <w:rsid w:val="00FC1601"/>
    <w:rsid w:val="00FC1B9B"/>
    <w:rsid w:val="00FC2690"/>
    <w:rsid w:val="00FC318D"/>
    <w:rsid w:val="00FC36CF"/>
    <w:rsid w:val="00FC40BC"/>
    <w:rsid w:val="00FC41FC"/>
    <w:rsid w:val="00FC4F6E"/>
    <w:rsid w:val="00FC506C"/>
    <w:rsid w:val="00FC53F6"/>
    <w:rsid w:val="00FC578C"/>
    <w:rsid w:val="00FC5A37"/>
    <w:rsid w:val="00FC7836"/>
    <w:rsid w:val="00FD13EA"/>
    <w:rsid w:val="00FD23EC"/>
    <w:rsid w:val="00FD5EC4"/>
    <w:rsid w:val="00FD7858"/>
    <w:rsid w:val="00FD7A8D"/>
    <w:rsid w:val="00FE1330"/>
    <w:rsid w:val="00FE1CE5"/>
    <w:rsid w:val="00FE2832"/>
    <w:rsid w:val="00FE2D38"/>
    <w:rsid w:val="00FE3929"/>
    <w:rsid w:val="00FE3E32"/>
    <w:rsid w:val="00FE5F60"/>
    <w:rsid w:val="00FF097B"/>
    <w:rsid w:val="00FF0B6E"/>
    <w:rsid w:val="00FF1C1B"/>
    <w:rsid w:val="00FF1DA5"/>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Normal Nivel 1,List Paragraph Main,List first level,List Paragraph_Sections"/>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Normal Nivel 1 Car,List Paragraph Main Car,List first level Car,List Paragraph_Sections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Fuentedeprrafopredeter"/>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Props1.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20fbe147-bbda-4e53-b6b1-7e8bbff3fe19"/>
    <ds:schemaRef ds:uri="http://schemas.microsoft.com/sharepoint/v4"/>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7352</Words>
  <Characters>41185</Characters>
  <Application>Microsoft Office Word</Application>
  <DocSecurity>8</DocSecurity>
  <Lines>343</Lines>
  <Paragraphs>96</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48441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Esther Durango</cp:lastModifiedBy>
  <cp:revision>4</cp:revision>
  <cp:lastPrinted>2015-02-18T11:01:00Z</cp:lastPrinted>
  <dcterms:created xsi:type="dcterms:W3CDTF">2021-09-26T13:13:00Z</dcterms:created>
  <dcterms:modified xsi:type="dcterms:W3CDTF">2021-09-27T10:14:00Z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y fmtid="{D5CDD505-2E9C-101B-9397-08002B2CF9AE}" pid="11" name="MSIP_Label_a119c9c6-c312-493f-bc91-1871f81047af_Enabled">
    <vt:lpwstr>True</vt:lpwstr>
  </property>
  <property fmtid="{D5CDD505-2E9C-101B-9397-08002B2CF9AE}" pid="12" name="MSIP_Label_a119c9c6-c312-493f-bc91-1871f81047af_SiteId">
    <vt:lpwstr>faac5f16-6c6a-4379-bf59-205b22f007ec</vt:lpwstr>
  </property>
  <property fmtid="{D5CDD505-2E9C-101B-9397-08002B2CF9AE}" pid="13" name="MSIP_Label_a119c9c6-c312-493f-bc91-1871f81047af_Owner">
    <vt:lpwstr>dpoveda@grupobme.es</vt:lpwstr>
  </property>
  <property fmtid="{D5CDD505-2E9C-101B-9397-08002B2CF9AE}" pid="14" name="MSIP_Label_a119c9c6-c312-493f-bc91-1871f81047af_SetDate">
    <vt:lpwstr>2021-09-10T09:19:14.4824217Z</vt:lpwstr>
  </property>
  <property fmtid="{D5CDD505-2E9C-101B-9397-08002B2CF9AE}" pid="15" name="MSIP_Label_a119c9c6-c312-493f-bc91-1871f81047af_Name">
    <vt:lpwstr>Internal</vt:lpwstr>
  </property>
  <property fmtid="{D5CDD505-2E9C-101B-9397-08002B2CF9AE}" pid="16" name="MSIP_Label_a119c9c6-c312-493f-bc91-1871f81047af_Application">
    <vt:lpwstr>Microsoft Azure Information Protection</vt:lpwstr>
  </property>
  <property fmtid="{D5CDD505-2E9C-101B-9397-08002B2CF9AE}" pid="17" name="MSIP_Label_a119c9c6-c312-493f-bc91-1871f81047af_ActionId">
    <vt:lpwstr>ffbf8b91-ffb0-419d-9fee-ff7e98716800</vt:lpwstr>
  </property>
  <property fmtid="{D5CDD505-2E9C-101B-9397-08002B2CF9AE}" pid="18" name="MSIP_Label_a119c9c6-c312-493f-bc91-1871f81047af_Extended_MSFT_Method">
    <vt:lpwstr>Automatic</vt:lpwstr>
  </property>
  <property fmtid="{D5CDD505-2E9C-101B-9397-08002B2CF9AE}" pid="19" name="Sensitivity">
    <vt:lpwstr>Internal</vt:lpwstr>
  </property>
</Properties>
</file>