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9A4B8E7" w:rsidR="00C2682A" w:rsidRPr="00AB6D88" w:rsidRDefault="007A6C4B" w:rsidP="00FA5524">
                <w:pPr>
                  <w:rPr>
                    <w:rStyle w:val="PlaceholderText"/>
                    <w:rFonts w:cs="Arial"/>
                  </w:rPr>
                </w:pPr>
                <w:r>
                  <w:rPr>
                    <w:rStyle w:val="PlaceholderText"/>
                    <w:rFonts w:cs="Arial"/>
                  </w:rPr>
                  <w:t>Bloomberg LP</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D97C864" w:rsidR="00C2682A" w:rsidRPr="00AB6D88" w:rsidRDefault="00936065"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A6C4B">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6FFA46D" w:rsidR="00C2682A" w:rsidRPr="00AB6D88" w:rsidRDefault="007A6C4B"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30EB83D7" w:rsidR="00F87897" w:rsidRDefault="00936065" w:rsidP="00F87897">
      <w:permStart w:id="1454525006" w:edGrp="everyone"/>
      <w:r>
        <w:t xml:space="preserve">We have answered questions 24, 41, 42 and 43 of this consultation </w:t>
      </w:r>
      <w:proofErr w:type="gramStart"/>
      <w:r>
        <w:t>paper</w:t>
      </w:r>
      <w:proofErr w:type="gramEnd"/>
      <w:r>
        <w:t>. We appreciate our engagement and relationship with ESMA and stand ready to answer any questions you might have.</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3BF6BF33" w14:textId="77777777" w:rsidR="0085754B" w:rsidRDefault="0085754B" w:rsidP="004F7B49">
      <w:permStart w:id="2094935916" w:edGrp="everyone"/>
      <w:r>
        <w:lastRenderedPageBreak/>
        <w:t>We would appreciate additional clarification around the use/non-use of prior UTI for lifecycle events. Consider, for example, a scenario where a new position is created because of a booking error found later than 30 days after the transaction date. In this scenario, we understand the “revive” action type cannot be used, though it would be consistent with the reporting logic to use the prior UTI.</w:t>
      </w:r>
    </w:p>
    <w:permEnd w:id="2094935916"/>
    <w:p w14:paraId="63A680D6" w14:textId="0411D5E8"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lastRenderedPageBreak/>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lastRenderedPageBreak/>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3923352C" w14:textId="77777777" w:rsidR="0085754B" w:rsidRDefault="0085754B" w:rsidP="004F7B49">
      <w:permStart w:id="1829988511" w:edGrp="everyone"/>
      <w:r>
        <w:t xml:space="preserve">It is our understanding that the intention behind the development of UPI by global regulators was that the UPI was to be used in regulatory reporting to describe OTC derivatives which have the same key product characteristics. </w:t>
      </w:r>
    </w:p>
    <w:p w14:paraId="3B68E793" w14:textId="77777777" w:rsidR="0085754B" w:rsidRDefault="0085754B" w:rsidP="004F7B49"/>
    <w:p w14:paraId="5BE5F307" w14:textId="77777777" w:rsidR="007E60C8" w:rsidRDefault="0085754B" w:rsidP="004F7B49">
      <w:r>
        <w:t xml:space="preserve">ESMA, however, is proposing to limit the use of UPI in EMIR reporting to only those derivatives that are not TOTV or SI traded. Instead, ESMA proposes that TOTV or SI traded OTC derivatives will be identified with an ISIN. </w:t>
      </w:r>
    </w:p>
    <w:p w14:paraId="39D707E9" w14:textId="77777777" w:rsidR="007E60C8" w:rsidRDefault="007E60C8" w:rsidP="004F7B49"/>
    <w:p w14:paraId="740A2B4E" w14:textId="77777777" w:rsidR="007E60C8" w:rsidRDefault="0085754B" w:rsidP="004F7B49">
      <w:r>
        <w:t xml:space="preserve">Whilst we agree that UPI is not appropriate for derivatives TOTV, we note that OTC derivatives could still be traded on an SI. More generally, using different identifier schemes depending solely on how the derivative is traded would be inconsistent with the global rollout of the UPI scheme, which does not envisage that the ISIN will be used to identify OTC derivative products. </w:t>
      </w:r>
    </w:p>
    <w:p w14:paraId="4DA40D85" w14:textId="77777777" w:rsidR="007E60C8" w:rsidRDefault="007E60C8" w:rsidP="004F7B49"/>
    <w:p w14:paraId="1BCA796B" w14:textId="77777777" w:rsidR="007E60C8" w:rsidRDefault="0085754B" w:rsidP="004F7B49">
      <w:r>
        <w:t xml:space="preserve">The use of different identifier schemes is likely to cause confusion and could undermine efforts to improve data quality. Firms transacting similar business in different markets would also face inconsistency in the way they report such products. </w:t>
      </w:r>
    </w:p>
    <w:p w14:paraId="4FEDF067" w14:textId="77777777" w:rsidR="007E60C8" w:rsidRDefault="007E60C8" w:rsidP="004F7B49"/>
    <w:p w14:paraId="4DEA56CB" w14:textId="77777777" w:rsidR="007E60C8" w:rsidRDefault="007E60C8" w:rsidP="004F7B49">
      <w:r>
        <w:t>I</w:t>
      </w:r>
      <w:r w:rsidR="0085754B">
        <w:t xml:space="preserve">t is important to note that the ISIN is not comparable to the UPI and we do not think it could work as an adequate replacement. ISIN as defined for EU reporting is issued with more granular attributes than the UPI, meaning that one UPI will apply to several ISINs. </w:t>
      </w:r>
    </w:p>
    <w:p w14:paraId="3DF9AA26" w14:textId="77777777" w:rsidR="007E60C8" w:rsidRDefault="007E60C8" w:rsidP="004F7B49"/>
    <w:p w14:paraId="01D61296" w14:textId="77777777" w:rsidR="007E60C8" w:rsidRDefault="0085754B" w:rsidP="007E60C8">
      <w:r>
        <w:t xml:space="preserve">We would welcome clarification from ESMA on the following: </w:t>
      </w:r>
    </w:p>
    <w:p w14:paraId="17A9D1EE" w14:textId="5278DEC9" w:rsidR="007E60C8" w:rsidRDefault="0085754B" w:rsidP="007E60C8">
      <w:pPr>
        <w:pStyle w:val="ListParagraph"/>
        <w:numPr>
          <w:ilvl w:val="0"/>
          <w:numId w:val="45"/>
        </w:numPr>
      </w:pPr>
      <w:r>
        <w:t xml:space="preserve">Would all OTC ISINs also require a UPI code once EMIR Refit has gone live, and would UPIs need to be retrospectively populated for “old” OTC ISIN created by ANNA DSB before the EMIR Refit go-live date? </w:t>
      </w:r>
    </w:p>
    <w:p w14:paraId="4FAA27D2" w14:textId="0603B45C" w:rsidR="007E60C8" w:rsidRDefault="0085754B" w:rsidP="007E60C8">
      <w:pPr>
        <w:pStyle w:val="ListParagraph"/>
        <w:numPr>
          <w:ilvl w:val="0"/>
          <w:numId w:val="45"/>
        </w:numPr>
      </w:pPr>
      <w:r>
        <w:t xml:space="preserve">Would a UPI code still be needed for derivatives that are TOTV, although CFI codes are currently available? </w:t>
      </w:r>
    </w:p>
    <w:p w14:paraId="61BB59A1" w14:textId="2F69CB7B" w:rsidR="007E60C8" w:rsidRDefault="0085754B" w:rsidP="007E60C8">
      <w:pPr>
        <w:pStyle w:val="ListParagraph"/>
        <w:numPr>
          <w:ilvl w:val="0"/>
          <w:numId w:val="45"/>
        </w:numPr>
      </w:pPr>
      <w:r>
        <w:t xml:space="preserve">Post EMIR Refit, when reporting subsequent lifecycle events for an already open position, the OTC ISIN would not have a UPI. In this case, does the lifecycle event need to be reported with a subsequently created UPI? </w:t>
      </w:r>
    </w:p>
    <w:p w14:paraId="6C6E8D46" w14:textId="77777777" w:rsidR="007E60C8" w:rsidRDefault="007E60C8" w:rsidP="004F7B49"/>
    <w:p w14:paraId="4B907723" w14:textId="6B6A69ED" w:rsidR="004F7B49" w:rsidRPr="004F7B49" w:rsidRDefault="0085754B" w:rsidP="004F7B49">
      <w:r>
        <w:t xml:space="preserve">A related issue is the need for CFI codes. If an ISIN is issued for an OTC </w:t>
      </w:r>
      <w:proofErr w:type="gramStart"/>
      <w:r>
        <w:t>derivative</w:t>
      </w:r>
      <w:proofErr w:type="gramEnd"/>
      <w:r>
        <w:t xml:space="preserve"> then a CFI will be issued alongside it. If no ISIN is </w:t>
      </w:r>
      <w:proofErr w:type="gramStart"/>
      <w:r>
        <w:t>issued</w:t>
      </w:r>
      <w:proofErr w:type="gramEnd"/>
      <w:r>
        <w:t xml:space="preserve"> then it is possible for counterparties to use the CFI standard to create a CFI code. Whatever method is used for creation, we are not clear what is gained </w:t>
      </w:r>
      <w:proofErr w:type="gramStart"/>
      <w:r>
        <w:t>by the use of</w:t>
      </w:r>
      <w:proofErr w:type="gramEnd"/>
      <w:r>
        <w:t xml:space="preserve"> CFI codes in EMIR reporting once UPI is available. We would appreciate additional clarity from ESMA on how these are to be handled.</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147D2819" w14:textId="77777777" w:rsidR="008D2422" w:rsidRDefault="00A71ADB" w:rsidP="004F7B49">
      <w:permStart w:id="1913861282" w:edGrp="everyone"/>
      <w:r>
        <w:lastRenderedPageBreak/>
        <w:t xml:space="preserve">Given that ESMA has stated that only instruments not trading TOTV or SI will have a reportable UPI, it is unclear what the implications are for the reporting of fields for instruments with ISIN. </w:t>
      </w:r>
    </w:p>
    <w:p w14:paraId="37A89C8B" w14:textId="77777777" w:rsidR="008D2422" w:rsidRDefault="008D2422" w:rsidP="004F7B49"/>
    <w:p w14:paraId="088A1C42" w14:textId="207806C6" w:rsidR="00A71ADB" w:rsidRDefault="00A71ADB" w:rsidP="004F7B49">
      <w:r>
        <w:t xml:space="preserve">Does this mean that not only will firms have two different identifiers to manage, depending on how something has been traded, but that they will also have to manage different reporting expectations for the reporting of fields? It is also unclear from the consultation paper what the timing is for the move to sourcing fields from the UPI reference data library for the applicable instruments. This creates further uncertainty. </w:t>
      </w:r>
    </w:p>
    <w:permEnd w:id="1913861282"/>
    <w:p w14:paraId="7C11EB4B" w14:textId="161D992D"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0DA42579" w14:textId="77777777" w:rsidR="008D2422" w:rsidRDefault="008D2422" w:rsidP="004F7B49">
      <w:permStart w:id="1935019154" w:edGrp="everyone"/>
      <w:r>
        <w:t xml:space="preserve">As ESMA notes in paragraph 51, an ISIN for an underlying index is not always available. Analysis conducted by Bloomberg has shown that ISIN coverage for indices runs at around 20%. This means that very often there is reliance on the reporting of the index name instead, which can be confusing and is certainly cumbersome. </w:t>
      </w:r>
    </w:p>
    <w:p w14:paraId="0B31CA34" w14:textId="77777777" w:rsidR="008D2422" w:rsidRDefault="008D2422" w:rsidP="004F7B49"/>
    <w:p w14:paraId="3FC7B8D2" w14:textId="77777777" w:rsidR="008D2422" w:rsidRDefault="008D2422" w:rsidP="004F7B49">
      <w:r>
        <w:t>Would ESMA therefore allow the reporting of other unique identifiers with better coverage of indices where an ISIN is not available? In particular, the 12-character FIGI has excellent coverage in this space and is freely available for use and is widely recognised by market participants.</w:t>
      </w:r>
    </w:p>
    <w:permEnd w:id="1935019154"/>
    <w:p w14:paraId="771A2693" w14:textId="1026E910"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lastRenderedPageBreak/>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lastRenderedPageBreak/>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lastRenderedPageBreak/>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lastRenderedPageBreak/>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lastRenderedPageBreak/>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lastRenderedPageBreak/>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lastRenderedPageBreak/>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B1E7" w14:textId="77777777" w:rsidR="0085754B" w:rsidRDefault="0085754B">
      <w:r>
        <w:separator/>
      </w:r>
    </w:p>
    <w:p w14:paraId="560EBA44" w14:textId="77777777" w:rsidR="0085754B" w:rsidRDefault="0085754B"/>
  </w:endnote>
  <w:endnote w:type="continuationSeparator" w:id="0">
    <w:p w14:paraId="16EC5A81" w14:textId="77777777" w:rsidR="0085754B" w:rsidRDefault="0085754B">
      <w:r>
        <w:continuationSeparator/>
      </w:r>
    </w:p>
    <w:p w14:paraId="0458C702" w14:textId="77777777" w:rsidR="0085754B" w:rsidRDefault="0085754B"/>
  </w:endnote>
  <w:endnote w:type="continuationNotice" w:id="1">
    <w:p w14:paraId="4775FDB4" w14:textId="77777777" w:rsidR="0085754B" w:rsidRDefault="0085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5754B" w:rsidRPr="00616B9B" w14:paraId="313FAE1A" w14:textId="77777777" w:rsidTr="00315E96">
      <w:trPr>
        <w:trHeight w:val="284"/>
      </w:trPr>
      <w:tc>
        <w:tcPr>
          <w:tcW w:w="8460" w:type="dxa"/>
        </w:tcPr>
        <w:p w14:paraId="0BEF8BC6" w14:textId="77777777" w:rsidR="0085754B" w:rsidRPr="00315E96" w:rsidRDefault="0085754B" w:rsidP="00315E96">
          <w:pPr>
            <w:pStyle w:val="00Footer"/>
            <w:rPr>
              <w:lang w:val="fr-FR"/>
            </w:rPr>
          </w:pPr>
        </w:p>
      </w:tc>
      <w:tc>
        <w:tcPr>
          <w:tcW w:w="952" w:type="dxa"/>
        </w:tcPr>
        <w:p w14:paraId="7FD1DE07" w14:textId="77777777" w:rsidR="0085754B" w:rsidRPr="00616B9B" w:rsidRDefault="0085754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85754B" w:rsidRDefault="0085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85754B" w:rsidRDefault="0085754B"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85754B" w:rsidRDefault="0085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1807" w14:textId="77777777" w:rsidR="0085754B" w:rsidRDefault="0085754B">
      <w:r>
        <w:separator/>
      </w:r>
    </w:p>
    <w:p w14:paraId="70FB8FB2" w14:textId="77777777" w:rsidR="0085754B" w:rsidRDefault="0085754B"/>
  </w:footnote>
  <w:footnote w:type="continuationSeparator" w:id="0">
    <w:p w14:paraId="76872F65" w14:textId="77777777" w:rsidR="0085754B" w:rsidRDefault="0085754B">
      <w:r>
        <w:continuationSeparator/>
      </w:r>
    </w:p>
    <w:p w14:paraId="3B323B97" w14:textId="77777777" w:rsidR="0085754B" w:rsidRDefault="0085754B"/>
  </w:footnote>
  <w:footnote w:type="continuationNotice" w:id="1">
    <w:p w14:paraId="4DD03E3C" w14:textId="77777777" w:rsidR="0085754B" w:rsidRDefault="00857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85754B" w:rsidRDefault="0085754B">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85754B" w:rsidRDefault="0085754B"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85754B" w:rsidRDefault="008575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5754B" w:rsidRPr="002F4496" w14:paraId="60C7474C" w14:textId="77777777" w:rsidTr="000C06C9">
      <w:trPr>
        <w:trHeight w:val="284"/>
      </w:trPr>
      <w:tc>
        <w:tcPr>
          <w:tcW w:w="8460" w:type="dxa"/>
        </w:tcPr>
        <w:p w14:paraId="54B7E7F0" w14:textId="77777777" w:rsidR="0085754B" w:rsidRPr="000C3B6D" w:rsidRDefault="0085754B" w:rsidP="000C06C9">
          <w:pPr>
            <w:pStyle w:val="00Footer"/>
            <w:rPr>
              <w:lang w:val="fr-FR"/>
            </w:rPr>
          </w:pPr>
        </w:p>
      </w:tc>
      <w:tc>
        <w:tcPr>
          <w:tcW w:w="952" w:type="dxa"/>
        </w:tcPr>
        <w:p w14:paraId="2E49D042" w14:textId="77777777" w:rsidR="0085754B" w:rsidRPr="00146B34" w:rsidRDefault="0085754B" w:rsidP="000C06C9">
          <w:pPr>
            <w:pStyle w:val="00aPagenumber"/>
            <w:rPr>
              <w:lang w:val="fr-FR"/>
            </w:rPr>
          </w:pPr>
        </w:p>
      </w:tc>
    </w:tr>
  </w:tbl>
  <w:p w14:paraId="580707D9" w14:textId="77777777" w:rsidR="0085754B" w:rsidRPr="00DB46C3" w:rsidRDefault="0085754B">
    <w:pPr>
      <w:rPr>
        <w:lang w:val="fr-FR"/>
      </w:rPr>
    </w:pPr>
  </w:p>
  <w:p w14:paraId="20C4F67C" w14:textId="77777777" w:rsidR="0085754B" w:rsidRPr="002F4496" w:rsidRDefault="0085754B">
    <w:pPr>
      <w:pStyle w:val="Header"/>
      <w:rPr>
        <w:lang w:val="fr-FR"/>
      </w:rPr>
    </w:pPr>
  </w:p>
  <w:p w14:paraId="3F30C70B" w14:textId="77777777" w:rsidR="0085754B" w:rsidRPr="002F4496" w:rsidRDefault="0085754B" w:rsidP="000C06C9">
    <w:pPr>
      <w:pStyle w:val="Header"/>
      <w:tabs>
        <w:tab w:val="clear" w:pos="4536"/>
        <w:tab w:val="clear" w:pos="9072"/>
        <w:tab w:val="left" w:pos="8227"/>
      </w:tabs>
      <w:rPr>
        <w:lang w:val="fr-FR"/>
      </w:rPr>
    </w:pPr>
  </w:p>
  <w:p w14:paraId="4D50BC39" w14:textId="77777777" w:rsidR="0085754B" w:rsidRPr="002F4496" w:rsidRDefault="0085754B" w:rsidP="00583885">
    <w:pPr>
      <w:pStyle w:val="Header"/>
      <w:jc w:val="right"/>
      <w:rPr>
        <w:lang w:val="fr-FR"/>
      </w:rPr>
    </w:pPr>
  </w:p>
  <w:p w14:paraId="2D51BEA2" w14:textId="77777777" w:rsidR="0085754B" w:rsidRPr="002F4496" w:rsidRDefault="0085754B">
    <w:pPr>
      <w:pStyle w:val="Header"/>
      <w:rPr>
        <w:lang w:val="fr-FR"/>
      </w:rPr>
    </w:pPr>
  </w:p>
  <w:p w14:paraId="340B2438" w14:textId="77777777" w:rsidR="0085754B" w:rsidRPr="002F4496" w:rsidRDefault="0085754B">
    <w:pPr>
      <w:pStyle w:val="Header"/>
      <w:rPr>
        <w:lang w:val="fr-FR"/>
      </w:rPr>
    </w:pPr>
  </w:p>
  <w:p w14:paraId="2A794A3E" w14:textId="77777777" w:rsidR="0085754B" w:rsidRPr="002F4496" w:rsidRDefault="0085754B">
    <w:pPr>
      <w:pStyle w:val="Header"/>
      <w:rPr>
        <w:lang w:val="fr-FR"/>
      </w:rPr>
    </w:pPr>
  </w:p>
  <w:p w14:paraId="0A21F475" w14:textId="77777777" w:rsidR="0085754B" w:rsidRPr="002F4496" w:rsidRDefault="0085754B">
    <w:pPr>
      <w:pStyle w:val="Header"/>
      <w:rPr>
        <w:highlight w:val="yellow"/>
        <w:lang w:val="fr-FR"/>
      </w:rPr>
    </w:pPr>
  </w:p>
  <w:p w14:paraId="53ABEE5D" w14:textId="77777777" w:rsidR="0085754B" w:rsidRDefault="0085754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0778E1"/>
    <w:multiLevelType w:val="hybridMultilevel"/>
    <w:tmpl w:val="2B06D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82D624B"/>
    <w:multiLevelType w:val="hybridMultilevel"/>
    <w:tmpl w:val="57BAE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2"/>
  </w:num>
  <w:num w:numId="17">
    <w:abstractNumId w:val="16"/>
  </w:num>
  <w:num w:numId="18">
    <w:abstractNumId w:val="17"/>
  </w:num>
  <w:num w:numId="19">
    <w:abstractNumId w:val="19"/>
  </w:num>
  <w:num w:numId="20">
    <w:abstractNumId w:val="28"/>
  </w:num>
  <w:num w:numId="21">
    <w:abstractNumId w:val="39"/>
  </w:num>
  <w:num w:numId="22">
    <w:abstractNumId w:val="26"/>
  </w:num>
  <w:num w:numId="23">
    <w:abstractNumId w:val="10"/>
  </w:num>
  <w:num w:numId="24">
    <w:abstractNumId w:val="31"/>
  </w:num>
  <w:num w:numId="25">
    <w:abstractNumId w:val="30"/>
  </w:num>
  <w:num w:numId="26">
    <w:abstractNumId w:val="21"/>
  </w:num>
  <w:num w:numId="27">
    <w:abstractNumId w:val="35"/>
  </w:num>
  <w:num w:numId="28">
    <w:abstractNumId w:val="42"/>
  </w:num>
  <w:num w:numId="29">
    <w:abstractNumId w:val="8"/>
  </w:num>
  <w:num w:numId="30">
    <w:abstractNumId w:val="3"/>
  </w:num>
  <w:num w:numId="31">
    <w:abstractNumId w:val="23"/>
  </w:num>
  <w:num w:numId="32">
    <w:abstractNumId w:val="22"/>
  </w:num>
  <w:num w:numId="33">
    <w:abstractNumId w:val="37"/>
  </w:num>
  <w:num w:numId="34">
    <w:abstractNumId w:val="36"/>
  </w:num>
  <w:num w:numId="35">
    <w:abstractNumId w:val="5"/>
  </w:num>
  <w:num w:numId="36">
    <w:abstractNumId w:val="38"/>
  </w:num>
  <w:num w:numId="37">
    <w:abstractNumId w:val="22"/>
    <w:lvlOverride w:ilvl="0">
      <w:startOverride w:val="1"/>
    </w:lvlOverride>
  </w:num>
  <w:num w:numId="38">
    <w:abstractNumId w:val="22"/>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4"/>
  </w:num>
  <w:num w:numId="45">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676"/>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C4B"/>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E60C8"/>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4B"/>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422"/>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65"/>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ADB"/>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4474</Words>
  <Characters>26208</Characters>
  <Application>Microsoft Office Word</Application>
  <DocSecurity>8</DocSecurity>
  <Lines>218</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30621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Benson, Christian</cp:lastModifiedBy>
  <cp:revision>6</cp:revision>
  <cp:lastPrinted>2015-02-18T11:01:00Z</cp:lastPrinted>
  <dcterms:created xsi:type="dcterms:W3CDTF">2021-09-30T17:15:00Z</dcterms:created>
  <dcterms:modified xsi:type="dcterms:W3CDTF">2021-09-30T18:04:00Z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