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rPr>
        <w:id w:val="-973058580"/>
        <w:docPartObj>
          <w:docPartGallery w:val="Cover Pages"/>
          <w:docPartUnique/>
        </w:docPartObj>
      </w:sdtPr>
      <w:sdtEndPr>
        <w:rPr>
          <w:highlight w:val="yellow"/>
        </w:rPr>
      </w:sdtEndPr>
      <w:sdtContent>
        <w:p w14:paraId="7592CA4E" w14:textId="77777777" w:rsidR="00C83836" w:rsidRPr="00E3664A" w:rsidRDefault="00C83836" w:rsidP="00C83836">
          <w:pPr>
            <w:spacing w:line="276" w:lineRule="auto"/>
            <w:rPr>
              <w:rFonts w:ascii="Arial" w:hAnsi="Arial" w:cs="Arial"/>
              <w:color w:val="FF0000"/>
            </w:rPr>
          </w:pPr>
        </w:p>
        <w:p w14:paraId="1B6811CB" w14:textId="77777777" w:rsidR="00C83836" w:rsidRPr="00E3664A" w:rsidRDefault="00C83836" w:rsidP="00C83836">
          <w:pPr>
            <w:spacing w:after="120" w:line="276" w:lineRule="auto"/>
            <w:rPr>
              <w:rFonts w:ascii="Arial" w:hAnsi="Arial" w:cs="Arial"/>
            </w:rPr>
          </w:pPr>
        </w:p>
        <w:p w14:paraId="027F4B2D" w14:textId="77777777" w:rsidR="00C83836" w:rsidRPr="00E3664A" w:rsidRDefault="00C83836" w:rsidP="00C83836">
          <w:pPr>
            <w:spacing w:line="276" w:lineRule="auto"/>
            <w:rPr>
              <w:rFonts w:ascii="Arial" w:hAnsi="Arial" w:cs="Arial"/>
            </w:rPr>
          </w:pPr>
        </w:p>
        <w:tbl>
          <w:tblPr>
            <w:tblpPr w:leftFromText="8505" w:vertAnchor="page" w:horzAnchor="page" w:tblpX="957" w:tblpY="3408"/>
            <w:tblW w:w="10633" w:type="dxa"/>
            <w:tblLayout w:type="fixed"/>
            <w:tblCellMar>
              <w:left w:w="0" w:type="dxa"/>
              <w:right w:w="0" w:type="dxa"/>
            </w:tblCellMar>
            <w:tblLook w:val="01E0" w:firstRow="1" w:lastRow="1" w:firstColumn="1" w:lastColumn="1" w:noHBand="0" w:noVBand="0"/>
          </w:tblPr>
          <w:tblGrid>
            <w:gridCol w:w="10633"/>
          </w:tblGrid>
          <w:tr w:rsidR="00C83836" w:rsidRPr="00E3664A" w14:paraId="3ABAB029" w14:textId="77777777" w:rsidTr="009E4432">
            <w:trPr>
              <w:trHeight w:hRule="exact" w:val="1578"/>
            </w:trPr>
            <w:tc>
              <w:tcPr>
                <w:tcW w:w="10633" w:type="dxa"/>
                <w:vAlign w:val="bottom"/>
              </w:tcPr>
              <w:p w14:paraId="6873BA30" w14:textId="77777777" w:rsidR="00C83836" w:rsidRPr="00E3664A" w:rsidRDefault="00C83836" w:rsidP="009E4432">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C83836" w:rsidRPr="00E3664A" w14:paraId="0433295E" w14:textId="77777777" w:rsidTr="009E4432">
            <w:trPr>
              <w:trHeight w:hRule="exact" w:val="790"/>
            </w:trPr>
            <w:tc>
              <w:tcPr>
                <w:tcW w:w="10633" w:type="dxa"/>
                <w:tcMar>
                  <w:top w:w="142" w:type="dxa"/>
                </w:tcMar>
              </w:tcPr>
              <w:p w14:paraId="2704F4E1" w14:textId="474FCAD3" w:rsidR="00C83836" w:rsidRPr="00E3664A" w:rsidRDefault="00C83836" w:rsidP="009E4432">
                <w:pPr>
                  <w:pStyle w:val="Heading2"/>
                  <w:numPr>
                    <w:ilvl w:val="0"/>
                    <w:numId w:val="0"/>
                  </w:numPr>
                  <w:spacing w:before="0"/>
                  <w:rPr>
                    <w:rFonts w:ascii="Arial" w:hAnsi="Arial" w:cs="Arial"/>
                  </w:rPr>
                </w:pPr>
                <w:r w:rsidRPr="00D22F88">
                  <w:rPr>
                    <w:rFonts w:ascii="Arial" w:hAnsi="Arial" w:cs="Arial"/>
                    <w:sz w:val="24"/>
                    <w:szCs w:val="24"/>
                    <w:lang w:eastAsia="en-US"/>
                  </w:rPr>
                  <w:t>Draft Guidelines further specifying the circumstances for temporary restrictions in the case of a significant non-default event</w:t>
                </w:r>
                <w:r w:rsidR="00D22F88" w:rsidRPr="00D22F88">
                  <w:rPr>
                    <w:rFonts w:ascii="Arial" w:hAnsi="Arial" w:cs="Arial"/>
                    <w:sz w:val="24"/>
                    <w:szCs w:val="24"/>
                    <w:lang w:eastAsia="en-US"/>
                  </w:rPr>
                  <w:t xml:space="preserve"> in accordance with Article 45a of EMIR</w:t>
                </w:r>
              </w:p>
            </w:tc>
          </w:tr>
        </w:tbl>
        <w:p w14:paraId="39C6B585" w14:textId="77777777" w:rsidR="00C83836" w:rsidRPr="00E3664A" w:rsidRDefault="00C83836" w:rsidP="00C83836">
          <w:pPr>
            <w:spacing w:line="276" w:lineRule="auto"/>
            <w:rPr>
              <w:rFonts w:ascii="Arial" w:hAnsi="Arial" w:cs="Arial"/>
            </w:rPr>
          </w:pPr>
        </w:p>
        <w:p w14:paraId="172E75E7" w14:textId="77777777" w:rsidR="00C83836" w:rsidRPr="00E3664A" w:rsidRDefault="00C83836" w:rsidP="00C83836">
          <w:pPr>
            <w:spacing w:line="276" w:lineRule="auto"/>
            <w:rPr>
              <w:rFonts w:ascii="Arial" w:hAnsi="Arial" w:cs="Arial"/>
            </w:rPr>
          </w:pPr>
        </w:p>
        <w:p w14:paraId="6C6DD670" w14:textId="77777777" w:rsidR="00C83836" w:rsidRPr="00E3664A" w:rsidRDefault="00C83836" w:rsidP="00C83836">
          <w:pPr>
            <w:spacing w:line="276" w:lineRule="auto"/>
            <w:rPr>
              <w:rFonts w:ascii="Arial" w:hAnsi="Arial" w:cs="Arial"/>
            </w:rPr>
          </w:pPr>
        </w:p>
        <w:p w14:paraId="4CC87761" w14:textId="77777777" w:rsidR="00C83836" w:rsidRPr="00E3664A" w:rsidRDefault="00C83836" w:rsidP="00C83836">
          <w:pPr>
            <w:spacing w:line="276" w:lineRule="auto"/>
            <w:rPr>
              <w:rFonts w:ascii="Arial" w:hAnsi="Arial" w:cs="Arial"/>
            </w:rPr>
            <w:sectPr w:rsidR="00C83836" w:rsidRPr="00E3664A"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4198A545" w14:textId="77777777" w:rsidR="00C83836" w:rsidRPr="00E3664A" w:rsidRDefault="00C83836" w:rsidP="00C83836">
          <w:pPr>
            <w:numPr>
              <w:ilvl w:val="1"/>
              <w:numId w:val="0"/>
            </w:numPr>
            <w:spacing w:after="250" w:line="276" w:lineRule="auto"/>
            <w:jc w:val="both"/>
            <w:rPr>
              <w:rFonts w:ascii="Arial" w:eastAsiaTheme="majorEastAsia" w:hAnsi="Arial" w:cs="Arial"/>
              <w:b/>
              <w:sz w:val="28"/>
            </w:rPr>
          </w:pPr>
        </w:p>
        <w:p w14:paraId="18092A86" w14:textId="77777777" w:rsidR="00C83836" w:rsidRPr="00E3664A" w:rsidRDefault="00C83836" w:rsidP="00C83836">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2B12415"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proofErr w:type="gramStart"/>
          <w:r w:rsidRPr="00E3664A">
            <w:rPr>
              <w:rFonts w:ascii="Arial" w:eastAsiaTheme="minorEastAsia" w:hAnsi="Arial" w:cs="Arial"/>
              <w:szCs w:val="20"/>
              <w:u w:val="dottedHeavy" w:color="BF8F00" w:themeColor="accent4" w:themeShade="BF"/>
            </w:rPr>
            <w:t>in particular on</w:t>
          </w:r>
          <w:proofErr w:type="gramEnd"/>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50C20575"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respond to the question </w:t>
          </w:r>
          <w:proofErr w:type="gramStart"/>
          <w:r w:rsidRPr="00E3664A">
            <w:rPr>
              <w:rFonts w:ascii="Arial" w:eastAsiaTheme="minorEastAsia" w:hAnsi="Arial" w:cs="Arial"/>
              <w:szCs w:val="20"/>
            </w:rPr>
            <w:t>stated;</w:t>
          </w:r>
          <w:proofErr w:type="gramEnd"/>
        </w:p>
        <w:p w14:paraId="3E582C73"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indicate the specific question to which the comment </w:t>
          </w:r>
          <w:proofErr w:type="gramStart"/>
          <w:r w:rsidRPr="00E3664A">
            <w:rPr>
              <w:rFonts w:ascii="Arial" w:eastAsiaTheme="minorEastAsia" w:hAnsi="Arial" w:cs="Arial"/>
              <w:szCs w:val="20"/>
            </w:rPr>
            <w:t>relates;</w:t>
          </w:r>
          <w:proofErr w:type="gramEnd"/>
        </w:p>
        <w:p w14:paraId="57AE148A"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4C56C707" w14:textId="77777777" w:rsidR="00C83836" w:rsidRPr="00E3664A" w:rsidRDefault="00C83836" w:rsidP="00C83836">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381E29AA"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w:t>
          </w:r>
          <w:r w:rsidRPr="00357453">
            <w:rPr>
              <w:rFonts w:ascii="Arial" w:eastAsiaTheme="minorEastAsia" w:hAnsi="Arial" w:cs="Arial"/>
              <w:szCs w:val="20"/>
            </w:rPr>
            <w:t xml:space="preserve">received by </w:t>
          </w:r>
          <w:r w:rsidRPr="00357453">
            <w:rPr>
              <w:rFonts w:ascii="Arial" w:eastAsiaTheme="minorEastAsia" w:hAnsi="Arial" w:cs="Arial"/>
              <w:b/>
              <w:szCs w:val="20"/>
            </w:rPr>
            <w:t>20 September 2021.</w:t>
          </w:r>
          <w:r w:rsidRPr="00E3664A">
            <w:rPr>
              <w:rFonts w:ascii="Arial" w:eastAsiaTheme="minorEastAsia" w:hAnsi="Arial" w:cs="Arial"/>
              <w:b/>
              <w:szCs w:val="20"/>
            </w:rPr>
            <w:t xml:space="preserve"> </w:t>
          </w:r>
        </w:p>
        <w:p w14:paraId="78313B97"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13C81215" w14:textId="77777777" w:rsidR="00C83836" w:rsidRPr="00E3664A" w:rsidRDefault="00C83836" w:rsidP="00C83836">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7D6A7DC7" w14:textId="77777777" w:rsidR="00C83836" w:rsidRPr="00E3664A" w:rsidRDefault="00C83836" w:rsidP="00C83836">
          <w:pPr>
            <w:spacing w:after="250" w:line="276" w:lineRule="auto"/>
            <w:jc w:val="both"/>
            <w:rPr>
              <w:rFonts w:ascii="Arial" w:eastAsiaTheme="minorEastAsia" w:hAnsi="Arial" w:cs="Arial"/>
              <w:szCs w:val="20"/>
            </w:rPr>
          </w:pPr>
          <w:proofErr w:type="gramStart"/>
          <w:r w:rsidRPr="00E3664A">
            <w:rPr>
              <w:rFonts w:ascii="Arial" w:eastAsiaTheme="minorEastAsia" w:hAnsi="Arial" w:cs="Arial"/>
              <w:szCs w:val="20"/>
            </w:rPr>
            <w:t>In order to</w:t>
          </w:r>
          <w:proofErr w:type="gramEnd"/>
          <w:r w:rsidRPr="00E3664A">
            <w:rPr>
              <w:rFonts w:ascii="Arial" w:eastAsiaTheme="minorEastAsia" w:hAnsi="Arial" w:cs="Arial"/>
              <w:szCs w:val="20"/>
            </w:rPr>
            <w:t xml:space="preserve"> facilitate analysis of responses to the Consultation Paper, respondents are requested to follow the below steps when preparing and submitting their response:</w:t>
          </w:r>
        </w:p>
        <w:p w14:paraId="79682670" w14:textId="77777777"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B978D4D" w14:textId="67D5AD05"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DVDS</w:t>
          </w:r>
          <w:r w:rsidRPr="00E3664A">
            <w:rPr>
              <w:rFonts w:ascii="Arial" w:eastAsiaTheme="minorEastAsia" w:hAnsi="Arial" w:cs="Arial"/>
              <w:szCs w:val="20"/>
              <w:lang w:eastAsia="en-US"/>
            </w:rPr>
            <w:t xml:space="preserve">_1&gt;. Your response to each question </w:t>
          </w:r>
          <w:proofErr w:type="gramStart"/>
          <w:r w:rsidRPr="00E3664A">
            <w:rPr>
              <w:rFonts w:ascii="Arial" w:eastAsiaTheme="minorEastAsia" w:hAnsi="Arial" w:cs="Arial"/>
              <w:szCs w:val="20"/>
              <w:lang w:eastAsia="en-US"/>
            </w:rPr>
            <w:t>has to</w:t>
          </w:r>
          <w:proofErr w:type="gramEnd"/>
          <w:r w:rsidRPr="00E3664A">
            <w:rPr>
              <w:rFonts w:ascii="Arial" w:eastAsiaTheme="minorEastAsia" w:hAnsi="Arial" w:cs="Arial"/>
              <w:szCs w:val="20"/>
              <w:lang w:eastAsia="en-US"/>
            </w:rPr>
            <w:t xml:space="preserve"> be framed by the two tags corresponding to the question.</w:t>
          </w:r>
        </w:p>
        <w:p w14:paraId="70148B20" w14:textId="77777777"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5F2A47C1" w14:textId="0C56CAC4"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When you have drafted your response, name your response form according to the following convention: </w:t>
          </w:r>
          <w:proofErr w:type="spellStart"/>
          <w:r w:rsidRPr="00E3664A">
            <w:rPr>
              <w:rFonts w:ascii="Arial" w:eastAsiaTheme="minorEastAsia" w:hAnsi="Arial" w:cs="Arial"/>
              <w:szCs w:val="20"/>
              <w:lang w:eastAsia="en-US"/>
            </w:rPr>
            <w:t>ESMA_</w:t>
          </w:r>
          <w:r>
            <w:rPr>
              <w:rFonts w:ascii="Arial" w:eastAsiaTheme="minorEastAsia" w:hAnsi="Arial" w:cs="Arial"/>
              <w:szCs w:val="20"/>
              <w:lang w:eastAsia="en-US"/>
            </w:rPr>
            <w:t>DVDS</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Pr>
              <w:rFonts w:ascii="Arial" w:eastAsiaTheme="minorEastAsia" w:hAnsi="Arial" w:cs="Arial"/>
              <w:szCs w:val="20"/>
              <w:lang w:eastAsia="en-US"/>
            </w:rPr>
            <w:t>DVDS</w:t>
          </w:r>
          <w:r w:rsidRPr="00E3664A">
            <w:rPr>
              <w:rFonts w:ascii="Arial" w:eastAsiaTheme="minorEastAsia" w:hAnsi="Arial" w:cs="Arial"/>
              <w:szCs w:val="20"/>
              <w:lang w:eastAsia="en-US"/>
            </w:rPr>
            <w:t>_ABCD_RESPONSEFORM.</w:t>
          </w:r>
        </w:p>
        <w:p w14:paraId="740F9E23" w14:textId="7B320C06" w:rsidR="00C83836" w:rsidRPr="00E3664A" w:rsidRDefault="00C83836" w:rsidP="00C83836">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6"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6300B1">
            <w:rPr>
              <w:rFonts w:ascii="Arial" w:hAnsi="Arial" w:cs="Arial"/>
              <w:lang w:eastAsia="en-US"/>
            </w:rPr>
            <w:t xml:space="preserve">on </w:t>
          </w:r>
          <w:r w:rsidRPr="00C83836">
            <w:rPr>
              <w:rFonts w:ascii="Arial" w:hAnsi="Arial" w:cs="Arial"/>
              <w:lang w:eastAsia="en-US"/>
            </w:rPr>
            <w:t>the circumstances for temporary restrictions in the case of a significant non-default event</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16329B8E" w14:textId="77777777" w:rsidR="00C83836" w:rsidRDefault="00C83836" w:rsidP="00C83836">
          <w:pPr>
            <w:spacing w:after="250" w:line="276" w:lineRule="auto"/>
            <w:jc w:val="both"/>
            <w:rPr>
              <w:rFonts w:ascii="Arial" w:eastAsiaTheme="minorEastAsia" w:hAnsi="Arial" w:cs="Arial"/>
              <w:szCs w:val="20"/>
            </w:rPr>
          </w:pPr>
        </w:p>
        <w:p w14:paraId="2E864D5C" w14:textId="77777777" w:rsidR="00C83836" w:rsidRDefault="00C83836" w:rsidP="00C83836">
          <w:pPr>
            <w:spacing w:after="250" w:line="276" w:lineRule="auto"/>
            <w:jc w:val="both"/>
            <w:rPr>
              <w:rFonts w:ascii="Arial" w:eastAsiaTheme="minorEastAsia" w:hAnsi="Arial" w:cs="Arial"/>
              <w:szCs w:val="20"/>
            </w:rPr>
          </w:pPr>
        </w:p>
        <w:p w14:paraId="715293CB" w14:textId="77777777" w:rsidR="00C83836" w:rsidRPr="00E3664A" w:rsidRDefault="00C83836" w:rsidP="00C83836">
          <w:pPr>
            <w:spacing w:after="250" w:line="276" w:lineRule="auto"/>
            <w:jc w:val="both"/>
            <w:rPr>
              <w:rFonts w:ascii="Arial" w:eastAsiaTheme="minorEastAsia" w:hAnsi="Arial" w:cs="Arial"/>
              <w:szCs w:val="20"/>
            </w:rPr>
          </w:pPr>
        </w:p>
        <w:p w14:paraId="04F6F6EA" w14:textId="77777777" w:rsidR="00C83836" w:rsidRPr="00E3664A" w:rsidRDefault="00C83836" w:rsidP="00C83836">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116B19DF"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received will be published following the close of the </w:t>
          </w:r>
          <w:proofErr w:type="gramStart"/>
          <w:r w:rsidRPr="00E3664A">
            <w:rPr>
              <w:rFonts w:ascii="Arial" w:eastAsiaTheme="minorEastAsia" w:hAnsi="Arial" w:cs="Arial"/>
              <w:szCs w:val="20"/>
            </w:rPr>
            <w:t>consultation, unless</w:t>
          </w:r>
          <w:proofErr w:type="gramEnd"/>
          <w:r w:rsidRPr="00E3664A">
            <w:rPr>
              <w:rFonts w:ascii="Arial" w:eastAsiaTheme="minorEastAsia" w:hAnsi="Arial" w:cs="Arial"/>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4CC2F97" w14:textId="77777777" w:rsidR="00C83836" w:rsidRPr="00E3664A" w:rsidRDefault="00C83836" w:rsidP="00C83836">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4A9ACF" w14:textId="77777777"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121C0B5" w14:textId="2B7AF9EB"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1135E390" w14:textId="27D27547" w:rsidR="00C83836" w:rsidRPr="00E3664A" w:rsidRDefault="00D22F88" w:rsidP="00C83836">
      <w:pPr>
        <w:spacing w:after="120" w:line="276" w:lineRule="auto"/>
        <w:rPr>
          <w:rFonts w:ascii="Arial" w:hAnsi="Arial" w:cs="Arial"/>
        </w:rPr>
      </w:pPr>
      <w:r w:rsidRPr="00D22F88">
        <w:rPr>
          <w:rFonts w:ascii="Arial" w:hAnsi="Arial" w:cs="Arial"/>
          <w:lang w:eastAsia="it-IT"/>
        </w:rPr>
        <w:t xml:space="preserve">All interested stakeholders are invited to respond to this consultation paper. </w:t>
      </w:r>
      <w:proofErr w:type="gramStart"/>
      <w:r w:rsidRPr="00D22F88">
        <w:rPr>
          <w:rFonts w:ascii="Arial" w:hAnsi="Arial" w:cs="Arial"/>
          <w:lang w:eastAsia="it-IT"/>
        </w:rPr>
        <w:t>In particular, responses</w:t>
      </w:r>
      <w:proofErr w:type="gramEnd"/>
      <w:r w:rsidRPr="00D22F88">
        <w:rPr>
          <w:rFonts w:ascii="Arial" w:hAnsi="Arial" w:cs="Arial"/>
          <w:lang w:eastAsia="it-IT"/>
        </w:rPr>
        <w:t xml:space="preserve"> are sought from central counterparties (CCPs) as well as from direct or indirect clearing members of CCPs.</w:t>
      </w:r>
    </w:p>
    <w:p w14:paraId="5B67D497" w14:textId="77777777" w:rsidR="00C83836" w:rsidRPr="00E3664A" w:rsidRDefault="00C83836" w:rsidP="00C83836">
      <w:pPr>
        <w:spacing w:after="120" w:line="276" w:lineRule="auto"/>
        <w:rPr>
          <w:rFonts w:ascii="Arial" w:hAnsi="Arial" w:cs="Arial"/>
        </w:rPr>
      </w:pPr>
    </w:p>
    <w:p w14:paraId="3953976C" w14:textId="5D564FFB" w:rsidR="00C83836" w:rsidRDefault="00C83836" w:rsidP="00C83836">
      <w:pPr>
        <w:pStyle w:val="Heading1"/>
        <w:numPr>
          <w:ilvl w:val="0"/>
          <w:numId w:val="0"/>
        </w:numPr>
        <w:spacing w:line="276" w:lineRule="auto"/>
        <w:rPr>
          <w:rFonts w:ascii="Arial" w:hAnsi="Arial" w:cs="Arial"/>
          <w:sz w:val="24"/>
          <w:szCs w:val="24"/>
        </w:rPr>
      </w:pPr>
    </w:p>
    <w:p w14:paraId="53473CD4" w14:textId="6EF57963" w:rsidR="00D22F88" w:rsidRDefault="00D22F88" w:rsidP="00D22F88">
      <w:pPr>
        <w:rPr>
          <w:lang w:eastAsia="en-GB"/>
        </w:rPr>
      </w:pPr>
    </w:p>
    <w:p w14:paraId="5A3ECC24" w14:textId="362A609D" w:rsidR="00D22F88" w:rsidRDefault="00D22F88" w:rsidP="00D22F88">
      <w:pPr>
        <w:rPr>
          <w:lang w:eastAsia="en-GB"/>
        </w:rPr>
      </w:pPr>
    </w:p>
    <w:p w14:paraId="12C93138" w14:textId="4B71DE13" w:rsidR="00D22F88" w:rsidRDefault="00D22F88" w:rsidP="00D22F88">
      <w:pPr>
        <w:rPr>
          <w:lang w:eastAsia="en-GB"/>
        </w:rPr>
      </w:pPr>
    </w:p>
    <w:p w14:paraId="6A616999" w14:textId="361D0599" w:rsidR="00D22F88" w:rsidRDefault="00D22F88" w:rsidP="00D22F88">
      <w:pPr>
        <w:rPr>
          <w:lang w:eastAsia="en-GB"/>
        </w:rPr>
      </w:pPr>
    </w:p>
    <w:p w14:paraId="126C9175" w14:textId="6A14E4EE" w:rsidR="00D22F88" w:rsidRDefault="00D22F88" w:rsidP="00D22F88">
      <w:pPr>
        <w:rPr>
          <w:lang w:eastAsia="en-GB"/>
        </w:rPr>
      </w:pPr>
    </w:p>
    <w:p w14:paraId="3E9F7DD7" w14:textId="07AB72DB" w:rsidR="00D22F88" w:rsidRDefault="00D22F88" w:rsidP="00D22F88">
      <w:pPr>
        <w:rPr>
          <w:lang w:eastAsia="en-GB"/>
        </w:rPr>
      </w:pPr>
    </w:p>
    <w:p w14:paraId="5761F58D" w14:textId="641612B0" w:rsidR="00D22F88" w:rsidRDefault="00D22F88" w:rsidP="00D22F88">
      <w:pPr>
        <w:rPr>
          <w:lang w:eastAsia="en-GB"/>
        </w:rPr>
      </w:pPr>
    </w:p>
    <w:p w14:paraId="3DD7DC6E" w14:textId="1D30306B" w:rsidR="00D22F88" w:rsidRDefault="00D22F88" w:rsidP="00D22F88">
      <w:pPr>
        <w:rPr>
          <w:lang w:eastAsia="en-GB"/>
        </w:rPr>
      </w:pPr>
    </w:p>
    <w:p w14:paraId="5CBE4526" w14:textId="0A6F9933" w:rsidR="00D22F88" w:rsidRDefault="00D22F88" w:rsidP="00D22F88">
      <w:pPr>
        <w:rPr>
          <w:lang w:eastAsia="en-GB"/>
        </w:rPr>
      </w:pPr>
    </w:p>
    <w:p w14:paraId="7654FD8F" w14:textId="35905474" w:rsidR="00D22F88" w:rsidRDefault="00D22F88" w:rsidP="00D22F88">
      <w:pPr>
        <w:rPr>
          <w:lang w:eastAsia="en-GB"/>
        </w:rPr>
      </w:pPr>
    </w:p>
    <w:p w14:paraId="7D04C991" w14:textId="3BB5C14D" w:rsidR="00D22F88" w:rsidRDefault="00D22F88" w:rsidP="00D22F88">
      <w:pPr>
        <w:rPr>
          <w:lang w:eastAsia="en-GB"/>
        </w:rPr>
      </w:pPr>
    </w:p>
    <w:p w14:paraId="46C58A1A" w14:textId="234FED33" w:rsidR="00D22F88" w:rsidRDefault="00D22F88" w:rsidP="00D22F88">
      <w:pPr>
        <w:rPr>
          <w:lang w:eastAsia="en-GB"/>
        </w:rPr>
      </w:pPr>
    </w:p>
    <w:p w14:paraId="4C4B8AA1" w14:textId="77777777" w:rsidR="00D22F88" w:rsidRPr="00D22F88" w:rsidRDefault="00D22F88" w:rsidP="00D22F88">
      <w:pPr>
        <w:rPr>
          <w:lang w:eastAsia="en-GB"/>
        </w:rPr>
      </w:pPr>
    </w:p>
    <w:p w14:paraId="1CA77A3F" w14:textId="77777777" w:rsidR="00D22F88" w:rsidRDefault="00D22F88" w:rsidP="00C83836">
      <w:pPr>
        <w:keepNext/>
        <w:keepLines/>
        <w:spacing w:before="320" w:after="250" w:line="276" w:lineRule="auto"/>
        <w:jc w:val="both"/>
        <w:outlineLvl w:val="0"/>
        <w:rPr>
          <w:rFonts w:ascii="Arial" w:eastAsiaTheme="majorEastAsia" w:hAnsi="Arial" w:cs="Arial"/>
          <w:b/>
          <w:sz w:val="32"/>
          <w:szCs w:val="32"/>
        </w:rPr>
      </w:pPr>
    </w:p>
    <w:p w14:paraId="56E4D9A8" w14:textId="38DD4B88" w:rsidR="00C83836" w:rsidRPr="00E3664A" w:rsidRDefault="00C83836" w:rsidP="00C83836">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3836" w:rsidRPr="00E3664A" w14:paraId="700DFBC9" w14:textId="77777777" w:rsidTr="009E4432">
        <w:tc>
          <w:tcPr>
            <w:tcW w:w="3929" w:type="dxa"/>
            <w:shd w:val="clear" w:color="auto" w:fill="auto"/>
          </w:tcPr>
          <w:p w14:paraId="247EF08D" w14:textId="77777777" w:rsidR="00C83836" w:rsidRPr="00E3664A" w:rsidRDefault="00C83836" w:rsidP="009E4432">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34DF27FE" w14:textId="7A4A9F21" w:rsidR="00C83836" w:rsidRPr="00E3664A" w:rsidRDefault="00636B0C" w:rsidP="009E4432">
                <w:pPr>
                  <w:rPr>
                    <w:rFonts w:ascii="Arial" w:hAnsi="Arial" w:cs="Arial"/>
                    <w:color w:val="808080"/>
                    <w:sz w:val="20"/>
                    <w:lang w:eastAsia="de-DE"/>
                  </w:rPr>
                </w:pPr>
                <w:r>
                  <w:rPr>
                    <w:rFonts w:ascii="Arial" w:hAnsi="Arial" w:cs="Arial"/>
                    <w:color w:val="808080"/>
                    <w:sz w:val="20"/>
                    <w:lang w:eastAsia="de-DE"/>
                  </w:rPr>
                  <w:t>The London Stock Exchange Group</w:t>
                </w:r>
              </w:p>
            </w:tc>
          </w:sdtContent>
        </w:sdt>
      </w:tr>
      <w:tr w:rsidR="00C83836" w:rsidRPr="00E3664A" w14:paraId="6F1768A1" w14:textId="77777777" w:rsidTr="009E4432">
        <w:tc>
          <w:tcPr>
            <w:tcW w:w="3929" w:type="dxa"/>
            <w:shd w:val="clear" w:color="auto" w:fill="auto"/>
          </w:tcPr>
          <w:p w14:paraId="638136EB" w14:textId="77777777" w:rsidR="00C83836" w:rsidRPr="00E3664A" w:rsidRDefault="00C83836" w:rsidP="009E4432">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6F24BA99" w14:textId="55400469" w:rsidR="00C83836" w:rsidRPr="00E3664A" w:rsidRDefault="00F57952" w:rsidP="009E4432">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36B0C">
                  <w:rPr>
                    <w:rFonts w:ascii="Arial" w:hAnsi="Arial" w:cs="Arial"/>
                    <w:sz w:val="20"/>
                    <w:lang w:eastAsia="de-DE"/>
                  </w:rPr>
                  <w:t>Central Counterparty</w:t>
                </w:r>
              </w:sdtContent>
            </w:sdt>
          </w:p>
        </w:tc>
      </w:tr>
      <w:tr w:rsidR="00C83836" w:rsidRPr="00E3664A" w14:paraId="7D95A798" w14:textId="77777777" w:rsidTr="009E4432">
        <w:tc>
          <w:tcPr>
            <w:tcW w:w="3929" w:type="dxa"/>
            <w:shd w:val="clear" w:color="auto" w:fill="auto"/>
          </w:tcPr>
          <w:p w14:paraId="7015DBCD" w14:textId="77777777" w:rsidR="00C83836" w:rsidRPr="00E3664A" w:rsidRDefault="00C83836" w:rsidP="009E4432">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119E364B" w14:textId="77777777" w:rsidR="00C83836" w:rsidRPr="00E3664A" w:rsidRDefault="00C83836" w:rsidP="009E4432">
                <w:pPr>
                  <w:rPr>
                    <w:rFonts w:ascii="Arial" w:hAnsi="Arial" w:cs="Arial"/>
                    <w:sz w:val="20"/>
                    <w:lang w:eastAsia="de-DE"/>
                  </w:rPr>
                </w:pPr>
                <w:r w:rsidRPr="00E3664A">
                  <w:rPr>
                    <w:rFonts w:ascii="Segoe UI Symbol" w:hAnsi="Segoe UI Symbol" w:cs="Segoe UI Symbol"/>
                    <w:sz w:val="20"/>
                    <w:lang w:eastAsia="de-DE"/>
                  </w:rPr>
                  <w:t>☐</w:t>
                </w:r>
              </w:p>
            </w:tc>
          </w:sdtContent>
        </w:sdt>
      </w:tr>
      <w:tr w:rsidR="00C83836" w:rsidRPr="00E3664A" w14:paraId="37125059" w14:textId="77777777" w:rsidTr="009E4432">
        <w:tc>
          <w:tcPr>
            <w:tcW w:w="3929" w:type="dxa"/>
            <w:shd w:val="clear" w:color="auto" w:fill="auto"/>
          </w:tcPr>
          <w:p w14:paraId="714B75F1" w14:textId="77777777" w:rsidR="00C83836" w:rsidRPr="00E3664A" w:rsidRDefault="00C83836" w:rsidP="009E4432">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6F884FA" w14:textId="661B01DC" w:rsidR="00C83836" w:rsidRPr="00E3664A" w:rsidRDefault="001450BA" w:rsidP="009E4432">
                <w:pPr>
                  <w:rPr>
                    <w:rFonts w:ascii="Arial" w:hAnsi="Arial" w:cs="Arial"/>
                    <w:sz w:val="20"/>
                    <w:lang w:eastAsia="de-DE"/>
                  </w:rPr>
                </w:pPr>
                <w:r>
                  <w:rPr>
                    <w:rFonts w:ascii="Arial" w:hAnsi="Arial" w:cs="Arial"/>
                    <w:sz w:val="20"/>
                    <w:lang w:eastAsia="de-DE"/>
                  </w:rPr>
                  <w:t>UK</w:t>
                </w:r>
              </w:p>
            </w:tc>
          </w:sdtContent>
        </w:sdt>
      </w:tr>
    </w:tbl>
    <w:p w14:paraId="54A144F7" w14:textId="77777777" w:rsidR="00C83836" w:rsidRPr="00E3664A" w:rsidRDefault="00C83836" w:rsidP="00C83836">
      <w:pPr>
        <w:spacing w:after="120" w:line="264" w:lineRule="auto"/>
        <w:jc w:val="both"/>
        <w:rPr>
          <w:rFonts w:ascii="Arial" w:eastAsiaTheme="minorEastAsia" w:hAnsi="Arial" w:cs="Arial"/>
          <w:szCs w:val="20"/>
        </w:rPr>
      </w:pPr>
    </w:p>
    <w:p w14:paraId="49DFA161" w14:textId="77777777" w:rsidR="00C83836" w:rsidRPr="00E3664A" w:rsidRDefault="00C83836" w:rsidP="00C83836">
      <w:pPr>
        <w:spacing w:after="120" w:line="264" w:lineRule="auto"/>
        <w:jc w:val="both"/>
        <w:rPr>
          <w:rFonts w:ascii="Arial" w:eastAsiaTheme="minorEastAsia" w:hAnsi="Arial" w:cs="Arial"/>
          <w:szCs w:val="20"/>
        </w:rPr>
      </w:pPr>
    </w:p>
    <w:p w14:paraId="233EE46D" w14:textId="77777777" w:rsidR="00C83836" w:rsidRPr="00E3664A" w:rsidRDefault="00C83836" w:rsidP="00C83836">
      <w:pPr>
        <w:spacing w:after="120" w:line="264" w:lineRule="auto"/>
        <w:jc w:val="both"/>
        <w:rPr>
          <w:rFonts w:ascii="Arial" w:eastAsiaTheme="minorEastAsia" w:hAnsi="Arial" w:cs="Arial"/>
          <w:szCs w:val="20"/>
        </w:rPr>
      </w:pPr>
    </w:p>
    <w:p w14:paraId="3ECDE970" w14:textId="77777777" w:rsidR="00C83836" w:rsidRPr="00E3664A" w:rsidRDefault="00C83836" w:rsidP="00C83836">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C813E3B" w14:textId="77777777" w:rsidR="00C83836" w:rsidRPr="00E3664A" w:rsidRDefault="00C83836" w:rsidP="00C83836">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 xml:space="preserve">Please make your introductory comments </w:t>
      </w:r>
      <w:proofErr w:type="gramStart"/>
      <w:r w:rsidRPr="00E3664A">
        <w:rPr>
          <w:rFonts w:ascii="Arial" w:eastAsiaTheme="minorEastAsia" w:hAnsi="Arial" w:cs="Arial"/>
          <w:b/>
          <w:bCs/>
          <w:i/>
          <w:iCs/>
          <w:szCs w:val="20"/>
        </w:rPr>
        <w:t>below, if</w:t>
      </w:r>
      <w:proofErr w:type="gramEnd"/>
      <w:r w:rsidRPr="00E3664A">
        <w:rPr>
          <w:rFonts w:ascii="Arial" w:eastAsiaTheme="minorEastAsia" w:hAnsi="Arial" w:cs="Arial"/>
          <w:b/>
          <w:bCs/>
          <w:i/>
          <w:iCs/>
          <w:szCs w:val="20"/>
        </w:rPr>
        <w:t xml:space="preserve"> any</w:t>
      </w:r>
    </w:p>
    <w:p w14:paraId="053D67C1" w14:textId="6F41AC40" w:rsidR="00C83836" w:rsidRPr="00E3664A" w:rsidRDefault="00C83836" w:rsidP="00C83836">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DVDS</w:t>
      </w:r>
      <w:r w:rsidRPr="00E3664A">
        <w:rPr>
          <w:rFonts w:ascii="Arial" w:eastAsiaTheme="minorEastAsia" w:hAnsi="Arial" w:cs="Arial"/>
          <w:szCs w:val="20"/>
        </w:rPr>
        <w:t>_00&gt;</w:t>
      </w:r>
    </w:p>
    <w:p w14:paraId="7C7CC77D" w14:textId="77777777" w:rsidR="00636B0C" w:rsidRDefault="00636B0C" w:rsidP="00636B0C">
      <w:pPr>
        <w:jc w:val="both"/>
        <w:rPr>
          <w:rFonts w:cstheme="minorHAnsi"/>
        </w:rPr>
      </w:pPr>
      <w:r w:rsidRPr="00A20269">
        <w:rPr>
          <w:rFonts w:cstheme="minorHAnsi"/>
        </w:rPr>
        <w:t xml:space="preserve">LSEG welcomes the opportunity to comment on </w:t>
      </w:r>
      <w:r w:rsidRPr="00C1637B">
        <w:rPr>
          <w:rFonts w:cstheme="minorHAnsi"/>
        </w:rPr>
        <w:t xml:space="preserve">ESMA’s </w:t>
      </w:r>
      <w:r>
        <w:rPr>
          <w:rFonts w:cstheme="minorHAnsi"/>
        </w:rPr>
        <w:t>d</w:t>
      </w:r>
      <w:r w:rsidRPr="00FF396F">
        <w:rPr>
          <w:rFonts w:cstheme="minorHAnsi"/>
        </w:rPr>
        <w:t>raft Guidelines further specifying the circumstances for temporary restrictions in the case of a significant non-default event in accordance with Article 45a of EMIR</w:t>
      </w:r>
      <w:r>
        <w:rPr>
          <w:rFonts w:cstheme="minorHAnsi"/>
        </w:rPr>
        <w:t>.</w:t>
      </w:r>
      <w:r w:rsidRPr="00A20269">
        <w:rPr>
          <w:rFonts w:cstheme="minorHAnsi"/>
        </w:rPr>
        <w:t xml:space="preserve"> We would like to make the following key observations:</w:t>
      </w:r>
    </w:p>
    <w:p w14:paraId="59FE0F01" w14:textId="77777777" w:rsidR="00636B0C" w:rsidRDefault="00636B0C" w:rsidP="00636B0C">
      <w:pPr>
        <w:jc w:val="both"/>
        <w:rPr>
          <w:rFonts w:cstheme="minorHAnsi"/>
        </w:rPr>
      </w:pPr>
    </w:p>
    <w:p w14:paraId="0292784D" w14:textId="77777777" w:rsidR="00636B0C" w:rsidRPr="00A11831" w:rsidRDefault="00636B0C" w:rsidP="00636B0C">
      <w:pPr>
        <w:pStyle w:val="ListParagraph"/>
        <w:numPr>
          <w:ilvl w:val="0"/>
          <w:numId w:val="6"/>
        </w:numPr>
        <w:tabs>
          <w:tab w:val="clear" w:pos="0"/>
          <w:tab w:val="clear" w:pos="142"/>
          <w:tab w:val="clear" w:pos="284"/>
          <w:tab w:val="clear" w:pos="567"/>
        </w:tabs>
        <w:autoSpaceDE/>
        <w:autoSpaceDN/>
        <w:adjustRightInd/>
        <w:spacing w:after="160" w:line="259" w:lineRule="auto"/>
        <w:contextualSpacing/>
      </w:pPr>
      <w:r w:rsidRPr="004650CC">
        <w:t xml:space="preserve">LSEG </w:t>
      </w:r>
      <w:r w:rsidRPr="00A11831">
        <w:rPr>
          <w:rFonts w:eastAsiaTheme="minorHAnsi" w:cs="Arial"/>
          <w:color w:val="000000"/>
        </w:rPr>
        <w:t xml:space="preserve">agrees that a </w:t>
      </w:r>
      <w:r w:rsidRPr="004650CC">
        <w:rPr>
          <w:rFonts w:eastAsiaTheme="minorHAnsi" w:cs="Arial"/>
          <w:color w:val="000000"/>
        </w:rPr>
        <w:t>CCP’s capital requirement</w:t>
      </w:r>
      <w:r w:rsidRPr="00A11831">
        <w:rPr>
          <w:rFonts w:eastAsiaTheme="minorHAnsi" w:cs="Arial"/>
          <w:color w:val="000000"/>
        </w:rPr>
        <w:t xml:space="preserve"> under EMIR is a good reference point for the significance of a non-defaulting event.</w:t>
      </w:r>
    </w:p>
    <w:p w14:paraId="481DDAC5" w14:textId="15961D8A" w:rsidR="00636B0C" w:rsidRPr="00A11831" w:rsidRDefault="00636B0C" w:rsidP="00636B0C">
      <w:pPr>
        <w:pStyle w:val="ListParagraph"/>
        <w:numPr>
          <w:ilvl w:val="0"/>
          <w:numId w:val="6"/>
        </w:numPr>
        <w:tabs>
          <w:tab w:val="clear" w:pos="0"/>
          <w:tab w:val="clear" w:pos="142"/>
          <w:tab w:val="clear" w:pos="284"/>
          <w:tab w:val="clear" w:pos="567"/>
        </w:tabs>
        <w:autoSpaceDE/>
        <w:autoSpaceDN/>
        <w:adjustRightInd/>
        <w:spacing w:after="160" w:line="259" w:lineRule="auto"/>
        <w:contextualSpacing/>
      </w:pPr>
      <w:r>
        <w:t>We believe however that unless the</w:t>
      </w:r>
      <w:r>
        <w:rPr>
          <w:rFonts w:eastAsiaTheme="minorHAnsi" w:cs="Arial"/>
          <w:color w:val="000000"/>
        </w:rPr>
        <w:t xml:space="preserve"> CCP’s regulatory capital is breached, Article 45</w:t>
      </w:r>
      <w:r w:rsidR="009974D9">
        <w:rPr>
          <w:rFonts w:eastAsiaTheme="minorHAnsi" w:cs="Arial"/>
          <w:color w:val="000000"/>
        </w:rPr>
        <w:t>(</w:t>
      </w:r>
      <w:r>
        <w:rPr>
          <w:rFonts w:eastAsiaTheme="minorHAnsi" w:cs="Arial"/>
          <w:color w:val="000000"/>
        </w:rPr>
        <w:t>a</w:t>
      </w:r>
      <w:r w:rsidR="009974D9">
        <w:rPr>
          <w:rFonts w:eastAsiaTheme="minorHAnsi" w:cs="Arial"/>
          <w:color w:val="000000"/>
        </w:rPr>
        <w:t>)</w:t>
      </w:r>
      <w:r>
        <w:rPr>
          <w:rFonts w:eastAsiaTheme="minorHAnsi" w:cs="Arial"/>
          <w:color w:val="000000"/>
        </w:rPr>
        <w:t xml:space="preserve"> of CCP RRR should not be triggered.</w:t>
      </w:r>
    </w:p>
    <w:p w14:paraId="3C5E8545" w14:textId="77777777" w:rsidR="00636B0C" w:rsidRPr="004650CC" w:rsidRDefault="00636B0C" w:rsidP="00636B0C">
      <w:pPr>
        <w:pStyle w:val="ListParagraph"/>
        <w:numPr>
          <w:ilvl w:val="0"/>
          <w:numId w:val="6"/>
        </w:numPr>
        <w:tabs>
          <w:tab w:val="clear" w:pos="0"/>
          <w:tab w:val="clear" w:pos="142"/>
          <w:tab w:val="clear" w:pos="284"/>
          <w:tab w:val="clear" w:pos="567"/>
        </w:tabs>
        <w:spacing w:line="259" w:lineRule="auto"/>
        <w:contextualSpacing/>
        <w:jc w:val="left"/>
        <w:rPr>
          <w:rFonts w:eastAsiaTheme="minorHAnsi" w:cs="Arial"/>
          <w:color w:val="000000"/>
        </w:rPr>
      </w:pPr>
      <w:r>
        <w:rPr>
          <w:rFonts w:eastAsiaTheme="minorHAnsi" w:cs="Arial"/>
          <w:color w:val="000000"/>
        </w:rPr>
        <w:t>We disagree with ESMA’s proposal to use “</w:t>
      </w:r>
      <w:r w:rsidRPr="004650CC">
        <w:rPr>
          <w:rFonts w:eastAsiaTheme="minorHAnsi" w:cs="Arial"/>
          <w:color w:val="000000"/>
        </w:rPr>
        <w:t>the reduction of volumes or number of clearing memberships</w:t>
      </w:r>
      <w:r>
        <w:rPr>
          <w:rFonts w:eastAsiaTheme="minorHAnsi" w:cs="Arial"/>
          <w:color w:val="000000"/>
        </w:rPr>
        <w:t>” as indicators for triggering Article 45(a) as they are</w:t>
      </w:r>
      <w:r w:rsidRPr="004650CC">
        <w:rPr>
          <w:rFonts w:eastAsiaTheme="minorHAnsi" w:cs="Arial"/>
          <w:color w:val="000000"/>
        </w:rPr>
        <w:t xml:space="preserve"> not be directly related to the CCP’s business activities or its inability to perform at the required level but clients’ choice of clearing who drive clearing volumes where they can find best prices and higher liquidity. </w:t>
      </w:r>
    </w:p>
    <w:p w14:paraId="112B8069" w14:textId="77777777" w:rsidR="00636B0C" w:rsidRPr="00A20269" w:rsidRDefault="00636B0C" w:rsidP="009974D9">
      <w:pPr>
        <w:spacing w:line="240" w:lineRule="auto"/>
      </w:pPr>
      <w:bookmarkStart w:id="0" w:name="_Hlk14268422"/>
    </w:p>
    <w:bookmarkEnd w:id="0"/>
    <w:p w14:paraId="353B4F2E" w14:textId="77777777" w:rsidR="00636B0C" w:rsidRDefault="00636B0C" w:rsidP="00636B0C">
      <w:pPr>
        <w:spacing w:after="250" w:line="276" w:lineRule="auto"/>
        <w:jc w:val="both"/>
        <w:rPr>
          <w:rFonts w:cstheme="minorHAnsi"/>
        </w:rPr>
      </w:pPr>
      <w:r w:rsidRPr="00A20269">
        <w:rPr>
          <w:rFonts w:cstheme="minorHAnsi"/>
        </w:rPr>
        <w:t xml:space="preserve">Below we provide our views on the different aspects of the regulation and highlight areas which in our view require further consideration/adaptation in the final </w:t>
      </w:r>
      <w:r>
        <w:rPr>
          <w:rFonts w:cstheme="minorHAnsi"/>
        </w:rPr>
        <w:t>proposal</w:t>
      </w:r>
      <w:r w:rsidRPr="00A20269">
        <w:rPr>
          <w:rFonts w:cstheme="minorHAnsi"/>
        </w:rPr>
        <w:t xml:space="preserve">. </w:t>
      </w:r>
    </w:p>
    <w:p w14:paraId="73E8FFD5" w14:textId="033577A3" w:rsidR="00C83836" w:rsidRPr="00E3664A" w:rsidRDefault="00C83836" w:rsidP="00636B0C">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DVDS</w:t>
      </w:r>
      <w:r w:rsidRPr="00E3664A">
        <w:rPr>
          <w:rFonts w:ascii="Arial" w:eastAsiaTheme="minorEastAsia" w:hAnsi="Arial" w:cs="Arial"/>
          <w:szCs w:val="20"/>
        </w:rPr>
        <w:t>_00&gt;</w:t>
      </w:r>
    </w:p>
    <w:p w14:paraId="4CAB86F0" w14:textId="77777777" w:rsidR="00C83836" w:rsidRPr="00E3664A" w:rsidRDefault="00C83836" w:rsidP="00C83836">
      <w:pPr>
        <w:spacing w:line="276" w:lineRule="auto"/>
        <w:rPr>
          <w:rFonts w:ascii="Arial" w:hAnsi="Arial" w:cs="Arial"/>
          <w:b/>
          <w:sz w:val="28"/>
          <w:szCs w:val="28"/>
        </w:rPr>
      </w:pPr>
    </w:p>
    <w:p w14:paraId="6B648911" w14:textId="77777777" w:rsidR="00C83836" w:rsidRPr="00E3664A" w:rsidRDefault="00C83836" w:rsidP="00C83836">
      <w:pPr>
        <w:spacing w:line="276" w:lineRule="auto"/>
        <w:rPr>
          <w:rFonts w:ascii="Arial" w:hAnsi="Arial" w:cs="Arial"/>
          <w:b/>
          <w:sz w:val="28"/>
          <w:szCs w:val="28"/>
        </w:rPr>
      </w:pPr>
    </w:p>
    <w:p w14:paraId="0AEB2FE4" w14:textId="77777777" w:rsidR="00C83836" w:rsidRPr="00E3664A" w:rsidRDefault="00C83836" w:rsidP="00C83836">
      <w:pPr>
        <w:spacing w:line="276" w:lineRule="auto"/>
        <w:rPr>
          <w:rFonts w:ascii="Arial" w:hAnsi="Arial" w:cs="Arial"/>
          <w:b/>
          <w:sz w:val="28"/>
          <w:szCs w:val="28"/>
        </w:rPr>
      </w:pPr>
    </w:p>
    <w:p w14:paraId="7B98E1B7" w14:textId="77777777" w:rsidR="00C83836" w:rsidRPr="00E3664A" w:rsidRDefault="00C83836" w:rsidP="00C83836">
      <w:pPr>
        <w:spacing w:line="276" w:lineRule="auto"/>
        <w:rPr>
          <w:rFonts w:ascii="Arial" w:hAnsi="Arial" w:cs="Arial"/>
          <w:b/>
          <w:sz w:val="28"/>
          <w:szCs w:val="28"/>
        </w:rPr>
      </w:pPr>
    </w:p>
    <w:p w14:paraId="331829E9" w14:textId="77777777" w:rsidR="00C83836" w:rsidRPr="00E3664A" w:rsidRDefault="00C83836" w:rsidP="00C83836">
      <w:pPr>
        <w:spacing w:line="276" w:lineRule="auto"/>
        <w:rPr>
          <w:rFonts w:ascii="Arial" w:hAnsi="Arial" w:cs="Arial"/>
          <w:b/>
          <w:sz w:val="28"/>
          <w:szCs w:val="28"/>
        </w:rPr>
      </w:pPr>
    </w:p>
    <w:p w14:paraId="410C9002" w14:textId="77777777" w:rsidR="00C83836" w:rsidRPr="00E3664A" w:rsidRDefault="00C83836" w:rsidP="00C83836">
      <w:pPr>
        <w:spacing w:after="120" w:line="264" w:lineRule="auto"/>
        <w:rPr>
          <w:rFonts w:ascii="Arial" w:hAnsi="Arial" w:cs="Arial"/>
          <w:b/>
          <w:sz w:val="28"/>
          <w:szCs w:val="28"/>
        </w:rPr>
      </w:pPr>
      <w:r w:rsidRPr="00E3664A">
        <w:rPr>
          <w:rFonts w:ascii="Arial" w:hAnsi="Arial" w:cs="Arial"/>
          <w:b/>
          <w:sz w:val="28"/>
          <w:szCs w:val="28"/>
        </w:rPr>
        <w:br w:type="page"/>
      </w:r>
    </w:p>
    <w:p w14:paraId="19FD77B1" w14:textId="77777777" w:rsidR="00C83836" w:rsidRPr="00E3664A" w:rsidRDefault="00C83836" w:rsidP="00C83836">
      <w:pPr>
        <w:spacing w:line="276" w:lineRule="auto"/>
        <w:rPr>
          <w:rFonts w:ascii="Arial" w:hAnsi="Arial" w:cs="Arial"/>
          <w:b/>
          <w:sz w:val="28"/>
          <w:szCs w:val="28"/>
        </w:rPr>
      </w:pPr>
      <w:r w:rsidRPr="00E3664A">
        <w:rPr>
          <w:rFonts w:ascii="Arial" w:hAnsi="Arial" w:cs="Arial"/>
          <w:b/>
          <w:sz w:val="28"/>
          <w:szCs w:val="28"/>
        </w:rPr>
        <w:lastRenderedPageBreak/>
        <w:t xml:space="preserve">Questions </w:t>
      </w:r>
    </w:p>
    <w:p w14:paraId="2BE58869" w14:textId="77777777" w:rsidR="00C83836" w:rsidRPr="003D70CA" w:rsidRDefault="00C83836" w:rsidP="00C83836">
      <w:pPr>
        <w:spacing w:line="276" w:lineRule="auto"/>
        <w:rPr>
          <w:rFonts w:ascii="Arial" w:hAnsi="Arial" w:cs="Arial"/>
          <w:b/>
          <w:sz w:val="24"/>
          <w:szCs w:val="24"/>
        </w:rPr>
      </w:pPr>
    </w:p>
    <w:p w14:paraId="1FAEE615" w14:textId="03725AC0" w:rsidR="00C83836" w:rsidRPr="00D22F88" w:rsidRDefault="00C83836" w:rsidP="00D22F88">
      <w:pPr>
        <w:pStyle w:val="Questionstyle"/>
        <w:rPr>
          <w:rFonts w:ascii="Arial" w:hAnsi="Arial" w:cs="Arial"/>
          <w:sz w:val="24"/>
          <w:szCs w:val="24"/>
        </w:rPr>
      </w:pPr>
      <w:r w:rsidRPr="00D22F88">
        <w:rPr>
          <w:rFonts w:ascii="Arial" w:hAnsi="Arial" w:cs="Arial"/>
          <w:sz w:val="24"/>
          <w:szCs w:val="24"/>
        </w:rPr>
        <w:t xml:space="preserve">: Do you agree with the proposed indicators to trigger the obligation for </w:t>
      </w:r>
      <w:r w:rsidR="00910CBC">
        <w:rPr>
          <w:rFonts w:ascii="Arial" w:hAnsi="Arial" w:cs="Arial"/>
          <w:sz w:val="24"/>
          <w:szCs w:val="24"/>
        </w:rPr>
        <w:t xml:space="preserve">a </w:t>
      </w:r>
      <w:r w:rsidRPr="00D22F88">
        <w:rPr>
          <w:rFonts w:ascii="Arial" w:hAnsi="Arial" w:cs="Arial"/>
          <w:sz w:val="24"/>
          <w:szCs w:val="24"/>
        </w:rPr>
        <w:t>competent authority to assess if to apply the restrictions set out under Article 45a of EMIR. If not, please explain why</w:t>
      </w:r>
      <w:r w:rsidR="00910CBC">
        <w:rPr>
          <w:rFonts w:ascii="Arial" w:hAnsi="Arial" w:cs="Arial"/>
          <w:sz w:val="24"/>
          <w:szCs w:val="24"/>
        </w:rPr>
        <w:t>.</w:t>
      </w:r>
    </w:p>
    <w:p w14:paraId="13BD877A" w14:textId="77777777" w:rsidR="00C83836" w:rsidRPr="00D22F88" w:rsidRDefault="00C83836" w:rsidP="00D22F88">
      <w:pPr>
        <w:pStyle w:val="Questionstyle"/>
        <w:numPr>
          <w:ilvl w:val="0"/>
          <w:numId w:val="0"/>
        </w:numPr>
        <w:rPr>
          <w:rFonts w:ascii="Arial" w:hAnsi="Arial" w:cs="Arial"/>
          <w:sz w:val="24"/>
          <w:szCs w:val="24"/>
        </w:rPr>
      </w:pPr>
    </w:p>
    <w:p w14:paraId="6903109C" w14:textId="7CBF755A" w:rsidR="00C83836" w:rsidRPr="00D22F88" w:rsidRDefault="00C83836" w:rsidP="00D22F88">
      <w:pPr>
        <w:pStyle w:val="Questionstyle"/>
        <w:numPr>
          <w:ilvl w:val="0"/>
          <w:numId w:val="0"/>
        </w:numPr>
        <w:rPr>
          <w:rFonts w:ascii="Arial" w:hAnsi="Arial" w:cs="Arial"/>
          <w:sz w:val="24"/>
          <w:szCs w:val="24"/>
        </w:rPr>
      </w:pPr>
      <w:r w:rsidRPr="00D22F88">
        <w:rPr>
          <w:rFonts w:ascii="Arial" w:hAnsi="Arial" w:cs="Arial"/>
          <w:sz w:val="24"/>
          <w:szCs w:val="24"/>
        </w:rPr>
        <w:t>&lt;ESMA_QUESTION_DVDS_01&gt;</w:t>
      </w:r>
    </w:p>
    <w:p w14:paraId="32C76258" w14:textId="024C77D3" w:rsidR="00636B0C" w:rsidRDefault="00636B0C" w:rsidP="00636B0C">
      <w:pPr>
        <w:autoSpaceDE w:val="0"/>
        <w:autoSpaceDN w:val="0"/>
        <w:adjustRightInd w:val="0"/>
        <w:spacing w:after="0"/>
        <w:rPr>
          <w:rFonts w:cs="Arial"/>
          <w:color w:val="000000"/>
        </w:rPr>
      </w:pPr>
      <w:r w:rsidRPr="00115991">
        <w:rPr>
          <w:rFonts w:cs="Arial"/>
          <w:color w:val="000000"/>
        </w:rPr>
        <w:t>LSEG</w:t>
      </w:r>
      <w:r>
        <w:rPr>
          <w:rFonts w:cs="Arial"/>
          <w:color w:val="000000"/>
        </w:rPr>
        <w:t xml:space="preserve"> broadly agrees with the proposed indicators to trigger the obligation for competent authorities to assess whether to apply the restrictions under Article 45</w:t>
      </w:r>
      <w:r w:rsidR="00F57952">
        <w:rPr>
          <w:rFonts w:cs="Arial"/>
          <w:color w:val="000000"/>
        </w:rPr>
        <w:t>(</w:t>
      </w:r>
      <w:r>
        <w:rPr>
          <w:rFonts w:cs="Arial"/>
          <w:color w:val="000000"/>
        </w:rPr>
        <w:t>a</w:t>
      </w:r>
      <w:r w:rsidR="00F57952">
        <w:rPr>
          <w:rFonts w:cs="Arial"/>
          <w:color w:val="000000"/>
        </w:rPr>
        <w:t>)</w:t>
      </w:r>
      <w:r>
        <w:rPr>
          <w:rFonts w:cs="Arial"/>
          <w:color w:val="000000"/>
        </w:rPr>
        <w:t xml:space="preserve"> of EMIR. Although a CCP’s capital requirement under EMIR is a good reference point for the significance of a non-defaulting event, some of the indicators ESMA has chosen to assess how </w:t>
      </w:r>
      <w:r w:rsidRPr="00790384">
        <w:rPr>
          <w:rFonts w:cs="Arial"/>
          <w:color w:val="000000"/>
        </w:rPr>
        <w:t>a non-default event adversely affects or is likely to adversely affect the CCP’s ability to perform its critical functions</w:t>
      </w:r>
      <w:r>
        <w:rPr>
          <w:rFonts w:cs="Arial"/>
          <w:color w:val="000000"/>
        </w:rPr>
        <w:t xml:space="preserve">, do not necessarily reflect the CCP’s capability/capacity of handling non-defaulting events. </w:t>
      </w:r>
    </w:p>
    <w:p w14:paraId="2614A17D" w14:textId="77777777" w:rsidR="00636B0C" w:rsidRDefault="00636B0C" w:rsidP="00636B0C">
      <w:pPr>
        <w:autoSpaceDE w:val="0"/>
        <w:autoSpaceDN w:val="0"/>
        <w:adjustRightInd w:val="0"/>
        <w:spacing w:after="0"/>
        <w:rPr>
          <w:rFonts w:cs="Arial"/>
          <w:color w:val="000000"/>
        </w:rPr>
      </w:pPr>
    </w:p>
    <w:p w14:paraId="0083F1E2" w14:textId="6604074A" w:rsidR="00636B0C" w:rsidRDefault="00636B0C" w:rsidP="00636B0C">
      <w:pPr>
        <w:autoSpaceDE w:val="0"/>
        <w:autoSpaceDN w:val="0"/>
        <w:adjustRightInd w:val="0"/>
        <w:spacing w:after="0"/>
        <w:rPr>
          <w:rFonts w:cs="Arial"/>
          <w:color w:val="000000"/>
        </w:rPr>
      </w:pPr>
      <w:r>
        <w:rPr>
          <w:rFonts w:cs="Arial"/>
          <w:color w:val="000000"/>
        </w:rPr>
        <w:t>We note that, u</w:t>
      </w:r>
      <w:r w:rsidRPr="00E705D6">
        <w:rPr>
          <w:rFonts w:cs="Arial"/>
          <w:color w:val="000000"/>
        </w:rPr>
        <w:t xml:space="preserve">nder </w:t>
      </w:r>
      <w:r>
        <w:rPr>
          <w:rFonts w:cs="Arial"/>
          <w:color w:val="000000"/>
        </w:rPr>
        <w:t>G</w:t>
      </w:r>
      <w:r w:rsidRPr="00E705D6">
        <w:rPr>
          <w:rFonts w:cs="Arial"/>
          <w:color w:val="000000"/>
        </w:rPr>
        <w:t>uideline 1</w:t>
      </w:r>
      <w:r>
        <w:rPr>
          <w:rFonts w:cs="Arial"/>
          <w:color w:val="000000"/>
        </w:rPr>
        <w:t>(b)</w:t>
      </w:r>
      <w:r w:rsidRPr="00E705D6">
        <w:rPr>
          <w:rFonts w:cs="Arial"/>
          <w:color w:val="000000"/>
        </w:rPr>
        <w:t>, a significant deterioration of the</w:t>
      </w:r>
      <w:r>
        <w:rPr>
          <w:rFonts w:cs="Arial"/>
          <w:color w:val="000000"/>
        </w:rPr>
        <w:t xml:space="preserve"> CCP’s</w:t>
      </w:r>
      <w:r w:rsidRPr="00E705D6">
        <w:rPr>
          <w:rFonts w:cs="Arial"/>
          <w:color w:val="000000"/>
        </w:rPr>
        <w:t xml:space="preserve"> buffer</w:t>
      </w:r>
      <w:r>
        <w:rPr>
          <w:rFonts w:cs="Arial"/>
          <w:color w:val="000000"/>
        </w:rPr>
        <w:t xml:space="preserve"> </w:t>
      </w:r>
      <w:r w:rsidRPr="00E705D6">
        <w:rPr>
          <w:rFonts w:cs="Arial"/>
          <w:color w:val="000000"/>
        </w:rPr>
        <w:t>could also trigger</w:t>
      </w:r>
      <w:r>
        <w:rPr>
          <w:rFonts w:cs="Arial"/>
          <w:color w:val="000000"/>
        </w:rPr>
        <w:t xml:space="preserve"> temporary restrictions</w:t>
      </w:r>
      <w:r w:rsidRPr="00E705D6">
        <w:rPr>
          <w:rFonts w:cs="Arial"/>
          <w:color w:val="000000"/>
        </w:rPr>
        <w:t xml:space="preserve"> even if not hitting the notification threshold</w:t>
      </w:r>
      <w:r>
        <w:rPr>
          <w:rFonts w:cs="Arial"/>
          <w:color w:val="000000"/>
        </w:rPr>
        <w:t>. Therefore, i</w:t>
      </w:r>
      <w:r w:rsidRPr="00E705D6">
        <w:rPr>
          <w:rFonts w:cs="Arial"/>
          <w:color w:val="000000"/>
        </w:rPr>
        <w:t>t</w:t>
      </w:r>
      <w:r>
        <w:rPr>
          <w:rFonts w:cs="Arial"/>
          <w:color w:val="000000"/>
        </w:rPr>
        <w:t xml:space="preserve"> is</w:t>
      </w:r>
      <w:r w:rsidRPr="00E705D6">
        <w:rPr>
          <w:rFonts w:cs="Arial"/>
          <w:color w:val="000000"/>
        </w:rPr>
        <w:t xml:space="preserve"> not clear</w:t>
      </w:r>
      <w:r>
        <w:rPr>
          <w:rFonts w:cs="Arial"/>
          <w:color w:val="000000"/>
        </w:rPr>
        <w:t xml:space="preserve"> what</w:t>
      </w:r>
      <w:r w:rsidRPr="00E705D6">
        <w:rPr>
          <w:rFonts w:cs="Arial"/>
          <w:color w:val="000000"/>
        </w:rPr>
        <w:t xml:space="preserve"> the difference between</w:t>
      </w:r>
      <w:r>
        <w:rPr>
          <w:rFonts w:cs="Arial"/>
          <w:color w:val="000000"/>
        </w:rPr>
        <w:t xml:space="preserve"> Guideline</w:t>
      </w:r>
      <w:r w:rsidRPr="00E705D6">
        <w:rPr>
          <w:rFonts w:cs="Arial"/>
          <w:color w:val="000000"/>
        </w:rPr>
        <w:t xml:space="preserve"> 1</w:t>
      </w:r>
      <w:r w:rsidR="00F57952">
        <w:rPr>
          <w:rFonts w:cs="Arial"/>
          <w:color w:val="000000"/>
        </w:rPr>
        <w:t>(</w:t>
      </w:r>
      <w:r w:rsidRPr="00E705D6">
        <w:rPr>
          <w:rFonts w:cs="Arial"/>
          <w:color w:val="000000"/>
        </w:rPr>
        <w:t>a</w:t>
      </w:r>
      <w:r w:rsidR="00F57952">
        <w:rPr>
          <w:rFonts w:cs="Arial"/>
          <w:color w:val="000000"/>
        </w:rPr>
        <w:t>)</w:t>
      </w:r>
      <w:r w:rsidRPr="00E705D6">
        <w:rPr>
          <w:rFonts w:cs="Arial"/>
          <w:color w:val="000000"/>
        </w:rPr>
        <w:t xml:space="preserve"> and 1</w:t>
      </w:r>
      <w:r w:rsidR="00F57952">
        <w:rPr>
          <w:rFonts w:cs="Arial"/>
          <w:color w:val="000000"/>
        </w:rPr>
        <w:t>(</w:t>
      </w:r>
      <w:r w:rsidRPr="00E705D6">
        <w:rPr>
          <w:rFonts w:cs="Arial"/>
          <w:color w:val="000000"/>
        </w:rPr>
        <w:t>b</w:t>
      </w:r>
      <w:r w:rsidR="00F57952">
        <w:rPr>
          <w:rFonts w:cs="Arial"/>
          <w:color w:val="000000"/>
        </w:rPr>
        <w:t>)</w:t>
      </w:r>
      <w:r>
        <w:rPr>
          <w:rFonts w:cs="Arial"/>
          <w:color w:val="000000"/>
        </w:rPr>
        <w:t xml:space="preserve"> is as </w:t>
      </w:r>
      <w:r w:rsidRPr="00E705D6">
        <w:rPr>
          <w:rFonts w:cs="Arial"/>
          <w:color w:val="000000"/>
        </w:rPr>
        <w:t>there seems to be some overlap.</w:t>
      </w:r>
      <w:r w:rsidRPr="00B4075C">
        <w:t xml:space="preserve"> </w:t>
      </w:r>
      <w:r w:rsidRPr="00B4075C">
        <w:rPr>
          <w:rFonts w:cs="Arial"/>
          <w:color w:val="000000"/>
        </w:rPr>
        <w:t xml:space="preserve">Even if CCP losses are well within buffers and within annual projections, a </w:t>
      </w:r>
      <w:r>
        <w:rPr>
          <w:rFonts w:cs="Arial"/>
          <w:color w:val="000000"/>
        </w:rPr>
        <w:t>“</w:t>
      </w:r>
      <w:r w:rsidRPr="00B4075C">
        <w:rPr>
          <w:rFonts w:cs="Arial"/>
          <w:color w:val="000000"/>
        </w:rPr>
        <w:t>significant deterioration</w:t>
      </w:r>
      <w:r>
        <w:rPr>
          <w:rFonts w:cs="Arial"/>
          <w:color w:val="000000"/>
        </w:rPr>
        <w:t>”</w:t>
      </w:r>
      <w:r w:rsidRPr="00B4075C">
        <w:rPr>
          <w:rFonts w:cs="Arial"/>
          <w:color w:val="000000"/>
        </w:rPr>
        <w:t xml:space="preserve"> might not breach the CCP’s regulatory capital. In such cases temporary restrictions should not apply. </w:t>
      </w:r>
      <w:r w:rsidRPr="00E705D6">
        <w:rPr>
          <w:rFonts w:cs="Arial"/>
          <w:color w:val="000000"/>
        </w:rPr>
        <w:t xml:space="preserve"> </w:t>
      </w:r>
    </w:p>
    <w:p w14:paraId="60E32ACA" w14:textId="77777777" w:rsidR="00636B0C" w:rsidRDefault="00636B0C" w:rsidP="00636B0C">
      <w:pPr>
        <w:autoSpaceDE w:val="0"/>
        <w:autoSpaceDN w:val="0"/>
        <w:adjustRightInd w:val="0"/>
        <w:spacing w:after="0"/>
        <w:rPr>
          <w:rFonts w:cs="Arial"/>
          <w:color w:val="000000"/>
        </w:rPr>
      </w:pPr>
    </w:p>
    <w:p w14:paraId="05ED705D" w14:textId="0052F5A1" w:rsidR="00636B0C" w:rsidRDefault="00636B0C" w:rsidP="00636B0C">
      <w:pPr>
        <w:autoSpaceDE w:val="0"/>
        <w:autoSpaceDN w:val="0"/>
        <w:adjustRightInd w:val="0"/>
        <w:spacing w:after="0"/>
        <w:rPr>
          <w:rFonts w:cs="Arial"/>
          <w:color w:val="000000"/>
        </w:rPr>
      </w:pPr>
      <w:r>
        <w:rPr>
          <w:rFonts w:cs="Arial"/>
          <w:color w:val="000000"/>
        </w:rPr>
        <w:t>Therefore, we would suggest deleting</w:t>
      </w:r>
      <w:r w:rsidRPr="00EE55AB">
        <w:rPr>
          <w:rFonts w:cs="Arial"/>
          <w:color w:val="000000"/>
        </w:rPr>
        <w:t xml:space="preserve"> 1</w:t>
      </w:r>
      <w:r w:rsidR="00F57952">
        <w:rPr>
          <w:rFonts w:cs="Arial"/>
          <w:color w:val="000000"/>
        </w:rPr>
        <w:t>(</w:t>
      </w:r>
      <w:r w:rsidRPr="00EE55AB">
        <w:rPr>
          <w:rFonts w:cs="Arial"/>
          <w:color w:val="000000"/>
        </w:rPr>
        <w:t>b</w:t>
      </w:r>
      <w:r w:rsidR="00F57952">
        <w:rPr>
          <w:rFonts w:cs="Arial"/>
          <w:color w:val="000000"/>
        </w:rPr>
        <w:t>)</w:t>
      </w:r>
      <w:r w:rsidRPr="00EE55AB">
        <w:rPr>
          <w:rFonts w:cs="Arial"/>
          <w:color w:val="000000"/>
        </w:rPr>
        <w:t xml:space="preserve"> and keeping 1</w:t>
      </w:r>
      <w:r w:rsidR="00F57952">
        <w:rPr>
          <w:rFonts w:cs="Arial"/>
          <w:color w:val="000000"/>
        </w:rPr>
        <w:t>(</w:t>
      </w:r>
      <w:r w:rsidRPr="00EE55AB">
        <w:rPr>
          <w:rFonts w:cs="Arial"/>
          <w:color w:val="000000"/>
        </w:rPr>
        <w:t>a</w:t>
      </w:r>
      <w:r w:rsidR="00F57952">
        <w:rPr>
          <w:rFonts w:cs="Arial"/>
          <w:color w:val="000000"/>
        </w:rPr>
        <w:t>)</w:t>
      </w:r>
      <w:r w:rsidRPr="00EE55AB">
        <w:rPr>
          <w:rFonts w:cs="Arial"/>
          <w:color w:val="000000"/>
        </w:rPr>
        <w:t xml:space="preserve"> as </w:t>
      </w:r>
      <w:r>
        <w:rPr>
          <w:rFonts w:cs="Arial"/>
          <w:color w:val="000000"/>
        </w:rPr>
        <w:t>the only Guideline</w:t>
      </w:r>
      <w:r w:rsidRPr="00EE55AB">
        <w:rPr>
          <w:rFonts w:cs="Arial"/>
          <w:color w:val="000000"/>
        </w:rPr>
        <w:t>.</w:t>
      </w:r>
    </w:p>
    <w:p w14:paraId="00FC4AB9" w14:textId="77777777" w:rsidR="00636B0C" w:rsidRDefault="00636B0C" w:rsidP="00636B0C">
      <w:pPr>
        <w:autoSpaceDE w:val="0"/>
        <w:autoSpaceDN w:val="0"/>
        <w:adjustRightInd w:val="0"/>
        <w:spacing w:after="0"/>
        <w:rPr>
          <w:rFonts w:cs="Arial"/>
          <w:color w:val="000000"/>
        </w:rPr>
      </w:pPr>
    </w:p>
    <w:p w14:paraId="69CB51C1" w14:textId="09A5CDED" w:rsidR="00636B0C" w:rsidRDefault="00636B0C" w:rsidP="00636B0C">
      <w:pPr>
        <w:autoSpaceDE w:val="0"/>
        <w:autoSpaceDN w:val="0"/>
        <w:adjustRightInd w:val="0"/>
        <w:spacing w:after="0"/>
        <w:rPr>
          <w:rFonts w:cs="Arial"/>
          <w:color w:val="000000"/>
        </w:rPr>
      </w:pPr>
      <w:r>
        <w:rPr>
          <w:rFonts w:cs="Arial"/>
          <w:color w:val="000000"/>
        </w:rPr>
        <w:t xml:space="preserve">Regarding Guideline 2, </w:t>
      </w:r>
      <w:r w:rsidRPr="004B4FB1">
        <w:rPr>
          <w:rFonts w:cs="Arial"/>
          <w:color w:val="000000"/>
        </w:rPr>
        <w:t>the failure of a critical third-party entity</w:t>
      </w:r>
      <w:r>
        <w:rPr>
          <w:rFonts w:cs="Arial"/>
          <w:color w:val="000000"/>
        </w:rPr>
        <w:t xml:space="preserve"> preventing the CCP from operating its full clearing service should not be an indicator triggering Article 45(a) restrictions. Third-party providers are chosen </w:t>
      </w:r>
      <w:proofErr w:type="gramStart"/>
      <w:r>
        <w:rPr>
          <w:rFonts w:cs="Arial"/>
          <w:color w:val="000000"/>
        </w:rPr>
        <w:t>on the basis of</w:t>
      </w:r>
      <w:proofErr w:type="gramEnd"/>
      <w:r>
        <w:rPr>
          <w:rFonts w:cs="Arial"/>
          <w:color w:val="000000"/>
        </w:rPr>
        <w:t xml:space="preserve"> extensive due diligence reviews which cover all possible operational risk and compliance issues before the final decision is made. Their operational capabilities under extraordinary market conditions can be assessed to a certain extent and those institutions are also regulated entities. In addition, at LCH, our Risk Committee with and active CM representation is opined on third-country providers. Therefore, we only have limited control and supervision of our third-party providers. In addition, we are of the view that </w:t>
      </w:r>
      <w:r w:rsidRPr="00487954">
        <w:rPr>
          <w:rFonts w:cs="Arial"/>
          <w:color w:val="000000"/>
        </w:rPr>
        <w:t xml:space="preserve">the Business Continuity Plan </w:t>
      </w:r>
      <w:r>
        <w:rPr>
          <w:rFonts w:cs="Arial"/>
          <w:color w:val="000000"/>
        </w:rPr>
        <w:t>(“BCP”) which is r</w:t>
      </w:r>
      <w:r w:rsidRPr="00487954">
        <w:rPr>
          <w:rFonts w:cs="Arial"/>
          <w:color w:val="000000"/>
        </w:rPr>
        <w:t>egularly tested as per EMIR requirement</w:t>
      </w:r>
      <w:r>
        <w:rPr>
          <w:rFonts w:cs="Arial"/>
          <w:color w:val="000000"/>
        </w:rPr>
        <w:t>s</w:t>
      </w:r>
      <w:r w:rsidRPr="00487954">
        <w:rPr>
          <w:rFonts w:cs="Arial"/>
          <w:color w:val="000000"/>
        </w:rPr>
        <w:t xml:space="preserve"> in case of a third-party failure</w:t>
      </w:r>
      <w:r>
        <w:rPr>
          <w:rFonts w:cs="Arial"/>
          <w:color w:val="000000"/>
        </w:rPr>
        <w:t xml:space="preserve"> should be considered as</w:t>
      </w:r>
      <w:r w:rsidRPr="00487954">
        <w:rPr>
          <w:rFonts w:cs="Arial"/>
          <w:color w:val="000000"/>
        </w:rPr>
        <w:t xml:space="preserve"> an existing mitigant</w:t>
      </w:r>
      <w:r>
        <w:rPr>
          <w:rFonts w:cs="Arial"/>
          <w:color w:val="000000"/>
        </w:rPr>
        <w:t>.</w:t>
      </w:r>
    </w:p>
    <w:p w14:paraId="380C3BF2" w14:textId="77777777" w:rsidR="00636B0C" w:rsidRDefault="00636B0C" w:rsidP="00636B0C">
      <w:pPr>
        <w:autoSpaceDE w:val="0"/>
        <w:autoSpaceDN w:val="0"/>
        <w:adjustRightInd w:val="0"/>
        <w:spacing w:after="0"/>
        <w:rPr>
          <w:rFonts w:cs="Arial"/>
          <w:color w:val="000000"/>
        </w:rPr>
      </w:pPr>
    </w:p>
    <w:p w14:paraId="48648842" w14:textId="77777777" w:rsidR="00636B0C" w:rsidRDefault="00636B0C" w:rsidP="00636B0C">
      <w:pPr>
        <w:autoSpaceDE w:val="0"/>
        <w:autoSpaceDN w:val="0"/>
        <w:adjustRightInd w:val="0"/>
        <w:spacing w:after="0"/>
        <w:rPr>
          <w:rFonts w:cs="Arial"/>
          <w:color w:val="000000"/>
        </w:rPr>
      </w:pPr>
      <w:r>
        <w:rPr>
          <w:rFonts w:cs="Arial"/>
          <w:color w:val="000000"/>
        </w:rPr>
        <w:t xml:space="preserve">Regarding the potential loss of clearing volumes or CMs, we would note that the reduction of volumes or number of clearing memberships might not be directly related to the CCP’s business activities or its inability to perform at the required level but clients’ choice of clearing who drive clearing volumes where they can find best prices and higher liquidity. </w:t>
      </w:r>
    </w:p>
    <w:p w14:paraId="53CC218B" w14:textId="77777777" w:rsidR="00636B0C" w:rsidRDefault="00636B0C" w:rsidP="00636B0C">
      <w:pPr>
        <w:autoSpaceDE w:val="0"/>
        <w:autoSpaceDN w:val="0"/>
        <w:adjustRightInd w:val="0"/>
        <w:spacing w:after="0"/>
        <w:rPr>
          <w:rFonts w:cs="Arial"/>
          <w:color w:val="000000"/>
        </w:rPr>
      </w:pPr>
    </w:p>
    <w:p w14:paraId="03698DD4" w14:textId="4755A391" w:rsidR="00636B0C" w:rsidRDefault="00636B0C" w:rsidP="00636B0C">
      <w:pPr>
        <w:rPr>
          <w:rFonts w:cs="Arial"/>
          <w:color w:val="000000"/>
        </w:rPr>
      </w:pPr>
      <w:r>
        <w:rPr>
          <w:rFonts w:cs="Arial"/>
          <w:color w:val="000000"/>
        </w:rPr>
        <w:t xml:space="preserve">Therefore, we would suggest </w:t>
      </w:r>
      <w:r w:rsidRPr="00CF7797">
        <w:rPr>
          <w:rFonts w:cs="Arial"/>
          <w:color w:val="000000"/>
        </w:rPr>
        <w:t>retain</w:t>
      </w:r>
      <w:r>
        <w:rPr>
          <w:rFonts w:cs="Arial"/>
          <w:color w:val="000000"/>
        </w:rPr>
        <w:t>ing</w:t>
      </w:r>
      <w:r w:rsidRPr="00CF7797">
        <w:rPr>
          <w:rFonts w:cs="Arial"/>
          <w:color w:val="000000"/>
        </w:rPr>
        <w:t xml:space="preserve"> 1</w:t>
      </w:r>
      <w:r w:rsidRPr="00F57952">
        <w:rPr>
          <w:rFonts w:cs="Arial"/>
          <w:color w:val="000000"/>
          <w:vertAlign w:val="superscript"/>
        </w:rPr>
        <w:t>st</w:t>
      </w:r>
      <w:r w:rsidR="00F57952">
        <w:rPr>
          <w:rFonts w:cs="Arial"/>
          <w:color w:val="000000"/>
        </w:rPr>
        <w:t xml:space="preserve"> </w:t>
      </w:r>
      <w:r w:rsidRPr="00CF7797">
        <w:rPr>
          <w:rFonts w:cs="Arial"/>
          <w:color w:val="000000"/>
        </w:rPr>
        <w:t>paragraph (</w:t>
      </w:r>
      <w:r>
        <w:rPr>
          <w:rFonts w:cs="Arial"/>
          <w:color w:val="000000"/>
        </w:rPr>
        <w:t xml:space="preserve">i.e. </w:t>
      </w:r>
      <w:r w:rsidRPr="00CF7797">
        <w:rPr>
          <w:rFonts w:cs="Arial"/>
          <w:color w:val="000000"/>
        </w:rPr>
        <w:t>material operational event with significant medium-term financial impact) and remove the 2</w:t>
      </w:r>
      <w:r w:rsidRPr="00F57952">
        <w:rPr>
          <w:rFonts w:cs="Arial"/>
          <w:color w:val="000000"/>
          <w:vertAlign w:val="superscript"/>
        </w:rPr>
        <w:t>nd</w:t>
      </w:r>
      <w:r w:rsidR="00F57952">
        <w:rPr>
          <w:rFonts w:cs="Arial"/>
          <w:color w:val="000000"/>
        </w:rPr>
        <w:t xml:space="preserve"> </w:t>
      </w:r>
      <w:r w:rsidRPr="00CF7797">
        <w:rPr>
          <w:rFonts w:cs="Arial"/>
          <w:color w:val="000000"/>
        </w:rPr>
        <w:t>and 3</w:t>
      </w:r>
      <w:r w:rsidRPr="00F57952">
        <w:rPr>
          <w:rFonts w:cs="Arial"/>
          <w:color w:val="000000"/>
          <w:vertAlign w:val="superscript"/>
        </w:rPr>
        <w:t>rd</w:t>
      </w:r>
      <w:r w:rsidR="00F57952">
        <w:rPr>
          <w:rFonts w:cs="Arial"/>
          <w:color w:val="000000"/>
        </w:rPr>
        <w:t xml:space="preserve"> </w:t>
      </w:r>
      <w:r w:rsidRPr="00CF7797">
        <w:rPr>
          <w:rFonts w:cs="Arial"/>
          <w:color w:val="000000"/>
        </w:rPr>
        <w:t>sub paragraphs (</w:t>
      </w:r>
      <w:r>
        <w:rPr>
          <w:rFonts w:cs="Arial"/>
          <w:color w:val="000000"/>
        </w:rPr>
        <w:t xml:space="preserve">i.e. </w:t>
      </w:r>
      <w:r w:rsidRPr="00CF7797">
        <w:rPr>
          <w:rFonts w:cs="Arial"/>
          <w:color w:val="000000"/>
        </w:rPr>
        <w:t>3rd party event and the drop in volumes)</w:t>
      </w:r>
      <w:r>
        <w:rPr>
          <w:rFonts w:cs="Arial"/>
          <w:color w:val="000000"/>
        </w:rPr>
        <w:t>.</w:t>
      </w:r>
      <w:r w:rsidRPr="00CF7797" w:rsidDel="00CF7797">
        <w:rPr>
          <w:rFonts w:cs="Arial"/>
          <w:color w:val="000000"/>
        </w:rPr>
        <w:t xml:space="preserve"> </w:t>
      </w:r>
    </w:p>
    <w:p w14:paraId="0175AEBA" w14:textId="6E06514B" w:rsidR="00C83836" w:rsidRPr="00D22F88" w:rsidRDefault="00C83836" w:rsidP="00636B0C">
      <w:pPr>
        <w:rPr>
          <w:rFonts w:ascii="Arial" w:hAnsi="Arial" w:cs="Arial"/>
          <w:sz w:val="24"/>
          <w:szCs w:val="24"/>
        </w:rPr>
      </w:pPr>
      <w:r w:rsidRPr="00D22F88">
        <w:rPr>
          <w:rFonts w:ascii="Arial" w:hAnsi="Arial" w:cs="Arial"/>
          <w:sz w:val="24"/>
          <w:szCs w:val="24"/>
        </w:rPr>
        <w:t>&lt;ESMA_QUESTION_DVDS_01&gt;</w:t>
      </w:r>
    </w:p>
    <w:p w14:paraId="1ABCC826" w14:textId="77777777" w:rsidR="00C83836" w:rsidRPr="00D22F88" w:rsidRDefault="00C83836" w:rsidP="00C83836">
      <w:pPr>
        <w:rPr>
          <w:rFonts w:ascii="Arial" w:hAnsi="Arial" w:cs="Arial"/>
          <w:b/>
          <w:sz w:val="24"/>
          <w:szCs w:val="24"/>
        </w:rPr>
      </w:pPr>
    </w:p>
    <w:p w14:paraId="57572495" w14:textId="16FBAE21" w:rsidR="00C83836" w:rsidRPr="00D22F88" w:rsidRDefault="00C83836" w:rsidP="00D22F88">
      <w:pPr>
        <w:pStyle w:val="Questionstyle"/>
        <w:rPr>
          <w:rFonts w:ascii="Arial" w:hAnsi="Arial" w:cs="Arial"/>
          <w:sz w:val="24"/>
          <w:szCs w:val="24"/>
        </w:rPr>
      </w:pPr>
      <w:r w:rsidRPr="00D22F88">
        <w:rPr>
          <w:rFonts w:ascii="Arial" w:hAnsi="Arial" w:cs="Arial"/>
          <w:sz w:val="24"/>
          <w:szCs w:val="24"/>
        </w:rPr>
        <w:lastRenderedPageBreak/>
        <w:t xml:space="preserve">: If you prefer other indicators, please describe them and why they would be more suitable.  </w:t>
      </w:r>
    </w:p>
    <w:p w14:paraId="4523581C" w14:textId="59BF47B2" w:rsidR="00C83836" w:rsidRPr="00D22F88" w:rsidRDefault="00C83836" w:rsidP="00C83836">
      <w:pPr>
        <w:rPr>
          <w:rFonts w:ascii="Arial" w:hAnsi="Arial" w:cs="Arial"/>
          <w:sz w:val="24"/>
          <w:szCs w:val="24"/>
        </w:rPr>
      </w:pPr>
      <w:r w:rsidRPr="00D22F88">
        <w:rPr>
          <w:rFonts w:ascii="Arial" w:hAnsi="Arial" w:cs="Arial"/>
          <w:sz w:val="24"/>
          <w:szCs w:val="24"/>
        </w:rPr>
        <w:t>&lt;ESMA_QUESTION_DVDS_02&gt;</w:t>
      </w:r>
    </w:p>
    <w:p w14:paraId="1E4A5923" w14:textId="254A50C9" w:rsidR="00636B0C" w:rsidRDefault="00636B0C" w:rsidP="00C83836">
      <w:pPr>
        <w:rPr>
          <w:rFonts w:ascii="Arial" w:hAnsi="Arial" w:cs="Arial"/>
          <w:sz w:val="24"/>
          <w:szCs w:val="24"/>
        </w:rPr>
      </w:pPr>
      <w:r>
        <w:rPr>
          <w:rFonts w:cs="Arial"/>
          <w:color w:val="000000"/>
        </w:rPr>
        <w:t>In line with our previous response, we believe that regulatory capital should be the main indicator used alongside current monitoring and reporting practices established between CCPs and NCAs.</w:t>
      </w:r>
      <w:r w:rsidRPr="00D22F88">
        <w:rPr>
          <w:rFonts w:ascii="Arial" w:hAnsi="Arial" w:cs="Arial"/>
          <w:sz w:val="24"/>
          <w:szCs w:val="24"/>
        </w:rPr>
        <w:t xml:space="preserve"> </w:t>
      </w:r>
    </w:p>
    <w:p w14:paraId="00881B39" w14:textId="707D9F04" w:rsidR="00C83836" w:rsidRPr="00D22F88" w:rsidRDefault="00C83836" w:rsidP="00C83836">
      <w:pPr>
        <w:rPr>
          <w:rFonts w:ascii="Arial" w:hAnsi="Arial" w:cs="Arial"/>
          <w:sz w:val="24"/>
          <w:szCs w:val="24"/>
        </w:rPr>
      </w:pPr>
      <w:r w:rsidRPr="00D22F88">
        <w:rPr>
          <w:rFonts w:ascii="Arial" w:hAnsi="Arial" w:cs="Arial"/>
          <w:sz w:val="24"/>
          <w:szCs w:val="24"/>
        </w:rPr>
        <w:t>&lt;ESMA_QUESTION_DVDS_02&gt;</w:t>
      </w:r>
    </w:p>
    <w:p w14:paraId="00890E63" w14:textId="77777777" w:rsidR="00C83836" w:rsidRPr="00D22F88" w:rsidRDefault="00C83836" w:rsidP="00C83836">
      <w:pPr>
        <w:rPr>
          <w:rFonts w:ascii="Arial" w:hAnsi="Arial" w:cs="Arial"/>
          <w:sz w:val="24"/>
          <w:szCs w:val="24"/>
        </w:rPr>
      </w:pPr>
    </w:p>
    <w:p w14:paraId="24F993AE" w14:textId="16BCBF3C" w:rsidR="00C83836" w:rsidRPr="00D22F88" w:rsidRDefault="00C83836" w:rsidP="00D22F88">
      <w:pPr>
        <w:pStyle w:val="Questionstyle"/>
        <w:rPr>
          <w:rFonts w:ascii="Arial" w:hAnsi="Arial" w:cs="Arial"/>
          <w:sz w:val="24"/>
          <w:szCs w:val="24"/>
        </w:rPr>
      </w:pPr>
      <w:r w:rsidRPr="00D22F88">
        <w:rPr>
          <w:rFonts w:ascii="Arial" w:hAnsi="Arial" w:cs="Arial"/>
          <w:sz w:val="24"/>
          <w:szCs w:val="24"/>
        </w:rPr>
        <w:t>: Do you agree with the Option 2 of the cost-benefit analysis, if not please explain? Have you identified other benefits and costs not mentioned above associated to the proposed approach (Option 2)?</w:t>
      </w:r>
    </w:p>
    <w:p w14:paraId="15A34387" w14:textId="5EF7FC72" w:rsidR="00C83836" w:rsidRPr="00D22F88" w:rsidRDefault="00C83836" w:rsidP="00C83836">
      <w:pPr>
        <w:rPr>
          <w:rFonts w:ascii="Arial" w:hAnsi="Arial" w:cs="Arial"/>
          <w:sz w:val="24"/>
          <w:szCs w:val="24"/>
        </w:rPr>
      </w:pPr>
      <w:bookmarkStart w:id="1" w:name="_Hlk76119363"/>
      <w:r w:rsidRPr="00D22F88">
        <w:rPr>
          <w:rFonts w:ascii="Arial" w:hAnsi="Arial" w:cs="Arial"/>
          <w:sz w:val="24"/>
          <w:szCs w:val="24"/>
        </w:rPr>
        <w:t>&lt;ESMA_QUESTION_DVDS_03&gt;</w:t>
      </w:r>
    </w:p>
    <w:p w14:paraId="36AFD658" w14:textId="12BED200" w:rsidR="00636B0C" w:rsidRDefault="00636B0C" w:rsidP="00C83836">
      <w:r>
        <w:t>We agree with option 2 of the cost-benefit analysis. However, we would reiterate our concerns with some of the indicators used as discussed in question 1.</w:t>
      </w:r>
    </w:p>
    <w:p w14:paraId="5FB976E4" w14:textId="6B51A83B" w:rsidR="00C83836" w:rsidRPr="00D22F88" w:rsidRDefault="00C83836" w:rsidP="00C83836">
      <w:pPr>
        <w:rPr>
          <w:rFonts w:ascii="Arial" w:hAnsi="Arial" w:cs="Arial"/>
          <w:sz w:val="24"/>
          <w:szCs w:val="24"/>
        </w:rPr>
      </w:pPr>
      <w:r w:rsidRPr="00D22F88">
        <w:rPr>
          <w:rFonts w:ascii="Arial" w:hAnsi="Arial" w:cs="Arial"/>
          <w:sz w:val="24"/>
          <w:szCs w:val="24"/>
        </w:rPr>
        <w:t>&lt;ESMA_QUESTION_DVDS_03&gt;</w:t>
      </w:r>
    </w:p>
    <w:bookmarkEnd w:id="1"/>
    <w:p w14:paraId="6912F6B5" w14:textId="77777777" w:rsidR="00C83836" w:rsidRPr="00D22F88" w:rsidRDefault="00C83836" w:rsidP="00C83836">
      <w:pPr>
        <w:rPr>
          <w:rFonts w:ascii="Arial" w:hAnsi="Arial" w:cs="Arial"/>
          <w:sz w:val="24"/>
          <w:szCs w:val="24"/>
        </w:rPr>
      </w:pPr>
    </w:p>
    <w:p w14:paraId="178F793D" w14:textId="408391FF" w:rsidR="00C83836" w:rsidRPr="00D22F88" w:rsidRDefault="00C83836" w:rsidP="00D22F88">
      <w:pPr>
        <w:pStyle w:val="Questionstyle"/>
        <w:rPr>
          <w:rFonts w:ascii="Arial" w:hAnsi="Arial" w:cs="Arial"/>
          <w:sz w:val="24"/>
          <w:szCs w:val="24"/>
        </w:rPr>
      </w:pPr>
      <w:r w:rsidRPr="00D22F88">
        <w:rPr>
          <w:rFonts w:ascii="Arial" w:hAnsi="Arial" w:cs="Arial"/>
          <w:sz w:val="24"/>
          <w:szCs w:val="24"/>
        </w:rPr>
        <w:t>: If you advocated for a different approach, how would it impact the cost and benefit assessment? Please provide details.</w:t>
      </w:r>
    </w:p>
    <w:p w14:paraId="762AD9D2" w14:textId="77777777" w:rsidR="00C83836" w:rsidRPr="00D22F88" w:rsidRDefault="00C83836" w:rsidP="00D22F88">
      <w:pPr>
        <w:pStyle w:val="Questionstyle"/>
        <w:numPr>
          <w:ilvl w:val="0"/>
          <w:numId w:val="0"/>
        </w:numPr>
        <w:rPr>
          <w:rFonts w:ascii="Arial" w:hAnsi="Arial" w:cs="Arial"/>
          <w:sz w:val="24"/>
          <w:szCs w:val="24"/>
        </w:rPr>
      </w:pPr>
    </w:p>
    <w:p w14:paraId="64F34420" w14:textId="5AF78224" w:rsidR="00C83836" w:rsidRPr="00D22F88" w:rsidRDefault="00C83836" w:rsidP="00D22F88">
      <w:pPr>
        <w:pStyle w:val="Questionstyle"/>
        <w:numPr>
          <w:ilvl w:val="0"/>
          <w:numId w:val="0"/>
        </w:numPr>
        <w:rPr>
          <w:rFonts w:ascii="Arial" w:hAnsi="Arial" w:cs="Arial"/>
          <w:sz w:val="24"/>
          <w:szCs w:val="24"/>
        </w:rPr>
      </w:pPr>
      <w:r w:rsidRPr="00D22F88">
        <w:rPr>
          <w:rFonts w:ascii="Arial" w:hAnsi="Arial" w:cs="Arial"/>
          <w:sz w:val="24"/>
          <w:szCs w:val="24"/>
        </w:rPr>
        <w:t>&lt;ESMA_QUESTION_DVDS_04&gt;</w:t>
      </w:r>
    </w:p>
    <w:p w14:paraId="63895CC2" w14:textId="067AFDE6" w:rsidR="00C83836" w:rsidRPr="00D22F88" w:rsidRDefault="00636B0C" w:rsidP="00C83836">
      <w:pPr>
        <w:tabs>
          <w:tab w:val="left" w:pos="5931"/>
        </w:tabs>
        <w:rPr>
          <w:rFonts w:ascii="Arial" w:hAnsi="Arial" w:cs="Arial"/>
          <w:sz w:val="24"/>
          <w:szCs w:val="24"/>
        </w:rPr>
      </w:pPr>
      <w:r>
        <w:rPr>
          <w:rFonts w:ascii="Arial" w:hAnsi="Arial" w:cs="Arial"/>
          <w:sz w:val="24"/>
          <w:szCs w:val="24"/>
        </w:rPr>
        <w:t>N/A</w:t>
      </w:r>
      <w:r w:rsidR="00C83836" w:rsidRPr="00D22F88">
        <w:rPr>
          <w:rFonts w:ascii="Arial" w:hAnsi="Arial" w:cs="Arial"/>
          <w:sz w:val="24"/>
          <w:szCs w:val="24"/>
        </w:rPr>
        <w:tab/>
      </w:r>
    </w:p>
    <w:p w14:paraId="27B87637" w14:textId="501C29F3" w:rsidR="00C83836" w:rsidRPr="00D22F88" w:rsidRDefault="00C83836" w:rsidP="00C83836">
      <w:pPr>
        <w:rPr>
          <w:rFonts w:ascii="Arial" w:hAnsi="Arial" w:cs="Arial"/>
          <w:b/>
          <w:sz w:val="24"/>
          <w:szCs w:val="24"/>
        </w:rPr>
      </w:pPr>
      <w:r w:rsidRPr="00D22F88">
        <w:rPr>
          <w:rFonts w:ascii="Arial" w:hAnsi="Arial" w:cs="Arial"/>
          <w:sz w:val="24"/>
          <w:szCs w:val="24"/>
        </w:rPr>
        <w:t>&lt;ESMA_QUESTION_DVDS_04&gt;</w:t>
      </w:r>
      <w:r w:rsidRPr="00D22F88">
        <w:rPr>
          <w:rFonts w:ascii="Arial" w:hAnsi="Arial" w:cs="Arial"/>
          <w:b/>
          <w:sz w:val="24"/>
          <w:szCs w:val="24"/>
        </w:rPr>
        <w:t xml:space="preserve"> </w:t>
      </w:r>
    </w:p>
    <w:p w14:paraId="165FB59D" w14:textId="77777777" w:rsidR="00420702" w:rsidRDefault="00420702"/>
    <w:sectPr w:rsidR="004207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9CB03" w14:textId="77777777" w:rsidR="00F33010" w:rsidRDefault="00F33010">
      <w:pPr>
        <w:spacing w:after="0" w:line="240" w:lineRule="auto"/>
      </w:pPr>
      <w:r>
        <w:separator/>
      </w:r>
    </w:p>
  </w:endnote>
  <w:endnote w:type="continuationSeparator" w:id="0">
    <w:p w14:paraId="4812603C" w14:textId="77777777" w:rsidR="00F33010" w:rsidRDefault="00F3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D561D62" w14:textId="77777777" w:rsidR="005D12F3" w:rsidRDefault="00C8383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BB1E27D" w14:textId="77777777" w:rsidR="005D12F3" w:rsidRDefault="00F57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667CC" w14:textId="430F3126" w:rsidR="005D12F3" w:rsidRPr="00D22F88" w:rsidRDefault="00C83836" w:rsidP="007A160F">
    <w:pPr>
      <w:pStyle w:val="Footer"/>
      <w:rPr>
        <w:rFonts w:asciiTheme="minorHAnsi" w:hAnsiTheme="minorHAnsi" w:cstheme="minorHAnsi"/>
        <w:color w:val="000000" w:themeColor="text1"/>
      </w:rPr>
    </w:pPr>
    <w:r>
      <w:rPr>
        <w:rFonts w:asciiTheme="majorHAnsi" w:hAnsiTheme="majorHAnsi"/>
        <w:color w:val="FFFFFF" w:themeColor="background1"/>
      </w:rPr>
      <w:tab/>
    </w:r>
    <w:r w:rsidRPr="001C0159">
      <w:rPr>
        <w:rFonts w:asciiTheme="majorHAnsi" w:hAnsiTheme="majorHAnsi"/>
        <w:color w:val="000000" w:themeColor="text1"/>
      </w:rPr>
      <w:tab/>
    </w:r>
    <w:r w:rsidRPr="00D22F88">
      <w:rPr>
        <w:rFonts w:asciiTheme="minorHAnsi" w:hAnsiTheme="minorHAnsi" w:cstheme="minorHAnsi"/>
        <w:color w:val="FFFFFF" w:themeColor="background1"/>
      </w:rPr>
      <w:t>1</w:t>
    </w:r>
    <w:r w:rsidR="00D22F88">
      <w:rPr>
        <w:rFonts w:asciiTheme="minorHAnsi" w:hAnsiTheme="minorHAnsi" w:cstheme="minorHAnsi"/>
        <w:color w:val="FFFFFF" w:themeColor="background1"/>
      </w:rPr>
      <w:t>2</w:t>
    </w:r>
    <w:r w:rsidRPr="00D22F88">
      <w:rPr>
        <w:rFonts w:asciiTheme="minorHAnsi" w:hAnsiTheme="minorHAnsi" w:cstheme="minorHAnsi"/>
        <w:color w:val="FFFFFF" w:themeColor="background1"/>
      </w:rPr>
      <w:t xml:space="preserve"> </w:t>
    </w:r>
    <w:r w:rsidR="00D22F88">
      <w:rPr>
        <w:rFonts w:asciiTheme="minorHAnsi" w:hAnsiTheme="minorHAnsi" w:cstheme="minorHAnsi"/>
        <w:color w:val="FFFFFF" w:themeColor="background1"/>
      </w:rPr>
      <w:t>July</w:t>
    </w:r>
    <w:r w:rsidRPr="00D22F88">
      <w:rPr>
        <w:rFonts w:asciiTheme="minorHAnsi" w:hAnsiTheme="minorHAnsi" w:cstheme="minorHAnsi"/>
        <w:color w:val="FFFFFF" w:themeColor="background1"/>
      </w:rPr>
      <w:t xml:space="preserve"> 2021 | </w:t>
    </w:r>
    <w:r w:rsidR="00D22F88">
      <w:rPr>
        <w:rFonts w:asciiTheme="minorHAnsi" w:hAnsiTheme="minorHAnsi" w:cstheme="minorHAnsi"/>
        <w:color w:val="FFFFFF" w:themeColor="background1"/>
      </w:rPr>
      <w:t>ESMA91</w:t>
    </w:r>
    <w:r w:rsidRPr="00D22F88">
      <w:rPr>
        <w:rFonts w:asciiTheme="minorHAnsi" w:hAnsiTheme="minorHAnsi" w:cstheme="minorHAnsi"/>
        <w:color w:val="FFFFFF" w:themeColor="background1"/>
      </w:rPr>
      <w:t>-</w:t>
    </w:r>
    <w:r w:rsidR="00D22F88">
      <w:rPr>
        <w:rFonts w:asciiTheme="minorHAnsi" w:hAnsiTheme="minorHAnsi" w:cstheme="minorHAnsi"/>
        <w:color w:val="FFFFFF" w:themeColor="background1"/>
      </w:rPr>
      <w:t>372</w:t>
    </w:r>
    <w:r w:rsidRPr="00D22F88">
      <w:rPr>
        <w:rFonts w:asciiTheme="minorHAnsi" w:hAnsiTheme="minorHAnsi" w:cstheme="minorHAnsi"/>
        <w:color w:val="FFFFFF" w:themeColor="background1"/>
      </w:rPr>
      <w:t>-</w:t>
    </w:r>
    <w:r w:rsidR="00D22F88">
      <w:rPr>
        <w:rFonts w:asciiTheme="minorHAnsi" w:hAnsiTheme="minorHAnsi" w:cstheme="minorHAnsi"/>
        <w:color w:val="FFFFFF" w:themeColor="background1"/>
      </w:rPr>
      <w:t>1555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92722" w14:textId="77777777" w:rsidR="00F33010" w:rsidRDefault="00F33010">
      <w:pPr>
        <w:spacing w:after="0" w:line="240" w:lineRule="auto"/>
      </w:pPr>
      <w:r>
        <w:separator/>
      </w:r>
    </w:p>
  </w:footnote>
  <w:footnote w:type="continuationSeparator" w:id="0">
    <w:p w14:paraId="420A3933" w14:textId="77777777" w:rsidR="00F33010" w:rsidRDefault="00F3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DD6B" w14:textId="77777777" w:rsidR="005D12F3" w:rsidRDefault="00F57952">
    <w:pPr>
      <w:pStyle w:val="Header"/>
    </w:pPr>
  </w:p>
  <w:p w14:paraId="340E2471" w14:textId="77777777" w:rsidR="005D12F3" w:rsidRDefault="00F57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8BA92" w14:textId="77777777" w:rsidR="005D12F3" w:rsidRDefault="00C83836">
    <w:pPr>
      <w:pStyle w:val="Header"/>
    </w:pPr>
    <w:r>
      <w:rPr>
        <w:noProof/>
      </w:rPr>
      <w:drawing>
        <wp:anchor distT="0" distB="0" distL="114300" distR="114300" simplePos="0" relativeHeight="251660288" behindDoc="0" locked="0" layoutInCell="1" allowOverlap="1" wp14:anchorId="1C07426E" wp14:editId="5D8C40E3">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8A236E1" wp14:editId="32203D97">
          <wp:simplePos x="0" y="0"/>
          <wp:positionH relativeFrom="page">
            <wp:align>right</wp:align>
          </wp:positionH>
          <wp:positionV relativeFrom="page">
            <wp:align>bottom</wp:align>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08249124"/>
    <w:lvl w:ilvl="0" w:tplc="A50C606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FE1D15"/>
    <w:multiLevelType w:val="hybridMultilevel"/>
    <w:tmpl w:val="02561D40"/>
    <w:lvl w:ilvl="0" w:tplc="1D1293BC">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B2"/>
    <w:rsid w:val="001450BA"/>
    <w:rsid w:val="00272BB7"/>
    <w:rsid w:val="00357453"/>
    <w:rsid w:val="00420702"/>
    <w:rsid w:val="00636B0C"/>
    <w:rsid w:val="0072426E"/>
    <w:rsid w:val="007C7C36"/>
    <w:rsid w:val="00910CBC"/>
    <w:rsid w:val="009974D9"/>
    <w:rsid w:val="00C83836"/>
    <w:rsid w:val="00D22F88"/>
    <w:rsid w:val="00E874B2"/>
    <w:rsid w:val="00F33010"/>
    <w:rsid w:val="00F579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BF1352"/>
  <w15:chartTrackingRefBased/>
  <w15:docId w15:val="{C0F8419C-C015-4B28-BFCE-EEA37E8B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36"/>
  </w:style>
  <w:style w:type="paragraph" w:styleId="Heading1">
    <w:name w:val="heading 1"/>
    <w:basedOn w:val="Normal"/>
    <w:next w:val="Normal"/>
    <w:link w:val="Heading1Char"/>
    <w:qFormat/>
    <w:rsid w:val="00C83836"/>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C83836"/>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C83836"/>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C83836"/>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C83836"/>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C83836"/>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C83836"/>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C83836"/>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B2"/>
    <w:rPr>
      <w:rFonts w:ascii="Segoe UI" w:hAnsi="Segoe UI" w:cs="Segoe UI"/>
      <w:sz w:val="18"/>
      <w:szCs w:val="18"/>
    </w:rPr>
  </w:style>
  <w:style w:type="character" w:customStyle="1" w:styleId="Heading1Char">
    <w:name w:val="Heading 1 Char"/>
    <w:basedOn w:val="DefaultParagraphFont"/>
    <w:link w:val="Heading1"/>
    <w:rsid w:val="00C83836"/>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C83836"/>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C83836"/>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C83836"/>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C83836"/>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C83836"/>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C83836"/>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C83836"/>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C83836"/>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C83836"/>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C83836"/>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C83836"/>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C8383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83836"/>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C83836"/>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D22F88"/>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D22F88"/>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qFormat/>
    <w:rsid w:val="00C83836"/>
    <w:rPr>
      <w:rFonts w:eastAsiaTheme="majorEastAsia" w:cstheme="minorHAnsi"/>
      <w:lang w:eastAsia="en-GB"/>
    </w:rPr>
  </w:style>
  <w:style w:type="character" w:styleId="CommentReference">
    <w:name w:val="annotation reference"/>
    <w:basedOn w:val="DefaultParagraphFont"/>
    <w:uiPriority w:val="99"/>
    <w:semiHidden/>
    <w:unhideWhenUsed/>
    <w:rsid w:val="00C83836"/>
    <w:rPr>
      <w:sz w:val="16"/>
      <w:szCs w:val="16"/>
    </w:rPr>
  </w:style>
  <w:style w:type="paragraph" w:styleId="CommentText">
    <w:name w:val="annotation text"/>
    <w:basedOn w:val="Normal"/>
    <w:link w:val="CommentTextChar"/>
    <w:uiPriority w:val="99"/>
    <w:semiHidden/>
    <w:unhideWhenUsed/>
    <w:rsid w:val="00C83836"/>
    <w:pPr>
      <w:spacing w:line="240" w:lineRule="auto"/>
    </w:pPr>
    <w:rPr>
      <w:sz w:val="20"/>
      <w:szCs w:val="20"/>
    </w:rPr>
  </w:style>
  <w:style w:type="character" w:customStyle="1" w:styleId="CommentTextChar">
    <w:name w:val="Comment Text Char"/>
    <w:basedOn w:val="DefaultParagraphFont"/>
    <w:link w:val="CommentText"/>
    <w:uiPriority w:val="99"/>
    <w:semiHidden/>
    <w:rsid w:val="00C838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7137dab4-0ee6-4eae-84ba-af85bf8c17c4</TermId>
        </TermInfo>
      </Terms>
    </b1af2f151fee4e71ab04d3be0acf309a>
    <c0a75b1bac544bb79ff9701b7c8df79e xmlns="52e67915-6641-4f72-9fe9-b8cc95953e2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c0a75b1bac544bb79ff9701b7c8df79e>
    <MeetingDate xmlns="52e67915-6641-4f72-9fe9-b8cc95953e2e">2021-07-11T22:00:00+00:00</MeetingDate>
    <TaxCatchAll xmlns="52e67915-6641-4f72-9fe9-b8cc95953e2e">
      <Value>27</Value>
      <Value>1</Value>
      <Value>226</Value>
      <Value>148</Value>
      <Value>35</Value>
    </TaxCatchAll>
    <IconOverlay xmlns="http://schemas.microsoft.com/sharepoint/v4" xsi:nil="true"/>
    <Year xmlns="52e67915-6641-4f72-9fe9-b8cc95953e2e">2021</Year>
    <h6d3aedb91e548d9a7a4b474e9cdf7ee xmlns="52e67915-6641-4f72-9fe9-b8cc95953e2e">
      <Terms xmlns="http://schemas.microsoft.com/office/infopath/2007/PartnerControls">
        <TermInfo xmlns="http://schemas.microsoft.com/office/infopath/2007/PartnerControls">
          <TermName xmlns="http://schemas.microsoft.com/office/infopath/2007/PartnerControls">CCP R＆R</TermName>
          <TermId xmlns="http://schemas.microsoft.com/office/infopath/2007/PartnerControls">5ed8457e-14e1-4662-b01e-0a940ac15dbc</TermId>
        </TermInfo>
      </Terms>
    </h6d3aedb91e548d9a7a4b474e9cdf7ee>
    <ocd626d180d94eeaae0a33d4a9b513ce xmlns="52e67915-6641-4f72-9fe9-b8cc95953e2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ac4f39f6cc8445948be69a6c278de6ef xmlns="52e67915-6641-4f72-9fe9-b8cc95953e2e">
      <Terms xmlns="http://schemas.microsoft.com/office/infopath/2007/PartnerControls">
        <TermInfo xmlns="http://schemas.microsoft.com/office/infopath/2007/PartnerControls">
          <TermName xmlns="http://schemas.microsoft.com/office/infopath/2007/PartnerControls">CCP RRR</TermName>
          <TermId xmlns="http://schemas.microsoft.com/office/infopath/2007/PartnerControls">f4123836-310f-4336-94f1-1f9707f7f76f</TermId>
        </TermInfo>
      </Terms>
    </ac4f39f6cc8445948be69a6c278de6ef>
    <c4c347a134a6410b9867f4d35258a852 xmlns="52e67915-6641-4f72-9fe9-b8cc95953e2e">
      <Terms xmlns="http://schemas.microsoft.com/office/infopath/2007/PartnerControls"/>
    </c4c347a134a6410b9867f4d35258a852>
    <_dlc_DocId xmlns="52e67915-6641-4f72-9fe9-b8cc95953e2e">ESMA91-372-1555</_dlc_DocId>
    <_dlc_DocIdUrl xmlns="52e67915-6641-4f72-9fe9-b8cc95953e2e">
      <Url>https://sherpa.esma.europa.eu/sites/CCP/_layouts/15/DocIdRedir.aspx?ID=ESMA91-372-1555</Url>
      <Description>ESMA91-372-1555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BB871-19C4-4192-B7FA-56D756E77CDE}">
  <ds:schemaRefs>
    <ds:schemaRef ds:uri="52e67915-6641-4f72-9fe9-b8cc95953e2e"/>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18C776-319E-48D3-B5AD-C5879D7A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AAACE-92CF-4992-8F0F-19D2375DCD44}">
  <ds:schemaRefs>
    <ds:schemaRef ds:uri="http://schemas.microsoft.com/sharepoint/events"/>
  </ds:schemaRefs>
</ds:datastoreItem>
</file>

<file path=customXml/itemProps4.xml><?xml version="1.0" encoding="utf-8"?>
<ds:datastoreItem xmlns:ds="http://schemas.openxmlformats.org/officeDocument/2006/customXml" ds:itemID="{29E196FE-73FE-43F4-B959-6ABF418FC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Kagiaras, Athanasios</cp:lastModifiedBy>
  <cp:revision>6</cp:revision>
  <dcterms:created xsi:type="dcterms:W3CDTF">2021-09-20T10:46:00Z</dcterms:created>
  <dcterms:modified xsi:type="dcterms:W3CDTF">2021-09-20T15:09:00Z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58fff893-681c-4b75-93f6-aef70dcc93c4</vt:lpwstr>
  </property>
</Properties>
</file>