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592CA4E" w14:textId="77777777" w:rsidR="00C83836" w:rsidRPr="00E3664A" w:rsidRDefault="00C83836" w:rsidP="00C83836">
          <w:pPr>
            <w:spacing w:line="276" w:lineRule="auto"/>
            <w:rPr>
              <w:rFonts w:ascii="Arial" w:hAnsi="Arial" w:cs="Arial"/>
              <w:color w:val="FF0000"/>
            </w:rPr>
          </w:pPr>
        </w:p>
        <w:p w14:paraId="1B6811CB" w14:textId="77777777" w:rsidR="00C83836" w:rsidRPr="00E3664A" w:rsidRDefault="00C83836" w:rsidP="00C83836">
          <w:pPr>
            <w:spacing w:after="120" w:line="276" w:lineRule="auto"/>
            <w:rPr>
              <w:rFonts w:ascii="Arial" w:hAnsi="Arial" w:cs="Arial"/>
            </w:rPr>
          </w:pPr>
        </w:p>
        <w:p w14:paraId="027F4B2D" w14:textId="77777777" w:rsidR="00C83836" w:rsidRPr="00E3664A" w:rsidRDefault="00C83836" w:rsidP="00C83836">
          <w:pPr>
            <w:spacing w:line="276" w:lineRule="auto"/>
            <w:rPr>
              <w:rFonts w:ascii="Arial" w:hAnsi="Arial" w:cs="Arial"/>
            </w:rPr>
          </w:pPr>
        </w:p>
        <w:tbl>
          <w:tblPr>
            <w:tblpPr w:leftFromText="8505" w:vertAnchor="page" w:horzAnchor="page" w:tblpX="957" w:tblpY="3408"/>
            <w:tblW w:w="10633" w:type="dxa"/>
            <w:tblLayout w:type="fixed"/>
            <w:tblCellMar>
              <w:left w:w="0" w:type="dxa"/>
              <w:right w:w="0" w:type="dxa"/>
            </w:tblCellMar>
            <w:tblLook w:val="01E0" w:firstRow="1" w:lastRow="1" w:firstColumn="1" w:lastColumn="1" w:noHBand="0" w:noVBand="0"/>
          </w:tblPr>
          <w:tblGrid>
            <w:gridCol w:w="10633"/>
          </w:tblGrid>
          <w:tr w:rsidR="00C83836" w:rsidRPr="00E3664A" w14:paraId="3ABAB029" w14:textId="77777777" w:rsidTr="009E4432">
            <w:trPr>
              <w:trHeight w:hRule="exact" w:val="1578"/>
            </w:trPr>
            <w:tc>
              <w:tcPr>
                <w:tcW w:w="10633" w:type="dxa"/>
                <w:vAlign w:val="bottom"/>
              </w:tcPr>
              <w:p w14:paraId="6873BA30" w14:textId="77777777" w:rsidR="00C83836" w:rsidRPr="00E3664A" w:rsidRDefault="00C83836" w:rsidP="009E4432">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C83836" w:rsidRPr="00E3664A" w14:paraId="0433295E" w14:textId="77777777" w:rsidTr="009E4432">
            <w:trPr>
              <w:trHeight w:hRule="exact" w:val="790"/>
            </w:trPr>
            <w:tc>
              <w:tcPr>
                <w:tcW w:w="10633" w:type="dxa"/>
                <w:tcMar>
                  <w:top w:w="142" w:type="dxa"/>
                </w:tcMar>
              </w:tcPr>
              <w:p w14:paraId="2704F4E1" w14:textId="474FCAD3" w:rsidR="00C83836" w:rsidRPr="00E3664A" w:rsidRDefault="00C83836" w:rsidP="009E4432">
                <w:pPr>
                  <w:pStyle w:val="Heading2"/>
                  <w:numPr>
                    <w:ilvl w:val="0"/>
                    <w:numId w:val="0"/>
                  </w:numPr>
                  <w:spacing w:before="0"/>
                  <w:rPr>
                    <w:rFonts w:ascii="Arial" w:hAnsi="Arial" w:cs="Arial"/>
                  </w:rPr>
                </w:pPr>
                <w:r w:rsidRPr="00D22F88">
                  <w:rPr>
                    <w:rFonts w:ascii="Arial" w:hAnsi="Arial" w:cs="Arial"/>
                    <w:sz w:val="24"/>
                    <w:szCs w:val="24"/>
                    <w:lang w:eastAsia="en-US"/>
                  </w:rPr>
                  <w:t>Draft Guidelines further specifying the circumstances for temporary restrictions in the case of a significant non-default event</w:t>
                </w:r>
                <w:r w:rsidR="00D22F88" w:rsidRPr="00D22F88">
                  <w:rPr>
                    <w:rFonts w:ascii="Arial" w:hAnsi="Arial" w:cs="Arial"/>
                    <w:sz w:val="24"/>
                    <w:szCs w:val="24"/>
                    <w:lang w:eastAsia="en-US"/>
                  </w:rPr>
                  <w:t xml:space="preserve"> in accordance with Article 45a of EMIR</w:t>
                </w:r>
              </w:p>
            </w:tc>
          </w:tr>
        </w:tbl>
        <w:p w14:paraId="39C6B585" w14:textId="77777777" w:rsidR="00C83836" w:rsidRPr="00E3664A" w:rsidRDefault="00C83836" w:rsidP="00C83836">
          <w:pPr>
            <w:spacing w:line="276" w:lineRule="auto"/>
            <w:rPr>
              <w:rFonts w:ascii="Arial" w:hAnsi="Arial" w:cs="Arial"/>
            </w:rPr>
          </w:pPr>
        </w:p>
        <w:p w14:paraId="172E75E7" w14:textId="77777777" w:rsidR="00C83836" w:rsidRPr="00E3664A" w:rsidRDefault="00C83836" w:rsidP="00C83836">
          <w:pPr>
            <w:spacing w:line="276" w:lineRule="auto"/>
            <w:rPr>
              <w:rFonts w:ascii="Arial" w:hAnsi="Arial" w:cs="Arial"/>
            </w:rPr>
          </w:pPr>
        </w:p>
        <w:p w14:paraId="6C6DD670" w14:textId="77777777" w:rsidR="00C83836" w:rsidRPr="00E3664A" w:rsidRDefault="00C83836" w:rsidP="00C83836">
          <w:pPr>
            <w:spacing w:line="276" w:lineRule="auto"/>
            <w:rPr>
              <w:rFonts w:ascii="Arial" w:hAnsi="Arial" w:cs="Arial"/>
            </w:rPr>
          </w:pPr>
        </w:p>
        <w:p w14:paraId="4CC87761" w14:textId="77777777" w:rsidR="00C83836" w:rsidRPr="00E3664A" w:rsidRDefault="00C83836" w:rsidP="00C83836">
          <w:pPr>
            <w:spacing w:line="276" w:lineRule="auto"/>
            <w:rPr>
              <w:rFonts w:ascii="Arial" w:hAnsi="Arial" w:cs="Arial"/>
            </w:rPr>
            <w:sectPr w:rsidR="00C83836"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4198A545" w14:textId="77777777" w:rsidR="00C83836" w:rsidRPr="00E3664A" w:rsidRDefault="00C83836" w:rsidP="00C83836">
          <w:pPr>
            <w:numPr>
              <w:ilvl w:val="1"/>
              <w:numId w:val="0"/>
            </w:numPr>
            <w:spacing w:after="250" w:line="276" w:lineRule="auto"/>
            <w:jc w:val="both"/>
            <w:rPr>
              <w:rFonts w:ascii="Arial" w:eastAsiaTheme="majorEastAsia" w:hAnsi="Arial" w:cs="Arial"/>
              <w:b/>
              <w:sz w:val="28"/>
            </w:rPr>
          </w:pPr>
        </w:p>
        <w:p w14:paraId="18092A86" w14:textId="77777777" w:rsidR="00C83836" w:rsidRPr="00E3664A" w:rsidRDefault="00C83836" w:rsidP="00C83836">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2B12415"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50C20575" w14:textId="77777777" w:rsidR="00C83836" w:rsidRPr="00E3664A" w:rsidRDefault="00C83836" w:rsidP="00C83836">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3E582C73" w14:textId="77777777" w:rsidR="00C83836" w:rsidRPr="00E3664A" w:rsidRDefault="00C83836" w:rsidP="00C83836">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7AE148A" w14:textId="77777777" w:rsidR="00C83836" w:rsidRPr="00E3664A" w:rsidRDefault="00C83836" w:rsidP="00C83836">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4C56C707" w14:textId="77777777" w:rsidR="00C83836" w:rsidRPr="00E3664A" w:rsidRDefault="00C83836" w:rsidP="00C83836">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381E29AA"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w:t>
          </w:r>
          <w:r w:rsidRPr="00357453">
            <w:rPr>
              <w:rFonts w:ascii="Arial" w:eastAsiaTheme="minorEastAsia" w:hAnsi="Arial" w:cs="Arial"/>
              <w:szCs w:val="20"/>
            </w:rPr>
            <w:t xml:space="preserve">received by </w:t>
          </w:r>
          <w:r w:rsidRPr="00357453">
            <w:rPr>
              <w:rFonts w:ascii="Arial" w:eastAsiaTheme="minorEastAsia" w:hAnsi="Arial" w:cs="Arial"/>
              <w:b/>
              <w:szCs w:val="20"/>
            </w:rPr>
            <w:t>20 September 2021.</w:t>
          </w:r>
          <w:r w:rsidRPr="00E3664A">
            <w:rPr>
              <w:rFonts w:ascii="Arial" w:eastAsiaTheme="minorEastAsia" w:hAnsi="Arial" w:cs="Arial"/>
              <w:b/>
              <w:szCs w:val="20"/>
            </w:rPr>
            <w:t xml:space="preserve"> </w:t>
          </w:r>
        </w:p>
        <w:p w14:paraId="78313B97"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13C81215" w14:textId="77777777" w:rsidR="00C83836" w:rsidRPr="00E3664A" w:rsidRDefault="00C83836" w:rsidP="00C83836">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7D6A7DC7"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79682670" w14:textId="77777777"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B978D4D" w14:textId="67D5AD05"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DVDS</w:t>
          </w:r>
          <w:r w:rsidRPr="00E3664A">
            <w:rPr>
              <w:rFonts w:ascii="Arial" w:eastAsiaTheme="minorEastAsia" w:hAnsi="Arial" w:cs="Arial"/>
              <w:szCs w:val="20"/>
              <w:lang w:eastAsia="en-US"/>
            </w:rPr>
            <w:t>_1&gt;. Your response to each question has to be framed by the two tags corresponding to the question.</w:t>
          </w:r>
        </w:p>
        <w:p w14:paraId="70148B20" w14:textId="77777777"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5F2A47C1" w14:textId="0C56CAC4"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Pr>
              <w:rFonts w:ascii="Arial" w:eastAsiaTheme="minorEastAsia" w:hAnsi="Arial" w:cs="Arial"/>
              <w:szCs w:val="20"/>
              <w:lang w:eastAsia="en-US"/>
            </w:rPr>
            <w:t>DVDS</w:t>
          </w:r>
          <w:r w:rsidRPr="00E3664A">
            <w:rPr>
              <w:rFonts w:ascii="Arial" w:eastAsiaTheme="minorEastAsia" w:hAnsi="Arial" w:cs="Arial"/>
              <w:szCs w:val="20"/>
              <w:lang w:eastAsia="en-US"/>
            </w:rPr>
            <w:t>_nameofrespondent_RESPONSEFORM. For example, for a respondent named ABCD, the response form would be entitled ESMA_</w:t>
          </w:r>
          <w:r>
            <w:rPr>
              <w:rFonts w:ascii="Arial" w:eastAsiaTheme="minorEastAsia" w:hAnsi="Arial" w:cs="Arial"/>
              <w:szCs w:val="20"/>
              <w:lang w:eastAsia="en-US"/>
            </w:rPr>
            <w:t>DVDS</w:t>
          </w:r>
          <w:r w:rsidRPr="00E3664A">
            <w:rPr>
              <w:rFonts w:ascii="Arial" w:eastAsiaTheme="minorEastAsia" w:hAnsi="Arial" w:cs="Arial"/>
              <w:szCs w:val="20"/>
              <w:lang w:eastAsia="en-US"/>
            </w:rPr>
            <w:t>_ABCD_RESPONSEFORM.</w:t>
          </w:r>
        </w:p>
        <w:p w14:paraId="740F9E23" w14:textId="7B320C06"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6300B1">
            <w:rPr>
              <w:rFonts w:ascii="Arial" w:hAnsi="Arial" w:cs="Arial"/>
              <w:lang w:eastAsia="en-US"/>
            </w:rPr>
            <w:t xml:space="preserve">on </w:t>
          </w:r>
          <w:r w:rsidRPr="00C83836">
            <w:rPr>
              <w:rFonts w:ascii="Arial" w:hAnsi="Arial" w:cs="Arial"/>
              <w:lang w:eastAsia="en-US"/>
            </w:rPr>
            <w:t>the circumstances for temporary restrictions in the case of a significant non-default event</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16329B8E" w14:textId="77777777" w:rsidR="00C83836" w:rsidRDefault="00C83836" w:rsidP="00C83836">
          <w:pPr>
            <w:spacing w:after="250" w:line="276" w:lineRule="auto"/>
            <w:jc w:val="both"/>
            <w:rPr>
              <w:rFonts w:ascii="Arial" w:eastAsiaTheme="minorEastAsia" w:hAnsi="Arial" w:cs="Arial"/>
              <w:szCs w:val="20"/>
            </w:rPr>
          </w:pPr>
        </w:p>
        <w:p w14:paraId="2E864D5C" w14:textId="77777777" w:rsidR="00C83836" w:rsidRDefault="00C83836" w:rsidP="00C83836">
          <w:pPr>
            <w:spacing w:after="250" w:line="276" w:lineRule="auto"/>
            <w:jc w:val="both"/>
            <w:rPr>
              <w:rFonts w:ascii="Arial" w:eastAsiaTheme="minorEastAsia" w:hAnsi="Arial" w:cs="Arial"/>
              <w:szCs w:val="20"/>
            </w:rPr>
          </w:pPr>
        </w:p>
        <w:p w14:paraId="715293CB" w14:textId="77777777" w:rsidR="00C83836" w:rsidRPr="00E3664A" w:rsidRDefault="00C83836" w:rsidP="00C83836">
          <w:pPr>
            <w:spacing w:after="250" w:line="276" w:lineRule="auto"/>
            <w:jc w:val="both"/>
            <w:rPr>
              <w:rFonts w:ascii="Arial" w:eastAsiaTheme="minorEastAsia" w:hAnsi="Arial" w:cs="Arial"/>
              <w:szCs w:val="20"/>
            </w:rPr>
          </w:pPr>
        </w:p>
        <w:p w14:paraId="04F6F6EA" w14:textId="77777777" w:rsidR="00C83836" w:rsidRPr="00E3664A" w:rsidRDefault="00C83836" w:rsidP="00C83836">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116B19DF"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4CC2F97" w14:textId="77777777" w:rsidR="00C83836" w:rsidRPr="00E3664A" w:rsidRDefault="00C83836" w:rsidP="00C83836">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4A9ACF"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121C0B5" w14:textId="2B7AF9EB"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1135E390" w14:textId="27D27547" w:rsidR="00C83836" w:rsidRPr="00E3664A" w:rsidRDefault="00D22F88" w:rsidP="00C83836">
      <w:pPr>
        <w:spacing w:after="120" w:line="276" w:lineRule="auto"/>
        <w:rPr>
          <w:rFonts w:ascii="Arial" w:hAnsi="Arial" w:cs="Arial"/>
        </w:rPr>
      </w:pPr>
      <w:r w:rsidRPr="00D22F88">
        <w:rPr>
          <w:rFonts w:ascii="Arial" w:hAnsi="Arial" w:cs="Arial"/>
          <w:lang w:eastAsia="it-IT"/>
        </w:rPr>
        <w:t>All interested stakeholders are invited to respond to this consultation paper. In particular, responses are sought from central counterparties (CCPs) as well as from direct or indirect clearing members of CCPs.</w:t>
      </w:r>
    </w:p>
    <w:p w14:paraId="5B67D497" w14:textId="77777777" w:rsidR="00C83836" w:rsidRPr="00E3664A" w:rsidRDefault="00C83836" w:rsidP="00C83836">
      <w:pPr>
        <w:spacing w:after="120" w:line="276" w:lineRule="auto"/>
        <w:rPr>
          <w:rFonts w:ascii="Arial" w:hAnsi="Arial" w:cs="Arial"/>
        </w:rPr>
      </w:pPr>
    </w:p>
    <w:p w14:paraId="3953976C" w14:textId="5D564FFB" w:rsidR="00C83836" w:rsidRDefault="00C83836" w:rsidP="00C83836">
      <w:pPr>
        <w:pStyle w:val="Heading1"/>
        <w:numPr>
          <w:ilvl w:val="0"/>
          <w:numId w:val="0"/>
        </w:numPr>
        <w:spacing w:line="276" w:lineRule="auto"/>
        <w:rPr>
          <w:rFonts w:ascii="Arial" w:hAnsi="Arial" w:cs="Arial"/>
          <w:sz w:val="24"/>
          <w:szCs w:val="24"/>
        </w:rPr>
      </w:pPr>
    </w:p>
    <w:p w14:paraId="53473CD4" w14:textId="6EF57963" w:rsidR="00D22F88" w:rsidRDefault="00D22F88" w:rsidP="00D22F88">
      <w:pPr>
        <w:rPr>
          <w:lang w:eastAsia="en-GB"/>
        </w:rPr>
      </w:pPr>
    </w:p>
    <w:p w14:paraId="5A3ECC24" w14:textId="362A609D" w:rsidR="00D22F88" w:rsidRDefault="00D22F88" w:rsidP="00D22F88">
      <w:pPr>
        <w:rPr>
          <w:lang w:eastAsia="en-GB"/>
        </w:rPr>
      </w:pPr>
    </w:p>
    <w:p w14:paraId="12C93138" w14:textId="4B71DE13" w:rsidR="00D22F88" w:rsidRDefault="00D22F88" w:rsidP="00D22F88">
      <w:pPr>
        <w:rPr>
          <w:lang w:eastAsia="en-GB"/>
        </w:rPr>
      </w:pPr>
    </w:p>
    <w:p w14:paraId="6A616999" w14:textId="361D0599" w:rsidR="00D22F88" w:rsidRDefault="00D22F88" w:rsidP="00D22F88">
      <w:pPr>
        <w:rPr>
          <w:lang w:eastAsia="en-GB"/>
        </w:rPr>
      </w:pPr>
    </w:p>
    <w:p w14:paraId="126C9175" w14:textId="6A14E4EE" w:rsidR="00D22F88" w:rsidRDefault="00D22F88" w:rsidP="00D22F88">
      <w:pPr>
        <w:rPr>
          <w:lang w:eastAsia="en-GB"/>
        </w:rPr>
      </w:pPr>
    </w:p>
    <w:p w14:paraId="3E9F7DD7" w14:textId="07AB72DB" w:rsidR="00D22F88" w:rsidRDefault="00D22F88" w:rsidP="00D22F88">
      <w:pPr>
        <w:rPr>
          <w:lang w:eastAsia="en-GB"/>
        </w:rPr>
      </w:pPr>
    </w:p>
    <w:p w14:paraId="5761F58D" w14:textId="641612B0" w:rsidR="00D22F88" w:rsidRDefault="00D22F88" w:rsidP="00D22F88">
      <w:pPr>
        <w:rPr>
          <w:lang w:eastAsia="en-GB"/>
        </w:rPr>
      </w:pPr>
    </w:p>
    <w:p w14:paraId="3DD7DC6E" w14:textId="1D30306B" w:rsidR="00D22F88" w:rsidRDefault="00D22F88" w:rsidP="00D22F88">
      <w:pPr>
        <w:rPr>
          <w:lang w:eastAsia="en-GB"/>
        </w:rPr>
      </w:pPr>
    </w:p>
    <w:p w14:paraId="5CBE4526" w14:textId="0A6F9933" w:rsidR="00D22F88" w:rsidRDefault="00D22F88" w:rsidP="00D22F88">
      <w:pPr>
        <w:rPr>
          <w:lang w:eastAsia="en-GB"/>
        </w:rPr>
      </w:pPr>
    </w:p>
    <w:p w14:paraId="7654FD8F" w14:textId="35905474" w:rsidR="00D22F88" w:rsidRDefault="00D22F88" w:rsidP="00D22F88">
      <w:pPr>
        <w:rPr>
          <w:lang w:eastAsia="en-GB"/>
        </w:rPr>
      </w:pPr>
    </w:p>
    <w:p w14:paraId="7D04C991" w14:textId="3BB5C14D" w:rsidR="00D22F88" w:rsidRDefault="00D22F88" w:rsidP="00D22F88">
      <w:pPr>
        <w:rPr>
          <w:lang w:eastAsia="en-GB"/>
        </w:rPr>
      </w:pPr>
    </w:p>
    <w:p w14:paraId="46C58A1A" w14:textId="234FED33" w:rsidR="00D22F88" w:rsidRDefault="00D22F88" w:rsidP="00D22F88">
      <w:pPr>
        <w:rPr>
          <w:lang w:eastAsia="en-GB"/>
        </w:rPr>
      </w:pPr>
    </w:p>
    <w:p w14:paraId="4C4B8AA1" w14:textId="77777777" w:rsidR="00D22F88" w:rsidRPr="00D22F88" w:rsidRDefault="00D22F88" w:rsidP="00D22F88">
      <w:pPr>
        <w:rPr>
          <w:lang w:eastAsia="en-GB"/>
        </w:rPr>
      </w:pPr>
    </w:p>
    <w:p w14:paraId="1CA77A3F" w14:textId="77777777" w:rsidR="00D22F88" w:rsidRDefault="00D22F88" w:rsidP="00C83836">
      <w:pPr>
        <w:keepNext/>
        <w:keepLines/>
        <w:spacing w:before="320" w:after="250" w:line="276" w:lineRule="auto"/>
        <w:jc w:val="both"/>
        <w:outlineLvl w:val="0"/>
        <w:rPr>
          <w:rFonts w:ascii="Arial" w:eastAsiaTheme="majorEastAsia" w:hAnsi="Arial" w:cs="Arial"/>
          <w:b/>
          <w:sz w:val="32"/>
          <w:szCs w:val="32"/>
        </w:rPr>
      </w:pPr>
    </w:p>
    <w:p w14:paraId="56E4D9A8" w14:textId="38DD4B88" w:rsidR="00C83836" w:rsidRPr="00E3664A" w:rsidRDefault="00C83836" w:rsidP="00C83836">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3836" w:rsidRPr="00E3664A" w14:paraId="700DFBC9" w14:textId="77777777" w:rsidTr="009E4432">
        <w:tc>
          <w:tcPr>
            <w:tcW w:w="3929" w:type="dxa"/>
            <w:shd w:val="clear" w:color="auto" w:fill="auto"/>
          </w:tcPr>
          <w:p w14:paraId="247EF08D" w14:textId="77777777" w:rsidR="00C83836" w:rsidRPr="00E3664A" w:rsidRDefault="00C83836" w:rsidP="009E4432">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34DF27FE" w14:textId="1855563F" w:rsidR="00C83836" w:rsidRPr="00E3664A" w:rsidRDefault="00097FDB" w:rsidP="009E4432">
                <w:pPr>
                  <w:rPr>
                    <w:rFonts w:ascii="Arial" w:hAnsi="Arial" w:cs="Arial"/>
                    <w:color w:val="808080"/>
                    <w:sz w:val="20"/>
                    <w:lang w:eastAsia="de-DE"/>
                  </w:rPr>
                </w:pPr>
                <w:r>
                  <w:rPr>
                    <w:rFonts w:ascii="Arial" w:hAnsi="Arial" w:cs="Arial"/>
                    <w:color w:val="808080"/>
                    <w:sz w:val="20"/>
                    <w:lang w:eastAsia="de-DE"/>
                  </w:rPr>
                  <w:t>European Association of CCP Clearing Houses</w:t>
                </w:r>
              </w:p>
            </w:tc>
          </w:sdtContent>
        </w:sdt>
      </w:tr>
      <w:tr w:rsidR="00C83836" w:rsidRPr="00E3664A" w14:paraId="6F1768A1" w14:textId="77777777" w:rsidTr="009E4432">
        <w:tc>
          <w:tcPr>
            <w:tcW w:w="3929" w:type="dxa"/>
            <w:shd w:val="clear" w:color="auto" w:fill="auto"/>
          </w:tcPr>
          <w:p w14:paraId="638136EB" w14:textId="77777777" w:rsidR="00C83836" w:rsidRPr="00E3664A" w:rsidRDefault="00C83836" w:rsidP="009E4432">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6F24BA99" w14:textId="2C694708" w:rsidR="00C83836" w:rsidRPr="00E3664A" w:rsidRDefault="00E63DA6" w:rsidP="009E4432">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C0F86">
                  <w:rPr>
                    <w:rFonts w:ascii="Arial" w:hAnsi="Arial" w:cs="Arial"/>
                    <w:sz w:val="20"/>
                    <w:lang w:eastAsia="de-DE"/>
                  </w:rPr>
                  <w:t>Central Counterparty</w:t>
                </w:r>
              </w:sdtContent>
            </w:sdt>
          </w:p>
        </w:tc>
      </w:tr>
      <w:tr w:rsidR="00C83836" w:rsidRPr="00E3664A" w14:paraId="7D95A798" w14:textId="77777777" w:rsidTr="009E4432">
        <w:tc>
          <w:tcPr>
            <w:tcW w:w="3929" w:type="dxa"/>
            <w:shd w:val="clear" w:color="auto" w:fill="auto"/>
          </w:tcPr>
          <w:p w14:paraId="7015DBCD" w14:textId="77777777" w:rsidR="00C83836" w:rsidRPr="00E3664A" w:rsidRDefault="00C83836" w:rsidP="009E4432">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119E364B" w14:textId="1672E850" w:rsidR="00C83836" w:rsidRPr="00E3664A" w:rsidRDefault="009C0F86" w:rsidP="009E4432">
                <w:pPr>
                  <w:rPr>
                    <w:rFonts w:ascii="Arial" w:hAnsi="Arial" w:cs="Arial"/>
                    <w:sz w:val="20"/>
                    <w:lang w:eastAsia="de-DE"/>
                  </w:rPr>
                </w:pPr>
                <w:r>
                  <w:rPr>
                    <w:rFonts w:ascii="MS Gothic" w:eastAsia="MS Gothic" w:hAnsi="MS Gothic" w:cs="Arial" w:hint="eastAsia"/>
                    <w:sz w:val="20"/>
                    <w:lang w:eastAsia="de-DE"/>
                  </w:rPr>
                  <w:t>☒</w:t>
                </w:r>
              </w:p>
            </w:tc>
          </w:sdtContent>
        </w:sdt>
      </w:tr>
      <w:tr w:rsidR="00C83836" w:rsidRPr="00E3664A" w14:paraId="37125059" w14:textId="77777777" w:rsidTr="009E4432">
        <w:tc>
          <w:tcPr>
            <w:tcW w:w="3929" w:type="dxa"/>
            <w:shd w:val="clear" w:color="auto" w:fill="auto"/>
          </w:tcPr>
          <w:p w14:paraId="714B75F1" w14:textId="77777777" w:rsidR="00C83836" w:rsidRPr="00E3664A" w:rsidRDefault="00C83836" w:rsidP="009E4432">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6F884FA" w14:textId="29FEC036" w:rsidR="00C83836" w:rsidRPr="00E3664A" w:rsidRDefault="009C0F86" w:rsidP="009E4432">
                <w:pPr>
                  <w:rPr>
                    <w:rFonts w:ascii="Arial" w:hAnsi="Arial" w:cs="Arial"/>
                    <w:sz w:val="20"/>
                    <w:lang w:eastAsia="de-DE"/>
                  </w:rPr>
                </w:pPr>
                <w:r>
                  <w:rPr>
                    <w:rFonts w:ascii="Arial" w:hAnsi="Arial" w:cs="Arial"/>
                    <w:sz w:val="20"/>
                    <w:lang w:eastAsia="de-DE"/>
                  </w:rPr>
                  <w:t>Belgium</w:t>
                </w:r>
              </w:p>
            </w:tc>
          </w:sdtContent>
        </w:sdt>
      </w:tr>
    </w:tbl>
    <w:p w14:paraId="54A144F7" w14:textId="77777777" w:rsidR="00C83836" w:rsidRPr="00E3664A" w:rsidRDefault="00C83836" w:rsidP="00C83836">
      <w:pPr>
        <w:spacing w:after="120" w:line="264" w:lineRule="auto"/>
        <w:jc w:val="both"/>
        <w:rPr>
          <w:rFonts w:ascii="Arial" w:eastAsiaTheme="minorEastAsia" w:hAnsi="Arial" w:cs="Arial"/>
          <w:szCs w:val="20"/>
        </w:rPr>
      </w:pPr>
    </w:p>
    <w:p w14:paraId="49DFA161" w14:textId="77777777" w:rsidR="00C83836" w:rsidRPr="00E3664A" w:rsidRDefault="00C83836" w:rsidP="00C83836">
      <w:pPr>
        <w:spacing w:after="120" w:line="264" w:lineRule="auto"/>
        <w:jc w:val="both"/>
        <w:rPr>
          <w:rFonts w:ascii="Arial" w:eastAsiaTheme="minorEastAsia" w:hAnsi="Arial" w:cs="Arial"/>
          <w:szCs w:val="20"/>
        </w:rPr>
      </w:pPr>
    </w:p>
    <w:p w14:paraId="233EE46D" w14:textId="77777777" w:rsidR="00C83836" w:rsidRPr="00E3664A" w:rsidRDefault="00C83836" w:rsidP="00C83836">
      <w:pPr>
        <w:spacing w:after="120" w:line="264" w:lineRule="auto"/>
        <w:jc w:val="both"/>
        <w:rPr>
          <w:rFonts w:ascii="Arial" w:eastAsiaTheme="minorEastAsia" w:hAnsi="Arial" w:cs="Arial"/>
          <w:szCs w:val="20"/>
        </w:rPr>
      </w:pPr>
    </w:p>
    <w:p w14:paraId="3ECDE970" w14:textId="77777777" w:rsidR="00C83836" w:rsidRPr="00E3664A" w:rsidRDefault="00C83836" w:rsidP="00C83836">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C813E3B" w14:textId="77777777" w:rsidR="00C83836" w:rsidRPr="00E3664A" w:rsidRDefault="00C83836" w:rsidP="00C83836">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053D67C1" w14:textId="6F41AC40"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DVDS</w:t>
      </w:r>
      <w:r w:rsidRPr="00E3664A">
        <w:rPr>
          <w:rFonts w:ascii="Arial" w:eastAsiaTheme="minorEastAsia" w:hAnsi="Arial" w:cs="Arial"/>
          <w:szCs w:val="20"/>
        </w:rPr>
        <w:t>_00&gt;</w:t>
      </w:r>
    </w:p>
    <w:p w14:paraId="6A54BC7F" w14:textId="0B7E7E8A" w:rsidR="00954912" w:rsidRPr="00954912" w:rsidRDefault="00954912" w:rsidP="00954912">
      <w:pPr>
        <w:spacing w:after="250" w:line="276" w:lineRule="auto"/>
        <w:jc w:val="both"/>
        <w:rPr>
          <w:rFonts w:ascii="Arial" w:eastAsiaTheme="minorEastAsia" w:hAnsi="Arial" w:cs="Arial"/>
          <w:szCs w:val="20"/>
        </w:rPr>
      </w:pPr>
      <w:r w:rsidRPr="00954912">
        <w:rPr>
          <w:rFonts w:ascii="Arial" w:eastAsiaTheme="minorEastAsia" w:hAnsi="Arial" w:cs="Arial"/>
          <w:szCs w:val="20"/>
        </w:rPr>
        <w:t>The European Association of CCP Clearing Houses (EACH) represents the interests of Central Counterparties (CCPs) in Europe since 1992. CCPs are financial market infrastructures that significantly contribute to safer, more efficient and transparent global financial markets. EACH currently has 19 members from 15 different European countries. EACH is registered in the European Union Transparency Register with number 36897011311-96.</w:t>
      </w:r>
    </w:p>
    <w:p w14:paraId="27EC614C" w14:textId="4FD04A73" w:rsidR="009C0F86" w:rsidRDefault="00954912" w:rsidP="00954912">
      <w:pPr>
        <w:spacing w:after="250" w:line="276" w:lineRule="auto"/>
        <w:jc w:val="both"/>
        <w:rPr>
          <w:rFonts w:ascii="Arial" w:eastAsiaTheme="minorEastAsia" w:hAnsi="Arial" w:cs="Arial"/>
          <w:szCs w:val="20"/>
        </w:rPr>
      </w:pPr>
      <w:r w:rsidRPr="00954912">
        <w:rPr>
          <w:rFonts w:ascii="Arial" w:eastAsiaTheme="minorEastAsia" w:hAnsi="Arial" w:cs="Arial"/>
          <w:szCs w:val="20"/>
        </w:rPr>
        <w:t>EACH appreciates the opportunity to provide feedback to the ESMA Consultation Paper “Draft Guidelines further specifying the circumstances for temporary restrictions in the case of a significant non-default event in accordance with Article 45a of EMIR” (hereinafter called “The consultation”).</w:t>
      </w:r>
    </w:p>
    <w:p w14:paraId="73E8FFD5" w14:textId="02162DEC"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DVDS</w:t>
      </w:r>
      <w:r w:rsidRPr="00E3664A">
        <w:rPr>
          <w:rFonts w:ascii="Arial" w:eastAsiaTheme="minorEastAsia" w:hAnsi="Arial" w:cs="Arial"/>
          <w:szCs w:val="20"/>
        </w:rPr>
        <w:t>_00&gt;</w:t>
      </w:r>
    </w:p>
    <w:p w14:paraId="4CAB86F0" w14:textId="77777777" w:rsidR="00C83836" w:rsidRPr="00E3664A" w:rsidRDefault="00C83836" w:rsidP="00C83836">
      <w:pPr>
        <w:spacing w:line="276" w:lineRule="auto"/>
        <w:rPr>
          <w:rFonts w:ascii="Arial" w:hAnsi="Arial" w:cs="Arial"/>
          <w:b/>
          <w:sz w:val="28"/>
          <w:szCs w:val="28"/>
        </w:rPr>
      </w:pPr>
    </w:p>
    <w:p w14:paraId="6B648911" w14:textId="77777777" w:rsidR="00C83836" w:rsidRPr="00E3664A" w:rsidRDefault="00C83836" w:rsidP="00C83836">
      <w:pPr>
        <w:spacing w:line="276" w:lineRule="auto"/>
        <w:rPr>
          <w:rFonts w:ascii="Arial" w:hAnsi="Arial" w:cs="Arial"/>
          <w:b/>
          <w:sz w:val="28"/>
          <w:szCs w:val="28"/>
        </w:rPr>
      </w:pPr>
    </w:p>
    <w:p w14:paraId="0AEB2FE4" w14:textId="77777777" w:rsidR="00C83836" w:rsidRPr="00E3664A" w:rsidRDefault="00C83836" w:rsidP="00C83836">
      <w:pPr>
        <w:spacing w:line="276" w:lineRule="auto"/>
        <w:rPr>
          <w:rFonts w:ascii="Arial" w:hAnsi="Arial" w:cs="Arial"/>
          <w:b/>
          <w:sz w:val="28"/>
          <w:szCs w:val="28"/>
        </w:rPr>
      </w:pPr>
    </w:p>
    <w:p w14:paraId="7B98E1B7" w14:textId="77777777" w:rsidR="00C83836" w:rsidRPr="00E3664A" w:rsidRDefault="00C83836" w:rsidP="00C83836">
      <w:pPr>
        <w:spacing w:line="276" w:lineRule="auto"/>
        <w:rPr>
          <w:rFonts w:ascii="Arial" w:hAnsi="Arial" w:cs="Arial"/>
          <w:b/>
          <w:sz w:val="28"/>
          <w:szCs w:val="28"/>
        </w:rPr>
      </w:pPr>
    </w:p>
    <w:p w14:paraId="331829E9" w14:textId="77777777" w:rsidR="00C83836" w:rsidRPr="00E3664A" w:rsidRDefault="00C83836" w:rsidP="00C83836">
      <w:pPr>
        <w:spacing w:line="276" w:lineRule="auto"/>
        <w:rPr>
          <w:rFonts w:ascii="Arial" w:hAnsi="Arial" w:cs="Arial"/>
          <w:b/>
          <w:sz w:val="28"/>
          <w:szCs w:val="28"/>
        </w:rPr>
      </w:pPr>
    </w:p>
    <w:p w14:paraId="410C9002" w14:textId="77777777" w:rsidR="00C83836" w:rsidRPr="00E3664A" w:rsidRDefault="00C83836" w:rsidP="00C83836">
      <w:pPr>
        <w:spacing w:after="120" w:line="264" w:lineRule="auto"/>
        <w:rPr>
          <w:rFonts w:ascii="Arial" w:hAnsi="Arial" w:cs="Arial"/>
          <w:b/>
          <w:sz w:val="28"/>
          <w:szCs w:val="28"/>
        </w:rPr>
      </w:pPr>
      <w:r w:rsidRPr="00E3664A">
        <w:rPr>
          <w:rFonts w:ascii="Arial" w:hAnsi="Arial" w:cs="Arial"/>
          <w:b/>
          <w:sz w:val="28"/>
          <w:szCs w:val="28"/>
        </w:rPr>
        <w:br w:type="page"/>
      </w:r>
    </w:p>
    <w:p w14:paraId="19FD77B1" w14:textId="77777777" w:rsidR="00C83836" w:rsidRPr="00E3664A" w:rsidRDefault="00C83836" w:rsidP="00C83836">
      <w:pPr>
        <w:spacing w:line="276" w:lineRule="auto"/>
        <w:rPr>
          <w:rFonts w:ascii="Arial" w:hAnsi="Arial" w:cs="Arial"/>
          <w:b/>
          <w:sz w:val="28"/>
          <w:szCs w:val="28"/>
        </w:rPr>
      </w:pPr>
      <w:r w:rsidRPr="00E3664A">
        <w:rPr>
          <w:rFonts w:ascii="Arial" w:hAnsi="Arial" w:cs="Arial"/>
          <w:b/>
          <w:sz w:val="28"/>
          <w:szCs w:val="28"/>
        </w:rPr>
        <w:lastRenderedPageBreak/>
        <w:t xml:space="preserve">Questions </w:t>
      </w:r>
    </w:p>
    <w:p w14:paraId="2BE58869" w14:textId="77777777" w:rsidR="00C83836" w:rsidRPr="003D70CA" w:rsidRDefault="00C83836" w:rsidP="00C83836">
      <w:pPr>
        <w:spacing w:line="276" w:lineRule="auto"/>
        <w:rPr>
          <w:rFonts w:ascii="Arial" w:hAnsi="Arial" w:cs="Arial"/>
          <w:b/>
          <w:sz w:val="24"/>
          <w:szCs w:val="24"/>
        </w:rPr>
      </w:pPr>
    </w:p>
    <w:p w14:paraId="1FAEE615" w14:textId="03725AC0" w:rsidR="00C83836" w:rsidRPr="00D22F88" w:rsidRDefault="00C83836" w:rsidP="00D22F88">
      <w:pPr>
        <w:pStyle w:val="Questionstyle"/>
        <w:rPr>
          <w:rFonts w:ascii="Arial" w:hAnsi="Arial" w:cs="Arial"/>
          <w:sz w:val="24"/>
          <w:szCs w:val="24"/>
        </w:rPr>
      </w:pPr>
      <w:r w:rsidRPr="00D22F88">
        <w:rPr>
          <w:rFonts w:ascii="Arial" w:hAnsi="Arial" w:cs="Arial"/>
          <w:sz w:val="24"/>
          <w:szCs w:val="24"/>
        </w:rPr>
        <w:t xml:space="preserve">: Do you agree with the proposed indicators to trigger the obligation for </w:t>
      </w:r>
      <w:r w:rsidR="00910CBC">
        <w:rPr>
          <w:rFonts w:ascii="Arial" w:hAnsi="Arial" w:cs="Arial"/>
          <w:sz w:val="24"/>
          <w:szCs w:val="24"/>
        </w:rPr>
        <w:t xml:space="preserve">a </w:t>
      </w:r>
      <w:r w:rsidRPr="00D22F88">
        <w:rPr>
          <w:rFonts w:ascii="Arial" w:hAnsi="Arial" w:cs="Arial"/>
          <w:sz w:val="24"/>
          <w:szCs w:val="24"/>
        </w:rPr>
        <w:t>competent authority to assess if to apply the restrictions set out under Article 45a of EMIR. If not, please explain why</w:t>
      </w:r>
      <w:r w:rsidR="00910CBC">
        <w:rPr>
          <w:rFonts w:ascii="Arial" w:hAnsi="Arial" w:cs="Arial"/>
          <w:sz w:val="24"/>
          <w:szCs w:val="24"/>
        </w:rPr>
        <w:t>.</w:t>
      </w:r>
    </w:p>
    <w:p w14:paraId="13BD877A" w14:textId="77777777" w:rsidR="00C83836" w:rsidRPr="00D22F88" w:rsidRDefault="00C83836" w:rsidP="00D22F88">
      <w:pPr>
        <w:pStyle w:val="Questionstyle"/>
        <w:numPr>
          <w:ilvl w:val="0"/>
          <w:numId w:val="0"/>
        </w:numPr>
        <w:rPr>
          <w:rFonts w:ascii="Arial" w:hAnsi="Arial" w:cs="Arial"/>
          <w:sz w:val="24"/>
          <w:szCs w:val="24"/>
        </w:rPr>
      </w:pPr>
    </w:p>
    <w:p w14:paraId="6903109C" w14:textId="7CBF755A" w:rsidR="00C83836" w:rsidRPr="00D22F88" w:rsidRDefault="00C83836" w:rsidP="00D22F88">
      <w:pPr>
        <w:pStyle w:val="Questionstyle"/>
        <w:numPr>
          <w:ilvl w:val="0"/>
          <w:numId w:val="0"/>
        </w:numPr>
        <w:rPr>
          <w:rFonts w:ascii="Arial" w:hAnsi="Arial" w:cs="Arial"/>
          <w:sz w:val="24"/>
          <w:szCs w:val="24"/>
        </w:rPr>
      </w:pPr>
      <w:r w:rsidRPr="00D22F88">
        <w:rPr>
          <w:rFonts w:ascii="Arial" w:hAnsi="Arial" w:cs="Arial"/>
          <w:sz w:val="24"/>
          <w:szCs w:val="24"/>
        </w:rPr>
        <w:t>&lt;ESMA_QUESTION_DVDS_01&gt;</w:t>
      </w:r>
    </w:p>
    <w:p w14:paraId="768ABFA3" w14:textId="27C65FFE" w:rsidR="00166FCE" w:rsidRPr="00166FCE" w:rsidRDefault="00166FCE" w:rsidP="00166FCE">
      <w:pPr>
        <w:rPr>
          <w:rFonts w:ascii="Arial" w:hAnsi="Arial" w:cs="Arial"/>
          <w:sz w:val="24"/>
          <w:szCs w:val="24"/>
          <w:lang w:val="en-US"/>
        </w:rPr>
      </w:pPr>
      <w:r w:rsidRPr="00166FCE">
        <w:rPr>
          <w:rFonts w:ascii="Arial" w:hAnsi="Arial" w:cs="Arial"/>
          <w:bCs/>
          <w:sz w:val="24"/>
          <w:szCs w:val="24"/>
          <w:lang w:val="en-US"/>
        </w:rPr>
        <w:t>EACH would like to put forward some comments and suggestions concerning the Guidelines proposed by ESMA in the consultation.</w:t>
      </w:r>
    </w:p>
    <w:p w14:paraId="43E6C4F4" w14:textId="77777777" w:rsidR="00166FCE" w:rsidRPr="00166FCE" w:rsidRDefault="00166FCE" w:rsidP="00166FCE">
      <w:pPr>
        <w:rPr>
          <w:rFonts w:ascii="Arial" w:hAnsi="Arial" w:cs="Arial"/>
          <w:sz w:val="24"/>
          <w:szCs w:val="24"/>
          <w:u w:val="single"/>
          <w:lang w:val="en-US"/>
        </w:rPr>
      </w:pPr>
      <w:r w:rsidRPr="00166FCE">
        <w:rPr>
          <w:rFonts w:ascii="Arial" w:hAnsi="Arial" w:cs="Arial"/>
          <w:b/>
          <w:bCs/>
          <w:sz w:val="24"/>
          <w:szCs w:val="24"/>
          <w:u w:val="single"/>
          <w:lang w:val="en-US"/>
        </w:rPr>
        <w:t>Guideline 1</w:t>
      </w:r>
    </w:p>
    <w:p w14:paraId="1655E63E" w14:textId="77777777" w:rsidR="00AC34F7" w:rsidRDefault="00166FCE" w:rsidP="00AC34F7">
      <w:pPr>
        <w:rPr>
          <w:rFonts w:ascii="Arial" w:hAnsi="Arial" w:cs="Arial"/>
          <w:i/>
          <w:iCs/>
          <w:sz w:val="24"/>
          <w:szCs w:val="24"/>
        </w:rPr>
      </w:pPr>
      <w:r w:rsidRPr="00166FCE">
        <w:rPr>
          <w:rFonts w:ascii="Arial" w:hAnsi="Arial" w:cs="Arial"/>
          <w:i/>
          <w:iCs/>
          <w:sz w:val="24"/>
          <w:szCs w:val="24"/>
        </w:rPr>
        <w:t xml:space="preserve">Where the competent authority identifies a non-default event, the competent authorities should assess a series of indicators to determine whether the non-default event poses a significant risk to the CCP’s capital and hence would justify a restriction on the CCP, i.e. to require the CCP to refrain from undertaking any actions referred to in Article 45a(1) of EMIR. </w:t>
      </w:r>
    </w:p>
    <w:p w14:paraId="47844510" w14:textId="77777777" w:rsidR="00AC34F7" w:rsidRDefault="00166FCE" w:rsidP="00AC34F7">
      <w:pPr>
        <w:rPr>
          <w:rFonts w:ascii="Arial" w:hAnsi="Arial" w:cs="Arial"/>
          <w:i/>
          <w:iCs/>
          <w:sz w:val="24"/>
          <w:szCs w:val="24"/>
        </w:rPr>
      </w:pPr>
      <w:r w:rsidRPr="00166FCE">
        <w:rPr>
          <w:rFonts w:ascii="Arial" w:hAnsi="Arial" w:cs="Arial"/>
          <w:i/>
          <w:iCs/>
          <w:sz w:val="24"/>
          <w:szCs w:val="24"/>
        </w:rPr>
        <w:t>The indicators to be assessed by the competent authority should include (but not be limited to) the ones listed below:</w:t>
      </w:r>
    </w:p>
    <w:p w14:paraId="071E9E7C" w14:textId="786EA386" w:rsidR="00166FCE" w:rsidRPr="00166FCE" w:rsidRDefault="00166FCE" w:rsidP="00AC34F7">
      <w:pPr>
        <w:numPr>
          <w:ilvl w:val="0"/>
          <w:numId w:val="7"/>
        </w:numPr>
        <w:rPr>
          <w:rFonts w:ascii="Arial" w:hAnsi="Arial" w:cs="Arial"/>
          <w:i/>
          <w:iCs/>
          <w:sz w:val="24"/>
          <w:szCs w:val="24"/>
        </w:rPr>
      </w:pPr>
      <w:r w:rsidRPr="00166FCE">
        <w:rPr>
          <w:rFonts w:ascii="Arial" w:hAnsi="Arial" w:cs="Arial"/>
          <w:i/>
          <w:iCs/>
          <w:sz w:val="24"/>
          <w:szCs w:val="24"/>
        </w:rPr>
        <w:t>Whether following a non-default event, a realised, estimated or forecasted loss will, or is likely to, reduce the CCP’s capital level below the notification threshold referred to in Article 1(3) of RTS 152/2013.</w:t>
      </w:r>
    </w:p>
    <w:p w14:paraId="3CB2A65B" w14:textId="77777777" w:rsidR="00166FCE" w:rsidRPr="00166FCE" w:rsidRDefault="00166FCE" w:rsidP="00166FCE">
      <w:pPr>
        <w:numPr>
          <w:ilvl w:val="0"/>
          <w:numId w:val="7"/>
        </w:numPr>
        <w:rPr>
          <w:rFonts w:ascii="Arial" w:hAnsi="Arial" w:cs="Arial"/>
          <w:i/>
          <w:iCs/>
          <w:sz w:val="24"/>
          <w:szCs w:val="24"/>
        </w:rPr>
      </w:pPr>
      <w:r w:rsidRPr="00166FCE">
        <w:rPr>
          <w:rFonts w:ascii="Arial" w:hAnsi="Arial" w:cs="Arial"/>
          <w:i/>
          <w:iCs/>
          <w:sz w:val="24"/>
          <w:szCs w:val="24"/>
        </w:rPr>
        <w:t>Whether following a non-default event a realised, estimated or forecasted loss results or is likely to result in a significant deterioration of the CCP’s capital buffer, without triggering the notification threshold and resulting from either:</w:t>
      </w:r>
    </w:p>
    <w:p w14:paraId="2CA4CA73" w14:textId="77777777" w:rsidR="00166FCE" w:rsidRPr="00166FCE" w:rsidRDefault="00166FCE" w:rsidP="00AC34F7">
      <w:pPr>
        <w:ind w:left="1440"/>
        <w:rPr>
          <w:rFonts w:ascii="Arial" w:hAnsi="Arial" w:cs="Arial"/>
          <w:i/>
          <w:iCs/>
          <w:sz w:val="24"/>
          <w:szCs w:val="24"/>
        </w:rPr>
      </w:pPr>
      <w:r w:rsidRPr="00166FCE">
        <w:rPr>
          <w:rFonts w:ascii="Arial" w:hAnsi="Arial" w:cs="Arial"/>
          <w:i/>
          <w:iCs/>
          <w:sz w:val="24"/>
          <w:szCs w:val="24"/>
        </w:rPr>
        <w:t>- a gradual loss where the reason for the deterioration is considered very likely to continue to reduce the capital of the CCP at a significant pace, hence there is a risk that the CCP will infringe its notification threshold in a near future; or</w:t>
      </w:r>
    </w:p>
    <w:p w14:paraId="56F72E1D" w14:textId="39C0B319" w:rsidR="00166FCE" w:rsidRPr="00166FCE" w:rsidRDefault="00166FCE" w:rsidP="00AC34F7">
      <w:pPr>
        <w:ind w:left="1440"/>
        <w:rPr>
          <w:rFonts w:ascii="Arial" w:hAnsi="Arial" w:cs="Arial"/>
          <w:i/>
          <w:iCs/>
          <w:sz w:val="24"/>
          <w:szCs w:val="24"/>
        </w:rPr>
      </w:pPr>
      <w:r w:rsidRPr="00166FCE">
        <w:rPr>
          <w:rFonts w:ascii="Arial" w:hAnsi="Arial" w:cs="Arial"/>
          <w:i/>
          <w:iCs/>
          <w:sz w:val="24"/>
          <w:szCs w:val="24"/>
        </w:rPr>
        <w:t>- a sudden loss or expected loss where there is a risk that the CCP will infringe the notification threshold</w:t>
      </w:r>
    </w:p>
    <w:p w14:paraId="63B100E0" w14:textId="77777777" w:rsidR="00166FCE" w:rsidRPr="00166FCE" w:rsidRDefault="00166FCE" w:rsidP="00166FCE">
      <w:pPr>
        <w:rPr>
          <w:rFonts w:ascii="Arial" w:hAnsi="Arial" w:cs="Arial"/>
          <w:b/>
          <w:bCs/>
          <w:sz w:val="24"/>
          <w:szCs w:val="24"/>
          <w:lang w:val="en-US"/>
        </w:rPr>
      </w:pPr>
      <w:r w:rsidRPr="00166FCE">
        <w:rPr>
          <w:rFonts w:ascii="Arial" w:hAnsi="Arial" w:cs="Arial"/>
          <w:b/>
          <w:bCs/>
          <w:sz w:val="24"/>
          <w:szCs w:val="24"/>
          <w:lang w:val="en-US"/>
        </w:rPr>
        <w:t>EACH suggestion</w:t>
      </w:r>
    </w:p>
    <w:p w14:paraId="187B7243" w14:textId="109C501B" w:rsidR="00166FCE" w:rsidRPr="00166FCE" w:rsidRDefault="00214548" w:rsidP="00166FCE">
      <w:pPr>
        <w:rPr>
          <w:rFonts w:ascii="Arial" w:hAnsi="Arial" w:cs="Arial"/>
          <w:sz w:val="24"/>
          <w:szCs w:val="24"/>
        </w:rPr>
      </w:pPr>
      <w:r>
        <w:rPr>
          <w:rFonts w:ascii="Arial" w:hAnsi="Arial" w:cs="Arial"/>
          <w:sz w:val="24"/>
          <w:szCs w:val="24"/>
        </w:rPr>
        <w:t>W</w:t>
      </w:r>
      <w:r w:rsidR="00166FCE" w:rsidRPr="00166FCE">
        <w:rPr>
          <w:rFonts w:ascii="Arial" w:hAnsi="Arial" w:cs="Arial"/>
          <w:sz w:val="24"/>
          <w:szCs w:val="24"/>
        </w:rPr>
        <w:t>e would like to highlight that the two indicators presented seem to show a certain degree of overlap, and it is not very clear what the difference between the two is. In addition, it has to be noted that, according to indicator (b),</w:t>
      </w:r>
      <w:r w:rsidR="00166FCE" w:rsidRPr="00166FCE">
        <w:rPr>
          <w:rFonts w:ascii="Arial" w:hAnsi="Arial" w:cs="Arial"/>
          <w:sz w:val="24"/>
          <w:szCs w:val="24"/>
          <w:lang w:val="en-US"/>
        </w:rPr>
        <w:t xml:space="preserve"> </w:t>
      </w:r>
      <w:r w:rsidR="00166FCE" w:rsidRPr="00166FCE">
        <w:rPr>
          <w:rFonts w:ascii="Arial" w:hAnsi="Arial" w:cs="Arial"/>
          <w:sz w:val="24"/>
          <w:szCs w:val="24"/>
        </w:rPr>
        <w:t xml:space="preserve">a significant deterioration of the CCP’s buffer could also trigger temporary restrictions </w:t>
      </w:r>
      <w:r w:rsidR="00166FCE" w:rsidRPr="00166FCE">
        <w:rPr>
          <w:rFonts w:ascii="Arial" w:hAnsi="Arial" w:cs="Arial"/>
          <w:b/>
          <w:bCs/>
          <w:sz w:val="24"/>
          <w:szCs w:val="24"/>
        </w:rPr>
        <w:t>even if not hitting the notification threshold</w:t>
      </w:r>
      <w:r w:rsidR="00166FCE" w:rsidRPr="00166FCE">
        <w:rPr>
          <w:rFonts w:ascii="Arial" w:hAnsi="Arial" w:cs="Arial"/>
          <w:sz w:val="24"/>
          <w:szCs w:val="24"/>
          <w:lang w:val="en-US"/>
        </w:rPr>
        <w:t>: it is important to keep in mind in this case that c</w:t>
      </w:r>
      <w:r w:rsidR="00166FCE" w:rsidRPr="00166FCE">
        <w:rPr>
          <w:rFonts w:ascii="Arial" w:hAnsi="Arial" w:cs="Arial"/>
          <w:sz w:val="24"/>
          <w:szCs w:val="24"/>
        </w:rPr>
        <w:t>ertain CCP losses</w:t>
      </w:r>
      <w:r w:rsidR="00166FCE" w:rsidRPr="00166FCE">
        <w:rPr>
          <w:rFonts w:ascii="Arial" w:hAnsi="Arial" w:cs="Arial"/>
          <w:sz w:val="24"/>
          <w:szCs w:val="24"/>
          <w:lang w:val="en-US"/>
        </w:rPr>
        <w:t xml:space="preserve"> </w:t>
      </w:r>
      <w:r w:rsidR="00166FCE" w:rsidRPr="00166FCE">
        <w:rPr>
          <w:rFonts w:ascii="Arial" w:hAnsi="Arial" w:cs="Arial"/>
          <w:sz w:val="24"/>
          <w:szCs w:val="24"/>
        </w:rPr>
        <w:t>are usually within a CCP’s annual cash flow projections</w:t>
      </w:r>
      <w:r w:rsidR="00166FCE" w:rsidRPr="00166FCE">
        <w:rPr>
          <w:rFonts w:ascii="Arial" w:hAnsi="Arial" w:cs="Arial"/>
          <w:sz w:val="24"/>
          <w:szCs w:val="24"/>
          <w:lang w:val="en-US"/>
        </w:rPr>
        <w:t xml:space="preserve"> </w:t>
      </w:r>
      <w:r w:rsidR="00166FCE" w:rsidRPr="00166FCE">
        <w:rPr>
          <w:rFonts w:ascii="Arial" w:hAnsi="Arial" w:cs="Arial"/>
          <w:sz w:val="24"/>
          <w:szCs w:val="24"/>
        </w:rPr>
        <w:t>and</w:t>
      </w:r>
      <w:r w:rsidR="00166FCE" w:rsidRPr="00166FCE">
        <w:rPr>
          <w:rFonts w:ascii="Arial" w:hAnsi="Arial" w:cs="Arial"/>
          <w:sz w:val="24"/>
          <w:szCs w:val="24"/>
          <w:lang w:val="en-US"/>
        </w:rPr>
        <w:t xml:space="preserve">, although well within the buffer, are </w:t>
      </w:r>
      <w:r w:rsidR="00166FCE" w:rsidRPr="00166FCE">
        <w:rPr>
          <w:rFonts w:ascii="Arial" w:hAnsi="Arial" w:cs="Arial"/>
          <w:sz w:val="24"/>
          <w:szCs w:val="24"/>
        </w:rPr>
        <w:t xml:space="preserve">likely to be deemed a significant deterioration. However, despite the fact that the CCP’s regulatory capital </w:t>
      </w:r>
      <w:r w:rsidR="00166FCE" w:rsidRPr="00166FCE">
        <w:rPr>
          <w:rFonts w:ascii="Arial" w:hAnsi="Arial" w:cs="Arial"/>
          <w:b/>
          <w:bCs/>
          <w:sz w:val="24"/>
          <w:szCs w:val="24"/>
        </w:rPr>
        <w:t>will not be breached</w:t>
      </w:r>
      <w:r w:rsidR="00166FCE" w:rsidRPr="00166FCE">
        <w:rPr>
          <w:rFonts w:ascii="Arial" w:hAnsi="Arial" w:cs="Arial"/>
          <w:sz w:val="24"/>
          <w:szCs w:val="24"/>
        </w:rPr>
        <w:t xml:space="preserve"> the national </w:t>
      </w:r>
      <w:r w:rsidR="00166FCE" w:rsidRPr="00166FCE">
        <w:rPr>
          <w:rFonts w:ascii="Arial" w:hAnsi="Arial" w:cs="Arial"/>
          <w:sz w:val="24"/>
          <w:szCs w:val="24"/>
        </w:rPr>
        <w:lastRenderedPageBreak/>
        <w:t>competent authority could restrict dividend pay-out for up to 5 years or cut the variable comp</w:t>
      </w:r>
      <w:r>
        <w:rPr>
          <w:rFonts w:ascii="Arial" w:hAnsi="Arial" w:cs="Arial"/>
          <w:sz w:val="24"/>
          <w:szCs w:val="24"/>
        </w:rPr>
        <w:t>ensation</w:t>
      </w:r>
      <w:r w:rsidR="00166FCE" w:rsidRPr="00166FCE">
        <w:rPr>
          <w:rFonts w:ascii="Arial" w:hAnsi="Arial" w:cs="Arial"/>
          <w:sz w:val="24"/>
          <w:szCs w:val="24"/>
        </w:rPr>
        <w:t xml:space="preserve"> over multi-year periods.</w:t>
      </w:r>
    </w:p>
    <w:p w14:paraId="3BC737C8" w14:textId="757FFE64" w:rsidR="00166FCE" w:rsidRPr="00166FCE" w:rsidRDefault="00166FCE" w:rsidP="00166FCE">
      <w:pPr>
        <w:rPr>
          <w:rFonts w:ascii="Arial" w:hAnsi="Arial" w:cs="Arial"/>
          <w:sz w:val="24"/>
          <w:szCs w:val="24"/>
        </w:rPr>
      </w:pPr>
      <w:r w:rsidRPr="00166FCE">
        <w:rPr>
          <w:rFonts w:ascii="Arial" w:hAnsi="Arial" w:cs="Arial"/>
          <w:sz w:val="24"/>
          <w:szCs w:val="24"/>
        </w:rPr>
        <w:t xml:space="preserve">We would </w:t>
      </w:r>
      <w:r w:rsidRPr="00166FCE">
        <w:rPr>
          <w:rFonts w:ascii="Arial" w:hAnsi="Arial" w:cs="Arial"/>
          <w:sz w:val="24"/>
          <w:szCs w:val="24"/>
          <w:lang w:val="en-US"/>
        </w:rPr>
        <w:t xml:space="preserve">therefore kindly </w:t>
      </w:r>
      <w:r w:rsidRPr="00166FCE">
        <w:rPr>
          <w:rFonts w:ascii="Arial" w:hAnsi="Arial" w:cs="Arial"/>
          <w:sz w:val="24"/>
          <w:szCs w:val="24"/>
        </w:rPr>
        <w:t xml:space="preserve">suggest </w:t>
      </w:r>
      <w:r w:rsidRPr="00166FCE">
        <w:rPr>
          <w:rFonts w:ascii="Arial" w:hAnsi="Arial" w:cs="Arial"/>
          <w:b/>
          <w:bCs/>
          <w:sz w:val="24"/>
          <w:szCs w:val="24"/>
        </w:rPr>
        <w:t xml:space="preserve">deleting </w:t>
      </w:r>
      <w:r w:rsidRPr="00166FCE">
        <w:rPr>
          <w:rFonts w:ascii="Arial" w:hAnsi="Arial" w:cs="Arial"/>
          <w:b/>
          <w:bCs/>
          <w:sz w:val="24"/>
          <w:szCs w:val="24"/>
          <w:lang w:val="en-US"/>
        </w:rPr>
        <w:t>indicator 1(b)</w:t>
      </w:r>
      <w:r w:rsidRPr="00166FCE">
        <w:rPr>
          <w:rFonts w:ascii="Arial" w:hAnsi="Arial" w:cs="Arial"/>
          <w:sz w:val="24"/>
          <w:szCs w:val="24"/>
        </w:rPr>
        <w:t xml:space="preserve"> and </w:t>
      </w:r>
      <w:r w:rsidRPr="00166FCE">
        <w:rPr>
          <w:rFonts w:ascii="Arial" w:hAnsi="Arial" w:cs="Arial"/>
          <w:b/>
          <w:bCs/>
          <w:sz w:val="24"/>
          <w:szCs w:val="24"/>
        </w:rPr>
        <w:t xml:space="preserve">keeping </w:t>
      </w:r>
      <w:r w:rsidRPr="00166FCE">
        <w:rPr>
          <w:rFonts w:ascii="Arial" w:hAnsi="Arial" w:cs="Arial"/>
          <w:b/>
          <w:bCs/>
          <w:sz w:val="24"/>
          <w:szCs w:val="24"/>
          <w:lang w:val="en-US"/>
        </w:rPr>
        <w:t>1(a)</w:t>
      </w:r>
      <w:r w:rsidRPr="00166FCE">
        <w:rPr>
          <w:rFonts w:ascii="Arial" w:hAnsi="Arial" w:cs="Arial"/>
          <w:b/>
          <w:bCs/>
          <w:sz w:val="24"/>
          <w:szCs w:val="24"/>
        </w:rPr>
        <w:t xml:space="preserve"> as guidance</w:t>
      </w:r>
      <w:r w:rsidRPr="00166FCE">
        <w:rPr>
          <w:rFonts w:ascii="Arial" w:hAnsi="Arial" w:cs="Arial"/>
          <w:sz w:val="24"/>
          <w:szCs w:val="24"/>
        </w:rPr>
        <w:t>.</w:t>
      </w:r>
    </w:p>
    <w:p w14:paraId="64B3BEBC" w14:textId="77777777" w:rsidR="00166FCE" w:rsidRPr="00166FCE" w:rsidRDefault="00166FCE" w:rsidP="00166FCE">
      <w:pPr>
        <w:rPr>
          <w:rFonts w:ascii="Arial" w:hAnsi="Arial" w:cs="Arial"/>
          <w:i/>
          <w:iCs/>
          <w:sz w:val="24"/>
          <w:szCs w:val="24"/>
          <w:lang w:val="en-US"/>
        </w:rPr>
      </w:pPr>
      <w:r w:rsidRPr="00166FCE">
        <w:rPr>
          <w:rFonts w:ascii="Arial" w:hAnsi="Arial" w:cs="Arial"/>
          <w:b/>
          <w:bCs/>
          <w:sz w:val="24"/>
          <w:szCs w:val="24"/>
          <w:u w:val="single"/>
          <w:lang w:val="en-US"/>
        </w:rPr>
        <w:t xml:space="preserve">Guideline 2 </w:t>
      </w:r>
    </w:p>
    <w:p w14:paraId="5EA90C49" w14:textId="77777777" w:rsidR="00166FCE" w:rsidRPr="00166FCE" w:rsidRDefault="00166FCE" w:rsidP="00166FCE">
      <w:pPr>
        <w:rPr>
          <w:rFonts w:ascii="Arial" w:hAnsi="Arial" w:cs="Arial"/>
          <w:i/>
          <w:iCs/>
          <w:sz w:val="24"/>
          <w:szCs w:val="24"/>
        </w:rPr>
      </w:pPr>
      <w:r w:rsidRPr="00166FCE">
        <w:rPr>
          <w:rFonts w:ascii="Arial" w:hAnsi="Arial" w:cs="Arial"/>
          <w:i/>
          <w:iCs/>
          <w:sz w:val="24"/>
          <w:szCs w:val="24"/>
        </w:rPr>
        <w:t>Where the competent authority identifies a non-default event, the competent authority should assess a series of indicators to determine whether the non-default event poses a significant risk to the CCP’s ability to perform its critical functions, hence would justify a restriction on the CCP, i.e. to require the CCP to refrain from undertaking any actions referred to in Article 45a(1) of EMIR. The indicators to be assessed by the competent authority should include (but not be limited to) the ones listed below:</w:t>
      </w:r>
    </w:p>
    <w:p w14:paraId="16492C22" w14:textId="77777777" w:rsidR="00166FCE" w:rsidRPr="00166FCE" w:rsidRDefault="00166FCE" w:rsidP="00166FCE">
      <w:pPr>
        <w:numPr>
          <w:ilvl w:val="0"/>
          <w:numId w:val="6"/>
        </w:numPr>
        <w:rPr>
          <w:rFonts w:ascii="Arial" w:hAnsi="Arial" w:cs="Arial"/>
          <w:i/>
          <w:iCs/>
          <w:sz w:val="24"/>
          <w:szCs w:val="24"/>
          <w:lang w:val="en-US"/>
        </w:rPr>
      </w:pPr>
      <w:r w:rsidRPr="00166FCE">
        <w:rPr>
          <w:rFonts w:ascii="Arial" w:hAnsi="Arial" w:cs="Arial"/>
          <w:i/>
          <w:iCs/>
          <w:sz w:val="24"/>
          <w:szCs w:val="24"/>
        </w:rPr>
        <w:t>Whether the CCP is incurring and failing to recover from a material operational event, such as a cyber-attack or natural disaster, which prevents or has the potential to prevent the CCP from operating its full clearing service(s) or fulfilling all or part of its obligations towards its clearing members and where this may have a financial impact in the medium-term;</w:t>
      </w:r>
    </w:p>
    <w:p w14:paraId="102EBF24" w14:textId="77777777" w:rsidR="00166FCE" w:rsidRPr="00166FCE" w:rsidRDefault="00166FCE" w:rsidP="00166FCE">
      <w:pPr>
        <w:numPr>
          <w:ilvl w:val="0"/>
          <w:numId w:val="6"/>
        </w:numPr>
        <w:rPr>
          <w:rFonts w:ascii="Arial" w:hAnsi="Arial" w:cs="Arial"/>
          <w:bCs/>
          <w:i/>
          <w:iCs/>
          <w:sz w:val="24"/>
          <w:szCs w:val="24"/>
        </w:rPr>
      </w:pPr>
      <w:r w:rsidRPr="00166FCE">
        <w:rPr>
          <w:rFonts w:ascii="Arial" w:hAnsi="Arial" w:cs="Arial"/>
          <w:bCs/>
          <w:i/>
          <w:iCs/>
          <w:sz w:val="24"/>
          <w:szCs w:val="24"/>
        </w:rPr>
        <w:t>Whether the failure of a critical third-party entity prevent or has the potential to prevent the</w:t>
      </w:r>
      <w:r w:rsidRPr="00166FCE">
        <w:rPr>
          <w:rFonts w:ascii="Arial" w:hAnsi="Arial" w:cs="Arial"/>
          <w:bCs/>
          <w:i/>
          <w:iCs/>
          <w:sz w:val="24"/>
          <w:szCs w:val="24"/>
          <w:lang w:val="en-US"/>
        </w:rPr>
        <w:t xml:space="preserve"> </w:t>
      </w:r>
      <w:r w:rsidRPr="00166FCE">
        <w:rPr>
          <w:rFonts w:ascii="Arial" w:hAnsi="Arial" w:cs="Arial"/>
          <w:bCs/>
          <w:i/>
          <w:iCs/>
          <w:sz w:val="24"/>
          <w:szCs w:val="24"/>
        </w:rPr>
        <w:t>CCPs from operating its full clearing service(s) or fulfilling all or part of its obligations towards its clearing members, including settlement of transactions and payments of margin calls and where this may have a financial impact in the medium-term;</w:t>
      </w:r>
    </w:p>
    <w:p w14:paraId="6C6770B0" w14:textId="77777777" w:rsidR="00166FCE" w:rsidRPr="00166FCE" w:rsidRDefault="00166FCE" w:rsidP="00166FCE">
      <w:pPr>
        <w:numPr>
          <w:ilvl w:val="0"/>
          <w:numId w:val="6"/>
        </w:numPr>
        <w:rPr>
          <w:rFonts w:ascii="Arial" w:hAnsi="Arial" w:cs="Arial"/>
          <w:bCs/>
          <w:i/>
          <w:iCs/>
          <w:sz w:val="24"/>
          <w:szCs w:val="24"/>
        </w:rPr>
      </w:pPr>
      <w:r w:rsidRPr="00166FCE">
        <w:rPr>
          <w:rFonts w:ascii="Arial" w:hAnsi="Arial" w:cs="Arial"/>
          <w:bCs/>
          <w:i/>
          <w:iCs/>
          <w:sz w:val="24"/>
          <w:szCs w:val="24"/>
        </w:rPr>
        <w:t>Whether the CCP is losing, or is at risk of losing, clearing volumes or clearing member(s), or where there is a general loss of clearing members’ or stakeholders’ confidence in the CCP and where this may put the CCP in the position that it is no longer able to carry out its business activities and where this may have a financial impact in the medium-term . This may be evidenced by:</w:t>
      </w:r>
    </w:p>
    <w:p w14:paraId="575AFB02" w14:textId="77777777" w:rsidR="00166FCE" w:rsidRPr="00166FCE" w:rsidRDefault="00166FCE" w:rsidP="00166FCE">
      <w:pPr>
        <w:numPr>
          <w:ilvl w:val="1"/>
          <w:numId w:val="6"/>
        </w:numPr>
        <w:rPr>
          <w:rFonts w:ascii="Arial" w:hAnsi="Arial" w:cs="Arial"/>
          <w:bCs/>
          <w:i/>
          <w:iCs/>
          <w:sz w:val="24"/>
          <w:szCs w:val="24"/>
        </w:rPr>
      </w:pPr>
      <w:r w:rsidRPr="00166FCE">
        <w:rPr>
          <w:rFonts w:ascii="Arial" w:hAnsi="Arial" w:cs="Arial"/>
          <w:bCs/>
          <w:i/>
          <w:iCs/>
          <w:sz w:val="24"/>
          <w:szCs w:val="24"/>
        </w:rPr>
        <w:t>a reduction in submitted transactions for clearing;</w:t>
      </w:r>
    </w:p>
    <w:p w14:paraId="6C8D07D7" w14:textId="3D45F553" w:rsidR="00166FCE" w:rsidRPr="00166FCE" w:rsidRDefault="00166FCE" w:rsidP="00166FCE">
      <w:pPr>
        <w:numPr>
          <w:ilvl w:val="1"/>
          <w:numId w:val="6"/>
        </w:numPr>
        <w:rPr>
          <w:rFonts w:ascii="Arial" w:hAnsi="Arial" w:cs="Arial"/>
          <w:bCs/>
          <w:sz w:val="24"/>
          <w:szCs w:val="24"/>
        </w:rPr>
      </w:pPr>
      <w:r w:rsidRPr="00166FCE">
        <w:rPr>
          <w:rFonts w:ascii="Arial" w:hAnsi="Arial" w:cs="Arial"/>
          <w:bCs/>
          <w:i/>
          <w:iCs/>
          <w:sz w:val="24"/>
          <w:szCs w:val="24"/>
        </w:rPr>
        <w:t>the intention of clearing members to terminate their contracts with the CCP (termination notice).</w:t>
      </w:r>
    </w:p>
    <w:p w14:paraId="7972BD03" w14:textId="77777777" w:rsidR="00166FCE" w:rsidRPr="00166FCE" w:rsidRDefault="00166FCE" w:rsidP="00166FCE">
      <w:pPr>
        <w:rPr>
          <w:rFonts w:ascii="Arial" w:hAnsi="Arial" w:cs="Arial"/>
          <w:b/>
          <w:sz w:val="24"/>
          <w:szCs w:val="24"/>
          <w:lang w:val="en-US"/>
        </w:rPr>
      </w:pPr>
      <w:r w:rsidRPr="00166FCE">
        <w:rPr>
          <w:rFonts w:ascii="Arial" w:hAnsi="Arial" w:cs="Arial"/>
          <w:b/>
          <w:sz w:val="24"/>
          <w:szCs w:val="24"/>
          <w:lang w:val="en-US"/>
        </w:rPr>
        <w:t>EACH suggestion</w:t>
      </w:r>
    </w:p>
    <w:p w14:paraId="41CA0A4F" w14:textId="4D5A41C4" w:rsidR="00166FCE" w:rsidRPr="00166FCE" w:rsidRDefault="00166FCE" w:rsidP="00166FCE">
      <w:pPr>
        <w:rPr>
          <w:rFonts w:ascii="Arial" w:hAnsi="Arial" w:cs="Arial"/>
          <w:bCs/>
          <w:sz w:val="24"/>
          <w:szCs w:val="24"/>
        </w:rPr>
      </w:pPr>
      <w:r w:rsidRPr="00166FCE">
        <w:rPr>
          <w:rFonts w:ascii="Arial" w:hAnsi="Arial" w:cs="Arial"/>
          <w:bCs/>
          <w:sz w:val="24"/>
          <w:szCs w:val="24"/>
          <w:lang w:val="en-US"/>
        </w:rPr>
        <w:t>T</w:t>
      </w:r>
      <w:r w:rsidRPr="00166FCE">
        <w:rPr>
          <w:rFonts w:ascii="Arial" w:hAnsi="Arial" w:cs="Arial"/>
          <w:bCs/>
          <w:sz w:val="24"/>
          <w:szCs w:val="24"/>
        </w:rPr>
        <w:t xml:space="preserve">he failure of a critical third-party entity preventing the CCP from operating its full clearing service should </w:t>
      </w:r>
      <w:r w:rsidRPr="00166FCE">
        <w:rPr>
          <w:rFonts w:ascii="Arial" w:hAnsi="Arial" w:cs="Arial"/>
          <w:b/>
          <w:sz w:val="24"/>
          <w:szCs w:val="24"/>
        </w:rPr>
        <w:t xml:space="preserve">not be an indicator </w:t>
      </w:r>
      <w:r w:rsidR="004623F7">
        <w:rPr>
          <w:rFonts w:ascii="Arial" w:hAnsi="Arial" w:cs="Arial"/>
          <w:b/>
          <w:sz w:val="24"/>
          <w:szCs w:val="24"/>
        </w:rPr>
        <w:t>that triggers</w:t>
      </w:r>
      <w:r w:rsidRPr="00166FCE">
        <w:rPr>
          <w:rFonts w:ascii="Arial" w:hAnsi="Arial" w:cs="Arial"/>
          <w:b/>
          <w:sz w:val="24"/>
          <w:szCs w:val="24"/>
        </w:rPr>
        <w:t xml:space="preserve"> Article 45 (a) restrictions</w:t>
      </w:r>
      <w:r w:rsidRPr="00166FCE">
        <w:rPr>
          <w:rFonts w:ascii="Arial" w:hAnsi="Arial" w:cs="Arial"/>
          <w:bCs/>
          <w:sz w:val="24"/>
          <w:szCs w:val="24"/>
        </w:rPr>
        <w:t xml:space="preserve"> as the </w:t>
      </w:r>
      <w:r w:rsidRPr="00166FCE">
        <w:rPr>
          <w:rFonts w:ascii="Arial" w:hAnsi="Arial" w:cs="Arial"/>
          <w:b/>
          <w:sz w:val="24"/>
          <w:szCs w:val="24"/>
        </w:rPr>
        <w:t>CCP has no control over a third-party entity</w:t>
      </w:r>
      <w:r w:rsidRPr="00166FCE">
        <w:rPr>
          <w:rFonts w:ascii="Arial" w:hAnsi="Arial" w:cs="Arial"/>
          <w:bCs/>
          <w:sz w:val="24"/>
          <w:szCs w:val="24"/>
        </w:rPr>
        <w:t xml:space="preserve">. Third-party providers are chosen on the basis of extensive due diligence reviews which cover all possible operational risk and compliance issues before the final decision is made. Their operational capabilities under extraordinary market conditions can be assessed to a certain extent and those institutions are also regulated entities. Also, in some cases there is an active clearing members’ representation in CCP’s Risk Committees </w:t>
      </w:r>
      <w:r w:rsidRPr="00166FCE">
        <w:rPr>
          <w:rFonts w:ascii="Arial" w:hAnsi="Arial" w:cs="Arial"/>
          <w:bCs/>
          <w:sz w:val="24"/>
          <w:szCs w:val="24"/>
          <w:lang w:val="en-US"/>
        </w:rPr>
        <w:t xml:space="preserve">that provide opinions concerning </w:t>
      </w:r>
      <w:r w:rsidRPr="00166FCE">
        <w:rPr>
          <w:rFonts w:ascii="Arial" w:hAnsi="Arial" w:cs="Arial"/>
          <w:bCs/>
          <w:sz w:val="24"/>
          <w:szCs w:val="24"/>
        </w:rPr>
        <w:t>third-</w:t>
      </w:r>
      <w:r w:rsidRPr="00166FCE">
        <w:rPr>
          <w:rFonts w:ascii="Arial" w:hAnsi="Arial" w:cs="Arial"/>
          <w:bCs/>
          <w:sz w:val="24"/>
          <w:szCs w:val="24"/>
          <w:lang w:val="en-US"/>
        </w:rPr>
        <w:t>party</w:t>
      </w:r>
      <w:r w:rsidRPr="00166FCE">
        <w:rPr>
          <w:rFonts w:ascii="Arial" w:hAnsi="Arial" w:cs="Arial"/>
          <w:bCs/>
          <w:sz w:val="24"/>
          <w:szCs w:val="24"/>
        </w:rPr>
        <w:t xml:space="preserve"> providers. </w:t>
      </w:r>
    </w:p>
    <w:p w14:paraId="7EFA5A07" w14:textId="33895FEE" w:rsidR="00166FCE" w:rsidRPr="006D0E1B" w:rsidRDefault="00166FCE" w:rsidP="00166FCE">
      <w:pPr>
        <w:rPr>
          <w:rFonts w:ascii="Arial" w:hAnsi="Arial" w:cs="Arial"/>
          <w:bCs/>
          <w:sz w:val="24"/>
          <w:szCs w:val="24"/>
        </w:rPr>
      </w:pPr>
      <w:r w:rsidRPr="00166FCE">
        <w:rPr>
          <w:rFonts w:ascii="Arial" w:hAnsi="Arial" w:cs="Arial"/>
          <w:bCs/>
          <w:sz w:val="24"/>
          <w:szCs w:val="24"/>
        </w:rPr>
        <w:lastRenderedPageBreak/>
        <w:t>Regarding the potential loss of clearing volumes or</w:t>
      </w:r>
      <w:r w:rsidRPr="00166FCE">
        <w:rPr>
          <w:rFonts w:ascii="Arial" w:hAnsi="Arial" w:cs="Arial"/>
          <w:bCs/>
          <w:sz w:val="24"/>
          <w:szCs w:val="24"/>
          <w:lang w:val="en-US"/>
        </w:rPr>
        <w:t xml:space="preserve"> clearing member</w:t>
      </w:r>
      <w:r w:rsidRPr="00166FCE">
        <w:rPr>
          <w:rFonts w:ascii="Arial" w:hAnsi="Arial" w:cs="Arial"/>
          <w:bCs/>
          <w:sz w:val="24"/>
          <w:szCs w:val="24"/>
        </w:rPr>
        <w:t xml:space="preserve">s, the reduction of volumes or number of clearing member might </w:t>
      </w:r>
      <w:r w:rsidRPr="00166FCE">
        <w:rPr>
          <w:rFonts w:ascii="Arial" w:hAnsi="Arial" w:cs="Arial"/>
          <w:b/>
          <w:sz w:val="24"/>
          <w:szCs w:val="24"/>
        </w:rPr>
        <w:t>not be directly related to the CCP’s business activities or its inability to perform at the required level</w:t>
      </w:r>
      <w:r w:rsidR="006D0E1B">
        <w:rPr>
          <w:rFonts w:ascii="Arial" w:hAnsi="Arial" w:cs="Arial"/>
          <w:b/>
          <w:sz w:val="24"/>
          <w:szCs w:val="24"/>
        </w:rPr>
        <w:t xml:space="preserve">. </w:t>
      </w:r>
      <w:r w:rsidR="006D0E1B" w:rsidRPr="006D0E1B">
        <w:rPr>
          <w:rFonts w:ascii="Arial" w:hAnsi="Arial" w:cs="Arial"/>
          <w:bCs/>
          <w:sz w:val="24"/>
          <w:szCs w:val="24"/>
        </w:rPr>
        <w:t>It may rather be</w:t>
      </w:r>
      <w:r w:rsidRPr="006D0E1B">
        <w:rPr>
          <w:rFonts w:ascii="Arial" w:hAnsi="Arial" w:cs="Arial"/>
          <w:bCs/>
          <w:sz w:val="24"/>
          <w:szCs w:val="24"/>
        </w:rPr>
        <w:t xml:space="preserve"> </w:t>
      </w:r>
      <w:r w:rsidR="006D0E1B" w:rsidRPr="006D0E1B">
        <w:rPr>
          <w:rFonts w:ascii="Arial" w:hAnsi="Arial" w:cs="Arial"/>
          <w:bCs/>
          <w:sz w:val="24"/>
          <w:szCs w:val="24"/>
        </w:rPr>
        <w:t>linked to</w:t>
      </w:r>
      <w:r w:rsidRPr="006D0E1B">
        <w:rPr>
          <w:rFonts w:ascii="Arial" w:hAnsi="Arial" w:cs="Arial"/>
          <w:bCs/>
          <w:sz w:val="24"/>
          <w:szCs w:val="24"/>
        </w:rPr>
        <w:t xml:space="preserve"> clients’ choice of clearing or other commercial decisions.  </w:t>
      </w:r>
    </w:p>
    <w:p w14:paraId="35A120D7" w14:textId="4FB7861C" w:rsidR="00C83836" w:rsidRPr="00166FCE" w:rsidRDefault="00166FCE" w:rsidP="00C83836">
      <w:pPr>
        <w:rPr>
          <w:rFonts w:ascii="Arial" w:hAnsi="Arial" w:cs="Arial"/>
          <w:bCs/>
          <w:sz w:val="24"/>
          <w:szCs w:val="24"/>
          <w:lang w:val="en-US"/>
        </w:rPr>
      </w:pPr>
      <w:r w:rsidRPr="00166FCE">
        <w:rPr>
          <w:rFonts w:ascii="Arial" w:hAnsi="Arial" w:cs="Arial"/>
          <w:bCs/>
          <w:sz w:val="24"/>
          <w:szCs w:val="24"/>
        </w:rPr>
        <w:t xml:space="preserve">We would therefore respectfully suggest </w:t>
      </w:r>
      <w:r w:rsidRPr="00166FCE">
        <w:rPr>
          <w:rFonts w:ascii="Arial" w:hAnsi="Arial" w:cs="Arial"/>
          <w:b/>
          <w:sz w:val="24"/>
          <w:szCs w:val="24"/>
        </w:rPr>
        <w:t xml:space="preserve">retaining </w:t>
      </w:r>
      <w:r w:rsidRPr="00166FCE">
        <w:rPr>
          <w:rFonts w:ascii="Arial" w:hAnsi="Arial" w:cs="Arial"/>
          <w:b/>
          <w:sz w:val="24"/>
          <w:szCs w:val="24"/>
          <w:lang w:val="en-US"/>
        </w:rPr>
        <w:t>the 1st</w:t>
      </w:r>
      <w:r w:rsidRPr="00166FCE">
        <w:rPr>
          <w:rFonts w:ascii="Arial" w:hAnsi="Arial" w:cs="Arial"/>
          <w:b/>
          <w:sz w:val="24"/>
          <w:szCs w:val="24"/>
        </w:rPr>
        <w:t xml:space="preserve"> paragraph</w:t>
      </w:r>
      <w:r w:rsidRPr="00166FCE">
        <w:rPr>
          <w:rFonts w:ascii="Arial" w:hAnsi="Arial" w:cs="Arial"/>
          <w:bCs/>
          <w:sz w:val="24"/>
          <w:szCs w:val="24"/>
        </w:rPr>
        <w:t xml:space="preserve"> (i.e. material operational event with significant medium term financial impact) and </w:t>
      </w:r>
      <w:r w:rsidRPr="00166FCE">
        <w:rPr>
          <w:rFonts w:ascii="Arial" w:hAnsi="Arial" w:cs="Arial"/>
          <w:b/>
          <w:sz w:val="24"/>
          <w:szCs w:val="24"/>
        </w:rPr>
        <w:t>remov</w:t>
      </w:r>
      <w:r w:rsidR="005271A5">
        <w:rPr>
          <w:rFonts w:ascii="Arial" w:hAnsi="Arial" w:cs="Arial"/>
          <w:b/>
          <w:sz w:val="24"/>
          <w:szCs w:val="24"/>
        </w:rPr>
        <w:t>ing</w:t>
      </w:r>
      <w:r w:rsidRPr="00166FCE">
        <w:rPr>
          <w:rFonts w:ascii="Arial" w:hAnsi="Arial" w:cs="Arial"/>
          <w:b/>
          <w:sz w:val="24"/>
          <w:szCs w:val="24"/>
        </w:rPr>
        <w:t xml:space="preserve"> the 2nd and 3rd sub</w:t>
      </w:r>
      <w:r w:rsidRPr="00166FCE">
        <w:rPr>
          <w:rFonts w:ascii="Arial" w:hAnsi="Arial" w:cs="Arial"/>
          <w:b/>
          <w:sz w:val="24"/>
          <w:szCs w:val="24"/>
          <w:lang w:val="en-US"/>
        </w:rPr>
        <w:t>-</w:t>
      </w:r>
      <w:r w:rsidRPr="00166FCE">
        <w:rPr>
          <w:rFonts w:ascii="Arial" w:hAnsi="Arial" w:cs="Arial"/>
          <w:b/>
          <w:sz w:val="24"/>
          <w:szCs w:val="24"/>
        </w:rPr>
        <w:t>paragraphs</w:t>
      </w:r>
      <w:r w:rsidRPr="00166FCE">
        <w:rPr>
          <w:rFonts w:ascii="Arial" w:hAnsi="Arial" w:cs="Arial"/>
          <w:bCs/>
          <w:sz w:val="24"/>
          <w:szCs w:val="24"/>
        </w:rPr>
        <w:t xml:space="preserve"> (i.e. 3rd party event and the drop in volumes).</w:t>
      </w:r>
    </w:p>
    <w:p w14:paraId="0175AEBA" w14:textId="7AD5BC42" w:rsidR="00C83836" w:rsidRPr="00D22F88" w:rsidRDefault="00C83836" w:rsidP="00C83836">
      <w:pPr>
        <w:rPr>
          <w:rFonts w:ascii="Arial" w:hAnsi="Arial" w:cs="Arial"/>
          <w:sz w:val="24"/>
          <w:szCs w:val="24"/>
        </w:rPr>
      </w:pPr>
      <w:r w:rsidRPr="00D22F88">
        <w:rPr>
          <w:rFonts w:ascii="Arial" w:hAnsi="Arial" w:cs="Arial"/>
          <w:sz w:val="24"/>
          <w:szCs w:val="24"/>
        </w:rPr>
        <w:t>&lt;ESMA_QUESTION_DVDS_01&gt;</w:t>
      </w:r>
    </w:p>
    <w:p w14:paraId="1ABCC826" w14:textId="77777777" w:rsidR="00C83836" w:rsidRPr="00D22F88" w:rsidRDefault="00C83836" w:rsidP="00C83836">
      <w:pPr>
        <w:rPr>
          <w:rFonts w:ascii="Arial" w:hAnsi="Arial" w:cs="Arial"/>
          <w:b/>
          <w:sz w:val="24"/>
          <w:szCs w:val="24"/>
        </w:rPr>
      </w:pPr>
    </w:p>
    <w:p w14:paraId="57572495" w14:textId="16FBAE21" w:rsidR="00C83836" w:rsidRPr="00D22F88" w:rsidRDefault="00C83836" w:rsidP="00D22F88">
      <w:pPr>
        <w:pStyle w:val="Questionstyle"/>
        <w:rPr>
          <w:rFonts w:ascii="Arial" w:hAnsi="Arial" w:cs="Arial"/>
          <w:sz w:val="24"/>
          <w:szCs w:val="24"/>
        </w:rPr>
      </w:pPr>
      <w:r w:rsidRPr="00D22F88">
        <w:rPr>
          <w:rFonts w:ascii="Arial" w:hAnsi="Arial" w:cs="Arial"/>
          <w:sz w:val="24"/>
          <w:szCs w:val="24"/>
        </w:rPr>
        <w:t xml:space="preserve">: If you prefer other indicators, please describe them and why they would be more suitable.  </w:t>
      </w:r>
    </w:p>
    <w:p w14:paraId="4523581C" w14:textId="59BF47B2" w:rsidR="00C83836" w:rsidRPr="00D22F88" w:rsidRDefault="00C83836" w:rsidP="00C83836">
      <w:pPr>
        <w:rPr>
          <w:rFonts w:ascii="Arial" w:hAnsi="Arial" w:cs="Arial"/>
          <w:sz w:val="24"/>
          <w:szCs w:val="24"/>
        </w:rPr>
      </w:pPr>
      <w:r w:rsidRPr="00D22F88">
        <w:rPr>
          <w:rFonts w:ascii="Arial" w:hAnsi="Arial" w:cs="Arial"/>
          <w:sz w:val="24"/>
          <w:szCs w:val="24"/>
        </w:rPr>
        <w:t>&lt;ESMA_QUESTION_DVDS_02&gt;</w:t>
      </w:r>
    </w:p>
    <w:p w14:paraId="03E06A05" w14:textId="0810931E" w:rsidR="005D7C45" w:rsidRPr="005D7C45" w:rsidRDefault="005D7C45" w:rsidP="005D7C45">
      <w:pPr>
        <w:rPr>
          <w:rFonts w:ascii="Arial" w:hAnsi="Arial" w:cs="Arial"/>
          <w:bCs/>
          <w:sz w:val="24"/>
          <w:szCs w:val="24"/>
        </w:rPr>
      </w:pPr>
      <w:r w:rsidRPr="005D7C45">
        <w:rPr>
          <w:rFonts w:ascii="Arial" w:hAnsi="Arial" w:cs="Arial"/>
          <w:bCs/>
          <w:sz w:val="24"/>
          <w:szCs w:val="24"/>
          <w:lang w:val="en-US"/>
        </w:rPr>
        <w:t xml:space="preserve">An alternative approach could be to consider a </w:t>
      </w:r>
      <w:r w:rsidRPr="005D7C45">
        <w:rPr>
          <w:rFonts w:ascii="Arial" w:hAnsi="Arial" w:cs="Arial"/>
          <w:b/>
          <w:sz w:val="24"/>
          <w:szCs w:val="24"/>
          <w:lang w:val="en-US"/>
        </w:rPr>
        <w:t xml:space="preserve">non-default event as “significant” </w:t>
      </w:r>
      <w:r w:rsidRPr="005D7C45">
        <w:rPr>
          <w:rFonts w:ascii="Arial" w:hAnsi="Arial" w:cs="Arial"/>
          <w:b/>
          <w:sz w:val="24"/>
          <w:szCs w:val="24"/>
        </w:rPr>
        <w:t xml:space="preserve">only if </w:t>
      </w:r>
      <w:r w:rsidRPr="005D7C45">
        <w:rPr>
          <w:rFonts w:ascii="Arial" w:hAnsi="Arial" w:cs="Arial"/>
          <w:b/>
          <w:sz w:val="24"/>
          <w:szCs w:val="24"/>
          <w:lang w:val="en-US"/>
        </w:rPr>
        <w:t xml:space="preserve">CCP RR </w:t>
      </w:r>
      <w:r w:rsidRPr="005D7C45">
        <w:rPr>
          <w:rFonts w:ascii="Arial" w:hAnsi="Arial" w:cs="Arial"/>
          <w:b/>
          <w:sz w:val="24"/>
          <w:szCs w:val="24"/>
        </w:rPr>
        <w:t>Article 31 is triggered</w:t>
      </w:r>
      <w:r w:rsidRPr="005D7C45">
        <w:rPr>
          <w:rFonts w:ascii="Arial" w:hAnsi="Arial" w:cs="Arial"/>
          <w:bCs/>
          <w:sz w:val="24"/>
          <w:szCs w:val="24"/>
        </w:rPr>
        <w:t xml:space="preserve">, i.e. the </w:t>
      </w:r>
      <w:r w:rsidRPr="005D7C45">
        <w:rPr>
          <w:rFonts w:ascii="Arial" w:hAnsi="Arial" w:cs="Arial"/>
          <w:b/>
          <w:sz w:val="24"/>
          <w:szCs w:val="24"/>
        </w:rPr>
        <w:t>resolution authority requests non-defaulting clearing members to make a contribution in cash</w:t>
      </w:r>
      <w:r w:rsidRPr="005D7C45">
        <w:rPr>
          <w:rFonts w:ascii="Arial" w:hAnsi="Arial" w:cs="Arial"/>
          <w:bCs/>
          <w:sz w:val="24"/>
          <w:szCs w:val="24"/>
        </w:rPr>
        <w:t xml:space="preserve"> to the CCP up to twice the amount equivalent to their contribution to the CCP's default fund.</w:t>
      </w:r>
    </w:p>
    <w:p w14:paraId="534FEC13" w14:textId="77777777" w:rsidR="005D7C45" w:rsidRPr="005D7C45" w:rsidRDefault="005D7C45" w:rsidP="005D7C45">
      <w:pPr>
        <w:rPr>
          <w:rFonts w:ascii="Arial" w:hAnsi="Arial" w:cs="Arial"/>
          <w:bCs/>
          <w:sz w:val="24"/>
          <w:szCs w:val="24"/>
          <w:lang w:val="en-US"/>
        </w:rPr>
      </w:pPr>
      <w:r w:rsidRPr="005D7C45">
        <w:rPr>
          <w:rFonts w:ascii="Arial" w:hAnsi="Arial" w:cs="Arial"/>
          <w:bCs/>
          <w:sz w:val="24"/>
          <w:szCs w:val="24"/>
          <w:lang w:val="en-US"/>
        </w:rPr>
        <w:t xml:space="preserve">EACH would like to remind the importance of distinguishing among </w:t>
      </w:r>
      <w:r w:rsidRPr="005D7C45">
        <w:rPr>
          <w:rFonts w:ascii="Arial" w:hAnsi="Arial" w:cs="Arial"/>
          <w:b/>
          <w:sz w:val="24"/>
          <w:szCs w:val="24"/>
        </w:rPr>
        <w:t xml:space="preserve">two main types of non-default </w:t>
      </w:r>
      <w:r w:rsidRPr="005D7C45">
        <w:rPr>
          <w:rFonts w:ascii="Arial" w:hAnsi="Arial" w:cs="Arial"/>
          <w:b/>
          <w:sz w:val="24"/>
          <w:szCs w:val="24"/>
          <w:lang w:val="en-US"/>
        </w:rPr>
        <w:t>events</w:t>
      </w:r>
      <w:r w:rsidRPr="005D7C45">
        <w:rPr>
          <w:rFonts w:ascii="Arial" w:hAnsi="Arial" w:cs="Arial"/>
          <w:bCs/>
          <w:sz w:val="24"/>
          <w:szCs w:val="24"/>
          <w:lang w:val="en-US"/>
        </w:rPr>
        <w:t>:</w:t>
      </w:r>
    </w:p>
    <w:p w14:paraId="3C207FD3" w14:textId="77777777" w:rsidR="005D7C45" w:rsidRPr="005D7C45" w:rsidRDefault="005D7C45" w:rsidP="005D7C45">
      <w:pPr>
        <w:numPr>
          <w:ilvl w:val="0"/>
          <w:numId w:val="8"/>
        </w:numPr>
        <w:rPr>
          <w:rFonts w:ascii="Arial" w:hAnsi="Arial" w:cs="Arial"/>
          <w:bCs/>
          <w:sz w:val="24"/>
          <w:szCs w:val="24"/>
          <w:lang w:val="en-US"/>
        </w:rPr>
      </w:pPr>
      <w:r w:rsidRPr="005D7C45">
        <w:rPr>
          <w:rFonts w:ascii="Arial" w:hAnsi="Arial" w:cs="Arial"/>
          <w:bCs/>
          <w:sz w:val="24"/>
          <w:szCs w:val="24"/>
        </w:rPr>
        <w:t xml:space="preserve">Those non-default events that are the </w:t>
      </w:r>
      <w:r w:rsidRPr="005D7C45">
        <w:rPr>
          <w:rFonts w:ascii="Arial" w:hAnsi="Arial" w:cs="Arial"/>
          <w:b/>
          <w:sz w:val="24"/>
          <w:szCs w:val="24"/>
        </w:rPr>
        <w:t>sole responsibility of the CCP</w:t>
      </w:r>
      <w:r w:rsidRPr="005D7C45">
        <w:rPr>
          <w:rFonts w:ascii="Arial" w:hAnsi="Arial" w:cs="Arial"/>
          <w:bCs/>
          <w:sz w:val="24"/>
          <w:szCs w:val="24"/>
        </w:rPr>
        <w:t>;</w:t>
      </w:r>
    </w:p>
    <w:p w14:paraId="45D4A335" w14:textId="77777777" w:rsidR="005D7C45" w:rsidRPr="005D7C45" w:rsidRDefault="005D7C45" w:rsidP="005D7C45">
      <w:pPr>
        <w:numPr>
          <w:ilvl w:val="0"/>
          <w:numId w:val="8"/>
        </w:numPr>
        <w:rPr>
          <w:rFonts w:ascii="Arial" w:hAnsi="Arial" w:cs="Arial"/>
          <w:bCs/>
          <w:sz w:val="24"/>
          <w:szCs w:val="24"/>
          <w:lang w:val="en-US"/>
        </w:rPr>
      </w:pPr>
      <w:r w:rsidRPr="005D7C45">
        <w:rPr>
          <w:rFonts w:ascii="Arial" w:hAnsi="Arial" w:cs="Arial"/>
          <w:bCs/>
          <w:sz w:val="24"/>
          <w:szCs w:val="24"/>
        </w:rPr>
        <w:t xml:space="preserve">Non-default event whose responsibility is to be </w:t>
      </w:r>
      <w:r w:rsidRPr="005D7C45">
        <w:rPr>
          <w:rFonts w:ascii="Arial" w:hAnsi="Arial" w:cs="Arial"/>
          <w:b/>
          <w:sz w:val="24"/>
          <w:szCs w:val="24"/>
        </w:rPr>
        <w:t>shared among different stakeholders</w:t>
      </w:r>
      <w:r w:rsidRPr="005D7C45">
        <w:rPr>
          <w:rFonts w:ascii="Arial" w:hAnsi="Arial" w:cs="Arial"/>
          <w:bCs/>
          <w:sz w:val="24"/>
          <w:szCs w:val="24"/>
        </w:rPr>
        <w:t xml:space="preserve"> and that occurred despite the CCP complying with all the rules.</w:t>
      </w:r>
    </w:p>
    <w:p w14:paraId="77F80296" w14:textId="09861521" w:rsidR="00C83836" w:rsidRPr="00D22F88" w:rsidRDefault="005D7C45" w:rsidP="005D7C45">
      <w:pPr>
        <w:rPr>
          <w:rFonts w:ascii="Arial" w:hAnsi="Arial" w:cs="Arial"/>
          <w:sz w:val="24"/>
          <w:szCs w:val="24"/>
        </w:rPr>
      </w:pPr>
      <w:r w:rsidRPr="005D7C45">
        <w:rPr>
          <w:rFonts w:ascii="Arial" w:hAnsi="Arial" w:cs="Arial"/>
          <w:bCs/>
          <w:sz w:val="24"/>
          <w:szCs w:val="24"/>
        </w:rPr>
        <w:t>For this reason, EACH believes that all stakeholders involved (e.g. CCP or clearing members) should bear the losses caused by a non-default event if they are responsible for them unless other arrangements are indicated in the CCP rulebook. Loss allocation for non-default losses should be proportional to the level of responsibility and/or benefits extracted from a service of each stakeholder.</w:t>
      </w:r>
    </w:p>
    <w:p w14:paraId="00881B39" w14:textId="7FD0FE52" w:rsidR="00C83836" w:rsidRPr="00D22F88" w:rsidRDefault="00C83836" w:rsidP="00C83836">
      <w:pPr>
        <w:rPr>
          <w:rFonts w:ascii="Arial" w:hAnsi="Arial" w:cs="Arial"/>
          <w:sz w:val="24"/>
          <w:szCs w:val="24"/>
        </w:rPr>
      </w:pPr>
      <w:r w:rsidRPr="00D22F88">
        <w:rPr>
          <w:rFonts w:ascii="Arial" w:hAnsi="Arial" w:cs="Arial"/>
          <w:sz w:val="24"/>
          <w:szCs w:val="24"/>
        </w:rPr>
        <w:t>&lt;ESMA_QUESTION_DVDS_02&gt;</w:t>
      </w:r>
    </w:p>
    <w:p w14:paraId="00890E63" w14:textId="77777777" w:rsidR="00C83836" w:rsidRPr="00D22F88" w:rsidRDefault="00C83836" w:rsidP="00C83836">
      <w:pPr>
        <w:rPr>
          <w:rFonts w:ascii="Arial" w:hAnsi="Arial" w:cs="Arial"/>
          <w:sz w:val="24"/>
          <w:szCs w:val="24"/>
        </w:rPr>
      </w:pPr>
    </w:p>
    <w:p w14:paraId="24F993AE" w14:textId="16BCBF3C" w:rsidR="00C83836" w:rsidRPr="00D22F88" w:rsidRDefault="00C83836" w:rsidP="00D22F88">
      <w:pPr>
        <w:pStyle w:val="Questionstyle"/>
        <w:rPr>
          <w:rFonts w:ascii="Arial" w:hAnsi="Arial" w:cs="Arial"/>
          <w:sz w:val="24"/>
          <w:szCs w:val="24"/>
        </w:rPr>
      </w:pPr>
      <w:r w:rsidRPr="00D22F88">
        <w:rPr>
          <w:rFonts w:ascii="Arial" w:hAnsi="Arial" w:cs="Arial"/>
          <w:sz w:val="24"/>
          <w:szCs w:val="24"/>
        </w:rPr>
        <w:t>: Do you agree with the Option 2 of the cost-benefit analysis, if not please explain? Have you identified other benefits and costs not mentioned above associated to the proposed approach (Option 2)?</w:t>
      </w:r>
    </w:p>
    <w:p w14:paraId="15A34387" w14:textId="5EF7FC72" w:rsidR="00C83836" w:rsidRPr="00D22F88" w:rsidRDefault="00C83836" w:rsidP="00C83836">
      <w:pPr>
        <w:rPr>
          <w:rFonts w:ascii="Arial" w:hAnsi="Arial" w:cs="Arial"/>
          <w:sz w:val="24"/>
          <w:szCs w:val="24"/>
        </w:rPr>
      </w:pPr>
      <w:bookmarkStart w:id="0" w:name="_Hlk76119363"/>
      <w:r w:rsidRPr="00D22F88">
        <w:rPr>
          <w:rFonts w:ascii="Arial" w:hAnsi="Arial" w:cs="Arial"/>
          <w:sz w:val="24"/>
          <w:szCs w:val="24"/>
        </w:rPr>
        <w:t>&lt;ESMA_QUESTION_DVDS_03&gt;</w:t>
      </w:r>
    </w:p>
    <w:p w14:paraId="33625DE9" w14:textId="77777777" w:rsidR="00C83836" w:rsidRPr="00D22F88" w:rsidRDefault="00C83836" w:rsidP="00C83836">
      <w:pPr>
        <w:rPr>
          <w:rFonts w:ascii="Arial" w:hAnsi="Arial" w:cs="Arial"/>
          <w:sz w:val="24"/>
          <w:szCs w:val="24"/>
        </w:rPr>
      </w:pPr>
      <w:r w:rsidRPr="00D22F88">
        <w:rPr>
          <w:rFonts w:ascii="Arial" w:hAnsi="Arial" w:cs="Arial"/>
          <w:sz w:val="24"/>
          <w:szCs w:val="24"/>
          <w:highlight w:val="yellow"/>
        </w:rPr>
        <w:t>TYPE YOUR TEXT HERE</w:t>
      </w:r>
    </w:p>
    <w:p w14:paraId="5FB976E4" w14:textId="148F6BFB" w:rsidR="00C83836" w:rsidRPr="00D22F88" w:rsidRDefault="00C83836" w:rsidP="00C83836">
      <w:pPr>
        <w:rPr>
          <w:rFonts w:ascii="Arial" w:hAnsi="Arial" w:cs="Arial"/>
          <w:sz w:val="24"/>
          <w:szCs w:val="24"/>
        </w:rPr>
      </w:pPr>
      <w:r w:rsidRPr="00D22F88">
        <w:rPr>
          <w:rFonts w:ascii="Arial" w:hAnsi="Arial" w:cs="Arial"/>
          <w:sz w:val="24"/>
          <w:szCs w:val="24"/>
        </w:rPr>
        <w:t>&lt;ESMA_QUESTION_DVDS_03&gt;</w:t>
      </w:r>
    </w:p>
    <w:bookmarkEnd w:id="0"/>
    <w:p w14:paraId="6912F6B5" w14:textId="77777777" w:rsidR="00C83836" w:rsidRPr="00D22F88" w:rsidRDefault="00C83836" w:rsidP="00C83836">
      <w:pPr>
        <w:rPr>
          <w:rFonts w:ascii="Arial" w:hAnsi="Arial" w:cs="Arial"/>
          <w:sz w:val="24"/>
          <w:szCs w:val="24"/>
        </w:rPr>
      </w:pPr>
    </w:p>
    <w:p w14:paraId="178F793D" w14:textId="408391FF" w:rsidR="00C83836" w:rsidRPr="00D22F88" w:rsidRDefault="00C83836" w:rsidP="00D22F88">
      <w:pPr>
        <w:pStyle w:val="Questionstyle"/>
        <w:rPr>
          <w:rFonts w:ascii="Arial" w:hAnsi="Arial" w:cs="Arial"/>
          <w:sz w:val="24"/>
          <w:szCs w:val="24"/>
        </w:rPr>
      </w:pPr>
      <w:r w:rsidRPr="00D22F88">
        <w:rPr>
          <w:rFonts w:ascii="Arial" w:hAnsi="Arial" w:cs="Arial"/>
          <w:sz w:val="24"/>
          <w:szCs w:val="24"/>
        </w:rPr>
        <w:lastRenderedPageBreak/>
        <w:t>: If you advocated for a different approach, how would it impact the cost and benefit assessment? Please provide details.</w:t>
      </w:r>
    </w:p>
    <w:p w14:paraId="762AD9D2" w14:textId="77777777" w:rsidR="00C83836" w:rsidRPr="00D22F88" w:rsidRDefault="00C83836" w:rsidP="00D22F88">
      <w:pPr>
        <w:pStyle w:val="Questionstyle"/>
        <w:numPr>
          <w:ilvl w:val="0"/>
          <w:numId w:val="0"/>
        </w:numPr>
        <w:rPr>
          <w:rFonts w:ascii="Arial" w:hAnsi="Arial" w:cs="Arial"/>
          <w:sz w:val="24"/>
          <w:szCs w:val="24"/>
        </w:rPr>
      </w:pPr>
    </w:p>
    <w:p w14:paraId="64F34420" w14:textId="5AF78224" w:rsidR="00C83836" w:rsidRPr="00D22F88" w:rsidRDefault="00C83836" w:rsidP="00D22F88">
      <w:pPr>
        <w:pStyle w:val="Questionstyle"/>
        <w:numPr>
          <w:ilvl w:val="0"/>
          <w:numId w:val="0"/>
        </w:numPr>
        <w:rPr>
          <w:rFonts w:ascii="Arial" w:hAnsi="Arial" w:cs="Arial"/>
          <w:sz w:val="24"/>
          <w:szCs w:val="24"/>
        </w:rPr>
      </w:pPr>
      <w:r w:rsidRPr="00D22F88">
        <w:rPr>
          <w:rFonts w:ascii="Arial" w:hAnsi="Arial" w:cs="Arial"/>
          <w:sz w:val="24"/>
          <w:szCs w:val="24"/>
        </w:rPr>
        <w:t>&lt;ESMA_QUESTION_DVDS_04&gt;</w:t>
      </w:r>
    </w:p>
    <w:p w14:paraId="63895CC2" w14:textId="1284C5B9" w:rsidR="00C83836" w:rsidRPr="00D22F88" w:rsidRDefault="00C83836" w:rsidP="00C83836">
      <w:pPr>
        <w:tabs>
          <w:tab w:val="left" w:pos="5931"/>
        </w:tabs>
        <w:rPr>
          <w:rFonts w:ascii="Arial" w:hAnsi="Arial" w:cs="Arial"/>
          <w:sz w:val="24"/>
          <w:szCs w:val="24"/>
        </w:rPr>
      </w:pPr>
      <w:r w:rsidRPr="00D22F88">
        <w:rPr>
          <w:rFonts w:ascii="Arial" w:hAnsi="Arial" w:cs="Arial"/>
          <w:sz w:val="24"/>
          <w:szCs w:val="24"/>
          <w:highlight w:val="yellow"/>
        </w:rPr>
        <w:t>TYPE YOUR TEXT HERE</w:t>
      </w:r>
      <w:r w:rsidRPr="00D22F88">
        <w:rPr>
          <w:rFonts w:ascii="Arial" w:hAnsi="Arial" w:cs="Arial"/>
          <w:sz w:val="24"/>
          <w:szCs w:val="24"/>
        </w:rPr>
        <w:tab/>
      </w:r>
    </w:p>
    <w:p w14:paraId="27B87637" w14:textId="501C29F3" w:rsidR="00C83836" w:rsidRPr="00D22F88" w:rsidRDefault="00C83836" w:rsidP="00C83836">
      <w:pPr>
        <w:rPr>
          <w:rFonts w:ascii="Arial" w:hAnsi="Arial" w:cs="Arial"/>
          <w:b/>
          <w:sz w:val="24"/>
          <w:szCs w:val="24"/>
        </w:rPr>
      </w:pPr>
      <w:r w:rsidRPr="00D22F88">
        <w:rPr>
          <w:rFonts w:ascii="Arial" w:hAnsi="Arial" w:cs="Arial"/>
          <w:sz w:val="24"/>
          <w:szCs w:val="24"/>
        </w:rPr>
        <w:t>&lt;ESMA_QUESTION_DVDS_04&gt;</w:t>
      </w:r>
      <w:r w:rsidRPr="00D22F88">
        <w:rPr>
          <w:rFonts w:ascii="Arial" w:hAnsi="Arial" w:cs="Arial"/>
          <w:b/>
          <w:sz w:val="24"/>
          <w:szCs w:val="24"/>
        </w:rPr>
        <w:t xml:space="preserve"> </w:t>
      </w:r>
    </w:p>
    <w:p w14:paraId="165FB59D" w14:textId="77777777" w:rsidR="00420702" w:rsidRDefault="00420702"/>
    <w:sectPr w:rsidR="004207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EBA" w14:textId="77777777" w:rsidR="00E63DA6" w:rsidRDefault="00E63DA6">
      <w:pPr>
        <w:spacing w:after="0" w:line="240" w:lineRule="auto"/>
      </w:pPr>
      <w:r>
        <w:separator/>
      </w:r>
    </w:p>
  </w:endnote>
  <w:endnote w:type="continuationSeparator" w:id="0">
    <w:p w14:paraId="46D2970F" w14:textId="77777777" w:rsidR="00E63DA6" w:rsidRDefault="00E6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altName w:val="Ebrima"/>
    <w:panose1 w:val="02000000000000000000"/>
    <w:charset w:val="00"/>
    <w:family w:val="auto"/>
    <w:pitch w:val="variable"/>
    <w:sig w:usb0="A000005F" w:usb1="02000041" w:usb2="000008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Lao UI">
    <w:charset w:val="00"/>
    <w:family w:val="swiss"/>
    <w:pitch w:val="variable"/>
    <w:sig w:usb0="82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D561D62" w14:textId="77777777" w:rsidR="005D12F3" w:rsidRDefault="00C8383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BB1E27D" w14:textId="77777777" w:rsidR="005D12F3" w:rsidRDefault="00E63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67CC" w14:textId="430F3126" w:rsidR="005D12F3" w:rsidRPr="00D22F88" w:rsidRDefault="00C83836"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1C0159">
      <w:rPr>
        <w:rFonts w:asciiTheme="majorHAnsi" w:hAnsiTheme="majorHAnsi"/>
        <w:color w:val="000000" w:themeColor="text1"/>
      </w:rPr>
      <w:tab/>
    </w:r>
    <w:r w:rsidRPr="00D22F88">
      <w:rPr>
        <w:rFonts w:asciiTheme="minorHAnsi" w:hAnsiTheme="minorHAnsi" w:cstheme="minorHAnsi"/>
        <w:color w:val="FFFFFF" w:themeColor="background1"/>
      </w:rPr>
      <w:t>1</w:t>
    </w:r>
    <w:r w:rsidR="00D22F88">
      <w:rPr>
        <w:rFonts w:asciiTheme="minorHAnsi" w:hAnsiTheme="minorHAnsi" w:cstheme="minorHAnsi"/>
        <w:color w:val="FFFFFF" w:themeColor="background1"/>
      </w:rPr>
      <w:t>2</w:t>
    </w:r>
    <w:r w:rsidRPr="00D22F88">
      <w:rPr>
        <w:rFonts w:asciiTheme="minorHAnsi" w:hAnsiTheme="minorHAnsi" w:cstheme="minorHAnsi"/>
        <w:color w:val="FFFFFF" w:themeColor="background1"/>
      </w:rPr>
      <w:t xml:space="preserve"> </w:t>
    </w:r>
    <w:r w:rsidR="00D22F88">
      <w:rPr>
        <w:rFonts w:asciiTheme="minorHAnsi" w:hAnsiTheme="minorHAnsi" w:cstheme="minorHAnsi"/>
        <w:color w:val="FFFFFF" w:themeColor="background1"/>
      </w:rPr>
      <w:t>July</w:t>
    </w:r>
    <w:r w:rsidRPr="00D22F88">
      <w:rPr>
        <w:rFonts w:asciiTheme="minorHAnsi" w:hAnsiTheme="minorHAnsi" w:cstheme="minorHAnsi"/>
        <w:color w:val="FFFFFF" w:themeColor="background1"/>
      </w:rPr>
      <w:t xml:space="preserve"> 2021 | </w:t>
    </w:r>
    <w:r w:rsidR="00D22F88">
      <w:rPr>
        <w:rFonts w:asciiTheme="minorHAnsi" w:hAnsiTheme="minorHAnsi" w:cstheme="minorHAnsi"/>
        <w:color w:val="FFFFFF" w:themeColor="background1"/>
      </w:rPr>
      <w:t>ESMA91</w:t>
    </w:r>
    <w:r w:rsidRPr="00D22F88">
      <w:rPr>
        <w:rFonts w:asciiTheme="minorHAnsi" w:hAnsiTheme="minorHAnsi" w:cstheme="minorHAnsi"/>
        <w:color w:val="FFFFFF" w:themeColor="background1"/>
      </w:rPr>
      <w:t>-</w:t>
    </w:r>
    <w:r w:rsidR="00D22F88">
      <w:rPr>
        <w:rFonts w:asciiTheme="minorHAnsi" w:hAnsiTheme="minorHAnsi" w:cstheme="minorHAnsi"/>
        <w:color w:val="FFFFFF" w:themeColor="background1"/>
      </w:rPr>
      <w:t>372</w:t>
    </w:r>
    <w:r w:rsidRPr="00D22F88">
      <w:rPr>
        <w:rFonts w:asciiTheme="minorHAnsi" w:hAnsiTheme="minorHAnsi" w:cstheme="minorHAnsi"/>
        <w:color w:val="FFFFFF" w:themeColor="background1"/>
      </w:rPr>
      <w:t>-</w:t>
    </w:r>
    <w:r w:rsidR="00D22F88">
      <w:rPr>
        <w:rFonts w:asciiTheme="minorHAnsi" w:hAnsiTheme="minorHAnsi" w:cstheme="minorHAnsi"/>
        <w:color w:val="FFFFFF" w:themeColor="background1"/>
      </w:rPr>
      <w:t>1555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4C3E" w14:textId="77777777" w:rsidR="00E63DA6" w:rsidRDefault="00E63DA6">
      <w:pPr>
        <w:spacing w:after="0" w:line="240" w:lineRule="auto"/>
      </w:pPr>
      <w:r>
        <w:separator/>
      </w:r>
    </w:p>
  </w:footnote>
  <w:footnote w:type="continuationSeparator" w:id="0">
    <w:p w14:paraId="3817A5BA" w14:textId="77777777" w:rsidR="00E63DA6" w:rsidRDefault="00E63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DD6B" w14:textId="77777777" w:rsidR="005D12F3" w:rsidRDefault="00E63DA6">
    <w:pPr>
      <w:pStyle w:val="Header"/>
    </w:pPr>
  </w:p>
  <w:p w14:paraId="340E2471" w14:textId="77777777" w:rsidR="005D12F3" w:rsidRDefault="00E63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BA92" w14:textId="77777777" w:rsidR="005D12F3" w:rsidRDefault="00C83836">
    <w:pPr>
      <w:pStyle w:val="Header"/>
    </w:pPr>
    <w:r>
      <w:rPr>
        <w:noProof/>
      </w:rPr>
      <w:drawing>
        <wp:anchor distT="0" distB="0" distL="114300" distR="114300" simplePos="0" relativeHeight="251660288" behindDoc="0" locked="0" layoutInCell="1" allowOverlap="1" wp14:anchorId="1C07426E" wp14:editId="5D8C40E3">
          <wp:simplePos x="0" y="0"/>
          <wp:positionH relativeFrom="page">
            <wp:posOffset>366395</wp:posOffset>
          </wp:positionH>
          <wp:positionV relativeFrom="page">
            <wp:posOffset>372745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8A236E1" wp14:editId="32203D97">
          <wp:simplePos x="0" y="0"/>
          <wp:positionH relativeFrom="page">
            <wp:align>right</wp:align>
          </wp:positionH>
          <wp:positionV relativeFrom="page">
            <wp:align>bottom</wp:align>
          </wp:positionV>
          <wp:extent cx="7560310" cy="6800850"/>
          <wp:effectExtent l="0" t="0" r="2540" b="0"/>
          <wp:wrapNone/>
          <wp:docPr id="2"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388"/>
    <w:multiLevelType w:val="hybridMultilevel"/>
    <w:tmpl w:val="49AEFDB8"/>
    <w:lvl w:ilvl="0" w:tplc="057266D4">
      <w:numFmt w:val="bullet"/>
      <w:lvlText w:val="-"/>
      <w:lvlJc w:val="left"/>
      <w:pPr>
        <w:ind w:left="720" w:hanging="360"/>
      </w:pPr>
      <w:rPr>
        <w:rFonts w:ascii="Ebrima" w:eastAsia="DengXian" w:hAnsi="Ebrima" w:cs="Lao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731E06"/>
    <w:multiLevelType w:val="hybridMultilevel"/>
    <w:tmpl w:val="039A7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08249124"/>
    <w:lvl w:ilvl="0" w:tplc="A50C606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67C3BC5"/>
    <w:multiLevelType w:val="hybridMultilevel"/>
    <w:tmpl w:val="507C219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B2"/>
    <w:rsid w:val="00097FDB"/>
    <w:rsid w:val="00166FCE"/>
    <w:rsid w:val="00214548"/>
    <w:rsid w:val="00272BB7"/>
    <w:rsid w:val="00357453"/>
    <w:rsid w:val="00420702"/>
    <w:rsid w:val="004623F7"/>
    <w:rsid w:val="005271A5"/>
    <w:rsid w:val="005D7C45"/>
    <w:rsid w:val="006D0E1B"/>
    <w:rsid w:val="0072426E"/>
    <w:rsid w:val="00910CBC"/>
    <w:rsid w:val="00954912"/>
    <w:rsid w:val="009C0F86"/>
    <w:rsid w:val="00AC34F7"/>
    <w:rsid w:val="00C83836"/>
    <w:rsid w:val="00D141A0"/>
    <w:rsid w:val="00D22F88"/>
    <w:rsid w:val="00E63DA6"/>
    <w:rsid w:val="00E874B2"/>
    <w:rsid w:val="00EB6F04"/>
    <w:rsid w:val="00F33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1352"/>
  <w15:chartTrackingRefBased/>
  <w15:docId w15:val="{C0F8419C-C015-4B28-BFCE-EEA37E8B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36"/>
  </w:style>
  <w:style w:type="paragraph" w:styleId="Heading1">
    <w:name w:val="heading 1"/>
    <w:basedOn w:val="Normal"/>
    <w:next w:val="Normal"/>
    <w:link w:val="Heading1Char"/>
    <w:qFormat/>
    <w:rsid w:val="00C83836"/>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C83836"/>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C83836"/>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C83836"/>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C83836"/>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C83836"/>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C83836"/>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C83836"/>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4B2"/>
    <w:rPr>
      <w:rFonts w:ascii="Segoe UI" w:hAnsi="Segoe UI" w:cs="Segoe UI"/>
      <w:sz w:val="18"/>
      <w:szCs w:val="18"/>
    </w:rPr>
  </w:style>
  <w:style w:type="character" w:customStyle="1" w:styleId="Heading1Char">
    <w:name w:val="Heading 1 Char"/>
    <w:basedOn w:val="DefaultParagraphFont"/>
    <w:link w:val="Heading1"/>
    <w:rsid w:val="00C83836"/>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C83836"/>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C83836"/>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C83836"/>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C83836"/>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C83836"/>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C83836"/>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C83836"/>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C83836"/>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C83836"/>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C83836"/>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C83836"/>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C8383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83836"/>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C83836"/>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D22F88"/>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D22F88"/>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C83836"/>
    <w:rPr>
      <w:rFonts w:eastAsiaTheme="majorEastAsia" w:cstheme="minorHAnsi"/>
      <w:lang w:eastAsia="en-GB"/>
    </w:rPr>
  </w:style>
  <w:style w:type="character" w:styleId="CommentReference">
    <w:name w:val="annotation reference"/>
    <w:basedOn w:val="DefaultParagraphFont"/>
    <w:uiPriority w:val="99"/>
    <w:semiHidden/>
    <w:unhideWhenUsed/>
    <w:rsid w:val="00C83836"/>
    <w:rPr>
      <w:sz w:val="16"/>
      <w:szCs w:val="16"/>
    </w:rPr>
  </w:style>
  <w:style w:type="paragraph" w:styleId="CommentText">
    <w:name w:val="annotation text"/>
    <w:basedOn w:val="Normal"/>
    <w:link w:val="CommentTextChar"/>
    <w:uiPriority w:val="99"/>
    <w:semiHidden/>
    <w:unhideWhenUsed/>
    <w:rsid w:val="00C83836"/>
    <w:pPr>
      <w:spacing w:line="240" w:lineRule="auto"/>
    </w:pPr>
    <w:rPr>
      <w:sz w:val="20"/>
      <w:szCs w:val="20"/>
    </w:rPr>
  </w:style>
  <w:style w:type="character" w:customStyle="1" w:styleId="CommentTextChar">
    <w:name w:val="Comment Text Char"/>
    <w:basedOn w:val="DefaultParagraphFont"/>
    <w:link w:val="CommentText"/>
    <w:uiPriority w:val="99"/>
    <w:semiHidden/>
    <w:rsid w:val="00C838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9" ma:contentTypeDescription="Create a new document." ma:contentTypeScope="" ma:versionID="3d2cdd519ad90cf099fd6825dcf925da">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620094b05dcbf1007499f9d59728a78f"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F6B35-C386-467F-A067-DDA6E4D9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84df555d-bcb2-4f9d-92f1-052a9b5d6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14027-5CCD-4F4C-91B2-062C0A6E5414}">
  <ds:schemaRefs>
    <ds:schemaRef ds:uri="http://schemas.openxmlformats.org/officeDocument/2006/bibliography"/>
  </ds:schemaRefs>
</ds:datastoreItem>
</file>

<file path=customXml/itemProps3.xml><?xml version="1.0" encoding="utf-8"?>
<ds:datastoreItem xmlns:ds="http://schemas.openxmlformats.org/officeDocument/2006/customXml" ds:itemID="{928BB871-19C4-4192-B7FA-56D756E77C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E196FE-73FE-43F4-B959-6ABF418FC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1707</Words>
  <Characters>9730</Characters>
  <Application>Microsoft Office Word</Application>
  <DocSecurity>0</DocSecurity>
  <Lines>81</Lines>
  <Paragraphs>22</Paragraphs>
  <ScaleCrop>false</ScaleCrop>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EACH</cp:lastModifiedBy>
  <cp:revision>16</cp:revision>
  <dcterms:created xsi:type="dcterms:W3CDTF">2021-07-05T12:01:00Z</dcterms:created>
  <dcterms:modified xsi:type="dcterms:W3CDTF">2021-09-20T10:15:00Z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58fff893-681c-4b75-93f6-aef70dcc93c4</vt:lpwstr>
  </property>
</Properties>
</file>