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592CA4E" w14:textId="77777777" w:rsidR="00C83836" w:rsidRPr="00E3664A" w:rsidRDefault="00C83836" w:rsidP="00C83836">
          <w:pPr>
            <w:spacing w:line="276" w:lineRule="auto"/>
            <w:rPr>
              <w:rFonts w:ascii="Arial" w:hAnsi="Arial" w:cs="Arial"/>
              <w:color w:val="FF0000"/>
            </w:rPr>
          </w:pPr>
        </w:p>
        <w:p w14:paraId="1B6811CB" w14:textId="77777777" w:rsidR="00C83836" w:rsidRPr="00E3664A" w:rsidRDefault="00C83836" w:rsidP="00C83836">
          <w:pPr>
            <w:spacing w:after="120" w:line="276" w:lineRule="auto"/>
            <w:rPr>
              <w:rFonts w:ascii="Arial" w:hAnsi="Arial" w:cs="Arial"/>
            </w:rPr>
          </w:pPr>
        </w:p>
        <w:p w14:paraId="027F4B2D" w14:textId="77777777" w:rsidR="00C83836" w:rsidRPr="00E3664A" w:rsidRDefault="00C83836" w:rsidP="00C83836">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C83836" w:rsidRPr="00E3664A" w14:paraId="3ABAB029" w14:textId="77777777" w:rsidTr="009E4432">
            <w:trPr>
              <w:trHeight w:hRule="exact" w:val="1578"/>
            </w:trPr>
            <w:tc>
              <w:tcPr>
                <w:tcW w:w="10633" w:type="dxa"/>
                <w:vAlign w:val="bottom"/>
              </w:tcPr>
              <w:p w14:paraId="6873BA30" w14:textId="77777777" w:rsidR="00C83836" w:rsidRPr="00E3664A" w:rsidRDefault="00C83836" w:rsidP="009E4432">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C83836" w:rsidRPr="00E3664A" w14:paraId="0433295E" w14:textId="77777777" w:rsidTr="009E4432">
            <w:trPr>
              <w:trHeight w:hRule="exact" w:val="790"/>
            </w:trPr>
            <w:tc>
              <w:tcPr>
                <w:tcW w:w="10633" w:type="dxa"/>
                <w:tcMar>
                  <w:top w:w="142" w:type="dxa"/>
                </w:tcMar>
              </w:tcPr>
              <w:p w14:paraId="2704F4E1" w14:textId="474FCAD3" w:rsidR="00C83836" w:rsidRPr="00E3664A" w:rsidRDefault="00C83836" w:rsidP="009E4432">
                <w:pPr>
                  <w:pStyle w:val="Heading2"/>
                  <w:numPr>
                    <w:ilvl w:val="0"/>
                    <w:numId w:val="0"/>
                  </w:numPr>
                  <w:spacing w:before="0"/>
                  <w:rPr>
                    <w:rFonts w:ascii="Arial" w:hAnsi="Arial" w:cs="Arial"/>
                  </w:rPr>
                </w:pPr>
                <w:r w:rsidRPr="00D22F88">
                  <w:rPr>
                    <w:rFonts w:ascii="Arial" w:hAnsi="Arial" w:cs="Arial"/>
                    <w:sz w:val="24"/>
                    <w:szCs w:val="24"/>
                    <w:lang w:eastAsia="en-US"/>
                  </w:rPr>
                  <w:t>Draft Guidelines further specifying the circumstances for temporary restrictions in the case of a significant non-default event</w:t>
                </w:r>
                <w:r w:rsidR="00D22F88" w:rsidRPr="00D22F88">
                  <w:rPr>
                    <w:rFonts w:ascii="Arial" w:hAnsi="Arial" w:cs="Arial"/>
                    <w:sz w:val="24"/>
                    <w:szCs w:val="24"/>
                    <w:lang w:eastAsia="en-US"/>
                  </w:rPr>
                  <w:t xml:space="preserve"> in accordance with Article 45a of EMIR</w:t>
                </w:r>
              </w:p>
            </w:tc>
          </w:tr>
        </w:tbl>
        <w:p w14:paraId="39C6B585" w14:textId="77777777" w:rsidR="00C83836" w:rsidRPr="00E3664A" w:rsidRDefault="00C83836" w:rsidP="00C83836">
          <w:pPr>
            <w:spacing w:line="276" w:lineRule="auto"/>
            <w:rPr>
              <w:rFonts w:ascii="Arial" w:hAnsi="Arial" w:cs="Arial"/>
            </w:rPr>
          </w:pPr>
        </w:p>
        <w:p w14:paraId="172E75E7" w14:textId="77777777" w:rsidR="00C83836" w:rsidRPr="00E3664A" w:rsidRDefault="00C83836" w:rsidP="00C83836">
          <w:pPr>
            <w:spacing w:line="276" w:lineRule="auto"/>
            <w:rPr>
              <w:rFonts w:ascii="Arial" w:hAnsi="Arial" w:cs="Arial"/>
            </w:rPr>
          </w:pPr>
        </w:p>
        <w:p w14:paraId="6C6DD670" w14:textId="77777777" w:rsidR="00C83836" w:rsidRPr="00E3664A" w:rsidRDefault="00C83836" w:rsidP="00C83836">
          <w:pPr>
            <w:spacing w:line="276" w:lineRule="auto"/>
            <w:rPr>
              <w:rFonts w:ascii="Arial" w:hAnsi="Arial" w:cs="Arial"/>
            </w:rPr>
          </w:pPr>
        </w:p>
        <w:p w14:paraId="4CC87761" w14:textId="77777777" w:rsidR="00C83836" w:rsidRPr="00E3664A" w:rsidRDefault="00C83836" w:rsidP="00C83836">
          <w:pPr>
            <w:spacing w:line="276" w:lineRule="auto"/>
            <w:rPr>
              <w:rFonts w:ascii="Arial" w:hAnsi="Arial" w:cs="Arial"/>
            </w:rPr>
            <w:sectPr w:rsidR="00C83836"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4198A545" w14:textId="77777777" w:rsidR="00C83836" w:rsidRPr="00E3664A" w:rsidRDefault="00C83836" w:rsidP="00C83836">
          <w:pPr>
            <w:numPr>
              <w:ilvl w:val="1"/>
              <w:numId w:val="0"/>
            </w:numPr>
            <w:spacing w:after="250" w:line="276" w:lineRule="auto"/>
            <w:jc w:val="both"/>
            <w:rPr>
              <w:rFonts w:ascii="Arial" w:eastAsiaTheme="majorEastAsia" w:hAnsi="Arial" w:cs="Arial"/>
              <w:b/>
              <w:sz w:val="28"/>
            </w:rPr>
          </w:pPr>
        </w:p>
        <w:p w14:paraId="18092A86" w14:textId="77777777" w:rsidR="00C83836" w:rsidRPr="00E3664A" w:rsidRDefault="00C83836" w:rsidP="00C83836">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2B12415"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50C20575"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3E582C73"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7AE148A"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4C56C707" w14:textId="77777777" w:rsidR="00C83836" w:rsidRPr="00E3664A" w:rsidRDefault="00C83836" w:rsidP="00C83836">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381E29AA"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357453">
            <w:rPr>
              <w:rFonts w:ascii="Arial" w:eastAsiaTheme="minorEastAsia" w:hAnsi="Arial" w:cs="Arial"/>
              <w:szCs w:val="20"/>
            </w:rPr>
            <w:t xml:space="preserve">received by </w:t>
          </w:r>
          <w:r w:rsidRPr="00357453">
            <w:rPr>
              <w:rFonts w:ascii="Arial" w:eastAsiaTheme="minorEastAsia" w:hAnsi="Arial" w:cs="Arial"/>
              <w:b/>
              <w:szCs w:val="20"/>
            </w:rPr>
            <w:t>20 September 2021.</w:t>
          </w:r>
          <w:r w:rsidRPr="00E3664A">
            <w:rPr>
              <w:rFonts w:ascii="Arial" w:eastAsiaTheme="minorEastAsia" w:hAnsi="Arial" w:cs="Arial"/>
              <w:b/>
              <w:szCs w:val="20"/>
            </w:rPr>
            <w:t xml:space="preserve"> </w:t>
          </w:r>
        </w:p>
        <w:p w14:paraId="78313B97"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13C81215"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D6A7DC7"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79682670" w14:textId="77777777"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B978D4D" w14:textId="67D5AD05"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DVDS</w:t>
          </w:r>
          <w:r w:rsidRPr="00E3664A">
            <w:rPr>
              <w:rFonts w:ascii="Arial" w:eastAsiaTheme="minorEastAsia" w:hAnsi="Arial" w:cs="Arial"/>
              <w:szCs w:val="20"/>
              <w:lang w:eastAsia="en-US"/>
            </w:rPr>
            <w:t>_1&gt;. Your response to each question has to be framed by the two tags corresponding to the question.</w:t>
          </w:r>
        </w:p>
        <w:p w14:paraId="70148B20" w14:textId="77777777"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5F2A47C1" w14:textId="0C56CAC4"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DVDS</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DVDS</w:t>
          </w:r>
          <w:r w:rsidRPr="00E3664A">
            <w:rPr>
              <w:rFonts w:ascii="Arial" w:eastAsiaTheme="minorEastAsia" w:hAnsi="Arial" w:cs="Arial"/>
              <w:szCs w:val="20"/>
              <w:lang w:eastAsia="en-US"/>
            </w:rPr>
            <w:t>_ABCD_RESPONSEFORM.</w:t>
          </w:r>
        </w:p>
        <w:p w14:paraId="740F9E23" w14:textId="7B320C06" w:rsidR="00C83836" w:rsidRPr="00E3664A" w:rsidRDefault="00C83836" w:rsidP="00C83836">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 xml:space="preserve">on </w:t>
          </w:r>
          <w:r w:rsidRPr="00C83836">
            <w:rPr>
              <w:rFonts w:ascii="Arial" w:hAnsi="Arial" w:cs="Arial"/>
              <w:lang w:eastAsia="en-US"/>
            </w:rPr>
            <w:t>the circumstances for temporary restrictions in the case of a significant non-default event</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16329B8E" w14:textId="77777777" w:rsidR="00C83836" w:rsidRDefault="00C83836" w:rsidP="00C83836">
          <w:pPr>
            <w:spacing w:after="250" w:line="276" w:lineRule="auto"/>
            <w:jc w:val="both"/>
            <w:rPr>
              <w:rFonts w:ascii="Arial" w:eastAsiaTheme="minorEastAsia" w:hAnsi="Arial" w:cs="Arial"/>
              <w:szCs w:val="20"/>
            </w:rPr>
          </w:pPr>
        </w:p>
        <w:p w14:paraId="2E864D5C" w14:textId="77777777" w:rsidR="00C83836" w:rsidRDefault="00C83836" w:rsidP="00C83836">
          <w:pPr>
            <w:spacing w:after="250" w:line="276" w:lineRule="auto"/>
            <w:jc w:val="both"/>
            <w:rPr>
              <w:rFonts w:ascii="Arial" w:eastAsiaTheme="minorEastAsia" w:hAnsi="Arial" w:cs="Arial"/>
              <w:szCs w:val="20"/>
            </w:rPr>
          </w:pPr>
        </w:p>
        <w:p w14:paraId="715293CB" w14:textId="77777777" w:rsidR="00C83836" w:rsidRPr="00E3664A" w:rsidRDefault="00C83836" w:rsidP="00C83836">
          <w:pPr>
            <w:spacing w:after="250" w:line="276" w:lineRule="auto"/>
            <w:jc w:val="both"/>
            <w:rPr>
              <w:rFonts w:ascii="Arial" w:eastAsiaTheme="minorEastAsia" w:hAnsi="Arial" w:cs="Arial"/>
              <w:szCs w:val="20"/>
            </w:rPr>
          </w:pPr>
        </w:p>
        <w:p w14:paraId="04F6F6EA"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116B19DF"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4CC2F97" w14:textId="77777777" w:rsidR="00C83836" w:rsidRPr="00E3664A" w:rsidRDefault="00C83836" w:rsidP="00C83836">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4A9ACF" w14:textId="77777777"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121C0B5" w14:textId="2B7AF9EB"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1135E390" w14:textId="27D27547" w:rsidR="00C83836" w:rsidRPr="00E3664A" w:rsidRDefault="00D22F88" w:rsidP="00C83836">
      <w:pPr>
        <w:spacing w:after="120" w:line="276" w:lineRule="auto"/>
        <w:rPr>
          <w:rFonts w:ascii="Arial" w:hAnsi="Arial" w:cs="Arial"/>
        </w:rPr>
      </w:pPr>
      <w:r w:rsidRPr="00D22F88">
        <w:rPr>
          <w:rFonts w:ascii="Arial" w:hAnsi="Arial" w:cs="Arial"/>
          <w:lang w:eastAsia="it-IT"/>
        </w:rPr>
        <w:t>All interested stakeholders are invited to respond to this consultation paper. In particular, responses are sought from central counterparties (CCPs) as well as from direct or indirect clearing members of CCPs.</w:t>
      </w:r>
    </w:p>
    <w:p w14:paraId="5B67D497" w14:textId="77777777" w:rsidR="00C83836" w:rsidRPr="00E3664A" w:rsidRDefault="00C83836" w:rsidP="00C83836">
      <w:pPr>
        <w:spacing w:after="120" w:line="276" w:lineRule="auto"/>
        <w:rPr>
          <w:rFonts w:ascii="Arial" w:hAnsi="Arial" w:cs="Arial"/>
        </w:rPr>
      </w:pPr>
    </w:p>
    <w:p w14:paraId="3953976C" w14:textId="5D564FFB" w:rsidR="00C83836" w:rsidRDefault="00C83836" w:rsidP="00C83836">
      <w:pPr>
        <w:pStyle w:val="Heading1"/>
        <w:numPr>
          <w:ilvl w:val="0"/>
          <w:numId w:val="0"/>
        </w:numPr>
        <w:spacing w:line="276" w:lineRule="auto"/>
        <w:rPr>
          <w:rFonts w:ascii="Arial" w:hAnsi="Arial" w:cs="Arial"/>
          <w:sz w:val="24"/>
          <w:szCs w:val="24"/>
        </w:rPr>
      </w:pPr>
    </w:p>
    <w:p w14:paraId="53473CD4" w14:textId="6EF57963" w:rsidR="00D22F88" w:rsidRDefault="00D22F88" w:rsidP="00D22F88">
      <w:pPr>
        <w:rPr>
          <w:lang w:eastAsia="en-GB"/>
        </w:rPr>
      </w:pPr>
    </w:p>
    <w:p w14:paraId="5A3ECC24" w14:textId="362A609D" w:rsidR="00D22F88" w:rsidRDefault="00D22F88" w:rsidP="00D22F88">
      <w:pPr>
        <w:rPr>
          <w:lang w:eastAsia="en-GB"/>
        </w:rPr>
      </w:pPr>
    </w:p>
    <w:p w14:paraId="12C93138" w14:textId="4B71DE13" w:rsidR="00D22F88" w:rsidRDefault="00D22F88" w:rsidP="00D22F88">
      <w:pPr>
        <w:rPr>
          <w:lang w:eastAsia="en-GB"/>
        </w:rPr>
      </w:pPr>
    </w:p>
    <w:p w14:paraId="6A616999" w14:textId="361D0599" w:rsidR="00D22F88" w:rsidRDefault="00D22F88" w:rsidP="00D22F88">
      <w:pPr>
        <w:rPr>
          <w:lang w:eastAsia="en-GB"/>
        </w:rPr>
      </w:pPr>
    </w:p>
    <w:p w14:paraId="126C9175" w14:textId="6A14E4EE" w:rsidR="00D22F88" w:rsidRDefault="00D22F88" w:rsidP="00D22F88">
      <w:pPr>
        <w:rPr>
          <w:lang w:eastAsia="en-GB"/>
        </w:rPr>
      </w:pPr>
    </w:p>
    <w:p w14:paraId="3E9F7DD7" w14:textId="07AB72DB" w:rsidR="00D22F88" w:rsidRDefault="00D22F88" w:rsidP="00D22F88">
      <w:pPr>
        <w:rPr>
          <w:lang w:eastAsia="en-GB"/>
        </w:rPr>
      </w:pPr>
    </w:p>
    <w:p w14:paraId="5761F58D" w14:textId="641612B0" w:rsidR="00D22F88" w:rsidRDefault="00D22F88" w:rsidP="00D22F88">
      <w:pPr>
        <w:rPr>
          <w:lang w:eastAsia="en-GB"/>
        </w:rPr>
      </w:pPr>
    </w:p>
    <w:p w14:paraId="3DD7DC6E" w14:textId="1D30306B" w:rsidR="00D22F88" w:rsidRDefault="00D22F88" w:rsidP="00D22F88">
      <w:pPr>
        <w:rPr>
          <w:lang w:eastAsia="en-GB"/>
        </w:rPr>
      </w:pPr>
    </w:p>
    <w:p w14:paraId="5CBE4526" w14:textId="0A6F9933" w:rsidR="00D22F88" w:rsidRDefault="00D22F88" w:rsidP="00D22F88">
      <w:pPr>
        <w:rPr>
          <w:lang w:eastAsia="en-GB"/>
        </w:rPr>
      </w:pPr>
    </w:p>
    <w:p w14:paraId="7654FD8F" w14:textId="35905474" w:rsidR="00D22F88" w:rsidRDefault="00D22F88" w:rsidP="00D22F88">
      <w:pPr>
        <w:rPr>
          <w:lang w:eastAsia="en-GB"/>
        </w:rPr>
      </w:pPr>
    </w:p>
    <w:p w14:paraId="7D04C991" w14:textId="3BB5C14D" w:rsidR="00D22F88" w:rsidRDefault="00D22F88" w:rsidP="00D22F88">
      <w:pPr>
        <w:rPr>
          <w:lang w:eastAsia="en-GB"/>
        </w:rPr>
      </w:pPr>
    </w:p>
    <w:p w14:paraId="46C58A1A" w14:textId="234FED33" w:rsidR="00D22F88" w:rsidRDefault="00D22F88" w:rsidP="00D22F88">
      <w:pPr>
        <w:rPr>
          <w:lang w:eastAsia="en-GB"/>
        </w:rPr>
      </w:pPr>
    </w:p>
    <w:p w14:paraId="4C4B8AA1" w14:textId="77777777" w:rsidR="00D22F88" w:rsidRPr="00D22F88" w:rsidRDefault="00D22F88" w:rsidP="00D22F88">
      <w:pPr>
        <w:rPr>
          <w:lang w:eastAsia="en-GB"/>
        </w:rPr>
      </w:pPr>
    </w:p>
    <w:p w14:paraId="1CA77A3F" w14:textId="77777777" w:rsidR="00D22F88" w:rsidRDefault="00D22F88" w:rsidP="00C83836">
      <w:pPr>
        <w:keepNext/>
        <w:keepLines/>
        <w:spacing w:before="320" w:after="250" w:line="276" w:lineRule="auto"/>
        <w:jc w:val="both"/>
        <w:outlineLvl w:val="0"/>
        <w:rPr>
          <w:rFonts w:ascii="Arial" w:eastAsiaTheme="majorEastAsia" w:hAnsi="Arial" w:cs="Arial"/>
          <w:b/>
          <w:sz w:val="32"/>
          <w:szCs w:val="32"/>
        </w:rPr>
      </w:pPr>
    </w:p>
    <w:p w14:paraId="56E4D9A8" w14:textId="38DD4B88" w:rsidR="00C83836" w:rsidRPr="00E3664A" w:rsidRDefault="00C83836" w:rsidP="00C83836">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3836" w:rsidRPr="00E3664A" w14:paraId="700DFBC9" w14:textId="77777777" w:rsidTr="009E4432">
        <w:tc>
          <w:tcPr>
            <w:tcW w:w="3929" w:type="dxa"/>
            <w:shd w:val="clear" w:color="auto" w:fill="auto"/>
          </w:tcPr>
          <w:p w14:paraId="247EF08D" w14:textId="77777777" w:rsidR="00C83836" w:rsidRPr="00E3664A" w:rsidRDefault="00C83836" w:rsidP="009E4432">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34DF27FE" w14:textId="3F652370" w:rsidR="00C83836" w:rsidRPr="00E3664A" w:rsidRDefault="005A5F07" w:rsidP="009E4432">
                <w:pPr>
                  <w:rPr>
                    <w:rFonts w:ascii="Arial" w:hAnsi="Arial" w:cs="Arial"/>
                    <w:color w:val="808080"/>
                    <w:sz w:val="20"/>
                    <w:lang w:eastAsia="de-DE"/>
                  </w:rPr>
                </w:pPr>
                <w:r w:rsidRPr="005A5F07">
                  <w:rPr>
                    <w:rFonts w:ascii="Arial" w:hAnsi="Arial" w:cs="Arial"/>
                    <w:color w:val="808080"/>
                    <w:sz w:val="20"/>
                    <w:lang w:eastAsia="de-DE"/>
                  </w:rPr>
                  <w:t>CCP12 - The Global Association of Central Counterparties</w:t>
                </w:r>
              </w:p>
            </w:tc>
          </w:sdtContent>
        </w:sdt>
      </w:tr>
      <w:tr w:rsidR="00C83836" w:rsidRPr="00E3664A" w14:paraId="6F1768A1" w14:textId="77777777" w:rsidTr="009E4432">
        <w:tc>
          <w:tcPr>
            <w:tcW w:w="3929" w:type="dxa"/>
            <w:shd w:val="clear" w:color="auto" w:fill="auto"/>
          </w:tcPr>
          <w:p w14:paraId="638136EB" w14:textId="77777777" w:rsidR="00C83836" w:rsidRPr="00E3664A" w:rsidRDefault="00C83836" w:rsidP="009E4432">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6F24BA99" w14:textId="662B2480" w:rsidR="00C83836" w:rsidRPr="00E3664A" w:rsidRDefault="00062209" w:rsidP="009E4432">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A5F07">
                  <w:rPr>
                    <w:rFonts w:ascii="Arial" w:hAnsi="Arial" w:cs="Arial"/>
                    <w:sz w:val="20"/>
                    <w:lang w:eastAsia="de-DE"/>
                  </w:rPr>
                  <w:t>Central Counterparty</w:t>
                </w:r>
              </w:sdtContent>
            </w:sdt>
          </w:p>
        </w:tc>
      </w:tr>
      <w:tr w:rsidR="00C83836" w:rsidRPr="00E3664A" w14:paraId="7D95A798" w14:textId="77777777" w:rsidTr="009E4432">
        <w:tc>
          <w:tcPr>
            <w:tcW w:w="3929" w:type="dxa"/>
            <w:shd w:val="clear" w:color="auto" w:fill="auto"/>
          </w:tcPr>
          <w:p w14:paraId="7015DBCD" w14:textId="77777777" w:rsidR="00C83836" w:rsidRPr="00E3664A" w:rsidRDefault="00C83836" w:rsidP="009E4432">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119E364B" w14:textId="29762CB2" w:rsidR="00C83836" w:rsidRPr="00E3664A" w:rsidRDefault="005A5F07" w:rsidP="009E4432">
                <w:pPr>
                  <w:rPr>
                    <w:rFonts w:ascii="Arial" w:hAnsi="Arial" w:cs="Arial"/>
                    <w:sz w:val="20"/>
                    <w:lang w:eastAsia="de-DE"/>
                  </w:rPr>
                </w:pPr>
                <w:r>
                  <w:rPr>
                    <w:rFonts w:ascii="MS Gothic" w:eastAsia="MS Gothic" w:hAnsi="MS Gothic" w:cs="Arial" w:hint="eastAsia"/>
                    <w:sz w:val="20"/>
                    <w:lang w:eastAsia="de-DE"/>
                  </w:rPr>
                  <w:t>☒</w:t>
                </w:r>
              </w:p>
            </w:tc>
          </w:sdtContent>
        </w:sdt>
      </w:tr>
      <w:tr w:rsidR="00C83836" w:rsidRPr="00E3664A" w14:paraId="37125059" w14:textId="77777777" w:rsidTr="009E4432">
        <w:tc>
          <w:tcPr>
            <w:tcW w:w="3929" w:type="dxa"/>
            <w:shd w:val="clear" w:color="auto" w:fill="auto"/>
          </w:tcPr>
          <w:p w14:paraId="714B75F1" w14:textId="77777777" w:rsidR="00C83836" w:rsidRPr="00E3664A" w:rsidRDefault="00C83836" w:rsidP="009E4432">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6F884FA" w14:textId="72C4AD26" w:rsidR="00C83836" w:rsidRPr="00E3664A" w:rsidRDefault="005A5F07" w:rsidP="009E4432">
                <w:pPr>
                  <w:rPr>
                    <w:rFonts w:ascii="Arial" w:hAnsi="Arial" w:cs="Arial"/>
                    <w:sz w:val="20"/>
                    <w:lang w:eastAsia="de-DE"/>
                  </w:rPr>
                </w:pPr>
                <w:r>
                  <w:rPr>
                    <w:rFonts w:ascii="Arial" w:hAnsi="Arial" w:cs="Arial"/>
                    <w:sz w:val="20"/>
                    <w:lang w:eastAsia="de-DE"/>
                  </w:rPr>
                  <w:t>Other</w:t>
                </w:r>
              </w:p>
            </w:tc>
          </w:sdtContent>
        </w:sdt>
      </w:tr>
    </w:tbl>
    <w:p w14:paraId="54A144F7" w14:textId="77777777" w:rsidR="00C83836" w:rsidRPr="00E3664A" w:rsidRDefault="00C83836" w:rsidP="00C83836">
      <w:pPr>
        <w:spacing w:after="120" w:line="264" w:lineRule="auto"/>
        <w:jc w:val="both"/>
        <w:rPr>
          <w:rFonts w:ascii="Arial" w:eastAsiaTheme="minorEastAsia" w:hAnsi="Arial" w:cs="Arial"/>
          <w:szCs w:val="20"/>
        </w:rPr>
      </w:pPr>
    </w:p>
    <w:p w14:paraId="49DFA161" w14:textId="77777777" w:rsidR="00C83836" w:rsidRPr="00E3664A" w:rsidRDefault="00C83836" w:rsidP="00C83836">
      <w:pPr>
        <w:spacing w:after="120" w:line="264" w:lineRule="auto"/>
        <w:jc w:val="both"/>
        <w:rPr>
          <w:rFonts w:ascii="Arial" w:eastAsiaTheme="minorEastAsia" w:hAnsi="Arial" w:cs="Arial"/>
          <w:szCs w:val="20"/>
        </w:rPr>
      </w:pPr>
    </w:p>
    <w:p w14:paraId="233EE46D" w14:textId="77777777" w:rsidR="00C83836" w:rsidRPr="00E3664A" w:rsidRDefault="00C83836" w:rsidP="00C83836">
      <w:pPr>
        <w:spacing w:after="120" w:line="264" w:lineRule="auto"/>
        <w:jc w:val="both"/>
        <w:rPr>
          <w:rFonts w:ascii="Arial" w:eastAsiaTheme="minorEastAsia" w:hAnsi="Arial" w:cs="Arial"/>
          <w:szCs w:val="20"/>
        </w:rPr>
      </w:pPr>
    </w:p>
    <w:p w14:paraId="3ECDE970" w14:textId="77777777" w:rsidR="00C83836" w:rsidRPr="00E3664A" w:rsidRDefault="00C83836" w:rsidP="00C83836">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C813E3B" w14:textId="77777777" w:rsidR="00C83836" w:rsidRPr="00E3664A" w:rsidRDefault="00C83836" w:rsidP="00C83836">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053D67C1" w14:textId="6F41AC40"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DVDS</w:t>
      </w:r>
      <w:r w:rsidRPr="00E3664A">
        <w:rPr>
          <w:rFonts w:ascii="Arial" w:eastAsiaTheme="minorEastAsia" w:hAnsi="Arial" w:cs="Arial"/>
          <w:szCs w:val="20"/>
        </w:rPr>
        <w:t>_00&gt;</w:t>
      </w:r>
    </w:p>
    <w:p w14:paraId="1FC21694" w14:textId="77777777" w:rsidR="00C83836" w:rsidRPr="00C85C8B" w:rsidRDefault="00C83836" w:rsidP="00C83836">
      <w:pPr>
        <w:spacing w:after="250" w:line="276" w:lineRule="auto"/>
        <w:jc w:val="both"/>
        <w:rPr>
          <w:rFonts w:ascii="Arial" w:eastAsiaTheme="minorEastAsia" w:hAnsi="Arial" w:cs="Arial"/>
          <w:szCs w:val="20"/>
        </w:rPr>
      </w:pPr>
      <w:r w:rsidRPr="00C82CB5">
        <w:rPr>
          <w:rFonts w:ascii="Arial" w:eastAsiaTheme="minorEastAsia" w:hAnsi="Arial" w:cs="Arial"/>
          <w:szCs w:val="20"/>
          <w:highlight w:val="yellow"/>
        </w:rPr>
        <w:t>TYPE YOUR TEXT HERE</w:t>
      </w:r>
    </w:p>
    <w:p w14:paraId="73E8FFD5" w14:textId="754988D5" w:rsidR="00C83836" w:rsidRPr="00E3664A" w:rsidRDefault="00C83836" w:rsidP="00C83836">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DVDS</w:t>
      </w:r>
      <w:r w:rsidRPr="00E3664A">
        <w:rPr>
          <w:rFonts w:ascii="Arial" w:eastAsiaTheme="minorEastAsia" w:hAnsi="Arial" w:cs="Arial"/>
          <w:szCs w:val="20"/>
        </w:rPr>
        <w:t>_00&gt;</w:t>
      </w:r>
    </w:p>
    <w:p w14:paraId="4CAB86F0" w14:textId="77777777" w:rsidR="00C83836" w:rsidRPr="00E3664A" w:rsidRDefault="00C83836" w:rsidP="00C83836">
      <w:pPr>
        <w:spacing w:line="276" w:lineRule="auto"/>
        <w:rPr>
          <w:rFonts w:ascii="Arial" w:hAnsi="Arial" w:cs="Arial"/>
          <w:b/>
          <w:sz w:val="28"/>
          <w:szCs w:val="28"/>
        </w:rPr>
      </w:pPr>
    </w:p>
    <w:p w14:paraId="6B648911" w14:textId="77777777" w:rsidR="00C83836" w:rsidRPr="00E3664A" w:rsidRDefault="00C83836" w:rsidP="00C83836">
      <w:pPr>
        <w:spacing w:line="276" w:lineRule="auto"/>
        <w:rPr>
          <w:rFonts w:ascii="Arial" w:hAnsi="Arial" w:cs="Arial"/>
          <w:b/>
          <w:sz w:val="28"/>
          <w:szCs w:val="28"/>
        </w:rPr>
      </w:pPr>
    </w:p>
    <w:p w14:paraId="0AEB2FE4" w14:textId="77777777" w:rsidR="00C83836" w:rsidRPr="00E3664A" w:rsidRDefault="00C83836" w:rsidP="00C83836">
      <w:pPr>
        <w:spacing w:line="276" w:lineRule="auto"/>
        <w:rPr>
          <w:rFonts w:ascii="Arial" w:hAnsi="Arial" w:cs="Arial"/>
          <w:b/>
          <w:sz w:val="28"/>
          <w:szCs w:val="28"/>
        </w:rPr>
      </w:pPr>
    </w:p>
    <w:p w14:paraId="7B98E1B7" w14:textId="77777777" w:rsidR="00C83836" w:rsidRPr="00E3664A" w:rsidRDefault="00C83836" w:rsidP="00C83836">
      <w:pPr>
        <w:spacing w:line="276" w:lineRule="auto"/>
        <w:rPr>
          <w:rFonts w:ascii="Arial" w:hAnsi="Arial" w:cs="Arial"/>
          <w:b/>
          <w:sz w:val="28"/>
          <w:szCs w:val="28"/>
        </w:rPr>
      </w:pPr>
    </w:p>
    <w:p w14:paraId="331829E9" w14:textId="77777777" w:rsidR="00C83836" w:rsidRPr="00E3664A" w:rsidRDefault="00C83836" w:rsidP="00C83836">
      <w:pPr>
        <w:spacing w:line="276" w:lineRule="auto"/>
        <w:rPr>
          <w:rFonts w:ascii="Arial" w:hAnsi="Arial" w:cs="Arial"/>
          <w:b/>
          <w:sz w:val="28"/>
          <w:szCs w:val="28"/>
        </w:rPr>
      </w:pPr>
    </w:p>
    <w:p w14:paraId="410C9002" w14:textId="77777777" w:rsidR="00C83836" w:rsidRPr="00E3664A" w:rsidRDefault="00C83836" w:rsidP="00C83836">
      <w:pPr>
        <w:spacing w:after="120" w:line="264" w:lineRule="auto"/>
        <w:rPr>
          <w:rFonts w:ascii="Arial" w:hAnsi="Arial" w:cs="Arial"/>
          <w:b/>
          <w:sz w:val="28"/>
          <w:szCs w:val="28"/>
        </w:rPr>
      </w:pPr>
      <w:r w:rsidRPr="00E3664A">
        <w:rPr>
          <w:rFonts w:ascii="Arial" w:hAnsi="Arial" w:cs="Arial"/>
          <w:b/>
          <w:sz w:val="28"/>
          <w:szCs w:val="28"/>
        </w:rPr>
        <w:br w:type="page"/>
      </w:r>
    </w:p>
    <w:p w14:paraId="19FD77B1" w14:textId="77777777" w:rsidR="00C83836" w:rsidRPr="00E3664A" w:rsidRDefault="00C83836" w:rsidP="00C83836">
      <w:pPr>
        <w:spacing w:line="276" w:lineRule="auto"/>
        <w:rPr>
          <w:rFonts w:ascii="Arial" w:hAnsi="Arial" w:cs="Arial"/>
          <w:b/>
          <w:sz w:val="28"/>
          <w:szCs w:val="28"/>
        </w:rPr>
      </w:pPr>
      <w:r w:rsidRPr="00E3664A">
        <w:rPr>
          <w:rFonts w:ascii="Arial" w:hAnsi="Arial" w:cs="Arial"/>
          <w:b/>
          <w:sz w:val="28"/>
          <w:szCs w:val="28"/>
        </w:rPr>
        <w:lastRenderedPageBreak/>
        <w:t xml:space="preserve">Questions </w:t>
      </w:r>
    </w:p>
    <w:p w14:paraId="2BE58869" w14:textId="77777777" w:rsidR="00C83836" w:rsidRPr="003D70CA" w:rsidRDefault="00C83836" w:rsidP="00C83836">
      <w:pPr>
        <w:spacing w:line="276" w:lineRule="auto"/>
        <w:rPr>
          <w:rFonts w:ascii="Arial" w:hAnsi="Arial" w:cs="Arial"/>
          <w:b/>
          <w:sz w:val="24"/>
          <w:szCs w:val="24"/>
        </w:rPr>
      </w:pPr>
    </w:p>
    <w:p w14:paraId="1FAEE615" w14:textId="03725AC0" w:rsidR="00C83836" w:rsidRPr="00D22F88" w:rsidRDefault="00C83836" w:rsidP="00D22F88">
      <w:pPr>
        <w:pStyle w:val="Questionstyle"/>
        <w:rPr>
          <w:rFonts w:ascii="Arial" w:hAnsi="Arial" w:cs="Arial"/>
          <w:sz w:val="24"/>
          <w:szCs w:val="24"/>
        </w:rPr>
      </w:pPr>
      <w:r w:rsidRPr="00D22F88">
        <w:rPr>
          <w:rFonts w:ascii="Arial" w:hAnsi="Arial" w:cs="Arial"/>
          <w:sz w:val="24"/>
          <w:szCs w:val="24"/>
        </w:rPr>
        <w:t xml:space="preserve">: Do you agree with the proposed indicators to trigger the obligation for </w:t>
      </w:r>
      <w:r w:rsidR="00910CBC">
        <w:rPr>
          <w:rFonts w:ascii="Arial" w:hAnsi="Arial" w:cs="Arial"/>
          <w:sz w:val="24"/>
          <w:szCs w:val="24"/>
        </w:rPr>
        <w:t xml:space="preserve">a </w:t>
      </w:r>
      <w:r w:rsidRPr="00D22F88">
        <w:rPr>
          <w:rFonts w:ascii="Arial" w:hAnsi="Arial" w:cs="Arial"/>
          <w:sz w:val="24"/>
          <w:szCs w:val="24"/>
        </w:rPr>
        <w:t>competent authority to assess if to apply the restrictions set out under Article 45a of EMIR. If not, please explain why</w:t>
      </w:r>
      <w:r w:rsidR="00910CBC">
        <w:rPr>
          <w:rFonts w:ascii="Arial" w:hAnsi="Arial" w:cs="Arial"/>
          <w:sz w:val="24"/>
          <w:szCs w:val="24"/>
        </w:rPr>
        <w:t>.</w:t>
      </w:r>
    </w:p>
    <w:p w14:paraId="13BD877A" w14:textId="77777777" w:rsidR="00C83836" w:rsidRPr="00D22F88" w:rsidRDefault="00C83836" w:rsidP="00D22F88">
      <w:pPr>
        <w:pStyle w:val="Questionstyle"/>
        <w:numPr>
          <w:ilvl w:val="0"/>
          <w:numId w:val="0"/>
        </w:numPr>
        <w:rPr>
          <w:rFonts w:ascii="Arial" w:hAnsi="Arial" w:cs="Arial"/>
          <w:sz w:val="24"/>
          <w:szCs w:val="24"/>
        </w:rPr>
      </w:pPr>
    </w:p>
    <w:p w14:paraId="6903109C" w14:textId="7CBF755A" w:rsidR="00C83836" w:rsidRPr="00D22F88" w:rsidRDefault="00C83836" w:rsidP="00D22F88">
      <w:pPr>
        <w:pStyle w:val="Questionstyle"/>
        <w:numPr>
          <w:ilvl w:val="0"/>
          <w:numId w:val="0"/>
        </w:numPr>
        <w:rPr>
          <w:rFonts w:ascii="Arial" w:hAnsi="Arial" w:cs="Arial"/>
          <w:sz w:val="24"/>
          <w:szCs w:val="24"/>
        </w:rPr>
      </w:pPr>
      <w:r w:rsidRPr="00D22F88">
        <w:rPr>
          <w:rFonts w:ascii="Arial" w:hAnsi="Arial" w:cs="Arial"/>
          <w:sz w:val="24"/>
          <w:szCs w:val="24"/>
        </w:rPr>
        <w:t>&lt;ESMA_QUESTION_DVDS_01&gt;</w:t>
      </w:r>
    </w:p>
    <w:p w14:paraId="0B12AF81" w14:textId="77777777" w:rsidR="00327083" w:rsidRPr="00CA3DF8" w:rsidRDefault="00327083" w:rsidP="00327083">
      <w:pPr>
        <w:pStyle w:val="NoSpacing"/>
        <w:spacing w:after="120" w:line="276" w:lineRule="auto"/>
        <w:jc w:val="both"/>
        <w:rPr>
          <w:rFonts w:ascii="Arial" w:hAnsi="Arial" w:cs="Arial"/>
          <w:bCs/>
          <w:sz w:val="22"/>
          <w:szCs w:val="22"/>
        </w:rPr>
      </w:pPr>
      <w:r w:rsidRPr="00CA3DF8">
        <w:rPr>
          <w:rFonts w:ascii="Arial" w:hAnsi="Arial" w:cs="Arial"/>
          <w:bCs/>
          <w:sz w:val="22"/>
          <w:szCs w:val="22"/>
        </w:rPr>
        <w:t xml:space="preserve">While CCP12 recognizes that the indicators proposed by ESMA are ones that a CCP should surely monitor, we believe that such indicators are not necessarily indicative of a significant non-default event, as explained further below with respect to the Guidelines proposed. For a non-default event to be significant and consequently to potentially require the application of temporary restrictions, the event should, or be highly likely to, result in an outcome that could have </w:t>
      </w:r>
      <w:r>
        <w:rPr>
          <w:rFonts w:ascii="Arial" w:hAnsi="Arial" w:cs="Arial"/>
          <w:bCs/>
          <w:sz w:val="22"/>
          <w:szCs w:val="22"/>
        </w:rPr>
        <w:t xml:space="preserve">a </w:t>
      </w:r>
      <w:r w:rsidRPr="00CA3DF8">
        <w:rPr>
          <w:rFonts w:ascii="Arial" w:hAnsi="Arial" w:cs="Arial"/>
          <w:bCs/>
          <w:sz w:val="22"/>
          <w:szCs w:val="22"/>
        </w:rPr>
        <w:t xml:space="preserve">severe adverse effect on </w:t>
      </w:r>
      <w:r>
        <w:rPr>
          <w:rFonts w:ascii="Arial" w:hAnsi="Arial" w:cs="Arial"/>
          <w:bCs/>
          <w:sz w:val="22"/>
          <w:szCs w:val="22"/>
        </w:rPr>
        <w:t xml:space="preserve">the </w:t>
      </w:r>
      <w:r w:rsidRPr="00CA3DF8">
        <w:rPr>
          <w:rFonts w:ascii="Arial" w:hAnsi="Arial" w:cs="Arial"/>
          <w:bCs/>
          <w:sz w:val="22"/>
          <w:szCs w:val="22"/>
        </w:rPr>
        <w:t xml:space="preserve">financial stability in the EU. If this is not met, then the CCP should have the opportunity to address the event as it deems appropriate, pursuant to its rules and recovery plan, if applicable. This should be made clear in any Guidelines adopted by ESMA. </w:t>
      </w:r>
    </w:p>
    <w:p w14:paraId="66E38D8D" w14:textId="77777777" w:rsidR="00327083" w:rsidRPr="00CA3DF8" w:rsidRDefault="00327083" w:rsidP="00327083">
      <w:pPr>
        <w:pStyle w:val="NoSpacing"/>
        <w:spacing w:after="120" w:line="276" w:lineRule="auto"/>
        <w:jc w:val="both"/>
        <w:rPr>
          <w:rFonts w:ascii="Arial" w:hAnsi="Arial" w:cs="Arial"/>
          <w:bCs/>
          <w:sz w:val="22"/>
          <w:szCs w:val="22"/>
        </w:rPr>
      </w:pPr>
      <w:r w:rsidRPr="00CA3DF8">
        <w:rPr>
          <w:rFonts w:ascii="Arial" w:hAnsi="Arial" w:cs="Arial"/>
          <w:bCs/>
          <w:sz w:val="22"/>
          <w:szCs w:val="22"/>
        </w:rPr>
        <w:t>For example, the following Guidelines are not indicative of significant non-default events:</w:t>
      </w:r>
    </w:p>
    <w:p w14:paraId="42BA4213" w14:textId="77777777" w:rsidR="00327083" w:rsidRPr="00E13C23" w:rsidRDefault="00327083" w:rsidP="00327083">
      <w:pPr>
        <w:pStyle w:val="ListParagraph"/>
        <w:numPr>
          <w:ilvl w:val="0"/>
          <w:numId w:val="6"/>
        </w:numPr>
        <w:tabs>
          <w:tab w:val="clear" w:pos="0"/>
          <w:tab w:val="clear" w:pos="142"/>
          <w:tab w:val="clear" w:pos="284"/>
          <w:tab w:val="clear" w:pos="567"/>
        </w:tabs>
        <w:autoSpaceDE/>
        <w:autoSpaceDN/>
        <w:adjustRightInd/>
        <w:spacing w:after="120" w:line="276" w:lineRule="auto"/>
        <w:contextualSpacing/>
        <w:rPr>
          <w:rFonts w:ascii="Arial" w:hAnsi="Arial" w:cs="Arial"/>
        </w:rPr>
      </w:pPr>
      <w:r>
        <w:rPr>
          <w:rFonts w:ascii="Arial" w:hAnsi="Arial" w:cs="Arial"/>
        </w:rPr>
        <w:t xml:space="preserve">While CCP12 believes the intention of ESMA, regarding </w:t>
      </w:r>
      <w:r w:rsidRPr="006F2AE0">
        <w:rPr>
          <w:rFonts w:ascii="Arial" w:hAnsi="Arial" w:cs="Arial"/>
        </w:rPr>
        <w:t xml:space="preserve">Guideline 1, </w:t>
      </w:r>
      <w:r>
        <w:rPr>
          <w:rFonts w:ascii="Arial" w:hAnsi="Arial" w:cs="Arial"/>
        </w:rPr>
        <w:t>was to capture events relating to a capital deterioration that would</w:t>
      </w:r>
      <w:r w:rsidRPr="006F2AE0">
        <w:rPr>
          <w:rFonts w:ascii="Arial" w:hAnsi="Arial" w:cs="Arial"/>
        </w:rPr>
        <w:t xml:space="preserve"> (or likely will) substantially deplete all of </w:t>
      </w:r>
      <w:r>
        <w:rPr>
          <w:rFonts w:ascii="Arial" w:hAnsi="Arial" w:cs="Arial"/>
        </w:rPr>
        <w:t>the CCP’s</w:t>
      </w:r>
      <w:r w:rsidRPr="006F2AE0">
        <w:rPr>
          <w:rFonts w:ascii="Arial" w:hAnsi="Arial" w:cs="Arial"/>
        </w:rPr>
        <w:t xml:space="preserve"> capital and there is no likely prospect to avoid this</w:t>
      </w:r>
      <w:r>
        <w:rPr>
          <w:rFonts w:ascii="Arial" w:hAnsi="Arial" w:cs="Arial"/>
        </w:rPr>
        <w:t>, the triggers proposed do not clearly achieve this</w:t>
      </w:r>
      <w:r w:rsidRPr="006F2AE0">
        <w:rPr>
          <w:rFonts w:ascii="Arial" w:hAnsi="Arial" w:cs="Arial"/>
        </w:rPr>
        <w:t xml:space="preserve">. </w:t>
      </w:r>
      <w:r>
        <w:rPr>
          <w:rFonts w:ascii="Arial" w:hAnsi="Arial" w:cs="Arial"/>
        </w:rPr>
        <w:t>By way of example, u</w:t>
      </w:r>
      <w:r w:rsidRPr="006F2AE0">
        <w:rPr>
          <w:rFonts w:ascii="Arial" w:hAnsi="Arial" w:cs="Arial"/>
        </w:rPr>
        <w:t xml:space="preserve">nder Guideline 1(b), </w:t>
      </w:r>
      <w:r>
        <w:rPr>
          <w:rFonts w:ascii="Arial" w:hAnsi="Arial" w:cs="Arial"/>
        </w:rPr>
        <w:t>“</w:t>
      </w:r>
      <w:r w:rsidRPr="00E13C23">
        <w:rPr>
          <w:rFonts w:ascii="Arial" w:hAnsi="Arial" w:cs="Arial"/>
        </w:rPr>
        <w:t xml:space="preserve">a significant </w:t>
      </w:r>
      <w:r>
        <w:rPr>
          <w:rFonts w:ascii="Arial" w:hAnsi="Arial" w:cs="Arial"/>
        </w:rPr>
        <w:t xml:space="preserve">capital </w:t>
      </w:r>
      <w:r w:rsidRPr="00E13C23">
        <w:rPr>
          <w:rFonts w:ascii="Arial" w:hAnsi="Arial" w:cs="Arial"/>
        </w:rPr>
        <w:t>deterioration</w:t>
      </w:r>
      <w:r>
        <w:rPr>
          <w:rFonts w:ascii="Arial" w:hAnsi="Arial" w:cs="Arial"/>
        </w:rPr>
        <w:t>”</w:t>
      </w:r>
      <w:r w:rsidRPr="00E13C23">
        <w:rPr>
          <w:rFonts w:ascii="Arial" w:hAnsi="Arial" w:cs="Arial"/>
        </w:rPr>
        <w:t xml:space="preserve"> of the CCP’s buffer could trigger temporary restrictions even if </w:t>
      </w:r>
      <w:r>
        <w:rPr>
          <w:rFonts w:ascii="Arial" w:hAnsi="Arial" w:cs="Arial"/>
        </w:rPr>
        <w:t xml:space="preserve">it does </w:t>
      </w:r>
      <w:r w:rsidRPr="00E13C23">
        <w:rPr>
          <w:rFonts w:ascii="Arial" w:hAnsi="Arial" w:cs="Arial"/>
        </w:rPr>
        <w:t>not hit</w:t>
      </w:r>
      <w:r>
        <w:rPr>
          <w:rFonts w:ascii="Arial" w:hAnsi="Arial" w:cs="Arial"/>
        </w:rPr>
        <w:t xml:space="preserve"> the</w:t>
      </w:r>
      <w:r w:rsidRPr="00DB0518">
        <w:rPr>
          <w:rFonts w:ascii="Arial" w:hAnsi="Arial" w:cs="Arial"/>
        </w:rPr>
        <w:t xml:space="preserve"> notification threshold</w:t>
      </w:r>
      <w:r>
        <w:rPr>
          <w:rFonts w:ascii="Arial" w:hAnsi="Arial" w:cs="Arial"/>
        </w:rPr>
        <w:t xml:space="preserve"> and while ESMA uses the word “significant” by no means is such an event significant, as demonstrated by the maintenance of capital above the buffer amount</w:t>
      </w:r>
      <w:r w:rsidRPr="00E13C23">
        <w:rPr>
          <w:rFonts w:ascii="Arial" w:hAnsi="Arial" w:cs="Arial"/>
        </w:rPr>
        <w:t xml:space="preserve">. Even if </w:t>
      </w:r>
      <w:r>
        <w:rPr>
          <w:rFonts w:ascii="Arial" w:hAnsi="Arial" w:cs="Arial"/>
        </w:rPr>
        <w:t xml:space="preserve">a </w:t>
      </w:r>
      <w:r w:rsidRPr="00E13C23">
        <w:rPr>
          <w:rFonts w:ascii="Arial" w:hAnsi="Arial" w:cs="Arial"/>
        </w:rPr>
        <w:t>CCP losses are well within buffers</w:t>
      </w:r>
      <w:r>
        <w:rPr>
          <w:rFonts w:ascii="Arial" w:hAnsi="Arial" w:cs="Arial"/>
        </w:rPr>
        <w:t xml:space="preserve"> and</w:t>
      </w:r>
      <w:r w:rsidRPr="00DB0518">
        <w:rPr>
          <w:rFonts w:ascii="Arial" w:hAnsi="Arial" w:cs="Arial"/>
        </w:rPr>
        <w:t xml:space="preserve"> within annual projections, a significant deterioration might not breach the CCP’s regulatory capital. In such cases</w:t>
      </w:r>
      <w:r>
        <w:rPr>
          <w:rFonts w:ascii="Arial" w:hAnsi="Arial" w:cs="Arial"/>
        </w:rPr>
        <w:t>,</w:t>
      </w:r>
      <w:r w:rsidRPr="00DB0518">
        <w:rPr>
          <w:rFonts w:ascii="Arial" w:hAnsi="Arial" w:cs="Arial"/>
        </w:rPr>
        <w:t xml:space="preserve"> temporary restrictions should not apply. </w:t>
      </w:r>
      <w:r>
        <w:rPr>
          <w:rFonts w:ascii="Arial" w:hAnsi="Arial" w:cs="Arial"/>
        </w:rPr>
        <w:t xml:space="preserve">Recognizing that ESMA must adopt Guidelines in this area, </w:t>
      </w:r>
      <w:r w:rsidRPr="00E13C23">
        <w:rPr>
          <w:rFonts w:ascii="Arial" w:hAnsi="Arial" w:cs="Arial"/>
        </w:rPr>
        <w:t>CCP12 suggests</w:t>
      </w:r>
      <w:r>
        <w:rPr>
          <w:rFonts w:ascii="Arial" w:hAnsi="Arial" w:cs="Arial"/>
        </w:rPr>
        <w:t xml:space="preserve"> altogether</w:t>
      </w:r>
      <w:r w:rsidRPr="00E13C23">
        <w:rPr>
          <w:rFonts w:ascii="Arial" w:hAnsi="Arial" w:cs="Arial"/>
        </w:rPr>
        <w:t xml:space="preserve"> deleting 1(b) and keeping 1(a) as guidance</w:t>
      </w:r>
      <w:r>
        <w:rPr>
          <w:rFonts w:ascii="Arial" w:hAnsi="Arial" w:cs="Arial"/>
        </w:rPr>
        <w:t>, but also making clear that events that trigger the use of restrictions are dependent on the occurrence of events that would</w:t>
      </w:r>
      <w:r w:rsidRPr="00AA27BA">
        <w:rPr>
          <w:rFonts w:ascii="Arial" w:hAnsi="Arial" w:cs="Arial"/>
        </w:rPr>
        <w:t xml:space="preserve"> (or likely will) substantially deplete all of </w:t>
      </w:r>
      <w:r>
        <w:rPr>
          <w:rFonts w:ascii="Arial" w:hAnsi="Arial" w:cs="Arial"/>
        </w:rPr>
        <w:t>the CCP’s</w:t>
      </w:r>
      <w:r w:rsidRPr="00AA27BA">
        <w:rPr>
          <w:rFonts w:ascii="Arial" w:hAnsi="Arial" w:cs="Arial"/>
        </w:rPr>
        <w:t xml:space="preserve"> capital and there is no likely prospect to avoid this</w:t>
      </w:r>
      <w:r w:rsidRPr="00E13C23">
        <w:rPr>
          <w:rFonts w:ascii="Arial" w:hAnsi="Arial" w:cs="Arial"/>
        </w:rPr>
        <w:t>.</w:t>
      </w:r>
    </w:p>
    <w:p w14:paraId="7E85A34C" w14:textId="77777777" w:rsidR="00327083" w:rsidRPr="00E13C23" w:rsidRDefault="00327083" w:rsidP="00327083">
      <w:pPr>
        <w:pStyle w:val="ListParagraph"/>
        <w:numPr>
          <w:ilvl w:val="0"/>
          <w:numId w:val="6"/>
        </w:numPr>
        <w:tabs>
          <w:tab w:val="clear" w:pos="0"/>
          <w:tab w:val="clear" w:pos="142"/>
          <w:tab w:val="clear" w:pos="284"/>
          <w:tab w:val="clear" w:pos="567"/>
        </w:tabs>
        <w:autoSpaceDE/>
        <w:autoSpaceDN/>
        <w:adjustRightInd/>
        <w:spacing w:after="120" w:line="276" w:lineRule="auto"/>
        <w:contextualSpacing/>
        <w:rPr>
          <w:rFonts w:ascii="Arial" w:hAnsi="Arial" w:cs="Arial"/>
        </w:rPr>
      </w:pPr>
      <w:r>
        <w:rPr>
          <w:rFonts w:ascii="Arial" w:hAnsi="Arial" w:cs="Arial"/>
        </w:rPr>
        <w:t>While CCP12 believes the intention of ESMA, with regard to Guideline 2, was to capture events that would leave the CCP unable to provide its critical clearing services in a safe and sound manner (i.e., its viability clearly is in question), the triggers proposed do not clearly do this. By way of example, u</w:t>
      </w:r>
      <w:r w:rsidRPr="00E13C23">
        <w:rPr>
          <w:rFonts w:ascii="Arial" w:hAnsi="Arial" w:cs="Arial"/>
        </w:rPr>
        <w:t xml:space="preserve">nder Guideline 2, the failure of a critical third-party entity preventing the CCP from operating its full clearing service, should not be an indicator kicking off Article 45(a) restrictions as the CCP has no control over a third-party entity. Third-party providers are chosen based on extensive due diligence reviews which cover all possible operational risk and compliance issues before the final decision is made. Their operational capabilities under extraordinary market conditions can be assessed to a certain extent and those institutions are also regulated entities. Therefore, CCPs only have limited control and supervision of our third-party providers. Additionally, regarding the potential loss of clearing volumes or </w:t>
      </w:r>
      <w:r w:rsidRPr="00E13C23">
        <w:rPr>
          <w:rFonts w:ascii="Arial" w:hAnsi="Arial" w:cs="Arial"/>
        </w:rPr>
        <w:lastRenderedPageBreak/>
        <w:t xml:space="preserve">clearing members, a reduction of volumes or number of clearing memberships is not directly related to the CCP’s business activities or its ability to perform at the required level. </w:t>
      </w:r>
    </w:p>
    <w:p w14:paraId="67D696FD" w14:textId="77777777" w:rsidR="00327083" w:rsidRDefault="00327083" w:rsidP="00327083">
      <w:pPr>
        <w:pStyle w:val="ListParagraph"/>
        <w:spacing w:line="276" w:lineRule="auto"/>
        <w:rPr>
          <w:rFonts w:ascii="Arial" w:hAnsi="Arial" w:cs="Arial"/>
        </w:rPr>
      </w:pPr>
    </w:p>
    <w:p w14:paraId="2E6B55D5" w14:textId="77777777" w:rsidR="00327083" w:rsidRPr="00E13C23" w:rsidRDefault="00327083" w:rsidP="00327083">
      <w:pPr>
        <w:pStyle w:val="ListParagraph"/>
        <w:spacing w:line="276" w:lineRule="auto"/>
        <w:rPr>
          <w:rFonts w:ascii="Arial" w:hAnsi="Arial" w:cs="Arial"/>
        </w:rPr>
      </w:pPr>
      <w:r>
        <w:rPr>
          <w:rFonts w:ascii="Arial" w:hAnsi="Arial" w:cs="Arial"/>
        </w:rPr>
        <w:t xml:space="preserve">Regarding both events described above, they are not necessarily indicative of any shortcomings in risk management or that the CCP can no longer provide its critical clearing services in a safe and sound manner. </w:t>
      </w:r>
      <w:r w:rsidRPr="00E13C23">
        <w:rPr>
          <w:rFonts w:ascii="Arial" w:hAnsi="Arial" w:cs="Arial"/>
        </w:rPr>
        <w:t xml:space="preserve">Therefore, </w:t>
      </w:r>
      <w:r>
        <w:rPr>
          <w:rFonts w:ascii="Arial" w:hAnsi="Arial" w:cs="Arial"/>
        </w:rPr>
        <w:t>recognizing that ESMA must adopt Guidelines in this area,</w:t>
      </w:r>
      <w:r w:rsidRPr="006C1C8A">
        <w:rPr>
          <w:rFonts w:ascii="Arial" w:hAnsi="Arial" w:cs="Arial"/>
        </w:rPr>
        <w:t xml:space="preserve"> </w:t>
      </w:r>
      <w:r w:rsidRPr="00E13C23">
        <w:rPr>
          <w:rFonts w:ascii="Arial" w:hAnsi="Arial" w:cs="Arial"/>
        </w:rPr>
        <w:t>CCP12 would suggest retaining the first paragraph (i.e. material operational event with significant medium term financial impact) and remov</w:t>
      </w:r>
      <w:r>
        <w:rPr>
          <w:rFonts w:ascii="Arial" w:hAnsi="Arial" w:cs="Arial"/>
        </w:rPr>
        <w:t>ing</w:t>
      </w:r>
      <w:r w:rsidRPr="00E13C23">
        <w:rPr>
          <w:rFonts w:ascii="Arial" w:hAnsi="Arial" w:cs="Arial"/>
        </w:rPr>
        <w:t xml:space="preserve"> the second and third sub paragraphs (i.e. third-party event and the drop in volumes)</w:t>
      </w:r>
      <w:r>
        <w:rPr>
          <w:rFonts w:ascii="Arial" w:hAnsi="Arial" w:cs="Arial"/>
        </w:rPr>
        <w:t>, but also making clear that events that trigger the use of restrictions are dependent on the occurrence of events that would</w:t>
      </w:r>
      <w:r w:rsidRPr="00AA27BA">
        <w:rPr>
          <w:rFonts w:ascii="Arial" w:hAnsi="Arial" w:cs="Arial"/>
        </w:rPr>
        <w:t xml:space="preserve"> </w:t>
      </w:r>
      <w:r>
        <w:rPr>
          <w:rFonts w:ascii="Arial" w:hAnsi="Arial" w:cs="Arial"/>
        </w:rPr>
        <w:t>leave the CCP unable to provide its critical clearing services in a safe and sound manner (i.e., its viability is clearly in question)</w:t>
      </w:r>
      <w:r w:rsidRPr="00E13C23">
        <w:rPr>
          <w:rFonts w:ascii="Arial" w:hAnsi="Arial" w:cs="Arial"/>
        </w:rPr>
        <w:t>.</w:t>
      </w:r>
    </w:p>
    <w:p w14:paraId="66C891C3" w14:textId="77777777" w:rsidR="00327083" w:rsidRPr="00E13C23" w:rsidRDefault="00327083" w:rsidP="00327083">
      <w:pPr>
        <w:spacing w:after="0" w:line="276" w:lineRule="auto"/>
        <w:jc w:val="both"/>
        <w:rPr>
          <w:rFonts w:ascii="Arial" w:hAnsi="Arial" w:cs="Arial"/>
        </w:rPr>
      </w:pPr>
      <w:r>
        <w:rPr>
          <w:rFonts w:ascii="Arial" w:hAnsi="Arial" w:cs="Arial"/>
        </w:rPr>
        <w:t>Notwithstanding the above, for avoidance of doubt, CCP12 notes that the triggers for the use of temporary restrictions should be dependent on an event having, or likely having, a severe adverse effect on the financial stability of the EU.</w:t>
      </w:r>
    </w:p>
    <w:p w14:paraId="0175AEBA" w14:textId="7AD5BC42" w:rsidR="00C83836" w:rsidRPr="00D22F88" w:rsidRDefault="00C83836" w:rsidP="00C83836">
      <w:pPr>
        <w:rPr>
          <w:rFonts w:ascii="Arial" w:hAnsi="Arial" w:cs="Arial"/>
          <w:sz w:val="24"/>
          <w:szCs w:val="24"/>
        </w:rPr>
      </w:pPr>
      <w:r w:rsidRPr="00D22F88">
        <w:rPr>
          <w:rFonts w:ascii="Arial" w:hAnsi="Arial" w:cs="Arial"/>
          <w:sz w:val="24"/>
          <w:szCs w:val="24"/>
        </w:rPr>
        <w:t>&lt;ESMA_QUESTION_DVDS_01&gt;</w:t>
      </w:r>
    </w:p>
    <w:p w14:paraId="1ABCC826" w14:textId="77777777" w:rsidR="00C83836" w:rsidRPr="00D22F88" w:rsidRDefault="00C83836" w:rsidP="00C83836">
      <w:pPr>
        <w:rPr>
          <w:rFonts w:ascii="Arial" w:hAnsi="Arial" w:cs="Arial"/>
          <w:b/>
          <w:sz w:val="24"/>
          <w:szCs w:val="24"/>
        </w:rPr>
      </w:pPr>
    </w:p>
    <w:p w14:paraId="57572495" w14:textId="16FBAE21" w:rsidR="00C83836" w:rsidRPr="00D22F88" w:rsidRDefault="00C83836" w:rsidP="00D22F88">
      <w:pPr>
        <w:pStyle w:val="Questionstyle"/>
        <w:rPr>
          <w:rFonts w:ascii="Arial" w:hAnsi="Arial" w:cs="Arial"/>
          <w:sz w:val="24"/>
          <w:szCs w:val="24"/>
        </w:rPr>
      </w:pPr>
      <w:r w:rsidRPr="00D22F88">
        <w:rPr>
          <w:rFonts w:ascii="Arial" w:hAnsi="Arial" w:cs="Arial"/>
          <w:sz w:val="24"/>
          <w:szCs w:val="24"/>
        </w:rPr>
        <w:t xml:space="preserve">: If you prefer other indicators, please describe them and why they would be more suitable.  </w:t>
      </w:r>
    </w:p>
    <w:p w14:paraId="4523581C" w14:textId="59BF47B2" w:rsidR="00C83836" w:rsidRPr="00D22F88" w:rsidRDefault="00C83836" w:rsidP="00C83836">
      <w:pPr>
        <w:rPr>
          <w:rFonts w:ascii="Arial" w:hAnsi="Arial" w:cs="Arial"/>
          <w:sz w:val="24"/>
          <w:szCs w:val="24"/>
        </w:rPr>
      </w:pPr>
      <w:r w:rsidRPr="00D22F88">
        <w:rPr>
          <w:rFonts w:ascii="Arial" w:hAnsi="Arial" w:cs="Arial"/>
          <w:sz w:val="24"/>
          <w:szCs w:val="24"/>
        </w:rPr>
        <w:t>&lt;ESMA_QUESTION_DVDS_02&gt;</w:t>
      </w:r>
    </w:p>
    <w:p w14:paraId="1AF6D835" w14:textId="77777777" w:rsidR="00452358" w:rsidRPr="000B184A" w:rsidRDefault="00452358" w:rsidP="00452358">
      <w:pPr>
        <w:autoSpaceDE w:val="0"/>
        <w:autoSpaceDN w:val="0"/>
        <w:adjustRightInd w:val="0"/>
        <w:spacing w:after="0" w:line="276" w:lineRule="auto"/>
        <w:rPr>
          <w:rFonts w:ascii="Arial" w:hAnsi="Arial" w:cs="Arial"/>
          <w:color w:val="000000"/>
        </w:rPr>
      </w:pPr>
      <w:r w:rsidRPr="000B184A">
        <w:rPr>
          <w:rFonts w:ascii="Arial" w:hAnsi="Arial" w:cs="Arial"/>
          <w:color w:val="000000"/>
        </w:rPr>
        <w:t>No comment.</w:t>
      </w:r>
    </w:p>
    <w:p w14:paraId="00881B39" w14:textId="7FD0FE52" w:rsidR="00C83836" w:rsidRPr="00D22F88" w:rsidRDefault="00C83836" w:rsidP="00C83836">
      <w:pPr>
        <w:rPr>
          <w:rFonts w:ascii="Arial" w:hAnsi="Arial" w:cs="Arial"/>
          <w:sz w:val="24"/>
          <w:szCs w:val="24"/>
        </w:rPr>
      </w:pPr>
      <w:r w:rsidRPr="00D22F88">
        <w:rPr>
          <w:rFonts w:ascii="Arial" w:hAnsi="Arial" w:cs="Arial"/>
          <w:sz w:val="24"/>
          <w:szCs w:val="24"/>
        </w:rPr>
        <w:t>&lt;ESMA_QUESTION_DVDS_02&gt;</w:t>
      </w:r>
    </w:p>
    <w:p w14:paraId="00890E63" w14:textId="77777777" w:rsidR="00C83836" w:rsidRPr="00D22F88" w:rsidRDefault="00C83836" w:rsidP="00C83836">
      <w:pPr>
        <w:rPr>
          <w:rFonts w:ascii="Arial" w:hAnsi="Arial" w:cs="Arial"/>
          <w:sz w:val="24"/>
          <w:szCs w:val="24"/>
        </w:rPr>
      </w:pPr>
    </w:p>
    <w:p w14:paraId="24F993AE" w14:textId="16BCBF3C" w:rsidR="00C83836" w:rsidRPr="00D22F88" w:rsidRDefault="00C83836" w:rsidP="00D22F88">
      <w:pPr>
        <w:pStyle w:val="Questionstyle"/>
        <w:rPr>
          <w:rFonts w:ascii="Arial" w:hAnsi="Arial" w:cs="Arial"/>
          <w:sz w:val="24"/>
          <w:szCs w:val="24"/>
        </w:rPr>
      </w:pPr>
      <w:r w:rsidRPr="00D22F88">
        <w:rPr>
          <w:rFonts w:ascii="Arial" w:hAnsi="Arial" w:cs="Arial"/>
          <w:sz w:val="24"/>
          <w:szCs w:val="24"/>
        </w:rPr>
        <w:t>: Do you agree with the Option 2 of the cost-benefit analysis, if not please explain? Have you identified other benefits and costs not mentioned above associated to the proposed approach (Option 2)?</w:t>
      </w:r>
    </w:p>
    <w:p w14:paraId="15A34387" w14:textId="5EF7FC72" w:rsidR="00C83836" w:rsidRPr="00D22F88" w:rsidRDefault="00C83836" w:rsidP="00C83836">
      <w:pPr>
        <w:rPr>
          <w:rFonts w:ascii="Arial" w:hAnsi="Arial" w:cs="Arial"/>
          <w:sz w:val="24"/>
          <w:szCs w:val="24"/>
        </w:rPr>
      </w:pPr>
      <w:bookmarkStart w:id="0" w:name="_Hlk76119363"/>
      <w:r w:rsidRPr="00D22F88">
        <w:rPr>
          <w:rFonts w:ascii="Arial" w:hAnsi="Arial" w:cs="Arial"/>
          <w:sz w:val="24"/>
          <w:szCs w:val="24"/>
        </w:rPr>
        <w:t>&lt;ESMA_QUESTION_DVDS_03&gt;</w:t>
      </w:r>
    </w:p>
    <w:p w14:paraId="4FB48A10" w14:textId="77777777" w:rsidR="008A523B" w:rsidRPr="00A60012" w:rsidRDefault="008A523B" w:rsidP="008A523B">
      <w:pPr>
        <w:autoSpaceDE w:val="0"/>
        <w:autoSpaceDN w:val="0"/>
        <w:adjustRightInd w:val="0"/>
        <w:spacing w:after="0" w:line="276" w:lineRule="auto"/>
        <w:rPr>
          <w:rFonts w:ascii="Arial" w:hAnsi="Arial" w:cs="Arial"/>
          <w:color w:val="000000"/>
        </w:rPr>
      </w:pPr>
      <w:r>
        <w:rPr>
          <w:rFonts w:ascii="Arial" w:hAnsi="Arial" w:cs="Arial"/>
          <w:color w:val="000000"/>
        </w:rPr>
        <w:t>No comment.</w:t>
      </w:r>
    </w:p>
    <w:p w14:paraId="5FB976E4" w14:textId="148F6BFB" w:rsidR="00C83836" w:rsidRPr="00D22F88" w:rsidRDefault="00C83836" w:rsidP="00C83836">
      <w:pPr>
        <w:rPr>
          <w:rFonts w:ascii="Arial" w:hAnsi="Arial" w:cs="Arial"/>
          <w:sz w:val="24"/>
          <w:szCs w:val="24"/>
        </w:rPr>
      </w:pPr>
      <w:r w:rsidRPr="00D22F88">
        <w:rPr>
          <w:rFonts w:ascii="Arial" w:hAnsi="Arial" w:cs="Arial"/>
          <w:sz w:val="24"/>
          <w:szCs w:val="24"/>
        </w:rPr>
        <w:t>&lt;ESMA_QUESTION_DVDS_03&gt;</w:t>
      </w:r>
    </w:p>
    <w:bookmarkEnd w:id="0"/>
    <w:p w14:paraId="6912F6B5" w14:textId="77777777" w:rsidR="00C83836" w:rsidRPr="00D22F88" w:rsidRDefault="00C83836" w:rsidP="00C83836">
      <w:pPr>
        <w:rPr>
          <w:rFonts w:ascii="Arial" w:hAnsi="Arial" w:cs="Arial"/>
          <w:sz w:val="24"/>
          <w:szCs w:val="24"/>
        </w:rPr>
      </w:pPr>
    </w:p>
    <w:p w14:paraId="178F793D" w14:textId="408391FF" w:rsidR="00C83836" w:rsidRPr="00D22F88" w:rsidRDefault="00C83836" w:rsidP="00D22F88">
      <w:pPr>
        <w:pStyle w:val="Questionstyle"/>
        <w:rPr>
          <w:rFonts w:ascii="Arial" w:hAnsi="Arial" w:cs="Arial"/>
          <w:sz w:val="24"/>
          <w:szCs w:val="24"/>
        </w:rPr>
      </w:pPr>
      <w:r w:rsidRPr="00D22F88">
        <w:rPr>
          <w:rFonts w:ascii="Arial" w:hAnsi="Arial" w:cs="Arial"/>
          <w:sz w:val="24"/>
          <w:szCs w:val="24"/>
        </w:rPr>
        <w:t>: If you advocated for a different approach, how would it impact the cost and benefit assessment? Please provide details.</w:t>
      </w:r>
    </w:p>
    <w:p w14:paraId="762AD9D2" w14:textId="77777777" w:rsidR="00C83836" w:rsidRPr="00D22F88" w:rsidRDefault="00C83836" w:rsidP="00D22F88">
      <w:pPr>
        <w:pStyle w:val="Questionstyle"/>
        <w:numPr>
          <w:ilvl w:val="0"/>
          <w:numId w:val="0"/>
        </w:numPr>
        <w:rPr>
          <w:rFonts w:ascii="Arial" w:hAnsi="Arial" w:cs="Arial"/>
          <w:sz w:val="24"/>
          <w:szCs w:val="24"/>
        </w:rPr>
      </w:pPr>
    </w:p>
    <w:p w14:paraId="64F34420" w14:textId="5AF78224" w:rsidR="00C83836" w:rsidRPr="00D22F88" w:rsidRDefault="00C83836" w:rsidP="00D22F88">
      <w:pPr>
        <w:pStyle w:val="Questionstyle"/>
        <w:numPr>
          <w:ilvl w:val="0"/>
          <w:numId w:val="0"/>
        </w:numPr>
        <w:rPr>
          <w:rFonts w:ascii="Arial" w:hAnsi="Arial" w:cs="Arial"/>
          <w:sz w:val="24"/>
          <w:szCs w:val="24"/>
        </w:rPr>
      </w:pPr>
      <w:r w:rsidRPr="00D22F88">
        <w:rPr>
          <w:rFonts w:ascii="Arial" w:hAnsi="Arial" w:cs="Arial"/>
          <w:sz w:val="24"/>
          <w:szCs w:val="24"/>
        </w:rPr>
        <w:t>&lt;ESMA_QUESTION_DVDS_04&gt;</w:t>
      </w:r>
    </w:p>
    <w:p w14:paraId="6D7E7530" w14:textId="77777777" w:rsidR="00062209" w:rsidRDefault="00062209" w:rsidP="00062209">
      <w:pPr>
        <w:autoSpaceDE w:val="0"/>
        <w:autoSpaceDN w:val="0"/>
        <w:adjustRightInd w:val="0"/>
        <w:spacing w:after="0" w:line="276" w:lineRule="auto"/>
        <w:rPr>
          <w:rFonts w:ascii="Arial" w:hAnsi="Arial" w:cs="Arial"/>
          <w:color w:val="000000"/>
        </w:rPr>
      </w:pPr>
      <w:r w:rsidRPr="000B184A">
        <w:rPr>
          <w:rFonts w:ascii="Arial" w:hAnsi="Arial" w:cs="Arial"/>
          <w:color w:val="000000"/>
        </w:rPr>
        <w:t>No comment.</w:t>
      </w:r>
    </w:p>
    <w:p w14:paraId="27B87637" w14:textId="501C29F3" w:rsidR="00C83836" w:rsidRPr="00D22F88" w:rsidRDefault="00C83836" w:rsidP="00C83836">
      <w:pPr>
        <w:rPr>
          <w:rFonts w:ascii="Arial" w:hAnsi="Arial" w:cs="Arial"/>
          <w:b/>
          <w:sz w:val="24"/>
          <w:szCs w:val="24"/>
        </w:rPr>
      </w:pPr>
      <w:r w:rsidRPr="00D22F88">
        <w:rPr>
          <w:rFonts w:ascii="Arial" w:hAnsi="Arial" w:cs="Arial"/>
          <w:sz w:val="24"/>
          <w:szCs w:val="24"/>
        </w:rPr>
        <w:t>&lt;ESMA_QUESTION_DVDS_04&gt;</w:t>
      </w:r>
      <w:r w:rsidRPr="00D22F88">
        <w:rPr>
          <w:rFonts w:ascii="Arial" w:hAnsi="Arial" w:cs="Arial"/>
          <w:b/>
          <w:sz w:val="24"/>
          <w:szCs w:val="24"/>
        </w:rPr>
        <w:t xml:space="preserve"> </w:t>
      </w:r>
    </w:p>
    <w:p w14:paraId="165FB59D" w14:textId="77777777" w:rsidR="00420702" w:rsidRDefault="00420702"/>
    <w:sectPr w:rsidR="004207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CB03" w14:textId="77777777" w:rsidR="00F33010" w:rsidRDefault="00F33010">
      <w:pPr>
        <w:spacing w:after="0" w:line="240" w:lineRule="auto"/>
      </w:pPr>
      <w:r>
        <w:separator/>
      </w:r>
    </w:p>
  </w:endnote>
  <w:endnote w:type="continuationSeparator" w:id="0">
    <w:p w14:paraId="4812603C" w14:textId="77777777" w:rsidR="00F33010" w:rsidRDefault="00F3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D561D62" w14:textId="77777777" w:rsidR="005D12F3" w:rsidRDefault="00C8383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BB1E27D" w14:textId="77777777" w:rsidR="005D12F3" w:rsidRDefault="0006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67CC" w14:textId="430F3126" w:rsidR="005D12F3" w:rsidRPr="00D22F88" w:rsidRDefault="00C83836"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1C0159">
      <w:rPr>
        <w:rFonts w:asciiTheme="majorHAnsi" w:hAnsiTheme="majorHAnsi"/>
        <w:color w:val="000000" w:themeColor="text1"/>
      </w:rPr>
      <w:tab/>
    </w:r>
    <w:r w:rsidRPr="00D22F88">
      <w:rPr>
        <w:rFonts w:asciiTheme="minorHAnsi" w:hAnsiTheme="minorHAnsi" w:cstheme="minorHAnsi"/>
        <w:color w:val="FFFFFF" w:themeColor="background1"/>
      </w:rPr>
      <w:t>1</w:t>
    </w:r>
    <w:r w:rsidR="00D22F88">
      <w:rPr>
        <w:rFonts w:asciiTheme="minorHAnsi" w:hAnsiTheme="minorHAnsi" w:cstheme="minorHAnsi"/>
        <w:color w:val="FFFFFF" w:themeColor="background1"/>
      </w:rPr>
      <w:t>2</w:t>
    </w:r>
    <w:r w:rsidRPr="00D22F88">
      <w:rPr>
        <w:rFonts w:asciiTheme="minorHAnsi" w:hAnsiTheme="minorHAnsi" w:cstheme="minorHAnsi"/>
        <w:color w:val="FFFFFF" w:themeColor="background1"/>
      </w:rPr>
      <w:t xml:space="preserve"> </w:t>
    </w:r>
    <w:r w:rsidR="00D22F88">
      <w:rPr>
        <w:rFonts w:asciiTheme="minorHAnsi" w:hAnsiTheme="minorHAnsi" w:cstheme="minorHAnsi"/>
        <w:color w:val="FFFFFF" w:themeColor="background1"/>
      </w:rPr>
      <w:t>July</w:t>
    </w:r>
    <w:r w:rsidRPr="00D22F88">
      <w:rPr>
        <w:rFonts w:asciiTheme="minorHAnsi" w:hAnsiTheme="minorHAnsi" w:cstheme="minorHAnsi"/>
        <w:color w:val="FFFFFF" w:themeColor="background1"/>
      </w:rPr>
      <w:t xml:space="preserve"> 2021 | </w:t>
    </w:r>
    <w:r w:rsidR="00D22F88">
      <w:rPr>
        <w:rFonts w:asciiTheme="minorHAnsi" w:hAnsiTheme="minorHAnsi" w:cstheme="minorHAnsi"/>
        <w:color w:val="FFFFFF" w:themeColor="background1"/>
      </w:rPr>
      <w:t>ESMA91</w:t>
    </w:r>
    <w:r w:rsidRPr="00D22F88">
      <w:rPr>
        <w:rFonts w:asciiTheme="minorHAnsi" w:hAnsiTheme="minorHAnsi" w:cstheme="minorHAnsi"/>
        <w:color w:val="FFFFFF" w:themeColor="background1"/>
      </w:rPr>
      <w:t>-</w:t>
    </w:r>
    <w:r w:rsidR="00D22F88">
      <w:rPr>
        <w:rFonts w:asciiTheme="minorHAnsi" w:hAnsiTheme="minorHAnsi" w:cstheme="minorHAnsi"/>
        <w:color w:val="FFFFFF" w:themeColor="background1"/>
      </w:rPr>
      <w:t>372</w:t>
    </w:r>
    <w:r w:rsidRPr="00D22F88">
      <w:rPr>
        <w:rFonts w:asciiTheme="minorHAnsi" w:hAnsiTheme="minorHAnsi" w:cstheme="minorHAnsi"/>
        <w:color w:val="FFFFFF" w:themeColor="background1"/>
      </w:rPr>
      <w:t>-</w:t>
    </w:r>
    <w:r w:rsidR="00D22F88">
      <w:rPr>
        <w:rFonts w:asciiTheme="minorHAnsi" w:hAnsiTheme="minorHAnsi" w:cstheme="minorHAnsi"/>
        <w:color w:val="FFFFFF" w:themeColor="background1"/>
      </w:rPr>
      <w:t>1555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2722" w14:textId="77777777" w:rsidR="00F33010" w:rsidRDefault="00F33010">
      <w:pPr>
        <w:spacing w:after="0" w:line="240" w:lineRule="auto"/>
      </w:pPr>
      <w:r>
        <w:separator/>
      </w:r>
    </w:p>
  </w:footnote>
  <w:footnote w:type="continuationSeparator" w:id="0">
    <w:p w14:paraId="420A3933" w14:textId="77777777" w:rsidR="00F33010" w:rsidRDefault="00F3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DD6B" w14:textId="77777777" w:rsidR="005D12F3" w:rsidRDefault="00062209">
    <w:pPr>
      <w:pStyle w:val="Header"/>
    </w:pPr>
  </w:p>
  <w:p w14:paraId="340E2471" w14:textId="77777777" w:rsidR="005D12F3" w:rsidRDefault="0006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BA92" w14:textId="77777777" w:rsidR="005D12F3" w:rsidRDefault="00C83836">
    <w:pPr>
      <w:pStyle w:val="Header"/>
    </w:pPr>
    <w:r>
      <w:rPr>
        <w:noProof/>
      </w:rPr>
      <w:drawing>
        <wp:anchor distT="0" distB="0" distL="114300" distR="114300" simplePos="0" relativeHeight="251660288" behindDoc="0" locked="0" layoutInCell="1" allowOverlap="1" wp14:anchorId="1C07426E" wp14:editId="5D8C40E3">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8A236E1" wp14:editId="32203D97">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337"/>
    <w:multiLevelType w:val="hybridMultilevel"/>
    <w:tmpl w:val="15141D26"/>
    <w:lvl w:ilvl="0" w:tplc="ADA07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08249124"/>
    <w:lvl w:ilvl="0" w:tplc="A50C606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B2"/>
    <w:rsid w:val="00062209"/>
    <w:rsid w:val="00272BB7"/>
    <w:rsid w:val="00327083"/>
    <w:rsid w:val="00357453"/>
    <w:rsid w:val="00420702"/>
    <w:rsid w:val="00452358"/>
    <w:rsid w:val="005A5F07"/>
    <w:rsid w:val="0072426E"/>
    <w:rsid w:val="008A523B"/>
    <w:rsid w:val="00910CBC"/>
    <w:rsid w:val="00C2595E"/>
    <w:rsid w:val="00C83836"/>
    <w:rsid w:val="00D22F88"/>
    <w:rsid w:val="00E874B2"/>
    <w:rsid w:val="00F33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352"/>
  <w15:chartTrackingRefBased/>
  <w15:docId w15:val="{C0F8419C-C015-4B28-BFCE-EEA37E8B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36"/>
  </w:style>
  <w:style w:type="paragraph" w:styleId="Heading1">
    <w:name w:val="heading 1"/>
    <w:basedOn w:val="Normal"/>
    <w:next w:val="Normal"/>
    <w:link w:val="Heading1Char"/>
    <w:qFormat/>
    <w:rsid w:val="00C83836"/>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C83836"/>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C83836"/>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C83836"/>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C83836"/>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C83836"/>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C83836"/>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C83836"/>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B2"/>
    <w:rPr>
      <w:rFonts w:ascii="Segoe UI" w:hAnsi="Segoe UI" w:cs="Segoe UI"/>
      <w:sz w:val="18"/>
      <w:szCs w:val="18"/>
    </w:rPr>
  </w:style>
  <w:style w:type="character" w:customStyle="1" w:styleId="Heading1Char">
    <w:name w:val="Heading 1 Char"/>
    <w:basedOn w:val="DefaultParagraphFont"/>
    <w:link w:val="Heading1"/>
    <w:rsid w:val="00C83836"/>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C83836"/>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C83836"/>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C83836"/>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C83836"/>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C83836"/>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C83836"/>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C83836"/>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C83836"/>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C83836"/>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C83836"/>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C838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C8383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8383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83836"/>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22F88"/>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22F88"/>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C83836"/>
    <w:rPr>
      <w:rFonts w:eastAsiaTheme="majorEastAsia" w:cstheme="minorHAnsi"/>
      <w:lang w:eastAsia="en-GB"/>
    </w:rPr>
  </w:style>
  <w:style w:type="character" w:styleId="CommentReference">
    <w:name w:val="annotation reference"/>
    <w:basedOn w:val="DefaultParagraphFont"/>
    <w:uiPriority w:val="99"/>
    <w:semiHidden/>
    <w:unhideWhenUsed/>
    <w:rsid w:val="00C83836"/>
    <w:rPr>
      <w:sz w:val="16"/>
      <w:szCs w:val="16"/>
    </w:rPr>
  </w:style>
  <w:style w:type="paragraph" w:styleId="CommentText">
    <w:name w:val="annotation text"/>
    <w:basedOn w:val="Normal"/>
    <w:link w:val="CommentTextChar"/>
    <w:uiPriority w:val="99"/>
    <w:semiHidden/>
    <w:unhideWhenUsed/>
    <w:rsid w:val="00C83836"/>
    <w:pPr>
      <w:spacing w:line="240" w:lineRule="auto"/>
    </w:pPr>
    <w:rPr>
      <w:sz w:val="20"/>
      <w:szCs w:val="20"/>
    </w:rPr>
  </w:style>
  <w:style w:type="character" w:customStyle="1" w:styleId="CommentTextChar">
    <w:name w:val="Comment Text Char"/>
    <w:basedOn w:val="DefaultParagraphFont"/>
    <w:link w:val="CommentText"/>
    <w:uiPriority w:val="99"/>
    <w:semiHidden/>
    <w:rsid w:val="00C83836"/>
    <w:rPr>
      <w:sz w:val="20"/>
      <w:szCs w:val="20"/>
    </w:rPr>
  </w:style>
  <w:style w:type="paragraph" w:styleId="NoSpacing">
    <w:name w:val="No Spacing"/>
    <w:uiPriority w:val="1"/>
    <w:qFormat/>
    <w:rsid w:val="00327083"/>
    <w:pPr>
      <w:spacing w:after="0" w:line="240" w:lineRule="auto"/>
    </w:pPr>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ESMA91-372-1555</_dlc_DocId>
    <_dlc_DocIdUrl xmlns="52e67915-6641-4f72-9fe9-b8cc95953e2e">
      <Url>https://sherpa.esma.europa.eu/sites/CCP/_layouts/15/DocIdRedir.aspx?ID=ESMA91-372-1555</Url>
      <Description>ESMA91-372-1555</Description>
    </_dlc_DocIdUrl>
  </documentManagement>
</p:properties>
</file>

<file path=customXml/itemProps1.xml><?xml version="1.0" encoding="utf-8"?>
<ds:datastoreItem xmlns:ds="http://schemas.openxmlformats.org/officeDocument/2006/customXml" ds:itemID="{29E196FE-73FE-43F4-B959-6ABF418FCA81}">
  <ds:schemaRefs>
    <ds:schemaRef ds:uri="http://schemas.microsoft.com/sharepoint/v3/contenttype/forms"/>
  </ds:schemaRefs>
</ds:datastoreItem>
</file>

<file path=customXml/itemProps2.xml><?xml version="1.0" encoding="utf-8"?>
<ds:datastoreItem xmlns:ds="http://schemas.openxmlformats.org/officeDocument/2006/customXml" ds:itemID="{40CAAACE-92CF-4992-8F0F-19D2375DCD44}">
  <ds:schemaRefs>
    <ds:schemaRef ds:uri="http://schemas.microsoft.com/sharepoint/events"/>
  </ds:schemaRefs>
</ds:datastoreItem>
</file>

<file path=customXml/itemProps3.xml><?xml version="1.0" encoding="utf-8"?>
<ds:datastoreItem xmlns:ds="http://schemas.openxmlformats.org/officeDocument/2006/customXml" ds:itemID="{6818C776-319E-48D3-B5AD-C5879D7A6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BB871-19C4-4192-B7FA-56D756E77CDE}">
  <ds:schemaRefs>
    <ds:schemaRef ds:uri="52e67915-6641-4f72-9fe9-b8cc95953e2e"/>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Nadine pique</cp:lastModifiedBy>
  <cp:revision>7</cp:revision>
  <dcterms:created xsi:type="dcterms:W3CDTF">2021-09-17T10:53:00Z</dcterms:created>
  <dcterms:modified xsi:type="dcterms:W3CDTF">2021-09-17T13:51:00Z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58fff893-681c-4b75-93f6-aef70dcc93c4</vt:lpwstr>
  </property>
</Properties>
</file>