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16706" w14:paraId="55D8B106" w14:textId="77777777" w:rsidTr="00D13661">
            <w:trPr>
              <w:trHeight w:hRule="exact" w:val="1492"/>
            </w:trPr>
            <w:tc>
              <w:tcPr>
                <w:tcW w:w="10490" w:type="dxa"/>
                <w:vAlign w:val="bottom"/>
              </w:tcPr>
              <w:p w14:paraId="2A8545EF" w14:textId="57371023" w:rsidR="00AF2EF7" w:rsidRPr="00B16706" w:rsidRDefault="00C1698A" w:rsidP="00D13661">
                <w:pPr>
                  <w:pStyle w:val="ab"/>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w:t>
                </w:r>
                <w:r w:rsidR="008B2AF1" w:rsidRPr="00B16706">
                  <w:rPr>
                    <w:rFonts w:asciiTheme="minorHAnsi" w:hAnsiTheme="minorHAnsi" w:cstheme="minorHAnsi"/>
                    <w:sz w:val="40"/>
                    <w:szCs w:val="40"/>
                  </w:rPr>
                  <w:t xml:space="preserve">Consultation Paper </w:t>
                </w:r>
                <w:r w:rsidR="00B16706" w:rsidRPr="00B16706">
                  <w:rPr>
                    <w:rFonts w:asciiTheme="minorHAnsi" w:hAnsiTheme="minorHAnsi" w:cstheme="minorHAnsi"/>
                    <w:sz w:val="40"/>
                    <w:szCs w:val="40"/>
                  </w:rPr>
                  <w:t>on the clearing and derivative trading obligations in view of the benchmark transition</w:t>
                </w:r>
              </w:p>
            </w:tc>
          </w:tr>
          <w:tr w:rsidR="00AB6157" w:rsidRPr="00B16706" w14:paraId="76D253F5" w14:textId="77777777" w:rsidTr="00D13661">
            <w:trPr>
              <w:trHeight w:hRule="exact" w:val="747"/>
            </w:trPr>
            <w:tc>
              <w:tcPr>
                <w:tcW w:w="10490" w:type="dxa"/>
                <w:tcMar>
                  <w:top w:w="142" w:type="dxa"/>
                </w:tcMar>
              </w:tcPr>
              <w:p w14:paraId="26CF3934" w14:textId="7EE83A86" w:rsidR="00AB6157" w:rsidRPr="00B16706" w:rsidRDefault="00AB6157" w:rsidP="001F23C9">
                <w:pPr>
                  <w:pStyle w:val="2"/>
                  <w:numPr>
                    <w:ilvl w:val="0"/>
                    <w:numId w:val="0"/>
                  </w:numPr>
                  <w:spacing w:before="0"/>
                  <w:rPr>
                    <w:sz w:val="22"/>
                    <w:szCs w:val="22"/>
                  </w:rPr>
                </w:pPr>
              </w:p>
            </w:tc>
          </w:tr>
        </w:tbl>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AF2EF7">
          <w:pPr>
            <w:spacing w:line="276" w:lineRule="auto"/>
            <w:rPr>
              <w:rFonts w:asciiTheme="minorHAnsi" w:hAnsiTheme="minorHAnsi" w:cstheme="minorHAnsi"/>
              <w:sz w:val="20"/>
              <w:szCs w:val="20"/>
            </w:r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3930A39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B16706" w:rsidRPr="00B16706">
            <w:rPr>
              <w:rFonts w:asciiTheme="minorHAnsi" w:eastAsiaTheme="minorEastAsia" w:hAnsiTheme="minorHAnsi" w:cstheme="minorBidi"/>
              <w:b/>
              <w:sz w:val="18"/>
              <w:szCs w:val="16"/>
              <w:lang w:eastAsia="en-US"/>
            </w:rPr>
            <w:t>2 September 2021</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A409C2" w:rsidRDefault="008279D3" w:rsidP="00A409C2">
          <w:pPr>
            <w:pStyle w:val="a"/>
            <w:numPr>
              <w:ilvl w:val="0"/>
              <w:numId w:val="29"/>
            </w:numPr>
            <w:spacing w:after="250" w:line="276" w:lineRule="auto"/>
            <w:rPr>
              <w:rFonts w:eastAsiaTheme="minorEastAsia" w:cstheme="minorBidi"/>
              <w:sz w:val="18"/>
              <w:szCs w:val="16"/>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A409C2">
            <w:rPr>
              <w:rFonts w:eastAsiaTheme="minorEastAsia" w:cstheme="minorBidi"/>
              <w:b/>
              <w:bCs/>
              <w:sz w:val="18"/>
              <w:szCs w:val="16"/>
              <w:lang w:eastAsia="en-US"/>
            </w:rPr>
            <w:t>pdf documents will not be considered except for annexes</w:t>
          </w:r>
          <w:r w:rsidR="00A409C2" w:rsidRPr="00A409C2">
            <w:rPr>
              <w:rFonts w:eastAsiaTheme="minorEastAsia" w:cstheme="minorBidi"/>
              <w:sz w:val="18"/>
              <w:szCs w:val="16"/>
              <w:lang w:eastAsia="en-US"/>
            </w:rPr>
            <w:t>);</w:t>
          </w:r>
        </w:p>
        <w:p w14:paraId="6692798E" w14:textId="17C922B5" w:rsidR="00B16706" w:rsidRPr="00A409C2" w:rsidRDefault="00B16706" w:rsidP="00A409C2">
          <w:pPr>
            <w:pStyle w:val="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_RFRS_1&gt;. Your response to each question has to be framed by the two tags corresponding to the question.</w:t>
          </w:r>
        </w:p>
        <w:p w14:paraId="1C4E226A" w14:textId="1D43AA8A" w:rsidR="00B16706" w:rsidRPr="00A409C2" w:rsidRDefault="00B16706" w:rsidP="00A409C2">
          <w:pPr>
            <w:pStyle w:val="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50F2D8BB" w:rsidR="00B16706" w:rsidRPr="00A409C2" w:rsidRDefault="00B16706" w:rsidP="00A409C2">
          <w:pPr>
            <w:pStyle w:val="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ESMA_RFRS_nameofrespondent_RESPONSEFORM. For example, for a respondent named ABCD, the response form would be entitled ESMA_RFRS_ABCD_RESPONSEFORM.</w:t>
          </w:r>
        </w:p>
        <w:p w14:paraId="28EEA743" w14:textId="38A78F85" w:rsidR="00A02199" w:rsidRPr="00A409C2" w:rsidRDefault="00B16706" w:rsidP="00AF2EF7">
          <w:pPr>
            <w:pStyle w:val="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0AC791C" w14:textId="32E1F568" w:rsidR="00AF2EF7" w:rsidRPr="00B16706" w:rsidRDefault="00A409C2" w:rsidP="00AF2EF7">
      <w:pPr>
        <w:spacing w:after="120" w:line="276" w:lineRule="auto"/>
        <w:rPr>
          <w:rFonts w:asciiTheme="minorHAnsi" w:hAnsiTheme="minorHAnsi" w:cstheme="minorHAnsi"/>
          <w:sz w:val="20"/>
          <w:szCs w:val="20"/>
        </w:rPr>
      </w:pPr>
      <w:r w:rsidRPr="00A409C2">
        <w:rPr>
          <w:rFonts w:ascii="Arial" w:hAnsi="Arial" w:cs="Arial"/>
          <w:sz w:val="18"/>
          <w:szCs w:val="18"/>
          <w:lang w:eastAsia="it-IT"/>
        </w:rPr>
        <w:t>All interested stakeholders are invited to respond to this consultation paper. In particular, responses are sought from counterparties of OTC derivatives transactions which are subject to the clearing obligation or to the derivative trading obligation as well as from CCPs and Trading Venues.</w:t>
      </w:r>
    </w:p>
    <w:p w14:paraId="13AEDA0D" w14:textId="77777777" w:rsidR="00AF2EF7" w:rsidRPr="00B16706" w:rsidRDefault="00AF2EF7" w:rsidP="00AF2EF7">
      <w:pPr>
        <w:spacing w:after="120" w:line="276" w:lineRule="auto"/>
        <w:rPr>
          <w:rFonts w:asciiTheme="minorHAnsi" w:hAnsiTheme="minorHAnsi" w:cstheme="minorHAnsi"/>
          <w:sz w:val="20"/>
          <w:szCs w:val="20"/>
        </w:rPr>
      </w:pPr>
    </w:p>
    <w:p w14:paraId="1F90B8D3" w14:textId="5957C175" w:rsidR="00C85C8B" w:rsidRDefault="00AF2EF7" w:rsidP="008279D3">
      <w:pPr>
        <w:pStyle w:val="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1624C2">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7F4DD90E" w:rsidR="00C85C8B" w:rsidRPr="00B16706" w:rsidRDefault="001624C2" w:rsidP="00C85C8B">
                <w:pPr>
                  <w:rPr>
                    <w:rFonts w:ascii="Arial" w:hAnsi="Arial" w:cs="Arial"/>
                    <w:color w:val="808080"/>
                    <w:sz w:val="16"/>
                    <w:szCs w:val="20"/>
                    <w:lang w:eastAsia="de-DE"/>
                  </w:rPr>
                </w:pPr>
                <w:r w:rsidRPr="001624C2">
                  <w:rPr>
                    <w:rFonts w:ascii="Arial" w:hAnsi="Arial" w:cs="Arial"/>
                    <w:color w:val="808080"/>
                    <w:sz w:val="16"/>
                    <w:szCs w:val="20"/>
                    <w:lang w:eastAsia="de-DE"/>
                  </w:rPr>
                  <w:t>Japan Securities Clearing Corporation</w:t>
                </w:r>
              </w:p>
            </w:tc>
          </w:sdtContent>
        </w:sdt>
      </w:tr>
      <w:tr w:rsidR="00C85C8B" w:rsidRPr="00B16706" w14:paraId="216F3E57" w14:textId="77777777" w:rsidTr="001624C2">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5FEAC67F" w:rsidR="00C85C8B" w:rsidRPr="00B16706" w:rsidRDefault="00E150F2"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624C2">
                  <w:rPr>
                    <w:rFonts w:ascii="Arial" w:hAnsi="Arial" w:cs="Arial"/>
                    <w:sz w:val="16"/>
                    <w:szCs w:val="20"/>
                    <w:lang w:eastAsia="de-DE"/>
                  </w:rPr>
                  <w:t>Central Counterparty</w:t>
                </w:r>
              </w:sdtContent>
            </w:sdt>
          </w:p>
        </w:tc>
      </w:tr>
      <w:tr w:rsidR="00C85C8B" w:rsidRPr="00B16706" w14:paraId="0D216581" w14:textId="77777777" w:rsidTr="001624C2">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ＭＳ ゴシック"/>
              <w14:uncheckedState w14:val="2610" w14:font="ＭＳ ゴシック"/>
            </w14:checkbox>
          </w:sdtPr>
          <w:sdtEndPr/>
          <w:sdtContent>
            <w:tc>
              <w:tcPr>
                <w:tcW w:w="5595" w:type="dxa"/>
                <w:shd w:val="clear" w:color="auto" w:fill="auto"/>
              </w:tcPr>
              <w:p w14:paraId="6C4423E1" w14:textId="430530D2" w:rsidR="00C85C8B" w:rsidRPr="00B16706" w:rsidRDefault="001624C2" w:rsidP="00C85C8B">
                <w:pPr>
                  <w:rPr>
                    <w:rFonts w:ascii="Arial" w:hAnsi="Arial" w:cs="Arial"/>
                    <w:sz w:val="16"/>
                    <w:szCs w:val="20"/>
                    <w:lang w:eastAsia="de-DE"/>
                  </w:rPr>
                </w:pPr>
                <w:r>
                  <w:rPr>
                    <w:rFonts w:ascii="ＭＳ ゴシック" w:eastAsia="ＭＳ ゴシック" w:hAnsi="ＭＳ ゴシック" w:cs="Arial" w:hint="eastAsia"/>
                    <w:sz w:val="16"/>
                    <w:szCs w:val="20"/>
                    <w:lang w:eastAsia="de-DE"/>
                  </w:rPr>
                  <w:t>☒</w:t>
                </w:r>
              </w:p>
            </w:tc>
          </w:sdtContent>
        </w:sdt>
      </w:tr>
      <w:tr w:rsidR="00C85C8B" w:rsidRPr="00B16706" w14:paraId="41DA9EA6" w14:textId="77777777" w:rsidTr="001624C2">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DAD96A6" w:rsidR="00C85C8B" w:rsidRPr="00B16706" w:rsidRDefault="001624C2" w:rsidP="00C85C8B">
                <w:pPr>
                  <w:rPr>
                    <w:rFonts w:ascii="Arial" w:hAnsi="Arial" w:cs="Arial"/>
                    <w:sz w:val="16"/>
                    <w:szCs w:val="20"/>
                    <w:lang w:eastAsia="de-DE"/>
                  </w:rPr>
                </w:pPr>
                <w:r>
                  <w:rPr>
                    <w:rFonts w:ascii="Arial" w:hAnsi="Arial" w:cs="Arial"/>
                    <w:sz w:val="16"/>
                    <w:szCs w:val="20"/>
                    <w:lang w:eastAsia="de-DE"/>
                  </w:rPr>
                  <w:t>Asia-Pacific</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25073A77" w14:textId="77777777" w:rsidR="00D57019" w:rsidRPr="009835AD" w:rsidRDefault="00D57019">
      <w:pPr>
        <w:spacing w:after="120" w:line="264" w:lineRule="auto"/>
        <w:rPr>
          <w:rFonts w:ascii="Arial" w:hAnsi="Arial" w:cs="Arial"/>
          <w:b/>
          <w:sz w:val="22"/>
          <w:szCs w:val="22"/>
          <w:lang w:val="en-US" w:eastAsia="en-US"/>
        </w:rPr>
      </w:pPr>
    </w:p>
    <w:p w14:paraId="4E4E869C" w14:textId="01ED431C" w:rsidR="009835AD" w:rsidRPr="00B16706" w:rsidRDefault="00D57019">
      <w:pPr>
        <w:spacing w:after="120" w:line="264" w:lineRule="auto"/>
        <w:rPr>
          <w:rFonts w:asciiTheme="minorHAnsi" w:hAnsiTheme="minorHAnsi" w:cstheme="minorHAnsi"/>
          <w:b/>
          <w:sz w:val="22"/>
          <w:szCs w:val="22"/>
        </w:rPr>
      </w:pPr>
      <w:r>
        <w:rPr>
          <w:rFonts w:asciiTheme="minorHAnsi" w:hAnsiTheme="minorHAnsi" w:cstheme="minorHAnsi"/>
          <w:b/>
          <w:sz w:val="22"/>
          <w:szCs w:val="22"/>
        </w:rPr>
        <w:t>General comments</w:t>
      </w:r>
    </w:p>
    <w:bookmarkEnd w:id="0"/>
    <w:p w14:paraId="14366ACD"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Are there any general comments you would need to raise?</w:t>
      </w:r>
    </w:p>
    <w:p w14:paraId="06AC05B4"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&lt;ESMA_QUESTION_RFRS_1&gt;</w:t>
      </w:r>
    </w:p>
    <w:p w14:paraId="5688920D" w14:textId="77777777" w:rsidR="001624C2" w:rsidRPr="001624C2" w:rsidRDefault="001624C2" w:rsidP="001624C2">
      <w:pPr>
        <w:rPr>
          <w:rFonts w:ascii="Calibri" w:hAnsi="Calibri" w:cs="Calibri"/>
          <w:sz w:val="22"/>
          <w:szCs w:val="22"/>
          <w:lang w:eastAsia="ja-JP"/>
        </w:rPr>
      </w:pPr>
      <w:permStart w:id="1592684246" w:edGrp="everyone"/>
      <w:r w:rsidRPr="001624C2">
        <w:rPr>
          <w:rFonts w:ascii="Calibri" w:hAnsi="Calibri" w:cs="Calibri"/>
          <w:sz w:val="22"/>
          <w:szCs w:val="22"/>
          <w:lang w:eastAsia="ja-JP"/>
        </w:rPr>
        <w:t>JSCC agrees with ESMA’s proposal to remove JPY LIBOR from its clearing mandate, as this rate will be discontinued from 31</w:t>
      </w:r>
      <w:r w:rsidRPr="001624C2">
        <w:rPr>
          <w:rFonts w:ascii="Calibri" w:hAnsi="Calibri" w:cs="Calibri"/>
          <w:sz w:val="22"/>
          <w:szCs w:val="22"/>
          <w:vertAlign w:val="superscript"/>
          <w:lang w:eastAsia="ja-JP"/>
        </w:rPr>
        <w:t>st</w:t>
      </w:r>
      <w:r w:rsidRPr="001624C2">
        <w:rPr>
          <w:rFonts w:ascii="Calibri" w:hAnsi="Calibri" w:cs="Calibri"/>
          <w:sz w:val="22"/>
          <w:szCs w:val="22"/>
          <w:lang w:eastAsia="ja-JP"/>
        </w:rPr>
        <w:t xml:space="preserve"> December 2021.</w:t>
      </w:r>
    </w:p>
    <w:p w14:paraId="5057EEEA" w14:textId="77777777" w:rsidR="001624C2" w:rsidRPr="001624C2" w:rsidRDefault="001624C2" w:rsidP="001624C2">
      <w:pPr>
        <w:rPr>
          <w:rFonts w:ascii="Calibri" w:hAnsi="Calibri" w:cs="Calibri"/>
          <w:sz w:val="22"/>
          <w:szCs w:val="22"/>
          <w:lang w:eastAsia="ja-JP"/>
        </w:rPr>
      </w:pPr>
    </w:p>
    <w:p w14:paraId="587559F4" w14:textId="77777777" w:rsidR="001624C2" w:rsidRPr="001624C2" w:rsidRDefault="001624C2" w:rsidP="001624C2">
      <w:pPr>
        <w:rPr>
          <w:rFonts w:ascii="Calibri" w:eastAsia="ＭＳ 明朝" w:hAnsi="Calibri" w:cs="Calibri"/>
          <w:sz w:val="22"/>
          <w:szCs w:val="22"/>
          <w:lang w:eastAsia="ja-JP"/>
        </w:rPr>
      </w:pPr>
      <w:r w:rsidRPr="001624C2">
        <w:rPr>
          <w:rFonts w:ascii="Calibri" w:hAnsi="Calibri" w:cs="Calibri"/>
          <w:sz w:val="22"/>
          <w:szCs w:val="22"/>
          <w:lang w:eastAsia="ja-JP"/>
        </w:rPr>
        <w:t xml:space="preserve">Indeed, in JSCC’s current plan, JSCC will stop accepting JPY LIBOR IRS trades for clearing in early December 2021. </w:t>
      </w:r>
      <w:r w:rsidRPr="001624C2">
        <w:rPr>
          <w:rFonts w:ascii="Calibri" w:eastAsia="ＭＳ 明朝" w:hAnsi="Calibri" w:cs="Calibri"/>
          <w:sz w:val="22"/>
          <w:szCs w:val="22"/>
          <w:lang w:eastAsia="ja-JP"/>
        </w:rPr>
        <w:t xml:space="preserve">Public information of JSCC’s related plans, which will be updated timely, can be found in the website link “ </w:t>
      </w:r>
      <w:hyperlink r:id="rId18" w:history="1">
        <w:r w:rsidRPr="001624C2">
          <w:rPr>
            <w:rFonts w:ascii="Calibri" w:eastAsia="ＭＳ 明朝" w:hAnsi="Calibri" w:cs="Calibri"/>
            <w:color w:val="0000FF"/>
            <w:sz w:val="22"/>
            <w:szCs w:val="22"/>
            <w:u w:val="single"/>
            <w:lang w:eastAsia="ja-JP"/>
          </w:rPr>
          <w:t>https://www.jpx.co.jp/jscc/en/information/news/20210326_02.html</w:t>
        </w:r>
      </w:hyperlink>
      <w:r w:rsidRPr="001624C2">
        <w:rPr>
          <w:rFonts w:ascii="Calibri" w:eastAsia="ＭＳ 明朝" w:hAnsi="Calibri" w:cs="Calibri"/>
          <w:sz w:val="22"/>
          <w:szCs w:val="22"/>
          <w:lang w:eastAsia="ja-JP"/>
        </w:rPr>
        <w:t>” and “</w:t>
      </w:r>
      <w:hyperlink r:id="rId19" w:history="1">
        <w:r w:rsidRPr="001624C2">
          <w:rPr>
            <w:rFonts w:ascii="Calibri" w:eastAsia="ＭＳ 明朝" w:hAnsi="Calibri" w:cs="Calibri"/>
            <w:color w:val="0000FF"/>
            <w:sz w:val="22"/>
            <w:szCs w:val="22"/>
            <w:u w:val="single"/>
            <w:lang w:eastAsia="ja-JP"/>
          </w:rPr>
          <w:t>https://www.jpx.co.jp/jscc/en/information/news/i1h00a000000bdgr-att/conversion_of_libor_irs_20210326_en.pdf</w:t>
        </w:r>
      </w:hyperlink>
      <w:r w:rsidRPr="001624C2">
        <w:rPr>
          <w:rFonts w:ascii="Calibri" w:eastAsia="ＭＳ 明朝" w:hAnsi="Calibri" w:cs="Calibri"/>
          <w:sz w:val="22"/>
          <w:szCs w:val="22"/>
          <w:lang w:eastAsia="ja-JP"/>
        </w:rPr>
        <w:t>”</w:t>
      </w:r>
    </w:p>
    <w:p w14:paraId="2908C267" w14:textId="77777777" w:rsidR="001624C2" w:rsidRPr="001624C2" w:rsidRDefault="001624C2" w:rsidP="001624C2">
      <w:pPr>
        <w:rPr>
          <w:rFonts w:ascii="Calibri" w:eastAsia="ＭＳ 明朝" w:hAnsi="Calibri" w:cs="Calibri"/>
          <w:sz w:val="22"/>
          <w:szCs w:val="22"/>
          <w:lang w:eastAsia="ja-JP"/>
        </w:rPr>
      </w:pPr>
    </w:p>
    <w:p w14:paraId="10638BF5" w14:textId="5CE3EE81" w:rsidR="009835AD" w:rsidRPr="009835AD" w:rsidRDefault="001624C2" w:rsidP="001624C2">
      <w:pPr>
        <w:spacing w:after="160" w:line="259" w:lineRule="auto"/>
        <w:rPr>
          <w:rFonts w:ascii="Calibri" w:eastAsia="Calibri" w:hAnsi="Calibri"/>
          <w:sz w:val="22"/>
          <w:szCs w:val="22"/>
          <w:lang w:eastAsia="en-US"/>
        </w:rPr>
      </w:pPr>
      <w:r w:rsidRPr="001624C2">
        <w:rPr>
          <w:rFonts w:ascii="Calibri" w:hAnsi="Calibri" w:cs="Calibri"/>
          <w:sz w:val="22"/>
          <w:szCs w:val="22"/>
          <w:lang w:eastAsia="ja-JP"/>
        </w:rPr>
        <w:t>However, JSCC does not agree with ESMA’s proposal of not replacing JPY LIBOR in the clearing obligation with a JPY-denominated RFR.</w:t>
      </w:r>
    </w:p>
    <w:permEnd w:id="1592684246"/>
    <w:p w14:paraId="55FCE702"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&lt;ESMA_QUESTION_RFRS_1&gt;</w:t>
      </w:r>
    </w:p>
    <w:p w14:paraId="6237099F" w14:textId="06344591" w:rsidR="009835AD" w:rsidRDefault="009835AD" w:rsidP="009835AD">
      <w:pPr>
        <w:spacing w:after="160" w:line="259" w:lineRule="auto"/>
        <w:rPr>
          <w:rFonts w:ascii="Calibri" w:eastAsia="Calibri" w:hAnsi="Calibri"/>
          <w:sz w:val="22"/>
          <w:szCs w:val="22"/>
          <w:lang w:eastAsia="en-US"/>
        </w:rPr>
      </w:pPr>
    </w:p>
    <w:p w14:paraId="1E5D8E97" w14:textId="7957D24E" w:rsidR="00D57019" w:rsidRPr="0037358E" w:rsidRDefault="0037358E" w:rsidP="0037358E">
      <w:pPr>
        <w:spacing w:after="120" w:line="264" w:lineRule="auto"/>
        <w:rPr>
          <w:rFonts w:asciiTheme="minorHAnsi" w:hAnsiTheme="minorHAnsi" w:cstheme="minorHAnsi"/>
          <w:b/>
          <w:sz w:val="22"/>
          <w:szCs w:val="22"/>
        </w:rPr>
      </w:pPr>
      <w:r w:rsidRPr="0037358E">
        <w:rPr>
          <w:rFonts w:asciiTheme="minorHAnsi" w:hAnsiTheme="minorHAnsi" w:cstheme="minorHAnsi"/>
          <w:b/>
          <w:sz w:val="22"/>
          <w:szCs w:val="22"/>
        </w:rPr>
        <w:t>State of progress with the transition</w:t>
      </w:r>
    </w:p>
    <w:p w14:paraId="7479070E"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Are there any other aspects of the transition that need to be taken into account? Please share any data that would help qualify further the progress with the transition or any other aspects that you think should be considered.</w:t>
      </w:r>
    </w:p>
    <w:p w14:paraId="62108C4F"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&lt;ESMA_QUESTION_RFRS_2&gt;</w:t>
      </w:r>
    </w:p>
    <w:p w14:paraId="3F072B8E" w14:textId="77777777" w:rsidR="001624C2" w:rsidRPr="001624C2" w:rsidRDefault="001624C2" w:rsidP="001624C2">
      <w:pPr>
        <w:rPr>
          <w:rFonts w:ascii="Calibri" w:hAnsi="Calibri" w:cs="Calibri"/>
          <w:sz w:val="22"/>
          <w:szCs w:val="22"/>
          <w:lang w:eastAsia="ja-JP"/>
        </w:rPr>
      </w:pPr>
      <w:permStart w:id="1960970536" w:edGrp="everyone"/>
      <w:r w:rsidRPr="001624C2">
        <w:rPr>
          <w:rFonts w:ascii="Calibri" w:hAnsi="Calibri" w:cs="Calibri"/>
          <w:sz w:val="22"/>
          <w:szCs w:val="22"/>
          <w:lang w:eastAsia="ja-JP"/>
        </w:rPr>
        <w:t>JSCC acknowledges that at the time ESMA was preparing this consultation, the future direction of JPY interest rate markets was not sufficiently clear, because the shift of JPY IRS liquidity to the RFR, TONA (Tokyo Overnight Average Rate) OIS, was not clearly evident. This uncertainty was stated in section 3.2.2.4 JPY, paragraph 39 of the consultation paper as “(t)he transition to RFR for JPY is the least advanced compared to the other major currencies discussed in the CP. JPY LIBOR is due to cease at the end of the year, but it remains uncertain which index will be used instead…”</w:t>
      </w:r>
      <w:r w:rsidRPr="001624C2">
        <w:rPr>
          <w:rFonts w:ascii="ＭＳ 明朝" w:eastAsia="ＭＳ 明朝" w:hAnsi="ＭＳ 明朝" w:cs="ＭＳ 明朝" w:hint="eastAsia"/>
          <w:sz w:val="22"/>
          <w:szCs w:val="22"/>
          <w:lang w:eastAsia="ja-JP"/>
        </w:rPr>
        <w:t xml:space="preserve"> </w:t>
      </w:r>
      <w:r w:rsidRPr="001624C2">
        <w:rPr>
          <w:rFonts w:ascii="Calibri" w:hAnsi="Calibri" w:cs="Calibri"/>
          <w:sz w:val="22"/>
          <w:szCs w:val="22"/>
          <w:lang w:eastAsia="ja-JP"/>
        </w:rPr>
        <w:t>However, recently, market liquidity has been migrating away from JPY LIBOR, to the TONA RFR. The reasons for this migration are detailed below.</w:t>
      </w:r>
    </w:p>
    <w:p w14:paraId="111EB62A" w14:textId="77777777" w:rsidR="001624C2" w:rsidRPr="001624C2" w:rsidRDefault="001624C2" w:rsidP="001624C2">
      <w:pPr>
        <w:rPr>
          <w:rFonts w:ascii="Calibri" w:eastAsia="ＭＳ 明朝" w:hAnsi="Calibri" w:cs="Calibri"/>
          <w:sz w:val="22"/>
          <w:szCs w:val="22"/>
          <w:lang w:eastAsia="ja-JP"/>
        </w:rPr>
      </w:pPr>
    </w:p>
    <w:p w14:paraId="623F18FC" w14:textId="77777777" w:rsidR="001624C2" w:rsidRPr="001624C2" w:rsidRDefault="001624C2" w:rsidP="001624C2">
      <w:pPr>
        <w:widowControl w:val="0"/>
        <w:numPr>
          <w:ilvl w:val="0"/>
          <w:numId w:val="31"/>
        </w:numPr>
        <w:jc w:val="both"/>
        <w:rPr>
          <w:rFonts w:ascii="Calibri" w:eastAsia="ＭＳ 明朝" w:hAnsi="Calibri" w:cs="Calibri"/>
          <w:b/>
          <w:bCs/>
          <w:sz w:val="22"/>
          <w:szCs w:val="22"/>
          <w:lang w:eastAsia="ja-JP"/>
        </w:rPr>
      </w:pPr>
      <w:r w:rsidRPr="001624C2">
        <w:rPr>
          <w:rFonts w:ascii="Calibri" w:eastAsia="ＭＳ 明朝" w:hAnsi="Calibri" w:cs="Calibri"/>
          <w:b/>
          <w:bCs/>
          <w:sz w:val="22"/>
          <w:szCs w:val="22"/>
          <w:lang w:eastAsia="ja-JP"/>
        </w:rPr>
        <w:t>Conversion of JPY IRS by CCPs from Libor to TONA</w:t>
      </w:r>
    </w:p>
    <w:p w14:paraId="29AE7070" w14:textId="77777777" w:rsidR="001624C2" w:rsidRPr="001624C2" w:rsidRDefault="001624C2" w:rsidP="001624C2">
      <w:pPr>
        <w:rPr>
          <w:rFonts w:ascii="Calibri" w:hAnsi="Calibri" w:cs="Calibri"/>
          <w:sz w:val="22"/>
          <w:szCs w:val="22"/>
          <w:lang w:eastAsia="ja-JP"/>
        </w:rPr>
      </w:pPr>
      <w:r w:rsidRPr="001624C2">
        <w:rPr>
          <w:rFonts w:ascii="Calibri" w:hAnsi="Calibri" w:cs="Calibri"/>
          <w:sz w:val="22"/>
          <w:szCs w:val="22"/>
          <w:lang w:eastAsia="ja-JP"/>
        </w:rPr>
        <w:t xml:space="preserve">As highlighted by ESMA in the Consultation Paper, </w:t>
      </w:r>
      <w:proofErr w:type="gramStart"/>
      <w:r w:rsidRPr="001624C2">
        <w:rPr>
          <w:rFonts w:ascii="Calibri" w:hAnsi="Calibri" w:cs="Calibri"/>
          <w:sz w:val="22"/>
          <w:szCs w:val="22"/>
          <w:lang w:eastAsia="ja-JP"/>
        </w:rPr>
        <w:t>all of</w:t>
      </w:r>
      <w:proofErr w:type="gramEnd"/>
      <w:r w:rsidRPr="001624C2">
        <w:rPr>
          <w:rFonts w:ascii="Calibri" w:hAnsi="Calibri" w:cs="Calibri"/>
          <w:sz w:val="22"/>
          <w:szCs w:val="22"/>
          <w:lang w:eastAsia="ja-JP"/>
        </w:rPr>
        <w:t xml:space="preserve"> the major CCPs clearing JPY LIBOR IRS plan to fully transition JPY LIBOR IRS cleared at each of their CCPs to JPY TONA OIS on the weekend of 4</w:t>
      </w:r>
      <w:r w:rsidRPr="001624C2">
        <w:rPr>
          <w:rFonts w:ascii="Calibri" w:hAnsi="Calibri" w:cs="Calibri"/>
          <w:sz w:val="22"/>
          <w:szCs w:val="22"/>
          <w:vertAlign w:val="superscript"/>
          <w:lang w:eastAsia="ja-JP"/>
        </w:rPr>
        <w:t>th</w:t>
      </w:r>
      <w:r w:rsidRPr="001624C2">
        <w:rPr>
          <w:rFonts w:ascii="Calibri" w:hAnsi="Calibri" w:cs="Calibri"/>
          <w:sz w:val="22"/>
          <w:szCs w:val="22"/>
          <w:lang w:eastAsia="ja-JP"/>
        </w:rPr>
        <w:t xml:space="preserve"> December 2021(*1). On that weekend, existing cleared JPY LIBOR IRS will undergo a conversion to JPY TONA IRS. JSCC is currently progressing through its governance process with clearing members for the approval of its draft plan, as of the date of this letter. It is expected that this migration will concentrate market trading and liquidity on TONA OIS as the replacement for JPY LIBOR.</w:t>
      </w:r>
    </w:p>
    <w:p w14:paraId="241C39F4" w14:textId="77777777" w:rsidR="001624C2" w:rsidRPr="001624C2" w:rsidRDefault="001624C2" w:rsidP="001624C2">
      <w:pPr>
        <w:rPr>
          <w:rFonts w:ascii="Calibri" w:eastAsia="ＭＳ 明朝" w:hAnsi="Calibri" w:cs="Calibri"/>
          <w:sz w:val="22"/>
          <w:szCs w:val="22"/>
          <w:lang w:eastAsia="ja-JP"/>
        </w:rPr>
      </w:pPr>
    </w:p>
    <w:p w14:paraId="69E80122" w14:textId="77777777" w:rsidR="001624C2" w:rsidRPr="001624C2" w:rsidRDefault="001624C2" w:rsidP="001624C2">
      <w:pPr>
        <w:rPr>
          <w:rFonts w:ascii="Calibri" w:eastAsia="ＭＳ 明朝" w:hAnsi="Calibri" w:cs="Calibri"/>
          <w:sz w:val="22"/>
          <w:szCs w:val="22"/>
          <w:lang w:eastAsia="ja-JP"/>
        </w:rPr>
      </w:pPr>
      <w:r w:rsidRPr="001624C2">
        <w:rPr>
          <w:rFonts w:ascii="Calibri" w:eastAsia="ＭＳ 明朝" w:hAnsi="Calibri" w:cs="Calibri"/>
          <w:sz w:val="22"/>
          <w:szCs w:val="22"/>
          <w:lang w:eastAsia="ja-JP"/>
        </w:rPr>
        <w:t>*1. As an exception, JSCC will continue to accept JPY-LIBOR swaps for clearing resulting from swaption exercises until December 30th, 2021. These JPY-LIBOR swaps will be converted at the close of December 30th, 2021</w:t>
      </w:r>
    </w:p>
    <w:p w14:paraId="048057BD" w14:textId="77777777" w:rsidR="001624C2" w:rsidRPr="001624C2" w:rsidRDefault="001624C2" w:rsidP="001624C2">
      <w:pPr>
        <w:rPr>
          <w:rFonts w:ascii="Calibri" w:eastAsia="ＭＳ 明朝" w:hAnsi="Calibri" w:cs="Calibri"/>
          <w:sz w:val="22"/>
          <w:szCs w:val="22"/>
          <w:lang w:eastAsia="ja-JP"/>
        </w:rPr>
      </w:pPr>
    </w:p>
    <w:p w14:paraId="4AB28DBB" w14:textId="77777777" w:rsidR="001624C2" w:rsidRPr="001624C2" w:rsidRDefault="001624C2" w:rsidP="001624C2">
      <w:pPr>
        <w:rPr>
          <w:rFonts w:ascii="Calibri" w:eastAsia="ＭＳ 明朝" w:hAnsi="Calibri" w:cs="Calibri"/>
          <w:sz w:val="22"/>
          <w:szCs w:val="22"/>
          <w:lang w:eastAsia="ja-JP"/>
        </w:rPr>
      </w:pPr>
    </w:p>
    <w:p w14:paraId="3EF40EE2" w14:textId="77777777" w:rsidR="001624C2" w:rsidRPr="001624C2" w:rsidRDefault="001624C2" w:rsidP="001624C2">
      <w:pPr>
        <w:widowControl w:val="0"/>
        <w:numPr>
          <w:ilvl w:val="0"/>
          <w:numId w:val="31"/>
        </w:numPr>
        <w:jc w:val="both"/>
        <w:rPr>
          <w:rFonts w:ascii="Calibri" w:eastAsia="ＭＳ 明朝" w:hAnsi="Calibri" w:cs="Calibri"/>
          <w:b/>
          <w:bCs/>
          <w:sz w:val="22"/>
          <w:szCs w:val="22"/>
          <w:lang w:eastAsia="ja-JP"/>
        </w:rPr>
      </w:pPr>
      <w:r w:rsidRPr="001624C2">
        <w:rPr>
          <w:rFonts w:ascii="Calibri" w:eastAsia="ＭＳ 明朝" w:hAnsi="Calibri" w:cs="Calibri"/>
          <w:b/>
          <w:bCs/>
          <w:sz w:val="22"/>
          <w:szCs w:val="22"/>
          <w:lang w:eastAsia="ja-JP"/>
        </w:rPr>
        <w:lastRenderedPageBreak/>
        <w:t>General Support for Conversion to TONA on IRS with “TONA FIRST”</w:t>
      </w:r>
    </w:p>
    <w:p w14:paraId="33EBC6AC" w14:textId="77777777" w:rsidR="001624C2" w:rsidRPr="001624C2" w:rsidRDefault="001624C2" w:rsidP="001624C2">
      <w:pPr>
        <w:rPr>
          <w:rFonts w:ascii="Calibri" w:hAnsi="Calibri" w:cs="Calibri"/>
          <w:sz w:val="22"/>
          <w:szCs w:val="22"/>
          <w:lang w:eastAsia="ja-JP"/>
        </w:rPr>
      </w:pPr>
      <w:r w:rsidRPr="001624C2">
        <w:rPr>
          <w:rFonts w:ascii="Calibri" w:hAnsi="Calibri" w:cs="Calibri"/>
          <w:sz w:val="22"/>
          <w:szCs w:val="22"/>
          <w:lang w:eastAsia="ja-JP"/>
        </w:rPr>
        <w:t>Secondly, the report published by Cross-Industry Committee on Japanese Yen Interest Rate Benchmarks, an industry forum organized by the Bank of Japan with a view to providing market views on the transition of interest rate benchmark for JPY, stated that a large majority of respondents supported TONA as a desirable alternative benchmark to JPY LIBOR, with a view to</w:t>
      </w:r>
      <w:r w:rsidRPr="001624C2">
        <w:rPr>
          <w:rFonts w:ascii="Calibri" w:eastAsia="ＭＳ 明朝" w:hAnsi="Calibri" w:cs="Calibri"/>
          <w:sz w:val="22"/>
          <w:szCs w:val="22"/>
          <w:lang w:eastAsia="ja-JP"/>
        </w:rPr>
        <w:t xml:space="preserve"> </w:t>
      </w:r>
      <w:r w:rsidRPr="001624C2">
        <w:rPr>
          <w:rFonts w:ascii="Calibri" w:hAnsi="Calibri" w:cs="Calibri"/>
          <w:sz w:val="22"/>
          <w:szCs w:val="22"/>
          <w:lang w:eastAsia="ja-JP"/>
        </w:rPr>
        <w:t xml:space="preserve">maintaining consistency with global discussions(*2). </w:t>
      </w:r>
    </w:p>
    <w:p w14:paraId="773194C4" w14:textId="77777777" w:rsidR="001624C2" w:rsidRPr="001624C2" w:rsidRDefault="001624C2" w:rsidP="001624C2">
      <w:pPr>
        <w:rPr>
          <w:rFonts w:ascii="Calibri" w:eastAsia="ＭＳ 明朝" w:hAnsi="Calibri" w:cs="Calibri"/>
          <w:sz w:val="22"/>
          <w:szCs w:val="22"/>
          <w:lang w:eastAsia="ja-JP"/>
        </w:rPr>
      </w:pPr>
    </w:p>
    <w:p w14:paraId="44250CB4" w14:textId="77777777" w:rsidR="001624C2" w:rsidRPr="001624C2" w:rsidRDefault="001624C2" w:rsidP="001624C2">
      <w:pPr>
        <w:rPr>
          <w:rFonts w:ascii="Calibri" w:eastAsia="ＭＳ 明朝" w:hAnsi="Calibri" w:cs="Calibri"/>
          <w:sz w:val="22"/>
          <w:szCs w:val="22"/>
          <w:lang w:eastAsia="ja-JP"/>
        </w:rPr>
      </w:pPr>
      <w:r w:rsidRPr="001624C2">
        <w:rPr>
          <w:rFonts w:ascii="Calibri" w:eastAsia="ＭＳ 明朝" w:hAnsi="Calibri" w:cs="Calibri"/>
          <w:sz w:val="22"/>
          <w:szCs w:val="22"/>
          <w:lang w:eastAsia="ja-JP"/>
        </w:rPr>
        <w:t>On July 26</w:t>
      </w:r>
      <w:r w:rsidRPr="001624C2">
        <w:rPr>
          <w:rFonts w:ascii="Calibri" w:eastAsia="ＭＳ 明朝" w:hAnsi="Calibri" w:cs="Calibri"/>
          <w:sz w:val="22"/>
          <w:szCs w:val="22"/>
          <w:vertAlign w:val="superscript"/>
          <w:lang w:eastAsia="ja-JP"/>
        </w:rPr>
        <w:t>th</w:t>
      </w:r>
      <w:r w:rsidRPr="001624C2">
        <w:rPr>
          <w:rFonts w:ascii="Calibri" w:eastAsia="ＭＳ 明朝" w:hAnsi="Calibri" w:cs="Calibri"/>
          <w:sz w:val="22"/>
          <w:szCs w:val="22"/>
          <w:lang w:eastAsia="ja-JP"/>
        </w:rPr>
        <w:t xml:space="preserve"> 2021, the Sub-Group for the Development of Term Reference Rates has reached a consensus on "TONA First” (*3), an initiative to recommend liquidity providers to change the quoting conventions from JPY LIBOR to TONA in the JPY interest rate swaps market, after the close of the market on July 30</w:t>
      </w:r>
      <w:r w:rsidRPr="001624C2">
        <w:rPr>
          <w:rFonts w:ascii="Calibri" w:eastAsia="ＭＳ 明朝" w:hAnsi="Calibri" w:cs="Calibri"/>
          <w:sz w:val="22"/>
          <w:szCs w:val="22"/>
          <w:vertAlign w:val="superscript"/>
          <w:lang w:eastAsia="ja-JP"/>
        </w:rPr>
        <w:t>th</w:t>
      </w:r>
      <w:r w:rsidRPr="001624C2">
        <w:rPr>
          <w:rFonts w:ascii="Calibri" w:eastAsia="ＭＳ 明朝" w:hAnsi="Calibri" w:cs="Calibri"/>
          <w:sz w:val="22"/>
          <w:szCs w:val="22"/>
          <w:lang w:eastAsia="ja-JP"/>
        </w:rPr>
        <w:t xml:space="preserve">, 2021. </w:t>
      </w:r>
    </w:p>
    <w:p w14:paraId="5C6525A3" w14:textId="77777777" w:rsidR="001624C2" w:rsidRPr="001624C2" w:rsidRDefault="001624C2" w:rsidP="001624C2">
      <w:pPr>
        <w:rPr>
          <w:rFonts w:ascii="Calibri" w:eastAsia="ＭＳ 明朝" w:hAnsi="Calibri" w:cs="Calibri"/>
          <w:sz w:val="22"/>
          <w:szCs w:val="22"/>
          <w:lang w:eastAsia="ja-JP"/>
        </w:rPr>
      </w:pPr>
    </w:p>
    <w:p w14:paraId="2F61CCA9" w14:textId="77777777" w:rsidR="001624C2" w:rsidRPr="001624C2" w:rsidRDefault="001624C2" w:rsidP="001624C2">
      <w:pPr>
        <w:rPr>
          <w:rFonts w:ascii="Calibri" w:eastAsia="ＭＳ 明朝" w:hAnsi="Calibri" w:cs="Calibri"/>
          <w:sz w:val="22"/>
          <w:szCs w:val="22"/>
          <w:lang w:val="en-US" w:eastAsia="ja-JP"/>
        </w:rPr>
      </w:pPr>
      <w:r w:rsidRPr="001624C2">
        <w:rPr>
          <w:rFonts w:ascii="Calibri" w:eastAsia="ＭＳ 明朝" w:hAnsi="Calibri" w:cs="Calibri"/>
          <w:sz w:val="22"/>
          <w:szCs w:val="22"/>
          <w:lang w:eastAsia="ja-JP"/>
        </w:rPr>
        <w:t xml:space="preserve">*2. </w:t>
      </w:r>
      <w:r w:rsidRPr="001624C2">
        <w:rPr>
          <w:rFonts w:ascii="Calibri" w:eastAsia="ＭＳ 明朝" w:hAnsi="Calibri" w:cs="Calibri"/>
          <w:sz w:val="22"/>
          <w:szCs w:val="22"/>
          <w:lang w:val="en-US" w:eastAsia="ja-JP"/>
        </w:rPr>
        <w:t xml:space="preserve">Report from the Sub-Group for the Development of Term Reference Rates on March 26, 2021 is available in the following </w:t>
      </w:r>
      <w:proofErr w:type="gramStart"/>
      <w:r w:rsidRPr="001624C2">
        <w:rPr>
          <w:rFonts w:ascii="Calibri" w:eastAsia="ＭＳ 明朝" w:hAnsi="Calibri" w:cs="Calibri"/>
          <w:sz w:val="22"/>
          <w:szCs w:val="22"/>
          <w:lang w:val="en-US" w:eastAsia="ja-JP"/>
        </w:rPr>
        <w:t>link(</w:t>
      </w:r>
      <w:proofErr w:type="gramEnd"/>
      <w:r w:rsidRPr="001624C2">
        <w:rPr>
          <w:rFonts w:ascii="Calibri" w:eastAsia="ＭＳ 明朝" w:hAnsi="Calibri" w:cs="Calibri"/>
          <w:sz w:val="22"/>
          <w:szCs w:val="22"/>
          <w:lang w:val="en-US" w:eastAsia="ja-JP"/>
        </w:rPr>
        <w:t xml:space="preserve">See “2. Alternative benchmark in the JPY interest rate swaps market”): </w:t>
      </w:r>
    </w:p>
    <w:p w14:paraId="55F53F31" w14:textId="77777777" w:rsidR="001624C2" w:rsidRPr="001624C2" w:rsidRDefault="00E150F2" w:rsidP="001624C2">
      <w:pPr>
        <w:rPr>
          <w:rFonts w:ascii="Calibri" w:eastAsia="ＭＳ 明朝" w:hAnsi="Calibri" w:cs="Calibri"/>
          <w:sz w:val="22"/>
          <w:szCs w:val="22"/>
          <w:lang w:val="en-US" w:eastAsia="ja-JP"/>
        </w:rPr>
      </w:pPr>
      <w:hyperlink r:id="rId20" w:history="1">
        <w:r w:rsidR="001624C2" w:rsidRPr="001624C2">
          <w:rPr>
            <w:rFonts w:ascii="Calibri" w:eastAsia="ＭＳ 明朝" w:hAnsi="Calibri" w:cs="Calibri"/>
            <w:color w:val="0000FF"/>
            <w:sz w:val="22"/>
            <w:szCs w:val="22"/>
            <w:u w:val="single"/>
            <w:lang w:val="en-US" w:eastAsia="ja-JP"/>
          </w:rPr>
          <w:t>https://www.boj.or.jp/en/paym/market/jpy_cmte/cmt210326b.pdf</w:t>
        </w:r>
      </w:hyperlink>
    </w:p>
    <w:p w14:paraId="3C8625CD" w14:textId="77777777" w:rsidR="001624C2" w:rsidRPr="001624C2" w:rsidRDefault="001624C2" w:rsidP="001624C2">
      <w:pPr>
        <w:rPr>
          <w:rFonts w:ascii="Calibri" w:eastAsia="ＭＳ 明朝" w:hAnsi="Calibri" w:cs="Calibri"/>
          <w:sz w:val="22"/>
          <w:szCs w:val="22"/>
          <w:lang w:eastAsia="ja-JP"/>
        </w:rPr>
      </w:pPr>
    </w:p>
    <w:p w14:paraId="0164EBA3" w14:textId="77777777" w:rsidR="001624C2" w:rsidRPr="001624C2" w:rsidRDefault="001624C2" w:rsidP="001624C2">
      <w:pPr>
        <w:rPr>
          <w:rFonts w:ascii="Calibri" w:eastAsia="ＭＳ 明朝" w:hAnsi="Calibri" w:cs="Calibri"/>
          <w:sz w:val="22"/>
          <w:szCs w:val="22"/>
          <w:lang w:eastAsia="ja-JP"/>
        </w:rPr>
      </w:pPr>
      <w:r w:rsidRPr="001624C2">
        <w:rPr>
          <w:rFonts w:ascii="Calibri" w:eastAsia="ＭＳ 明朝" w:hAnsi="Calibri" w:cs="Calibri"/>
          <w:sz w:val="22"/>
          <w:szCs w:val="22"/>
          <w:lang w:eastAsia="ja-JP"/>
        </w:rPr>
        <w:t>*3. “TONA First” is available in the following link:</w:t>
      </w:r>
    </w:p>
    <w:p w14:paraId="17B08E9B" w14:textId="77777777" w:rsidR="001624C2" w:rsidRPr="001624C2" w:rsidRDefault="00E150F2" w:rsidP="001624C2">
      <w:pPr>
        <w:rPr>
          <w:rFonts w:ascii="Calibri" w:eastAsia="ＭＳ 明朝" w:hAnsi="Calibri" w:cs="Calibri"/>
          <w:sz w:val="22"/>
          <w:szCs w:val="22"/>
          <w:lang w:eastAsia="ja-JP"/>
        </w:rPr>
      </w:pPr>
      <w:hyperlink r:id="rId21" w:history="1">
        <w:r w:rsidR="001624C2" w:rsidRPr="001624C2">
          <w:rPr>
            <w:rFonts w:ascii="Calibri" w:eastAsia="ＭＳ 明朝" w:hAnsi="Calibri" w:cs="Calibri"/>
            <w:color w:val="0000FF"/>
            <w:sz w:val="22"/>
            <w:szCs w:val="22"/>
            <w:u w:val="single"/>
            <w:lang w:eastAsia="ja-JP"/>
          </w:rPr>
          <w:t>https://www.boj.or.jp/en/paym/market/jpy_cmte/data/cmt210726b.pdf</w:t>
        </w:r>
      </w:hyperlink>
    </w:p>
    <w:p w14:paraId="6B5B813C" w14:textId="77777777" w:rsidR="001624C2" w:rsidRPr="001624C2" w:rsidRDefault="001624C2" w:rsidP="001624C2">
      <w:pPr>
        <w:rPr>
          <w:rFonts w:ascii="Calibri" w:eastAsia="ＭＳ 明朝" w:hAnsi="Calibri" w:cs="Calibri"/>
          <w:sz w:val="22"/>
          <w:szCs w:val="22"/>
          <w:lang w:eastAsia="ja-JP"/>
        </w:rPr>
      </w:pPr>
    </w:p>
    <w:p w14:paraId="3079D797" w14:textId="77777777" w:rsidR="001624C2" w:rsidRPr="001624C2" w:rsidRDefault="001624C2" w:rsidP="001624C2">
      <w:pPr>
        <w:rPr>
          <w:rFonts w:ascii="Calibri" w:eastAsia="ＭＳ 明朝" w:hAnsi="Calibri" w:cs="Calibri"/>
          <w:sz w:val="22"/>
          <w:szCs w:val="22"/>
          <w:lang w:eastAsia="ja-JP"/>
        </w:rPr>
      </w:pPr>
    </w:p>
    <w:p w14:paraId="4D509698" w14:textId="77777777" w:rsidR="001624C2" w:rsidRPr="001624C2" w:rsidRDefault="001624C2" w:rsidP="001624C2">
      <w:pPr>
        <w:widowControl w:val="0"/>
        <w:numPr>
          <w:ilvl w:val="0"/>
          <w:numId w:val="31"/>
        </w:numPr>
        <w:jc w:val="both"/>
        <w:rPr>
          <w:rFonts w:ascii="Calibri" w:eastAsia="ＭＳ 明朝" w:hAnsi="Calibri" w:cs="Calibri"/>
          <w:sz w:val="22"/>
          <w:szCs w:val="22"/>
          <w:lang w:eastAsia="ja-JP"/>
        </w:rPr>
      </w:pPr>
      <w:r w:rsidRPr="001624C2">
        <w:rPr>
          <w:rFonts w:ascii="Calibri" w:eastAsia="ＭＳ 明朝" w:hAnsi="Calibri" w:cs="Calibri"/>
          <w:b/>
          <w:bCs/>
          <w:sz w:val="22"/>
          <w:szCs w:val="22"/>
          <w:lang w:eastAsia="ja-JP"/>
        </w:rPr>
        <w:t>Accelerating Shift of Cleared Volume from Libor IRS to OIS</w:t>
      </w:r>
    </w:p>
    <w:p w14:paraId="27AE1DC9" w14:textId="77777777" w:rsidR="001624C2" w:rsidRPr="001624C2" w:rsidRDefault="001624C2" w:rsidP="001624C2">
      <w:pPr>
        <w:rPr>
          <w:rFonts w:ascii="Calibri" w:hAnsi="Calibri" w:cs="Calibri"/>
          <w:sz w:val="22"/>
          <w:szCs w:val="22"/>
          <w:lang w:eastAsia="ja-JP"/>
        </w:rPr>
      </w:pPr>
      <w:r w:rsidRPr="001624C2">
        <w:rPr>
          <w:rFonts w:ascii="Calibri" w:hAnsi="Calibri" w:cs="Calibri"/>
          <w:sz w:val="22"/>
          <w:szCs w:val="22"/>
          <w:lang w:eastAsia="ja-JP"/>
        </w:rPr>
        <w:t>Thirdly, now that the major JPY IRS CCPs have finalised, or almost finalized, drafting of their conversion plans, the market is beginning to organically migrate away from JPY LIBOR to establish TONA OIS as a replacement, which is already the case in the clearing data of JSCC from August. It is becoming clear that the market is favouring TONA OIS as the replacement for JPY LIBOR (*4). Based on our discussions with market participants, we expect this trend to continue as the 4</w:t>
      </w:r>
      <w:r w:rsidRPr="001624C2">
        <w:rPr>
          <w:rFonts w:ascii="Calibri" w:hAnsi="Calibri" w:cs="Calibri"/>
          <w:sz w:val="22"/>
          <w:szCs w:val="22"/>
          <w:vertAlign w:val="superscript"/>
          <w:lang w:eastAsia="ja-JP"/>
        </w:rPr>
        <w:t>th</w:t>
      </w:r>
      <w:r w:rsidRPr="001624C2">
        <w:rPr>
          <w:rFonts w:ascii="Calibri" w:hAnsi="Calibri" w:cs="Calibri"/>
          <w:sz w:val="22"/>
          <w:szCs w:val="22"/>
          <w:lang w:eastAsia="ja-JP"/>
        </w:rPr>
        <w:t xml:space="preserve"> December weekend approaches for the wholesale transition of cleared trades from JPY LIBOR to TONA OIS. Please see the attachment for the data supporting the shift of JPY Libor IRS to TONA </w:t>
      </w:r>
      <w:proofErr w:type="gramStart"/>
      <w:r w:rsidRPr="001624C2">
        <w:rPr>
          <w:rFonts w:ascii="Calibri" w:hAnsi="Calibri" w:cs="Calibri"/>
          <w:sz w:val="22"/>
          <w:szCs w:val="22"/>
          <w:lang w:eastAsia="ja-JP"/>
        </w:rPr>
        <w:t>OIS(</w:t>
      </w:r>
      <w:proofErr w:type="gramEnd"/>
      <w:r w:rsidRPr="001624C2">
        <w:rPr>
          <w:rFonts w:ascii="Calibri" w:hAnsi="Calibri" w:cs="Calibri"/>
          <w:sz w:val="22"/>
          <w:szCs w:val="22"/>
          <w:lang w:eastAsia="ja-JP"/>
        </w:rPr>
        <w:t>*5).</w:t>
      </w:r>
    </w:p>
    <w:p w14:paraId="5DB97651" w14:textId="77777777" w:rsidR="001624C2" w:rsidRPr="001624C2" w:rsidRDefault="001624C2" w:rsidP="001624C2">
      <w:pPr>
        <w:rPr>
          <w:rFonts w:ascii="Calibri" w:eastAsia="ＭＳ 明朝" w:hAnsi="Calibri" w:cs="Calibri"/>
          <w:sz w:val="22"/>
          <w:szCs w:val="22"/>
          <w:lang w:eastAsia="ja-JP"/>
        </w:rPr>
      </w:pPr>
    </w:p>
    <w:p w14:paraId="2EFCFA83" w14:textId="77777777" w:rsidR="001624C2" w:rsidRPr="001624C2" w:rsidRDefault="001624C2" w:rsidP="001624C2">
      <w:pPr>
        <w:rPr>
          <w:rFonts w:ascii="Calibri" w:eastAsia="ＭＳ 明朝" w:hAnsi="Calibri" w:cs="Calibri"/>
          <w:sz w:val="22"/>
          <w:szCs w:val="22"/>
          <w:lang w:eastAsia="ja-JP"/>
        </w:rPr>
      </w:pPr>
      <w:r w:rsidRPr="001624C2">
        <w:rPr>
          <w:rFonts w:ascii="Calibri" w:eastAsia="ＭＳ 明朝" w:hAnsi="Calibri" w:cs="Calibri"/>
          <w:sz w:val="22"/>
          <w:szCs w:val="22"/>
          <w:lang w:eastAsia="ja-JP"/>
        </w:rPr>
        <w:t xml:space="preserve">*4. According to </w:t>
      </w:r>
      <w:bookmarkStart w:id="1" w:name="_Hlk79656381"/>
      <w:r w:rsidRPr="001624C2">
        <w:rPr>
          <w:rFonts w:ascii="Calibri" w:eastAsia="ＭＳ 明朝" w:hAnsi="Calibri" w:cs="Calibri"/>
          <w:sz w:val="22"/>
          <w:szCs w:val="22"/>
          <w:lang w:eastAsia="ja-JP"/>
        </w:rPr>
        <w:t>ISDA-Clarus RFR Adoption Indicator (July 2021)</w:t>
      </w:r>
      <w:bookmarkEnd w:id="1"/>
      <w:r w:rsidRPr="001624C2">
        <w:rPr>
          <w:rFonts w:ascii="Calibri" w:eastAsia="ＭＳ 明朝" w:hAnsi="Calibri" w:cs="Calibri"/>
          <w:sz w:val="22"/>
          <w:szCs w:val="22"/>
          <w:lang w:eastAsia="ja-JP"/>
        </w:rPr>
        <w:t>, the percentage of IRD DV01 traded as an RFR in JPY was 23.4%, which was higher than for both USD (7.4%) and EUR (2.1%). The percentage of RFR-linked IRD DV01 traded with a tenor longer than 2 years in JPY was 93.9%, which was also the highest among the currencies covered in the report - USD (40.5%), EUR (65.1%), GBP (57.8%), AUD (1.2%), and CHF (74.3%).</w:t>
      </w:r>
    </w:p>
    <w:p w14:paraId="3A233B72" w14:textId="77777777" w:rsidR="001624C2" w:rsidRPr="001624C2" w:rsidRDefault="001624C2" w:rsidP="001624C2">
      <w:pPr>
        <w:rPr>
          <w:rFonts w:ascii="Calibri" w:eastAsia="ＭＳ 明朝" w:hAnsi="Calibri" w:cs="Calibri"/>
          <w:sz w:val="22"/>
          <w:szCs w:val="22"/>
          <w:lang w:eastAsia="ja-JP"/>
        </w:rPr>
      </w:pPr>
      <w:r w:rsidRPr="001624C2">
        <w:rPr>
          <w:rFonts w:ascii="Calibri" w:eastAsia="ＭＳ 明朝" w:hAnsi="Calibri" w:cs="Calibri"/>
          <w:sz w:val="22"/>
          <w:szCs w:val="22"/>
          <w:lang w:eastAsia="ja-JP"/>
        </w:rPr>
        <w:t>ISDA-Clarus RFR Adoption Indicator (July 2021) is available in the website link:</w:t>
      </w:r>
    </w:p>
    <w:p w14:paraId="74AC65AB" w14:textId="77777777" w:rsidR="001624C2" w:rsidRPr="001624C2" w:rsidRDefault="001624C2" w:rsidP="001624C2">
      <w:pPr>
        <w:rPr>
          <w:rFonts w:ascii="Calibri" w:eastAsia="ＭＳ 明朝" w:hAnsi="Calibri" w:cs="Calibri"/>
          <w:sz w:val="22"/>
          <w:szCs w:val="22"/>
          <w:lang w:eastAsia="ja-JP"/>
        </w:rPr>
      </w:pPr>
    </w:p>
    <w:p w14:paraId="14C5487C" w14:textId="77777777" w:rsidR="001624C2" w:rsidRPr="001624C2" w:rsidRDefault="00E150F2" w:rsidP="001624C2">
      <w:pPr>
        <w:rPr>
          <w:rFonts w:ascii="Calibri" w:eastAsia="ＭＳ 明朝" w:hAnsi="Calibri" w:cs="Calibri"/>
          <w:sz w:val="22"/>
          <w:szCs w:val="22"/>
          <w:lang w:eastAsia="ja-JP"/>
        </w:rPr>
      </w:pPr>
      <w:hyperlink r:id="rId22" w:history="1">
        <w:r w:rsidR="001624C2" w:rsidRPr="001624C2">
          <w:rPr>
            <w:rFonts w:ascii="Calibri" w:eastAsia="ＭＳ 明朝" w:hAnsi="Calibri" w:cs="Calibri"/>
            <w:color w:val="0000FF"/>
            <w:sz w:val="22"/>
            <w:szCs w:val="22"/>
            <w:u w:val="single"/>
            <w:lang w:eastAsia="ja-JP"/>
          </w:rPr>
          <w:t>https://www.isda.org/a/DCMgE/ISDA-Clarus-RFR-Adoption-Indicator-July-2021.pdf</w:t>
        </w:r>
      </w:hyperlink>
    </w:p>
    <w:p w14:paraId="6F7A7E28" w14:textId="77777777" w:rsidR="001624C2" w:rsidRPr="001624C2" w:rsidRDefault="001624C2" w:rsidP="001624C2">
      <w:pPr>
        <w:rPr>
          <w:rFonts w:ascii="Calibri" w:eastAsia="ＭＳ 明朝" w:hAnsi="Calibri" w:cs="Calibri"/>
          <w:sz w:val="22"/>
          <w:szCs w:val="22"/>
          <w:lang w:eastAsia="ja-JP"/>
        </w:rPr>
      </w:pPr>
    </w:p>
    <w:p w14:paraId="4946BED0" w14:textId="77777777" w:rsidR="001624C2" w:rsidRPr="001624C2" w:rsidRDefault="001624C2" w:rsidP="001624C2">
      <w:pPr>
        <w:rPr>
          <w:rFonts w:ascii="Calibri" w:eastAsia="ＭＳ 明朝" w:hAnsi="Calibri" w:cs="Calibri"/>
          <w:sz w:val="22"/>
          <w:szCs w:val="22"/>
          <w:lang w:eastAsia="ja-JP"/>
        </w:rPr>
      </w:pPr>
      <w:r w:rsidRPr="001624C2">
        <w:rPr>
          <w:rFonts w:ascii="Calibri" w:eastAsia="ＭＳ 明朝" w:hAnsi="Calibri" w:cs="Calibri"/>
          <w:sz w:val="22"/>
          <w:szCs w:val="22"/>
          <w:lang w:eastAsia="ja-JP"/>
        </w:rPr>
        <w:t xml:space="preserve">*5. JSCC makes data publicly available showing the number and notional of cleared IRS trades, split out for each JPY interest rate, on a daily and monthly basis. </w:t>
      </w:r>
    </w:p>
    <w:p w14:paraId="3A131C30" w14:textId="77777777" w:rsidR="001624C2" w:rsidRPr="001624C2" w:rsidRDefault="001624C2" w:rsidP="001624C2">
      <w:pPr>
        <w:rPr>
          <w:rFonts w:ascii="Calibri" w:eastAsia="ＭＳ 明朝" w:hAnsi="Calibri" w:cs="Calibri"/>
          <w:sz w:val="22"/>
          <w:szCs w:val="22"/>
          <w:lang w:eastAsia="ja-JP"/>
        </w:rPr>
      </w:pPr>
      <w:r w:rsidRPr="001624C2">
        <w:rPr>
          <w:rFonts w:ascii="Calibri" w:eastAsia="ＭＳ 明朝" w:hAnsi="Calibri" w:cs="Calibri"/>
          <w:sz w:val="22"/>
          <w:szCs w:val="22"/>
          <w:lang w:eastAsia="ja-JP"/>
        </w:rPr>
        <w:t xml:space="preserve">Full details of this cleared IRS data </w:t>
      </w:r>
      <w:proofErr w:type="gramStart"/>
      <w:r w:rsidRPr="001624C2">
        <w:rPr>
          <w:rFonts w:ascii="Calibri" w:eastAsia="ＭＳ 明朝" w:hAnsi="Calibri" w:cs="Calibri"/>
          <w:sz w:val="22"/>
          <w:szCs w:val="22"/>
          <w:lang w:eastAsia="ja-JP"/>
        </w:rPr>
        <w:t>is</w:t>
      </w:r>
      <w:proofErr w:type="gramEnd"/>
      <w:r w:rsidRPr="001624C2">
        <w:rPr>
          <w:rFonts w:ascii="Calibri" w:eastAsia="ＭＳ 明朝" w:hAnsi="Calibri" w:cs="Calibri"/>
          <w:sz w:val="22"/>
          <w:szCs w:val="22"/>
          <w:lang w:eastAsia="ja-JP"/>
        </w:rPr>
        <w:t xml:space="preserve"> available in the website link:</w:t>
      </w:r>
    </w:p>
    <w:p w14:paraId="0A2D2320" w14:textId="77777777" w:rsidR="001624C2" w:rsidRPr="001624C2" w:rsidRDefault="00E150F2" w:rsidP="001624C2">
      <w:pPr>
        <w:rPr>
          <w:rFonts w:ascii="Calibri" w:eastAsia="ＭＳ 明朝" w:hAnsi="Calibri" w:cs="Calibri"/>
          <w:sz w:val="22"/>
          <w:szCs w:val="22"/>
          <w:lang w:eastAsia="ja-JP"/>
        </w:rPr>
      </w:pPr>
      <w:hyperlink r:id="rId23" w:history="1">
        <w:r w:rsidR="001624C2" w:rsidRPr="001624C2">
          <w:rPr>
            <w:rFonts w:ascii="Calibri" w:eastAsia="ＭＳ 明朝" w:hAnsi="Calibri" w:cs="Calibri"/>
            <w:color w:val="0000FF"/>
            <w:sz w:val="22"/>
            <w:szCs w:val="22"/>
            <w:u w:val="single"/>
            <w:lang w:eastAsia="ja-JP"/>
          </w:rPr>
          <w:t>https://www.jpx.co.jp/jscc/en/interest_rate_swap.html</w:t>
        </w:r>
      </w:hyperlink>
    </w:p>
    <w:p w14:paraId="00A93342" w14:textId="77777777" w:rsidR="001624C2" w:rsidRPr="001624C2" w:rsidRDefault="001624C2" w:rsidP="001624C2">
      <w:pPr>
        <w:rPr>
          <w:rFonts w:ascii="Calibri" w:eastAsia="ＭＳ 明朝" w:hAnsi="Calibri" w:cs="Calibri"/>
          <w:sz w:val="22"/>
          <w:szCs w:val="22"/>
          <w:lang w:eastAsia="ja-JP"/>
        </w:rPr>
      </w:pPr>
    </w:p>
    <w:p w14:paraId="76201A07" w14:textId="77777777" w:rsidR="001624C2" w:rsidRPr="001624C2" w:rsidRDefault="001624C2" w:rsidP="001624C2">
      <w:pPr>
        <w:rPr>
          <w:rFonts w:ascii="Calibri" w:eastAsia="ＭＳ 明朝" w:hAnsi="Calibri" w:cs="Calibri"/>
          <w:sz w:val="22"/>
          <w:szCs w:val="22"/>
          <w:lang w:eastAsia="ja-JP"/>
        </w:rPr>
      </w:pPr>
    </w:p>
    <w:p w14:paraId="48938172" w14:textId="77777777" w:rsidR="001624C2" w:rsidRPr="001624C2" w:rsidRDefault="001624C2" w:rsidP="001624C2">
      <w:pPr>
        <w:widowControl w:val="0"/>
        <w:numPr>
          <w:ilvl w:val="0"/>
          <w:numId w:val="31"/>
        </w:numPr>
        <w:jc w:val="both"/>
        <w:rPr>
          <w:rFonts w:ascii="Calibri" w:eastAsia="ＭＳ 明朝" w:hAnsi="Calibri" w:cs="Calibri"/>
          <w:sz w:val="22"/>
          <w:szCs w:val="22"/>
          <w:lang w:eastAsia="ja-JP"/>
        </w:rPr>
      </w:pPr>
      <w:r w:rsidRPr="001624C2">
        <w:rPr>
          <w:rFonts w:ascii="Calibri" w:eastAsia="ＭＳ 明朝" w:hAnsi="Calibri" w:cs="Calibri"/>
          <w:b/>
          <w:bCs/>
          <w:sz w:val="22"/>
          <w:szCs w:val="22"/>
          <w:lang w:eastAsia="ja-JP"/>
        </w:rPr>
        <w:t>More than one CCP is available for clearing TONA OIS</w:t>
      </w:r>
    </w:p>
    <w:p w14:paraId="5DD9BE04" w14:textId="77777777" w:rsidR="001624C2" w:rsidRPr="001624C2" w:rsidRDefault="001624C2" w:rsidP="001624C2">
      <w:pPr>
        <w:rPr>
          <w:rFonts w:ascii="Calibri" w:eastAsia="ＭＳ 明朝" w:hAnsi="Calibri" w:cs="Calibri"/>
          <w:sz w:val="22"/>
          <w:szCs w:val="22"/>
          <w:lang w:eastAsia="ja-JP"/>
        </w:rPr>
      </w:pPr>
      <w:r w:rsidRPr="001624C2">
        <w:rPr>
          <w:rFonts w:ascii="Calibri" w:eastAsia="ＭＳ 明朝" w:hAnsi="Calibri" w:cs="Calibri"/>
          <w:sz w:val="22"/>
          <w:szCs w:val="22"/>
          <w:lang w:eastAsia="ja-JP"/>
        </w:rPr>
        <w:t xml:space="preserve">Clearing of TONA OIS is available in </w:t>
      </w:r>
      <w:proofErr w:type="spellStart"/>
      <w:r w:rsidRPr="001624C2">
        <w:rPr>
          <w:rFonts w:ascii="Calibri" w:eastAsia="ＭＳ 明朝" w:hAnsi="Calibri" w:cs="Calibri"/>
          <w:sz w:val="22"/>
          <w:szCs w:val="22"/>
          <w:lang w:eastAsia="ja-JP"/>
        </w:rPr>
        <w:t>Eurex</w:t>
      </w:r>
      <w:proofErr w:type="spellEnd"/>
      <w:r w:rsidRPr="001624C2">
        <w:rPr>
          <w:rFonts w:ascii="Calibri" w:eastAsia="ＭＳ 明朝" w:hAnsi="Calibri" w:cs="Calibri"/>
          <w:sz w:val="22"/>
          <w:szCs w:val="22"/>
          <w:lang w:eastAsia="ja-JP"/>
        </w:rPr>
        <w:t>, LCH, and CME, in addition to JSCC. Thus, there would be little, if any, concern on the availability of clearing service for those entities subject to a clearing mandate for JPY TONA OIS.</w:t>
      </w:r>
    </w:p>
    <w:p w14:paraId="055B83DC" w14:textId="77777777" w:rsidR="001624C2" w:rsidRPr="001624C2" w:rsidRDefault="001624C2" w:rsidP="001624C2">
      <w:pPr>
        <w:rPr>
          <w:rFonts w:ascii="Calibri" w:eastAsia="ＭＳ 明朝" w:hAnsi="Calibri" w:cs="Calibri"/>
          <w:sz w:val="22"/>
          <w:szCs w:val="22"/>
          <w:lang w:eastAsia="ja-JP"/>
        </w:rPr>
      </w:pPr>
    </w:p>
    <w:p w14:paraId="2FE3A604" w14:textId="1C1A4177" w:rsidR="009835AD" w:rsidRPr="009835AD" w:rsidRDefault="001624C2" w:rsidP="001624C2">
      <w:pPr>
        <w:spacing w:after="160" w:line="259" w:lineRule="auto"/>
        <w:rPr>
          <w:rFonts w:ascii="Calibri" w:eastAsia="Calibri" w:hAnsi="Calibri"/>
          <w:sz w:val="22"/>
          <w:szCs w:val="22"/>
          <w:lang w:eastAsia="en-US"/>
        </w:rPr>
      </w:pPr>
      <w:r w:rsidRPr="001624C2">
        <w:rPr>
          <w:rFonts w:ascii="Calibri" w:eastAsia="ＭＳ 明朝" w:hAnsi="Calibri" w:cs="Calibri"/>
          <w:sz w:val="22"/>
          <w:szCs w:val="22"/>
          <w:lang w:eastAsia="ja-JP"/>
        </w:rPr>
        <w:lastRenderedPageBreak/>
        <w:t xml:space="preserve">In relation to TABLE 1(LIST OF EU AND TC-CCPS OFFERING CLEARING OF DERIVATIVES REFERENCING NEW RISK-FREE RATES IN THE G4 CURRENCIES) of the consultation paper, we would certify that the range of tenor available for clearing in JSCC is currently from 3 to 14,623 days (around 40Y). The relevant information is  available in the website link  - </w:t>
      </w:r>
      <w:hyperlink r:id="rId24" w:history="1">
        <w:r w:rsidRPr="001624C2">
          <w:rPr>
            <w:rFonts w:ascii="Calibri" w:eastAsia="ＭＳ 明朝" w:hAnsi="Calibri" w:cs="Calibri"/>
            <w:color w:val="0000FF"/>
            <w:sz w:val="22"/>
            <w:szCs w:val="22"/>
            <w:u w:val="single"/>
            <w:lang w:eastAsia="ja-JP"/>
          </w:rPr>
          <w:t>https://www.jpx.co.jp/jscc/en/cash/irs/product.html</w:t>
        </w:r>
      </w:hyperlink>
    </w:p>
    <w:permEnd w:id="1960970536"/>
    <w:p w14:paraId="4B64AFD5"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&lt;ESMA_QUESTION_RFRS_2&gt;</w:t>
      </w:r>
    </w:p>
    <w:p w14:paraId="70BA6A0C" w14:textId="392BF9B7" w:rsidR="009835AD" w:rsidRDefault="009835AD" w:rsidP="009835AD">
      <w:pPr>
        <w:spacing w:after="160" w:line="259" w:lineRule="auto"/>
        <w:rPr>
          <w:rFonts w:ascii="Calibri" w:eastAsia="Calibri" w:hAnsi="Calibri"/>
          <w:sz w:val="22"/>
          <w:szCs w:val="22"/>
          <w:lang w:eastAsia="en-US"/>
        </w:rPr>
      </w:pPr>
    </w:p>
    <w:p w14:paraId="6717B33A" w14:textId="645BA4E2" w:rsidR="0037358E" w:rsidRPr="0037358E" w:rsidRDefault="0037358E" w:rsidP="0037358E">
      <w:pPr>
        <w:spacing w:after="120" w:line="264" w:lineRule="auto"/>
        <w:rPr>
          <w:rFonts w:asciiTheme="minorHAnsi" w:hAnsiTheme="minorHAnsi" w:cstheme="minorHAnsi"/>
          <w:b/>
          <w:sz w:val="22"/>
          <w:szCs w:val="22"/>
        </w:rPr>
      </w:pPr>
      <w:r w:rsidRPr="0037358E">
        <w:rPr>
          <w:rFonts w:asciiTheme="minorHAnsi" w:hAnsiTheme="minorHAnsi" w:cstheme="minorHAnsi"/>
          <w:b/>
          <w:sz w:val="22"/>
          <w:szCs w:val="22"/>
        </w:rPr>
        <w:t xml:space="preserve">General approach </w:t>
      </w:r>
    </w:p>
    <w:p w14:paraId="3A834F3D"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Are there any other aspects that you think that ESMA should take into account or that might justify a</w:t>
      </w:r>
      <w:r w:rsidRPr="009835AD">
        <w:rPr>
          <w:rFonts w:ascii="Arial" w:hAnsi="Arial" w:cs="Arial"/>
          <w:b/>
          <w:sz w:val="22"/>
          <w:szCs w:val="22"/>
          <w:lang w:val="en-US" w:eastAsia="en-US"/>
        </w:rPr>
        <w:t xml:space="preserve"> different approach?</w:t>
      </w:r>
    </w:p>
    <w:p w14:paraId="5A839AD2"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&lt;ESMA_QUESTION_RFRS_3&gt;</w:t>
      </w:r>
    </w:p>
    <w:p w14:paraId="05D744F5" w14:textId="3A42BEA4" w:rsidR="009835AD" w:rsidRPr="009835AD" w:rsidRDefault="001624C2" w:rsidP="009835AD">
      <w:pPr>
        <w:spacing w:after="160" w:line="259" w:lineRule="auto"/>
        <w:rPr>
          <w:rFonts w:ascii="Calibri" w:eastAsia="Calibri" w:hAnsi="Calibri"/>
          <w:sz w:val="22"/>
          <w:szCs w:val="22"/>
          <w:lang w:eastAsia="en-US"/>
        </w:rPr>
      </w:pPr>
      <w:permStart w:id="2091866080" w:edGrp="everyone"/>
      <w:r w:rsidRPr="001624C2">
        <w:rPr>
          <w:rFonts w:ascii="Calibri" w:hAnsi="Calibri" w:cs="Calibri"/>
          <w:sz w:val="22"/>
        </w:rPr>
        <w:t>JSCC has no specific comments in relation to this question.</w:t>
      </w:r>
    </w:p>
    <w:permEnd w:id="2091866080"/>
    <w:p w14:paraId="2E7D163D"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&lt;ESMA_QUESTION_RFRS_3&gt;</w:t>
      </w:r>
    </w:p>
    <w:p w14:paraId="0FCAF496" w14:textId="1A0A298E" w:rsidR="009835AD" w:rsidRDefault="009835AD" w:rsidP="009835AD">
      <w:pPr>
        <w:spacing w:after="160" w:line="259" w:lineRule="auto"/>
        <w:rPr>
          <w:rFonts w:ascii="Calibri" w:eastAsia="Calibri" w:hAnsi="Calibri"/>
          <w:sz w:val="22"/>
          <w:szCs w:val="22"/>
          <w:lang w:eastAsia="en-US"/>
        </w:rPr>
      </w:pPr>
    </w:p>
    <w:p w14:paraId="12E8EF5A" w14:textId="078DADA4" w:rsidR="0037358E" w:rsidRPr="0037358E" w:rsidRDefault="0037358E" w:rsidP="0037358E">
      <w:pPr>
        <w:spacing w:after="120" w:line="264" w:lineRule="auto"/>
        <w:rPr>
          <w:rFonts w:asciiTheme="minorHAnsi" w:hAnsiTheme="minorHAnsi" w:cstheme="minorHAnsi"/>
          <w:b/>
          <w:sz w:val="22"/>
          <w:szCs w:val="22"/>
        </w:rPr>
      </w:pPr>
      <w:r w:rsidRPr="0037358E">
        <w:rPr>
          <w:rFonts w:asciiTheme="minorHAnsi" w:hAnsiTheme="minorHAnsi" w:cstheme="minorHAnsi"/>
          <w:b/>
          <w:sz w:val="22"/>
          <w:szCs w:val="22"/>
        </w:rPr>
        <w:t>Clearing obligation</w:t>
      </w:r>
    </w:p>
    <w:p w14:paraId="7815CA79"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Do you agree with the assessment of the EMIR criteria and with the proposed classes (except for USD which is dealt with in a dedicated Question 5)? If not please detail how the assessment could differ and please also provide data and information to justify a different assessment. </w:t>
      </w:r>
    </w:p>
    <w:p w14:paraId="770575B2"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&lt;ESMA_QUESTION_RFRS_4&gt;</w:t>
      </w:r>
    </w:p>
    <w:p w14:paraId="00B7359F" w14:textId="77777777" w:rsidR="001624C2" w:rsidRPr="001624C2" w:rsidRDefault="001624C2" w:rsidP="001624C2">
      <w:pPr>
        <w:rPr>
          <w:rFonts w:ascii="Calibri" w:hAnsi="Calibri" w:cs="Calibri"/>
          <w:sz w:val="22"/>
          <w:szCs w:val="22"/>
          <w:lang w:eastAsia="ja-JP"/>
        </w:rPr>
      </w:pPr>
      <w:permStart w:id="625810741" w:edGrp="everyone"/>
      <w:r w:rsidRPr="001624C2">
        <w:rPr>
          <w:rFonts w:ascii="Calibri" w:hAnsi="Calibri" w:cs="Calibri"/>
          <w:sz w:val="22"/>
          <w:szCs w:val="22"/>
          <w:lang w:eastAsia="ja-JP"/>
        </w:rPr>
        <w:t xml:space="preserve">JSCC does not agree with the assessment of the EMIR criteria and with the proposed classes, as the data for assessment on JPY OIS, including those listed in “3.2.2.4 JPY” of the Consultation Paper, does not reflect the current situation. As detailed in responses to the previous questions, JSCC recommends that a JPY RFR should be included in the modified IRS clearing obligation, as a replacement for JPY LIBOR. </w:t>
      </w:r>
    </w:p>
    <w:p w14:paraId="0F90BF19" w14:textId="77777777" w:rsidR="001624C2" w:rsidRPr="001624C2" w:rsidRDefault="001624C2" w:rsidP="001624C2">
      <w:pPr>
        <w:rPr>
          <w:rFonts w:ascii="Calibri" w:hAnsi="Calibri" w:cs="Calibri"/>
          <w:sz w:val="22"/>
          <w:szCs w:val="22"/>
          <w:lang w:eastAsia="ja-JP"/>
        </w:rPr>
      </w:pPr>
    </w:p>
    <w:p w14:paraId="3EFFED9C" w14:textId="77777777" w:rsidR="001624C2" w:rsidRPr="001624C2" w:rsidRDefault="001624C2" w:rsidP="001624C2">
      <w:pPr>
        <w:rPr>
          <w:rFonts w:ascii="Calibri" w:hAnsi="Calibri" w:cs="Calibri"/>
          <w:sz w:val="22"/>
          <w:szCs w:val="22"/>
          <w:lang w:eastAsia="ja-JP"/>
        </w:rPr>
      </w:pPr>
      <w:r w:rsidRPr="001624C2">
        <w:rPr>
          <w:rFonts w:ascii="Calibri" w:hAnsi="Calibri" w:cs="Calibri"/>
          <w:sz w:val="22"/>
          <w:szCs w:val="22"/>
          <w:lang w:eastAsia="ja-JP"/>
        </w:rPr>
        <w:t>For this purpose, JSCC would like to suggest the parameters of the clearing obligation, detailed in “Table 6” of the Consultation Paper, should be tailored for JPY IRS as below. The majority of JPY IRS trade within these parameters and would be eligible for clearing in global CCPs.</w:t>
      </w:r>
    </w:p>
    <w:p w14:paraId="7B4B629B" w14:textId="77777777" w:rsidR="001624C2" w:rsidRPr="001624C2" w:rsidRDefault="001624C2" w:rsidP="001624C2">
      <w:pPr>
        <w:rPr>
          <w:rFonts w:ascii="Calibri" w:hAnsi="Calibri" w:cs="Calibri"/>
          <w:sz w:val="22"/>
          <w:szCs w:val="22"/>
          <w:lang w:eastAsia="ja-JP"/>
        </w:rPr>
      </w:pPr>
    </w:p>
    <w:p w14:paraId="1612D03E" w14:textId="77777777" w:rsidR="001624C2" w:rsidRPr="001624C2" w:rsidRDefault="001624C2" w:rsidP="001624C2">
      <w:pPr>
        <w:widowControl w:val="0"/>
        <w:numPr>
          <w:ilvl w:val="0"/>
          <w:numId w:val="32"/>
        </w:numPr>
        <w:jc w:val="both"/>
        <w:rPr>
          <w:rFonts w:ascii="Calibri" w:eastAsia="游明朝" w:hAnsi="Calibri" w:cs="Calibri"/>
          <w:kern w:val="2"/>
          <w:sz w:val="22"/>
          <w:szCs w:val="22"/>
          <w:lang w:val="en-US" w:eastAsia="ja-JP"/>
        </w:rPr>
      </w:pPr>
      <w:r w:rsidRPr="001624C2">
        <w:rPr>
          <w:rFonts w:ascii="Calibri" w:eastAsia="游明朝" w:hAnsi="Calibri" w:cs="Calibri"/>
          <w:kern w:val="2"/>
          <w:sz w:val="22"/>
          <w:szCs w:val="22"/>
          <w:lang w:val="en-US" w:eastAsia="ja-JP"/>
        </w:rPr>
        <w:t>Type: OIS</w:t>
      </w:r>
    </w:p>
    <w:p w14:paraId="6ACB9EC8" w14:textId="77777777" w:rsidR="001624C2" w:rsidRPr="001624C2" w:rsidRDefault="001624C2" w:rsidP="001624C2">
      <w:pPr>
        <w:widowControl w:val="0"/>
        <w:numPr>
          <w:ilvl w:val="0"/>
          <w:numId w:val="32"/>
        </w:numPr>
        <w:jc w:val="both"/>
        <w:rPr>
          <w:rFonts w:ascii="Calibri" w:eastAsia="游明朝" w:hAnsi="Calibri" w:cs="Calibri"/>
          <w:kern w:val="2"/>
          <w:sz w:val="22"/>
          <w:szCs w:val="22"/>
          <w:lang w:val="en-US" w:eastAsia="ja-JP"/>
        </w:rPr>
      </w:pPr>
      <w:r w:rsidRPr="001624C2">
        <w:rPr>
          <w:rFonts w:ascii="Calibri" w:eastAsia="游明朝" w:hAnsi="Calibri" w:cs="Calibri"/>
          <w:kern w:val="2"/>
          <w:sz w:val="22"/>
          <w:szCs w:val="22"/>
          <w:lang w:val="en-US" w:eastAsia="ja-JP"/>
        </w:rPr>
        <w:t>Reference Index: TONA</w:t>
      </w:r>
    </w:p>
    <w:p w14:paraId="20974AB5" w14:textId="77777777" w:rsidR="001624C2" w:rsidRPr="001624C2" w:rsidRDefault="001624C2" w:rsidP="001624C2">
      <w:pPr>
        <w:widowControl w:val="0"/>
        <w:numPr>
          <w:ilvl w:val="0"/>
          <w:numId w:val="32"/>
        </w:numPr>
        <w:jc w:val="both"/>
        <w:rPr>
          <w:rFonts w:ascii="Calibri" w:eastAsia="游明朝" w:hAnsi="Calibri" w:cs="Calibri"/>
          <w:kern w:val="2"/>
          <w:sz w:val="22"/>
          <w:szCs w:val="22"/>
          <w:lang w:val="en-US" w:eastAsia="ja-JP"/>
        </w:rPr>
      </w:pPr>
      <w:r w:rsidRPr="001624C2">
        <w:rPr>
          <w:rFonts w:ascii="Calibri" w:eastAsia="游明朝" w:hAnsi="Calibri" w:cs="Calibri"/>
          <w:kern w:val="2"/>
          <w:sz w:val="22"/>
          <w:szCs w:val="22"/>
          <w:lang w:val="en-US" w:eastAsia="ja-JP"/>
        </w:rPr>
        <w:t>Settlement Currency: JPY</w:t>
      </w:r>
    </w:p>
    <w:p w14:paraId="6719B288" w14:textId="77777777" w:rsidR="001624C2" w:rsidRPr="001624C2" w:rsidRDefault="001624C2" w:rsidP="001624C2">
      <w:pPr>
        <w:widowControl w:val="0"/>
        <w:numPr>
          <w:ilvl w:val="0"/>
          <w:numId w:val="32"/>
        </w:numPr>
        <w:jc w:val="both"/>
        <w:rPr>
          <w:rFonts w:ascii="Calibri" w:eastAsia="游明朝" w:hAnsi="Calibri" w:cs="Calibri"/>
          <w:kern w:val="2"/>
          <w:sz w:val="22"/>
          <w:szCs w:val="22"/>
          <w:lang w:val="en-US" w:eastAsia="ja-JP"/>
        </w:rPr>
      </w:pPr>
      <w:r w:rsidRPr="001624C2">
        <w:rPr>
          <w:rFonts w:ascii="Calibri" w:eastAsia="游明朝" w:hAnsi="Calibri" w:cs="Calibri"/>
          <w:kern w:val="2"/>
          <w:sz w:val="22"/>
          <w:szCs w:val="22"/>
          <w:lang w:val="en-US" w:eastAsia="ja-JP"/>
        </w:rPr>
        <w:t>Maturity: 3D to 40Y</w:t>
      </w:r>
    </w:p>
    <w:p w14:paraId="5FE2EEC2" w14:textId="77777777" w:rsidR="001624C2" w:rsidRPr="001624C2" w:rsidRDefault="001624C2" w:rsidP="001624C2">
      <w:pPr>
        <w:widowControl w:val="0"/>
        <w:numPr>
          <w:ilvl w:val="0"/>
          <w:numId w:val="32"/>
        </w:numPr>
        <w:jc w:val="both"/>
        <w:rPr>
          <w:rFonts w:ascii="Calibri" w:eastAsia="游明朝" w:hAnsi="Calibri" w:cs="Calibri"/>
          <w:kern w:val="2"/>
          <w:sz w:val="22"/>
          <w:szCs w:val="22"/>
          <w:lang w:val="en-US" w:eastAsia="ja-JP"/>
        </w:rPr>
      </w:pPr>
      <w:r w:rsidRPr="001624C2">
        <w:rPr>
          <w:rFonts w:ascii="Calibri" w:eastAsia="游明朝" w:hAnsi="Calibri" w:cs="Calibri"/>
          <w:kern w:val="2"/>
          <w:sz w:val="22"/>
          <w:szCs w:val="22"/>
          <w:lang w:val="en-US" w:eastAsia="ja-JP"/>
        </w:rPr>
        <w:t>Settlement Currency Type: Single Currency</w:t>
      </w:r>
    </w:p>
    <w:p w14:paraId="1FEE8323" w14:textId="77777777" w:rsidR="001624C2" w:rsidRPr="001624C2" w:rsidRDefault="001624C2" w:rsidP="001624C2">
      <w:pPr>
        <w:widowControl w:val="0"/>
        <w:numPr>
          <w:ilvl w:val="0"/>
          <w:numId w:val="32"/>
        </w:numPr>
        <w:jc w:val="both"/>
        <w:rPr>
          <w:rFonts w:ascii="Calibri" w:eastAsia="游明朝" w:hAnsi="Calibri" w:cs="Calibri"/>
          <w:kern w:val="2"/>
          <w:sz w:val="22"/>
          <w:szCs w:val="22"/>
          <w:lang w:val="en-US" w:eastAsia="ja-JP"/>
        </w:rPr>
      </w:pPr>
      <w:r w:rsidRPr="001624C2">
        <w:rPr>
          <w:rFonts w:ascii="Calibri" w:eastAsia="游明朝" w:hAnsi="Calibri" w:cs="Calibri"/>
          <w:kern w:val="2"/>
          <w:sz w:val="22"/>
          <w:szCs w:val="22"/>
          <w:lang w:val="en-US" w:eastAsia="ja-JP"/>
        </w:rPr>
        <w:t>Optionality: No</w:t>
      </w:r>
    </w:p>
    <w:p w14:paraId="278123AE" w14:textId="5FD626D8" w:rsidR="009835AD" w:rsidRPr="001624C2" w:rsidRDefault="001624C2" w:rsidP="001624C2">
      <w:pPr>
        <w:widowControl w:val="0"/>
        <w:numPr>
          <w:ilvl w:val="0"/>
          <w:numId w:val="32"/>
        </w:numPr>
        <w:spacing w:after="160" w:line="259" w:lineRule="auto"/>
        <w:jc w:val="both"/>
        <w:rPr>
          <w:rFonts w:ascii="Calibri" w:eastAsia="Calibri" w:hAnsi="Calibri"/>
          <w:sz w:val="22"/>
          <w:szCs w:val="22"/>
          <w:lang w:eastAsia="en-US"/>
        </w:rPr>
      </w:pPr>
      <w:r w:rsidRPr="001624C2">
        <w:rPr>
          <w:rFonts w:ascii="Calibri" w:eastAsia="游明朝" w:hAnsi="Calibri" w:cs="Calibri"/>
          <w:kern w:val="2"/>
          <w:sz w:val="22"/>
          <w:szCs w:val="22"/>
          <w:lang w:val="en-US" w:eastAsia="ja-JP"/>
        </w:rPr>
        <w:t>Notional Type: Constant or Variable</w:t>
      </w:r>
    </w:p>
    <w:permEnd w:id="625810741"/>
    <w:p w14:paraId="204280FC"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&lt;ESMA_QUESTION_RFRS_4&gt;</w:t>
      </w:r>
    </w:p>
    <w:p w14:paraId="325B14EC" w14:textId="77777777" w:rsidR="009835AD" w:rsidRPr="009835AD" w:rsidRDefault="009835AD" w:rsidP="009835AD">
      <w:pPr>
        <w:spacing w:after="160" w:line="259" w:lineRule="auto"/>
        <w:rPr>
          <w:rFonts w:ascii="Calibri" w:eastAsia="Calibri" w:hAnsi="Calibri"/>
          <w:sz w:val="22"/>
          <w:szCs w:val="22"/>
          <w:lang w:eastAsia="en-US"/>
        </w:rPr>
      </w:pPr>
    </w:p>
    <w:p w14:paraId="6B3E5F40"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 xml:space="preserve">Will the transition regarding USD have made sufficient progress by this Autumn to decide on whether to maintain or remove USD LIBOR classes. Will there be </w:t>
      </w:r>
      <w:r w:rsidRPr="009835AD">
        <w:rPr>
          <w:rFonts w:ascii="Arial" w:hAnsi="Arial" w:cs="Arial"/>
          <w:b/>
          <w:bCs/>
          <w:sz w:val="22"/>
          <w:szCs w:val="22"/>
          <w:lang w:val="en-US" w:eastAsia="en-US"/>
        </w:rPr>
        <w:lastRenderedPageBreak/>
        <w:t xml:space="preserve">sufficient liquidity to introduce SOFR OIS to the CO and for which maturity range? Please provide the relevant data and information to explain your </w:t>
      </w:r>
      <w:r w:rsidRPr="009835AD">
        <w:rPr>
          <w:rFonts w:ascii="Arial" w:hAnsi="Arial" w:cs="Arial"/>
          <w:b/>
          <w:sz w:val="22"/>
          <w:szCs w:val="22"/>
          <w:lang w:val="en-US" w:eastAsia="en-US"/>
        </w:rPr>
        <w:t xml:space="preserve">assessment, in accordance with the EMIR framework. </w:t>
      </w:r>
    </w:p>
    <w:p w14:paraId="52D8F8F5"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&lt;ESMA_QUESTION_RFRS_5&gt;</w:t>
      </w:r>
    </w:p>
    <w:p w14:paraId="68D3BF9E" w14:textId="7186ABDD" w:rsidR="009835AD" w:rsidRPr="009835AD" w:rsidRDefault="001624C2" w:rsidP="009835AD">
      <w:pPr>
        <w:spacing w:after="160" w:line="259" w:lineRule="auto"/>
        <w:rPr>
          <w:rFonts w:ascii="Calibri" w:eastAsia="Calibri" w:hAnsi="Calibri"/>
          <w:sz w:val="22"/>
          <w:szCs w:val="22"/>
          <w:lang w:eastAsia="en-US"/>
        </w:rPr>
      </w:pPr>
      <w:permStart w:id="1185625336" w:edGrp="everyone"/>
      <w:r>
        <w:rPr>
          <w:rFonts w:ascii="Calibri" w:hAnsi="Calibri" w:cs="Calibri"/>
          <w:sz w:val="22"/>
        </w:rPr>
        <w:t>JSCC has no comments in relation to this question.</w:t>
      </w:r>
    </w:p>
    <w:permEnd w:id="1185625336"/>
    <w:p w14:paraId="1E6B10D4"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&lt;ESMA_QUESTION_RFRS_5&gt;</w:t>
      </w:r>
    </w:p>
    <w:p w14:paraId="0C71553C" w14:textId="614B2EE3" w:rsidR="009835AD" w:rsidRDefault="009835AD" w:rsidP="009835AD">
      <w:pPr>
        <w:spacing w:after="160" w:line="259" w:lineRule="auto"/>
        <w:rPr>
          <w:rFonts w:ascii="Calibri" w:eastAsia="Calibri" w:hAnsi="Calibri"/>
          <w:sz w:val="22"/>
          <w:szCs w:val="22"/>
          <w:lang w:eastAsia="en-US"/>
        </w:rPr>
      </w:pPr>
    </w:p>
    <w:p w14:paraId="72DF8575"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 xml:space="preserve">Do you agree with the proposed implementation of the changes? If not please provide details that could justify a different implementation. </w:t>
      </w:r>
    </w:p>
    <w:p w14:paraId="040FCF38"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&lt;ESMA_QUESTION_RFRS_6&gt;</w:t>
      </w:r>
    </w:p>
    <w:p w14:paraId="173E56C4" w14:textId="77777777" w:rsidR="001624C2" w:rsidRPr="001624C2" w:rsidRDefault="001624C2" w:rsidP="001624C2">
      <w:pPr>
        <w:rPr>
          <w:rFonts w:ascii="Calibri" w:hAnsi="Calibri" w:cs="Calibri"/>
          <w:sz w:val="22"/>
          <w:szCs w:val="22"/>
          <w:lang w:eastAsia="ja-JP"/>
        </w:rPr>
      </w:pPr>
      <w:permStart w:id="88494692" w:edGrp="everyone"/>
      <w:r w:rsidRPr="001624C2">
        <w:rPr>
          <w:rFonts w:ascii="Calibri" w:hAnsi="Calibri" w:cs="Calibri"/>
          <w:sz w:val="22"/>
          <w:szCs w:val="22"/>
          <w:lang w:eastAsia="ja-JP"/>
        </w:rPr>
        <w:t>JSCC agrees with ESMA’s proposed approach to modify the annex of the current Commission Delegated Regulation,</w:t>
      </w:r>
      <w:r w:rsidRPr="001624C2">
        <w:rPr>
          <w:rFonts w:ascii="Century" w:eastAsia="ＭＳ 明朝" w:hAnsi="Century"/>
          <w:kern w:val="2"/>
          <w:sz w:val="21"/>
          <w:szCs w:val="22"/>
          <w:lang w:eastAsia="ja-JP"/>
        </w:rPr>
        <w:t xml:space="preserve"> </w:t>
      </w:r>
      <w:r w:rsidRPr="001624C2">
        <w:rPr>
          <w:rFonts w:ascii="Calibri" w:hAnsi="Calibri" w:cs="Calibri"/>
          <w:sz w:val="22"/>
          <w:szCs w:val="22"/>
          <w:lang w:eastAsia="ja-JP"/>
        </w:rPr>
        <w:t>instead of a new RTS that could lead to a brand-new Commission Delegated Regulation.</w:t>
      </w:r>
    </w:p>
    <w:p w14:paraId="4D934C68" w14:textId="77777777" w:rsidR="001624C2" w:rsidRPr="001624C2" w:rsidRDefault="001624C2" w:rsidP="001624C2">
      <w:pPr>
        <w:rPr>
          <w:rFonts w:ascii="Calibri" w:hAnsi="Calibri" w:cs="Calibri"/>
          <w:sz w:val="22"/>
          <w:szCs w:val="22"/>
          <w:lang w:eastAsia="ja-JP"/>
        </w:rPr>
      </w:pPr>
    </w:p>
    <w:p w14:paraId="26E71C42" w14:textId="77777777" w:rsidR="001624C2" w:rsidRPr="001624C2" w:rsidRDefault="001624C2" w:rsidP="001624C2">
      <w:pPr>
        <w:rPr>
          <w:rFonts w:ascii="Calibri" w:hAnsi="Calibri" w:cs="Calibri"/>
          <w:sz w:val="22"/>
          <w:szCs w:val="22"/>
          <w:lang w:eastAsia="ja-JP"/>
        </w:rPr>
      </w:pPr>
      <w:r w:rsidRPr="001624C2">
        <w:rPr>
          <w:rFonts w:ascii="Calibri" w:hAnsi="Calibri" w:cs="Calibri"/>
          <w:sz w:val="22"/>
          <w:szCs w:val="22"/>
          <w:lang w:eastAsia="ja-JP"/>
        </w:rPr>
        <w:t xml:space="preserve">However, in terms of timing, JSCC would recommend that the modifications should come into force on dates that coincide with the contractual conversion of contracts referencing soon-to-be discontinued LIBOR benchmarks by </w:t>
      </w:r>
      <w:proofErr w:type="gramStart"/>
      <w:r w:rsidRPr="001624C2">
        <w:rPr>
          <w:rFonts w:ascii="Calibri" w:hAnsi="Calibri" w:cs="Calibri"/>
          <w:sz w:val="22"/>
          <w:szCs w:val="22"/>
          <w:lang w:eastAsia="ja-JP"/>
        </w:rPr>
        <w:t>a number of</w:t>
      </w:r>
      <w:proofErr w:type="gramEnd"/>
      <w:r w:rsidRPr="001624C2">
        <w:rPr>
          <w:rFonts w:ascii="Calibri" w:hAnsi="Calibri" w:cs="Calibri"/>
          <w:sz w:val="22"/>
          <w:szCs w:val="22"/>
          <w:lang w:eastAsia="ja-JP"/>
        </w:rPr>
        <w:t xml:space="preserve"> CCPs. Therefore, the timing of entry into force should be Monday 6 December 2021 for the removal of the contract type referencing JPY Libor from the Basis Swaps and Fixed-to-float interest rate swaps classes. As noted in the Consultation Paper, it is expected that JPY LIBOR swap liquidity “would sharply decrease” after the CCP transition has been completed.</w:t>
      </w:r>
    </w:p>
    <w:p w14:paraId="0B33C7BA" w14:textId="77777777" w:rsidR="001624C2" w:rsidRPr="001624C2" w:rsidRDefault="001624C2" w:rsidP="001624C2">
      <w:pPr>
        <w:rPr>
          <w:rFonts w:ascii="Calibri" w:hAnsi="Calibri" w:cs="Calibri"/>
          <w:sz w:val="22"/>
          <w:szCs w:val="22"/>
          <w:lang w:eastAsia="ja-JP"/>
        </w:rPr>
      </w:pPr>
    </w:p>
    <w:p w14:paraId="5C81E371" w14:textId="77777777" w:rsidR="001624C2" w:rsidRPr="001624C2" w:rsidRDefault="001624C2" w:rsidP="001624C2">
      <w:pPr>
        <w:rPr>
          <w:rFonts w:ascii="Calibri" w:hAnsi="Calibri" w:cs="Calibri"/>
          <w:sz w:val="22"/>
          <w:szCs w:val="22"/>
          <w:lang w:eastAsia="ja-JP"/>
        </w:rPr>
      </w:pPr>
      <w:r w:rsidRPr="001624C2">
        <w:rPr>
          <w:rFonts w:ascii="Calibri" w:hAnsi="Calibri" w:cs="Calibri"/>
          <w:sz w:val="22"/>
          <w:szCs w:val="22"/>
          <w:lang w:eastAsia="ja-JP"/>
        </w:rPr>
        <w:t>Furthermore, as explained in our responses to previous questions, JSCC would recommend the removal of JPY LIBOR should be implemented in conjunction with the inclusion of JPY TONA OIS in the scope of the clearing mandate.</w:t>
      </w:r>
    </w:p>
    <w:p w14:paraId="7DFF3AB7" w14:textId="77777777" w:rsidR="001624C2" w:rsidRPr="001624C2" w:rsidRDefault="001624C2" w:rsidP="001624C2">
      <w:pPr>
        <w:rPr>
          <w:rFonts w:ascii="Calibri" w:hAnsi="Calibri" w:cs="Calibri"/>
          <w:sz w:val="22"/>
          <w:szCs w:val="22"/>
          <w:lang w:eastAsia="ja-JP"/>
        </w:rPr>
      </w:pPr>
    </w:p>
    <w:p w14:paraId="437C886C" w14:textId="77777777" w:rsidR="001624C2" w:rsidRPr="001624C2" w:rsidRDefault="001624C2" w:rsidP="001624C2">
      <w:pPr>
        <w:rPr>
          <w:rFonts w:ascii="Calibri" w:hAnsi="Calibri" w:cs="Calibri"/>
          <w:sz w:val="22"/>
          <w:szCs w:val="22"/>
          <w:lang w:eastAsia="ja-JP"/>
        </w:rPr>
      </w:pPr>
      <w:r w:rsidRPr="001624C2">
        <w:rPr>
          <w:rFonts w:ascii="Calibri" w:hAnsi="Calibri" w:cs="Calibri"/>
          <w:sz w:val="22"/>
          <w:szCs w:val="22"/>
          <w:lang w:eastAsia="ja-JP"/>
        </w:rPr>
        <w:t xml:space="preserve">LCH, CME, and </w:t>
      </w:r>
      <w:proofErr w:type="spellStart"/>
      <w:r w:rsidRPr="001624C2">
        <w:rPr>
          <w:rFonts w:ascii="Calibri" w:hAnsi="Calibri" w:cs="Calibri"/>
          <w:sz w:val="22"/>
          <w:szCs w:val="22"/>
          <w:lang w:eastAsia="ja-JP"/>
        </w:rPr>
        <w:t>Eurex</w:t>
      </w:r>
      <w:proofErr w:type="spellEnd"/>
      <w:r w:rsidRPr="001624C2">
        <w:rPr>
          <w:rFonts w:ascii="Calibri" w:hAnsi="Calibri" w:cs="Calibri"/>
          <w:sz w:val="22"/>
          <w:szCs w:val="22"/>
          <w:lang w:eastAsia="ja-JP"/>
        </w:rPr>
        <w:t xml:space="preserve"> have publicly stated that the conversion of existing cleared JPY LIBOR trades to JPY TONA OIS will happen after the close of Friday 3</w:t>
      </w:r>
      <w:r w:rsidRPr="001624C2">
        <w:rPr>
          <w:rFonts w:ascii="Calibri" w:hAnsi="Calibri" w:cs="Calibri"/>
          <w:sz w:val="22"/>
          <w:szCs w:val="22"/>
          <w:vertAlign w:val="superscript"/>
          <w:lang w:eastAsia="ja-JP"/>
        </w:rPr>
        <w:t>rd</w:t>
      </w:r>
      <w:r w:rsidRPr="001624C2">
        <w:rPr>
          <w:rFonts w:ascii="Calibri" w:hAnsi="Calibri" w:cs="Calibri"/>
          <w:sz w:val="22"/>
          <w:szCs w:val="22"/>
          <w:lang w:eastAsia="ja-JP"/>
        </w:rPr>
        <w:t xml:space="preserve"> December. Under JSCC’s draft plan, which is currently progressing through its governance process for sign off and regulatory approval, all existing cleared JPY LIBOR trades will be converted to JPY TONA OIS on the same timing.</w:t>
      </w:r>
    </w:p>
    <w:p w14:paraId="1B8A8083" w14:textId="77777777" w:rsidR="001624C2" w:rsidRPr="001624C2" w:rsidRDefault="001624C2" w:rsidP="001624C2">
      <w:pPr>
        <w:spacing w:line="260" w:lineRule="exact"/>
        <w:rPr>
          <w:rFonts w:ascii="Calibri" w:eastAsia="ＭＳ 明朝" w:hAnsi="Calibri" w:cs="Calibri"/>
          <w:color w:val="000000"/>
          <w:sz w:val="22"/>
          <w:szCs w:val="22"/>
          <w:lang w:eastAsia="ja-JP"/>
        </w:rPr>
      </w:pPr>
    </w:p>
    <w:p w14:paraId="6D8D589B" w14:textId="1926923A" w:rsidR="009835AD" w:rsidRPr="009835AD" w:rsidRDefault="001624C2" w:rsidP="001624C2">
      <w:pPr>
        <w:spacing w:after="160" w:line="259" w:lineRule="auto"/>
        <w:rPr>
          <w:rFonts w:ascii="Calibri" w:eastAsia="Calibri" w:hAnsi="Calibri"/>
          <w:sz w:val="22"/>
          <w:szCs w:val="22"/>
          <w:lang w:eastAsia="en-US"/>
        </w:rPr>
      </w:pPr>
      <w:r w:rsidRPr="001624C2">
        <w:rPr>
          <w:rFonts w:ascii="Calibri" w:eastAsia="ＭＳ 明朝" w:hAnsi="Calibri" w:cs="Calibri"/>
          <w:color w:val="000000"/>
          <w:sz w:val="22"/>
          <w:szCs w:val="22"/>
          <w:lang w:eastAsia="ja-JP"/>
        </w:rPr>
        <w:t>It would be desirable for regulators to harmonize the timing globally, rather than each regulator setting its own compliance deadline. This would significantly reduce further complexity for the industry, which is already working hard to ensure a smooth transition.</w:t>
      </w:r>
    </w:p>
    <w:permEnd w:id="88494692"/>
    <w:p w14:paraId="628D142A"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&lt;ESMA_QUESTION_RFRS_6&gt;</w:t>
      </w:r>
    </w:p>
    <w:p w14:paraId="594B71CA" w14:textId="50FF831B" w:rsidR="009835AD" w:rsidRDefault="009835AD" w:rsidP="009835AD">
      <w:pPr>
        <w:spacing w:after="160" w:line="259" w:lineRule="auto"/>
        <w:rPr>
          <w:rFonts w:ascii="Calibri" w:eastAsia="Calibri" w:hAnsi="Calibri"/>
          <w:sz w:val="22"/>
          <w:szCs w:val="22"/>
          <w:lang w:eastAsia="en-US"/>
        </w:rPr>
      </w:pPr>
    </w:p>
    <w:p w14:paraId="755594D9" w14:textId="133EE23F" w:rsidR="0037358E" w:rsidRPr="0037358E" w:rsidRDefault="0037358E" w:rsidP="0037358E">
      <w:pPr>
        <w:spacing w:after="120" w:line="264" w:lineRule="auto"/>
        <w:rPr>
          <w:rFonts w:asciiTheme="minorHAnsi" w:hAnsiTheme="minorHAnsi" w:cstheme="minorHAnsi"/>
          <w:b/>
          <w:sz w:val="22"/>
          <w:szCs w:val="22"/>
        </w:rPr>
      </w:pPr>
      <w:r w:rsidRPr="0037358E">
        <w:rPr>
          <w:rFonts w:asciiTheme="minorHAnsi" w:hAnsiTheme="minorHAnsi" w:cstheme="minorHAnsi"/>
          <w:b/>
          <w:sz w:val="22"/>
          <w:szCs w:val="22"/>
        </w:rPr>
        <w:t>Derivatives trading obligation</w:t>
      </w:r>
    </w:p>
    <w:p w14:paraId="3E5926C1"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 xml:space="preserve">Do you agree with the proposal to not include OIS referencing €STR, SONIA nor SOFR to the DTO at this point in time? In case you disagree with ESMA’s proposal, please justify and support your assessment with qualitative and quantitative data. </w:t>
      </w:r>
    </w:p>
    <w:p w14:paraId="7D3081D1"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&lt;ESMA_QUESTION_RFRS_7&gt;</w:t>
      </w:r>
    </w:p>
    <w:p w14:paraId="48F1289C" w14:textId="41A7D064" w:rsidR="009835AD" w:rsidRPr="009835AD" w:rsidRDefault="001624C2" w:rsidP="001624C2">
      <w:pPr>
        <w:spacing w:line="260" w:lineRule="exact"/>
        <w:rPr>
          <w:rFonts w:ascii="Calibri" w:eastAsia="Calibri" w:hAnsi="Calibri"/>
          <w:sz w:val="22"/>
          <w:szCs w:val="22"/>
          <w:lang w:eastAsia="en-US"/>
        </w:rPr>
      </w:pPr>
      <w:permStart w:id="1781297155" w:edGrp="everyone"/>
      <w:r w:rsidRPr="001624C2">
        <w:rPr>
          <w:rFonts w:ascii="Calibri" w:hAnsi="Calibri" w:cs="Calibri"/>
          <w:color w:val="000000"/>
          <w:sz w:val="22"/>
          <w:szCs w:val="22"/>
          <w:lang w:eastAsia="ja-JP"/>
        </w:rPr>
        <w:t>JSCC has no specific comments.</w:t>
      </w:r>
    </w:p>
    <w:permEnd w:id="1781297155"/>
    <w:p w14:paraId="66AFC1E9"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lastRenderedPageBreak/>
        <w:t>&lt;ESMA_QUESTION_RFRS_7&gt;</w:t>
      </w:r>
    </w:p>
    <w:p w14:paraId="7FAEEE4B" w14:textId="77777777" w:rsidR="009835AD" w:rsidRPr="009835AD" w:rsidRDefault="009835AD" w:rsidP="009835AD">
      <w:pPr>
        <w:spacing w:after="160" w:line="259" w:lineRule="auto"/>
        <w:rPr>
          <w:rFonts w:ascii="Calibri" w:eastAsia="Calibri" w:hAnsi="Calibri"/>
          <w:sz w:val="22"/>
          <w:szCs w:val="22"/>
          <w:lang w:eastAsia="en-US"/>
        </w:rPr>
      </w:pPr>
    </w:p>
    <w:p w14:paraId="74F8AD9A"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 xml:space="preserve">Do you consider that IRS referencing USD LIBOR should continue to be subject to the DTO? </w:t>
      </w:r>
    </w:p>
    <w:p w14:paraId="0328DE9E"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&lt;ESMA_QUESTION_RFRS_8&gt;</w:t>
      </w:r>
    </w:p>
    <w:p w14:paraId="51F0F5A4" w14:textId="609BA6F2" w:rsidR="009835AD" w:rsidRPr="009835AD" w:rsidRDefault="001624C2" w:rsidP="001624C2">
      <w:pPr>
        <w:spacing w:line="260" w:lineRule="exact"/>
        <w:rPr>
          <w:rFonts w:ascii="Calibri" w:eastAsia="Calibri" w:hAnsi="Calibri"/>
          <w:sz w:val="22"/>
          <w:szCs w:val="22"/>
          <w:lang w:eastAsia="en-US"/>
        </w:rPr>
      </w:pPr>
      <w:permStart w:id="334326387" w:edGrp="everyone"/>
      <w:r w:rsidRPr="001624C2">
        <w:rPr>
          <w:rFonts w:ascii="Calibri" w:hAnsi="Calibri" w:cs="Calibri"/>
          <w:color w:val="000000"/>
          <w:sz w:val="22"/>
          <w:szCs w:val="22"/>
          <w:lang w:eastAsia="ja-JP"/>
        </w:rPr>
        <w:t>JSCC has no specific comments.</w:t>
      </w:r>
    </w:p>
    <w:permEnd w:id="334326387"/>
    <w:p w14:paraId="240C6ECC"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&lt;ESMA_QUESTION_RFRS_8&gt;</w:t>
      </w:r>
    </w:p>
    <w:p w14:paraId="0C0346E7" w14:textId="2BBFAEED" w:rsidR="009835AD" w:rsidRDefault="009835AD" w:rsidP="009835AD">
      <w:pPr>
        <w:spacing w:after="160" w:line="259" w:lineRule="auto"/>
        <w:rPr>
          <w:rFonts w:ascii="Calibri" w:eastAsia="Calibri" w:hAnsi="Calibri"/>
          <w:sz w:val="22"/>
          <w:szCs w:val="22"/>
          <w:lang w:eastAsia="en-US"/>
        </w:rPr>
      </w:pPr>
    </w:p>
    <w:p w14:paraId="73A694AF" w14:textId="6C55CC32" w:rsidR="0037358E" w:rsidRPr="0037358E" w:rsidRDefault="0037358E" w:rsidP="0037358E">
      <w:pPr>
        <w:spacing w:after="120" w:line="264" w:lineRule="auto"/>
        <w:rPr>
          <w:rFonts w:asciiTheme="minorHAnsi" w:hAnsiTheme="minorHAnsi" w:cstheme="minorHAnsi"/>
          <w:b/>
          <w:sz w:val="22"/>
          <w:szCs w:val="22"/>
        </w:rPr>
      </w:pPr>
      <w:r w:rsidRPr="0037358E">
        <w:rPr>
          <w:rFonts w:asciiTheme="minorHAnsi" w:hAnsiTheme="minorHAnsi" w:cstheme="minorHAnsi"/>
          <w:b/>
          <w:sz w:val="22"/>
          <w:szCs w:val="22"/>
        </w:rPr>
        <w:t>Cost Benefit Analysis</w:t>
      </w:r>
    </w:p>
    <w:p w14:paraId="74C3C7A2"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 xml:space="preserve">Are there other elements that should be taken into account and that would impact the outcome of the cost-benefit analysis?  Please provide quantitative and qualitative details. </w:t>
      </w:r>
    </w:p>
    <w:p w14:paraId="15CE8924"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&lt;ESMA_QUESTION_RFRS_9&gt;</w:t>
      </w:r>
    </w:p>
    <w:p w14:paraId="2F6FE426" w14:textId="5A188D6C" w:rsidR="009835AD" w:rsidRPr="009835AD" w:rsidRDefault="00E150F2" w:rsidP="009835AD">
      <w:pPr>
        <w:spacing w:after="160" w:line="259" w:lineRule="auto"/>
        <w:rPr>
          <w:rFonts w:ascii="Calibri" w:eastAsia="Calibri" w:hAnsi="Calibri"/>
          <w:sz w:val="22"/>
          <w:szCs w:val="22"/>
          <w:lang w:eastAsia="ja-JP"/>
        </w:rPr>
      </w:pPr>
      <w:permStart w:id="822749787" w:edGrp="everyone"/>
      <w:r w:rsidRPr="001624C2">
        <w:rPr>
          <w:rFonts w:ascii="Calibri" w:hAnsi="Calibri" w:cs="Calibri"/>
          <w:color w:val="000000"/>
          <w:sz w:val="22"/>
          <w:szCs w:val="22"/>
          <w:lang w:eastAsia="ja-JP"/>
        </w:rPr>
        <w:t>JSCC has no specific comments</w:t>
      </w:r>
      <w:r>
        <w:rPr>
          <w:rFonts w:ascii="ＭＳ 明朝" w:eastAsia="ＭＳ 明朝" w:hAnsi="ＭＳ 明朝" w:cs="ＭＳ 明朝" w:hint="eastAsia"/>
          <w:sz w:val="22"/>
          <w:szCs w:val="22"/>
          <w:lang w:eastAsia="ja-JP"/>
        </w:rPr>
        <w:t>.</w:t>
      </w:r>
    </w:p>
    <w:permEnd w:id="822749787"/>
    <w:p w14:paraId="729056E0"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&lt;ESMA_QUESTION_RFRS_9&gt;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5"/>
      <w:footerReference w:type="defaul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29632" w14:textId="77777777" w:rsidR="001624C2" w:rsidRDefault="001624C2" w:rsidP="007E7997">
      <w:r>
        <w:separator/>
      </w:r>
    </w:p>
  </w:endnote>
  <w:endnote w:type="continuationSeparator" w:id="0">
    <w:p w14:paraId="5FA1B323" w14:textId="77777777" w:rsidR="001624C2" w:rsidRDefault="001624C2" w:rsidP="007E7997">
      <w:r>
        <w:continuationSeparator/>
      </w:r>
    </w:p>
  </w:endnote>
  <w:endnote w:type="continuationNotice" w:id="1">
    <w:p w14:paraId="25C2EC5A" w14:textId="77777777" w:rsidR="001624C2" w:rsidRDefault="00162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1624C2" w:rsidRDefault="001624C2">
        <w:pPr>
          <w:pStyle w:val="afa"/>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1624C2" w:rsidRDefault="001624C2">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2AD671BE" w:rsidR="001624C2" w:rsidRDefault="001624C2" w:rsidP="007A160F">
    <w:pPr>
      <w:pStyle w:val="afa"/>
    </w:pPr>
    <w:r>
      <w:rPr>
        <w:rFonts w:asciiTheme="majorHAnsi" w:hAnsiTheme="majorHAnsi"/>
        <w:color w:val="FFFFFF" w:themeColor="background1"/>
      </w:rPr>
      <w:tab/>
    </w:r>
    <w:r>
      <w:rPr>
        <w:rFonts w:asciiTheme="majorHAnsi" w:hAnsiTheme="majorHAnsi"/>
        <w:color w:val="FFFFFF" w:themeColor="background1"/>
      </w:rPr>
      <w:tab/>
      <w:t xml:space="preserve">9 July </w:t>
    </w:r>
    <w:r w:rsidRPr="008279D3">
      <w:rPr>
        <w:rFonts w:asciiTheme="majorHAnsi" w:hAnsiTheme="majorHAnsi"/>
        <w:color w:val="FFFFFF" w:themeColor="background1"/>
      </w:rPr>
      <w:t xml:space="preserve">2021 ESMA | </w:t>
    </w:r>
    <w:hyperlink r:id="rId1" w:tgtFrame="_blank" w:history="1">
      <w:r w:rsidRPr="008279D3">
        <w:rPr>
          <w:rFonts w:asciiTheme="majorHAnsi" w:hAnsiTheme="majorHAnsi"/>
          <w:color w:val="FFFFFF" w:themeColor="background1"/>
        </w:rPr>
        <w:t>ESMA</w:t>
      </w:r>
    </w:hyperlink>
    <w:r>
      <w:rPr>
        <w:rFonts w:asciiTheme="majorHAnsi" w:hAnsiTheme="majorHAnsi"/>
        <w:color w:val="FFFFFF" w:themeColor="background1"/>
      </w:rPr>
      <w:t xml:space="preserve"> 70-156-4704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1624C2" w:rsidRDefault="001624C2">
        <w:pPr>
          <w:pStyle w:val="afa"/>
          <w:jc w:val="center"/>
        </w:pPr>
        <w:r>
          <w:fldChar w:fldCharType="begin"/>
        </w:r>
        <w:r>
          <w:instrText xml:space="preserve"> PAGE   \* MERGEFORMAT </w:instrText>
        </w:r>
        <w:r>
          <w:fldChar w:fldCharType="separate"/>
        </w:r>
        <w:r>
          <w:rPr>
            <w:noProof/>
          </w:rPr>
          <w:t>1</w:t>
        </w:r>
        <w:r>
          <w:rPr>
            <w:noProof/>
          </w:rPr>
          <w:fldChar w:fldCharType="end"/>
        </w:r>
      </w:p>
    </w:sdtContent>
  </w:sdt>
  <w:p w14:paraId="5EAB6EC7" w14:textId="1F85019A" w:rsidR="001624C2" w:rsidRDefault="001624C2" w:rsidP="00FB24ED">
    <w:pPr>
      <w:pStyle w:val="af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51CFF" w14:textId="77777777" w:rsidR="001624C2" w:rsidRDefault="001624C2" w:rsidP="007E7997">
      <w:r>
        <w:separator/>
      </w:r>
    </w:p>
  </w:footnote>
  <w:footnote w:type="continuationSeparator" w:id="0">
    <w:p w14:paraId="7204E1AF" w14:textId="77777777" w:rsidR="001624C2" w:rsidRDefault="001624C2" w:rsidP="007E7997">
      <w:r>
        <w:continuationSeparator/>
      </w:r>
    </w:p>
  </w:footnote>
  <w:footnote w:type="continuationNotice" w:id="1">
    <w:p w14:paraId="46A76682" w14:textId="77777777" w:rsidR="001624C2" w:rsidRDefault="001624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1624C2" w:rsidRDefault="001624C2">
    <w:pPr>
      <w:pStyle w:val="af8"/>
    </w:pPr>
  </w:p>
  <w:p w14:paraId="59FA3C9D" w14:textId="77777777" w:rsidR="001624C2" w:rsidRDefault="001624C2">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1624C2" w:rsidRDefault="001624C2">
    <w:pPr>
      <w:pStyle w:val="af8"/>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1624C2" w:rsidRDefault="001624C2" w:rsidP="00B50534">
    <w:pPr>
      <w:pStyle w:val="af8"/>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A1F24A9"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1E4219F2" w:rsidR="001624C2" w:rsidRPr="00D13661" w:rsidRDefault="001624C2" w:rsidP="00B50534">
    <w:pPr>
      <w:pStyle w:val="af8"/>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1624C2" w:rsidRPr="00C3170E" w:rsidRDefault="001624C2" w:rsidP="00B50534">
    <w:pPr>
      <w:pStyle w:val="af8"/>
      <w:jc w:val="right"/>
      <w:rPr>
        <w:color w:val="2F5496" w:themeColor="accent5" w:themeShade="BF"/>
        <w:sz w:val="20"/>
      </w:rPr>
    </w:pPr>
  </w:p>
  <w:p w14:paraId="5EAB6EC6" w14:textId="77777777" w:rsidR="001624C2" w:rsidRPr="00B50534" w:rsidRDefault="001624C2" w:rsidP="00B50534">
    <w:pPr>
      <w:pStyle w:val="af8"/>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a"/>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BA944B8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671ADA"/>
    <w:multiLevelType w:val="hybridMultilevel"/>
    <w:tmpl w:val="0A8CEC48"/>
    <w:lvl w:ilvl="0" w:tplc="3D20553A">
      <w:start w:val="1"/>
      <w:numFmt w:val="lowerLetter"/>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AF64D27"/>
    <w:multiLevelType w:val="hybridMultilevel"/>
    <w:tmpl w:val="0DB6512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D1101"/>
    <w:multiLevelType w:val="multilevel"/>
    <w:tmpl w:val="766C753E"/>
    <w:lvl w:ilvl="0">
      <w:start w:val="1"/>
      <w:numFmt w:val="upperRoman"/>
      <w:pStyle w:val="1"/>
      <w:lvlText w:val="%1."/>
      <w:lvlJc w:val="righ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3"/>
  </w:num>
  <w:num w:numId="4">
    <w:abstractNumId w:val="3"/>
  </w:num>
  <w:num w:numId="5">
    <w:abstractNumId w:val="12"/>
  </w:num>
  <w:num w:numId="6">
    <w:abstractNumId w:val="25"/>
  </w:num>
  <w:num w:numId="7">
    <w:abstractNumId w:val="11"/>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0"/>
  </w:num>
  <w:num w:numId="16">
    <w:abstractNumId w:val="2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5"/>
  </w:num>
  <w:num w:numId="20">
    <w:abstractNumId w:val="10"/>
  </w:num>
  <w:num w:numId="21">
    <w:abstractNumId w:val="22"/>
  </w:num>
  <w:num w:numId="22">
    <w:abstractNumId w:val="13"/>
  </w:num>
  <w:num w:numId="23">
    <w:abstractNumId w:val="19"/>
  </w:num>
  <w:num w:numId="24">
    <w:abstractNumId w:val="0"/>
  </w:num>
  <w:num w:numId="25">
    <w:abstractNumId w:val="18"/>
  </w:num>
  <w:num w:numId="26">
    <w:abstractNumId w:val="15"/>
  </w:num>
  <w:num w:numId="27">
    <w:abstractNumId w:val="9"/>
  </w:num>
  <w:num w:numId="28">
    <w:abstractNumId w:val="1"/>
  </w:num>
  <w:num w:numId="29">
    <w:abstractNumId w:val="16"/>
  </w:num>
  <w:num w:numId="30">
    <w:abstractNumId w:val="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ja-JP" w:vendorID="64" w:dllVersion="0" w:nlCheck="1" w:checkStyle="1"/>
  <w:proofState w:spelling="clean" w:grammar="clean"/>
  <w:attachedTemplate r:id="rId1"/>
  <w:documentProtection w:edit="readOnly" w:enforcement="1" w:cryptProviderType="rsaAES" w:cryptAlgorithmClass="hash" w:cryptAlgorithmType="typeAny" w:cryptAlgorithmSid="14" w:cryptSpinCount="100000" w:hash="boWPkncn5aAn36Z/9u5UWwI9gkZmtAfpA0ajWP7f5CXo7Uy3WeRE/DDEiYgaDqZSioGnOFpdz++piwj9ADcUNg==" w:salt="46iGyQanSHMK1gnKqpfQaQ=="/>
  <w:defaultTabStop w:val="708"/>
  <w:hyphenationZone w:val="425"/>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24C2"/>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353A"/>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4E60"/>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50F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23FB"/>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1">
    <w:name w:val="heading 1"/>
    <w:basedOn w:val="a0"/>
    <w:next w:val="a0"/>
    <w:link w:val="10"/>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2">
    <w:name w:val="heading 2"/>
    <w:basedOn w:val="a0"/>
    <w:next w:val="a0"/>
    <w:link w:val="20"/>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3">
    <w:name w:val="heading 3"/>
    <w:basedOn w:val="a0"/>
    <w:next w:val="a0"/>
    <w:link w:val="30"/>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4">
    <w:name w:val="heading 4"/>
    <w:basedOn w:val="a0"/>
    <w:next w:val="a0"/>
    <w:link w:val="40"/>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5">
    <w:name w:val="heading 5"/>
    <w:basedOn w:val="a0"/>
    <w:next w:val="a0"/>
    <w:link w:val="50"/>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6">
    <w:name w:val="heading 6"/>
    <w:basedOn w:val="a0"/>
    <w:next w:val="a0"/>
    <w:link w:val="60"/>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7">
    <w:name w:val="heading 7"/>
    <w:basedOn w:val="a0"/>
    <w:next w:val="a0"/>
    <w:link w:val="70"/>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8">
    <w:name w:val="heading 8"/>
    <w:basedOn w:val="a0"/>
    <w:next w:val="a0"/>
    <w:link w:val="80"/>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9">
    <w:name w:val="heading 9"/>
    <w:basedOn w:val="a0"/>
    <w:next w:val="a0"/>
    <w:link w:val="90"/>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5B6B12"/>
    <w:pPr>
      <w:spacing w:after="0" w:line="240" w:lineRule="auto"/>
    </w:pPr>
    <w:rPr>
      <w:lang w:val="en-GB"/>
    </w:rPr>
  </w:style>
  <w:style w:type="character" w:customStyle="1" w:styleId="40">
    <w:name w:val="見出し 4 (文字)"/>
    <w:basedOn w:val="a1"/>
    <w:link w:val="4"/>
    <w:rsid w:val="00020300"/>
    <w:rPr>
      <w:rFonts w:asciiTheme="majorHAnsi" w:eastAsiaTheme="majorEastAsia" w:hAnsiTheme="majorHAnsi" w:cstheme="majorBidi"/>
      <w:sz w:val="24"/>
      <w:szCs w:val="22"/>
      <w:lang w:val="en-GB" w:eastAsia="en-GB"/>
    </w:rPr>
  </w:style>
  <w:style w:type="character" w:customStyle="1" w:styleId="30">
    <w:name w:val="見出し 3 (文字)"/>
    <w:basedOn w:val="a1"/>
    <w:link w:val="3"/>
    <w:rsid w:val="00020300"/>
    <w:rPr>
      <w:rFonts w:asciiTheme="majorHAnsi" w:eastAsiaTheme="majorEastAsia" w:hAnsiTheme="majorHAnsi" w:cstheme="majorBidi"/>
      <w:sz w:val="24"/>
      <w:szCs w:val="24"/>
      <w:lang w:val="en-GB" w:eastAsia="en-GB"/>
    </w:rPr>
  </w:style>
  <w:style w:type="character" w:customStyle="1" w:styleId="10">
    <w:name w:val="見出し 1 (文字)"/>
    <w:basedOn w:val="a1"/>
    <w:link w:val="1"/>
    <w:rsid w:val="00FE0BD8"/>
    <w:rPr>
      <w:rFonts w:asciiTheme="majorHAnsi" w:eastAsiaTheme="majorEastAsia" w:hAnsiTheme="majorHAnsi" w:cstheme="majorBidi"/>
      <w:b/>
      <w:sz w:val="32"/>
      <w:szCs w:val="32"/>
      <w:lang w:val="en-GB" w:eastAsia="en-GB"/>
    </w:rPr>
  </w:style>
  <w:style w:type="character" w:customStyle="1" w:styleId="20">
    <w:name w:val="見出し 2 (文字)"/>
    <w:basedOn w:val="a1"/>
    <w:link w:val="2"/>
    <w:rsid w:val="003C167E"/>
    <w:rPr>
      <w:rFonts w:asciiTheme="majorHAnsi" w:eastAsiaTheme="majorEastAsia" w:hAnsiTheme="majorHAnsi" w:cstheme="majorBidi"/>
      <w:b/>
      <w:sz w:val="28"/>
      <w:szCs w:val="28"/>
      <w:lang w:val="en-GB" w:eastAsia="en-GB"/>
    </w:rPr>
  </w:style>
  <w:style w:type="paragraph" w:customStyle="1" w:styleId="Subtitle1">
    <w:name w:val="Subtitle1"/>
    <w:basedOn w:val="a0"/>
    <w:link w:val="Subtitle1Char"/>
    <w:autoRedefine/>
    <w:rsid w:val="003C4EB5"/>
    <w:pPr>
      <w:tabs>
        <w:tab w:val="left" w:pos="414"/>
      </w:tabs>
    </w:pPr>
    <w:rPr>
      <w:b/>
    </w:rPr>
  </w:style>
  <w:style w:type="character" w:customStyle="1" w:styleId="Subtitle1Char">
    <w:name w:val="Subtitle1 Char"/>
    <w:basedOn w:val="a1"/>
    <w:link w:val="Subtitle1"/>
    <w:rsid w:val="003C4EB5"/>
    <w:rPr>
      <w:rFonts w:cs="Times New Roman"/>
      <w:b/>
      <w:sz w:val="20"/>
      <w:szCs w:val="24"/>
      <w:lang w:val="en-GB" w:eastAsia="de-DE"/>
    </w:rPr>
  </w:style>
  <w:style w:type="paragraph" w:customStyle="1" w:styleId="Title1">
    <w:name w:val="Title 1"/>
    <w:basedOn w:val="a"/>
    <w:link w:val="Title1Char"/>
    <w:autoRedefine/>
    <w:rsid w:val="002574D1"/>
    <w:pPr>
      <w:numPr>
        <w:numId w:val="2"/>
      </w:numPr>
    </w:pPr>
    <w:rPr>
      <w:b/>
      <w:sz w:val="28"/>
    </w:rPr>
  </w:style>
  <w:style w:type="character" w:customStyle="1" w:styleId="Title1Char">
    <w:name w:val="Title 1 Char"/>
    <w:basedOn w:val="a1"/>
    <w:link w:val="Title1"/>
    <w:rsid w:val="003C4EB5"/>
    <w:rPr>
      <w:rFonts w:eastAsiaTheme="majorEastAsia" w:cstheme="minorHAnsi"/>
      <w:b/>
      <w:sz w:val="28"/>
      <w:szCs w:val="22"/>
      <w:lang w:val="en-GB" w:eastAsia="en-GB"/>
    </w:rPr>
  </w:style>
  <w:style w:type="paragraph" w:styleId="a">
    <w:name w:val="List Paragraph"/>
    <w:aliases w:val="Paragraphe EI,Paragraphe de liste1,EC,Paragraphe de liste,Normal Nivel 1,List Paragraph Main,List first level,List Paragraph_Sections"/>
    <w:basedOn w:val="a0"/>
    <w:link w:val="a6"/>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a"/>
    <w:link w:val="Title3Char"/>
    <w:autoRedefine/>
    <w:rsid w:val="002574D1"/>
    <w:pPr>
      <w:numPr>
        <w:ilvl w:val="3"/>
        <w:numId w:val="2"/>
      </w:numPr>
    </w:pPr>
  </w:style>
  <w:style w:type="character" w:customStyle="1" w:styleId="Title3Char">
    <w:name w:val="Title 3 Char"/>
    <w:basedOn w:val="a1"/>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a0"/>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1"/>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a0"/>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1"/>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a0"/>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1"/>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a0"/>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1"/>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a0"/>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1"/>
    <w:link w:val="Introductionheading"/>
    <w:rsid w:val="00044C5A"/>
    <w:rPr>
      <w:rFonts w:ascii="Arial" w:eastAsia="Times New Roman" w:hAnsi="Arial" w:cs="Times New Roman"/>
      <w:b/>
      <w:sz w:val="28"/>
      <w:szCs w:val="24"/>
      <w:lang w:val="en-GB" w:eastAsia="de-DE"/>
    </w:rPr>
  </w:style>
  <w:style w:type="character" w:customStyle="1" w:styleId="50">
    <w:name w:val="見出し 5 (文字)"/>
    <w:basedOn w:val="a1"/>
    <w:link w:val="5"/>
    <w:uiPriority w:val="9"/>
    <w:rsid w:val="007E7997"/>
    <w:rPr>
      <w:rFonts w:asciiTheme="majorHAnsi" w:eastAsiaTheme="majorEastAsia" w:hAnsiTheme="majorHAnsi" w:cstheme="majorBidi"/>
      <w:sz w:val="24"/>
      <w:szCs w:val="22"/>
      <w:lang w:val="en-GB" w:eastAsia="en-GB"/>
    </w:rPr>
  </w:style>
  <w:style w:type="paragraph" w:styleId="a7">
    <w:name w:val="Body Text"/>
    <w:basedOn w:val="a0"/>
    <w:link w:val="a8"/>
    <w:uiPriority w:val="99"/>
    <w:semiHidden/>
    <w:unhideWhenUsed/>
    <w:rsid w:val="00044C5A"/>
  </w:style>
  <w:style w:type="character" w:customStyle="1" w:styleId="a8">
    <w:name w:val="本文 (文字)"/>
    <w:basedOn w:val="a1"/>
    <w:link w:val="a7"/>
    <w:uiPriority w:val="99"/>
    <w:semiHidden/>
    <w:rsid w:val="00044C5A"/>
    <w:rPr>
      <w:rFonts w:ascii="Arial" w:eastAsiaTheme="minorEastAsia" w:hAnsi="Arial"/>
    </w:rPr>
  </w:style>
  <w:style w:type="paragraph" w:styleId="a9">
    <w:name w:val="Body Text First Indent"/>
    <w:basedOn w:val="a7"/>
    <w:link w:val="aa"/>
    <w:uiPriority w:val="99"/>
    <w:semiHidden/>
    <w:unhideWhenUsed/>
    <w:rsid w:val="00044C5A"/>
    <w:pPr>
      <w:ind w:firstLine="360"/>
    </w:pPr>
  </w:style>
  <w:style w:type="character" w:customStyle="1" w:styleId="aa">
    <w:name w:val="本文字下げ (文字)"/>
    <w:basedOn w:val="a8"/>
    <w:link w:val="a9"/>
    <w:uiPriority w:val="99"/>
    <w:semiHidden/>
    <w:rsid w:val="00044C5A"/>
    <w:rPr>
      <w:rFonts w:ascii="Arial" w:eastAsiaTheme="minorEastAsia" w:hAnsi="Arial"/>
    </w:rPr>
  </w:style>
  <w:style w:type="character" w:customStyle="1" w:styleId="60">
    <w:name w:val="見出し 6 (文字)"/>
    <w:basedOn w:val="a1"/>
    <w:link w:val="6"/>
    <w:rsid w:val="00AA054E"/>
    <w:rPr>
      <w:rFonts w:asciiTheme="majorHAnsi" w:eastAsiaTheme="majorEastAsia" w:hAnsiTheme="majorHAnsi" w:cstheme="majorBidi"/>
      <w:i/>
      <w:iCs/>
      <w:color w:val="44546A" w:themeColor="text2"/>
      <w:sz w:val="21"/>
      <w:szCs w:val="21"/>
      <w:lang w:val="en-GB" w:eastAsia="en-GB"/>
    </w:rPr>
  </w:style>
  <w:style w:type="paragraph" w:styleId="ab">
    <w:name w:val="Title"/>
    <w:basedOn w:val="a0"/>
    <w:next w:val="a0"/>
    <w:link w:val="ac"/>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ac">
    <w:name w:val="表題 (文字)"/>
    <w:basedOn w:val="a1"/>
    <w:link w:val="ab"/>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ad">
    <w:name w:val="Subtitle"/>
    <w:basedOn w:val="a0"/>
    <w:next w:val="a0"/>
    <w:link w:val="ae"/>
    <w:uiPriority w:val="11"/>
    <w:qFormat/>
    <w:rsid w:val="00366D42"/>
    <w:pPr>
      <w:numPr>
        <w:ilvl w:val="1"/>
      </w:numPr>
    </w:pPr>
    <w:rPr>
      <w:rFonts w:asciiTheme="majorHAnsi" w:eastAsiaTheme="majorEastAsia" w:hAnsiTheme="majorHAnsi" w:cstheme="majorBidi"/>
      <w:b/>
      <w:sz w:val="28"/>
    </w:rPr>
  </w:style>
  <w:style w:type="character" w:customStyle="1" w:styleId="ae">
    <w:name w:val="副題 (文字)"/>
    <w:basedOn w:val="a1"/>
    <w:link w:val="ad"/>
    <w:uiPriority w:val="11"/>
    <w:rsid w:val="00366D42"/>
    <w:rPr>
      <w:rFonts w:asciiTheme="majorHAnsi" w:eastAsiaTheme="majorEastAsia" w:hAnsiTheme="majorHAnsi" w:cstheme="majorBidi"/>
      <w:b/>
      <w:sz w:val="28"/>
      <w:szCs w:val="24"/>
      <w:lang w:val="en-GB"/>
    </w:rPr>
  </w:style>
  <w:style w:type="character" w:customStyle="1" w:styleId="70">
    <w:name w:val="見出し 7 (文字)"/>
    <w:basedOn w:val="a1"/>
    <w:link w:val="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80">
    <w:name w:val="見出し 8 (文字)"/>
    <w:basedOn w:val="a1"/>
    <w:link w:val="8"/>
    <w:rsid w:val="00AA054E"/>
    <w:rPr>
      <w:rFonts w:asciiTheme="majorHAnsi" w:eastAsiaTheme="majorEastAsia" w:hAnsiTheme="majorHAnsi" w:cstheme="majorBidi"/>
      <w:b/>
      <w:bCs/>
      <w:color w:val="44546A" w:themeColor="text2"/>
      <w:sz w:val="24"/>
      <w:szCs w:val="24"/>
      <w:lang w:val="en-GB" w:eastAsia="en-GB"/>
    </w:rPr>
  </w:style>
  <w:style w:type="character" w:customStyle="1" w:styleId="90">
    <w:name w:val="見出し 9 (文字)"/>
    <w:basedOn w:val="a1"/>
    <w:link w:val="9"/>
    <w:rsid w:val="00AA054E"/>
    <w:rPr>
      <w:rFonts w:asciiTheme="majorHAnsi" w:eastAsiaTheme="majorEastAsia" w:hAnsiTheme="majorHAnsi" w:cstheme="majorBidi"/>
      <w:b/>
      <w:bCs/>
      <w:i/>
      <w:iCs/>
      <w:color w:val="44546A" w:themeColor="text2"/>
      <w:sz w:val="24"/>
      <w:szCs w:val="24"/>
      <w:lang w:val="en-GB" w:eastAsia="en-GB"/>
    </w:rPr>
  </w:style>
  <w:style w:type="paragraph" w:styleId="af">
    <w:name w:val="caption"/>
    <w:basedOn w:val="a0"/>
    <w:next w:val="a0"/>
    <w:uiPriority w:val="35"/>
    <w:semiHidden/>
    <w:unhideWhenUsed/>
    <w:qFormat/>
    <w:rsid w:val="00AA054E"/>
    <w:rPr>
      <w:b/>
      <w:bCs/>
      <w:smallCaps/>
      <w:color w:val="595959" w:themeColor="text1" w:themeTint="A6"/>
      <w:spacing w:val="6"/>
    </w:rPr>
  </w:style>
  <w:style w:type="character" w:styleId="af0">
    <w:name w:val="Strong"/>
    <w:basedOn w:val="a1"/>
    <w:uiPriority w:val="22"/>
    <w:qFormat/>
    <w:rsid w:val="00AA054E"/>
    <w:rPr>
      <w:b/>
      <w:bCs/>
    </w:rPr>
  </w:style>
  <w:style w:type="character" w:styleId="af1">
    <w:name w:val="Emphasis"/>
    <w:basedOn w:val="a1"/>
    <w:uiPriority w:val="20"/>
    <w:qFormat/>
    <w:rsid w:val="00AA054E"/>
    <w:rPr>
      <w:i/>
      <w:iCs/>
    </w:rPr>
  </w:style>
  <w:style w:type="paragraph" w:styleId="af2">
    <w:name w:val="Quote"/>
    <w:basedOn w:val="a0"/>
    <w:next w:val="a0"/>
    <w:link w:val="af3"/>
    <w:uiPriority w:val="29"/>
    <w:qFormat/>
    <w:rsid w:val="00AA054E"/>
    <w:pPr>
      <w:spacing w:before="160"/>
      <w:ind w:left="720" w:right="720"/>
    </w:pPr>
    <w:rPr>
      <w:i/>
      <w:iCs/>
      <w:color w:val="404040" w:themeColor="text1" w:themeTint="BF"/>
    </w:rPr>
  </w:style>
  <w:style w:type="character" w:customStyle="1" w:styleId="af3">
    <w:name w:val="引用文 (文字)"/>
    <w:basedOn w:val="a1"/>
    <w:link w:val="af2"/>
    <w:uiPriority w:val="29"/>
    <w:rsid w:val="00AA054E"/>
    <w:rPr>
      <w:i/>
      <w:iCs/>
      <w:color w:val="404040" w:themeColor="text1" w:themeTint="BF"/>
    </w:rPr>
  </w:style>
  <w:style w:type="paragraph" w:styleId="21">
    <w:name w:val="Intense Quote"/>
    <w:basedOn w:val="a0"/>
    <w:next w:val="a0"/>
    <w:link w:val="22"/>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22">
    <w:name w:val="引用文 2 (文字)"/>
    <w:basedOn w:val="a1"/>
    <w:link w:val="21"/>
    <w:uiPriority w:val="30"/>
    <w:rsid w:val="00AA054E"/>
    <w:rPr>
      <w:rFonts w:asciiTheme="majorHAnsi" w:eastAsiaTheme="majorEastAsia" w:hAnsiTheme="majorHAnsi" w:cstheme="majorBidi"/>
      <w:color w:val="5B9BD5" w:themeColor="accent1"/>
      <w:sz w:val="28"/>
      <w:szCs w:val="28"/>
    </w:rPr>
  </w:style>
  <w:style w:type="character" w:styleId="af4">
    <w:name w:val="Subtle Emphasis"/>
    <w:aliases w:val="Text,Emphase pâle,Diskret betoning"/>
    <w:basedOn w:val="a1"/>
    <w:uiPriority w:val="19"/>
    <w:qFormat/>
    <w:rsid w:val="00287C8F"/>
    <w:rPr>
      <w:rFonts w:asciiTheme="majorHAnsi" w:hAnsiTheme="majorHAnsi"/>
      <w:i/>
      <w:iCs/>
      <w:color w:val="auto"/>
      <w:sz w:val="22"/>
    </w:rPr>
  </w:style>
  <w:style w:type="character" w:styleId="23">
    <w:name w:val="Intense Emphasis"/>
    <w:basedOn w:val="a1"/>
    <w:uiPriority w:val="21"/>
    <w:qFormat/>
    <w:rsid w:val="00AA054E"/>
    <w:rPr>
      <w:b/>
      <w:bCs/>
      <w:i/>
      <w:iCs/>
    </w:rPr>
  </w:style>
  <w:style w:type="character" w:styleId="af5">
    <w:name w:val="Subtle Reference"/>
    <w:basedOn w:val="a1"/>
    <w:uiPriority w:val="31"/>
    <w:qFormat/>
    <w:rsid w:val="00AA054E"/>
    <w:rPr>
      <w:smallCaps/>
      <w:color w:val="404040" w:themeColor="text1" w:themeTint="BF"/>
      <w:u w:val="single" w:color="7F7F7F" w:themeColor="text1" w:themeTint="80"/>
    </w:rPr>
  </w:style>
  <w:style w:type="character" w:styleId="24">
    <w:name w:val="Intense Reference"/>
    <w:basedOn w:val="a1"/>
    <w:uiPriority w:val="32"/>
    <w:qFormat/>
    <w:rsid w:val="00AA054E"/>
    <w:rPr>
      <w:b/>
      <w:bCs/>
      <w:smallCaps/>
      <w:spacing w:val="5"/>
      <w:u w:val="single"/>
    </w:rPr>
  </w:style>
  <w:style w:type="character" w:styleId="af6">
    <w:name w:val="Book Title"/>
    <w:basedOn w:val="a1"/>
    <w:uiPriority w:val="33"/>
    <w:qFormat/>
    <w:rsid w:val="00AA054E"/>
    <w:rPr>
      <w:b/>
      <w:bCs/>
      <w:smallCaps/>
    </w:rPr>
  </w:style>
  <w:style w:type="paragraph" w:styleId="af7">
    <w:name w:val="TOC Heading"/>
    <w:basedOn w:val="1"/>
    <w:next w:val="a0"/>
    <w:uiPriority w:val="39"/>
    <w:unhideWhenUsed/>
    <w:qFormat/>
    <w:rsid w:val="00AA054E"/>
    <w:pPr>
      <w:outlineLvl w:val="9"/>
    </w:pPr>
  </w:style>
  <w:style w:type="character" w:customStyle="1" w:styleId="a5">
    <w:name w:val="行間詰め (文字)"/>
    <w:basedOn w:val="a1"/>
    <w:link w:val="a4"/>
    <w:uiPriority w:val="1"/>
    <w:rsid w:val="005B6B12"/>
    <w:rPr>
      <w:lang w:val="en-GB"/>
    </w:rPr>
  </w:style>
  <w:style w:type="paragraph" w:styleId="af8">
    <w:name w:val="header"/>
    <w:basedOn w:val="a0"/>
    <w:link w:val="af9"/>
    <w:unhideWhenUsed/>
    <w:rsid w:val="007E7997"/>
    <w:pPr>
      <w:tabs>
        <w:tab w:val="center" w:pos="4536"/>
        <w:tab w:val="right" w:pos="9072"/>
      </w:tabs>
    </w:pPr>
  </w:style>
  <w:style w:type="character" w:customStyle="1" w:styleId="af9">
    <w:name w:val="ヘッダー (文字)"/>
    <w:basedOn w:val="a1"/>
    <w:link w:val="af8"/>
    <w:uiPriority w:val="99"/>
    <w:rsid w:val="007E7997"/>
    <w:rPr>
      <w:sz w:val="22"/>
    </w:rPr>
  </w:style>
  <w:style w:type="paragraph" w:styleId="afa">
    <w:name w:val="footer"/>
    <w:basedOn w:val="a0"/>
    <w:link w:val="afb"/>
    <w:uiPriority w:val="99"/>
    <w:unhideWhenUsed/>
    <w:rsid w:val="007E7997"/>
    <w:pPr>
      <w:tabs>
        <w:tab w:val="center" w:pos="4536"/>
        <w:tab w:val="right" w:pos="9072"/>
      </w:tabs>
    </w:pPr>
  </w:style>
  <w:style w:type="character" w:customStyle="1" w:styleId="afb">
    <w:name w:val="フッター (文字)"/>
    <w:basedOn w:val="a1"/>
    <w:link w:val="afa"/>
    <w:uiPriority w:val="99"/>
    <w:rsid w:val="007E7997"/>
    <w:rPr>
      <w:sz w:val="22"/>
    </w:rPr>
  </w:style>
  <w:style w:type="paragraph" w:customStyle="1" w:styleId="00aPagenumber">
    <w:name w:val="00a_Page number"/>
    <w:basedOn w:val="a0"/>
    <w:rsid w:val="007E7997"/>
    <w:pPr>
      <w:spacing w:line="280" w:lineRule="atLeast"/>
      <w:jc w:val="right"/>
    </w:pPr>
    <w:rPr>
      <w:rFonts w:ascii="Georgia" w:hAnsi="Georgia"/>
      <w:color w:val="000000"/>
      <w:lang w:eastAsia="de-DE"/>
    </w:rPr>
  </w:style>
  <w:style w:type="paragraph" w:customStyle="1" w:styleId="02Date">
    <w:name w:val="02_Date"/>
    <w:basedOn w:val="a0"/>
    <w:rsid w:val="00636E02"/>
    <w:pPr>
      <w:spacing w:line="220" w:lineRule="exact"/>
    </w:pPr>
    <w:rPr>
      <w:rFonts w:ascii="Georgia" w:hAnsi="Georgia"/>
      <w:sz w:val="17"/>
      <w:lang w:eastAsia="de-DE"/>
    </w:rPr>
  </w:style>
  <w:style w:type="paragraph" w:styleId="11">
    <w:name w:val="toc 1"/>
    <w:basedOn w:val="a0"/>
    <w:next w:val="a0"/>
    <w:autoRedefine/>
    <w:uiPriority w:val="39"/>
    <w:unhideWhenUsed/>
    <w:rsid w:val="00B81A44"/>
    <w:pPr>
      <w:tabs>
        <w:tab w:val="left" w:pos="440"/>
        <w:tab w:val="right" w:leader="dot" w:pos="9062"/>
      </w:tabs>
      <w:spacing w:after="100"/>
    </w:pPr>
  </w:style>
  <w:style w:type="paragraph" w:styleId="25">
    <w:name w:val="toc 2"/>
    <w:basedOn w:val="a0"/>
    <w:next w:val="a0"/>
    <w:autoRedefine/>
    <w:uiPriority w:val="39"/>
    <w:unhideWhenUsed/>
    <w:rsid w:val="00BC422A"/>
    <w:pPr>
      <w:spacing w:after="100"/>
      <w:ind w:left="220"/>
    </w:pPr>
  </w:style>
  <w:style w:type="paragraph" w:styleId="31">
    <w:name w:val="toc 3"/>
    <w:basedOn w:val="a0"/>
    <w:next w:val="a0"/>
    <w:autoRedefine/>
    <w:uiPriority w:val="39"/>
    <w:unhideWhenUsed/>
    <w:rsid w:val="00BC422A"/>
    <w:pPr>
      <w:spacing w:after="100"/>
      <w:ind w:left="440"/>
    </w:pPr>
  </w:style>
  <w:style w:type="character" w:styleId="afc">
    <w:name w:val="Hyperlink"/>
    <w:basedOn w:val="a1"/>
    <w:uiPriority w:val="99"/>
    <w:unhideWhenUsed/>
    <w:rsid w:val="00BC422A"/>
    <w:rPr>
      <w:color w:val="0563C1" w:themeColor="hyperlink"/>
      <w:u w:val="single"/>
    </w:rPr>
  </w:style>
  <w:style w:type="paragraph" w:customStyle="1" w:styleId="Questionstyle">
    <w:name w:val="Question style"/>
    <w:basedOn w:val="a0"/>
    <w:next w:val="a0"/>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a1"/>
    <w:link w:val="Questionstyle"/>
    <w:rsid w:val="00F77851"/>
    <w:rPr>
      <w:rFonts w:eastAsia="Times New Roman" w:cstheme="minorHAnsi"/>
      <w:sz w:val="22"/>
      <w:szCs w:val="22"/>
      <w:lang w:val="en-GB" w:eastAsia="en-GB"/>
    </w:rPr>
  </w:style>
  <w:style w:type="paragraph" w:customStyle="1" w:styleId="Listing2">
    <w:name w:val="Listing2"/>
    <w:basedOn w:val="a0"/>
    <w:link w:val="Listing2Char"/>
    <w:autoRedefine/>
    <w:rsid w:val="00DF3785"/>
  </w:style>
  <w:style w:type="character" w:customStyle="1" w:styleId="Listing2Char">
    <w:name w:val="Listing2 Char"/>
    <w:basedOn w:val="a1"/>
    <w:link w:val="Listing2"/>
    <w:rsid w:val="00DF3785"/>
    <w:rPr>
      <w:lang w:val="en-GB"/>
    </w:rPr>
  </w:style>
  <w:style w:type="table" w:styleId="afd">
    <w:name w:val="Table Grid"/>
    <w:basedOn w:val="a2"/>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0"/>
    <w:link w:val="aff"/>
    <w:uiPriority w:val="99"/>
    <w:semiHidden/>
    <w:unhideWhenUsed/>
    <w:rsid w:val="00B50534"/>
  </w:style>
  <w:style w:type="character" w:customStyle="1" w:styleId="aff">
    <w:name w:val="文末脚注文字列 (文字)"/>
    <w:basedOn w:val="a1"/>
    <w:link w:val="afe"/>
    <w:uiPriority w:val="99"/>
    <w:semiHidden/>
    <w:rsid w:val="00B50534"/>
    <w:rPr>
      <w:lang w:val="en-GB"/>
    </w:rPr>
  </w:style>
  <w:style w:type="character" w:styleId="aff0">
    <w:name w:val="endnote reference"/>
    <w:basedOn w:val="a1"/>
    <w:uiPriority w:val="99"/>
    <w:semiHidden/>
    <w:unhideWhenUsed/>
    <w:rsid w:val="00B50534"/>
    <w:rPr>
      <w:vertAlign w:val="superscript"/>
    </w:rPr>
  </w:style>
  <w:style w:type="paragraph" w:styleId="aff1">
    <w:name w:val="footnote text"/>
    <w:basedOn w:val="a0"/>
    <w:link w:val="aff2"/>
    <w:autoRedefine/>
    <w:uiPriority w:val="99"/>
    <w:semiHidden/>
    <w:unhideWhenUsed/>
    <w:qFormat/>
    <w:rsid w:val="006F53E8"/>
    <w:rPr>
      <w:sz w:val="16"/>
    </w:rPr>
  </w:style>
  <w:style w:type="character" w:customStyle="1" w:styleId="aff2">
    <w:name w:val="脚注文字列 (文字)"/>
    <w:basedOn w:val="a1"/>
    <w:link w:val="aff1"/>
    <w:uiPriority w:val="99"/>
    <w:semiHidden/>
    <w:rsid w:val="006F53E8"/>
    <w:rPr>
      <w:sz w:val="16"/>
      <w:lang w:val="en-GB"/>
    </w:rPr>
  </w:style>
  <w:style w:type="character" w:styleId="aff3">
    <w:name w:val="footnote reference"/>
    <w:aliases w:val="SUPERS,Footnote reference number,Footnote symbol,note TESI,-E Fußnotenzeichen,number,BVI fnr,Footnote Reference Superscript,(Footnote Reference),EN Footnote Reference,Voetnootverwijzing,Times 10 Point,Exposant 3 Poi,16 Point, BVI fnr"/>
    <w:basedOn w:val="a1"/>
    <w:uiPriority w:val="99"/>
    <w:unhideWhenUsed/>
    <w:qFormat/>
    <w:rsid w:val="00A91D91"/>
    <w:rPr>
      <w:rFonts w:asciiTheme="majorHAnsi" w:hAnsiTheme="majorHAnsi"/>
      <w:sz w:val="16"/>
      <w:vertAlign w:val="superscript"/>
    </w:rPr>
  </w:style>
  <w:style w:type="paragraph" w:customStyle="1" w:styleId="Footnote">
    <w:name w:val="Footnote"/>
    <w:basedOn w:val="aff1"/>
    <w:link w:val="FootnoteChar"/>
    <w:rsid w:val="00B50534"/>
    <w:rPr>
      <w:lang w:val="nl-BE"/>
    </w:rPr>
  </w:style>
  <w:style w:type="character" w:customStyle="1" w:styleId="FootnoteChar">
    <w:name w:val="Footnote Char"/>
    <w:basedOn w:val="aff2"/>
    <w:link w:val="Footnote"/>
    <w:rsid w:val="00B50534"/>
    <w:rPr>
      <w:sz w:val="16"/>
      <w:lang w:val="en-GB"/>
    </w:rPr>
  </w:style>
  <w:style w:type="table" w:customStyle="1" w:styleId="GridTable4-Accent11">
    <w:name w:val="Grid Table 4 - Accent 11"/>
    <w:basedOn w:val="a2"/>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a0"/>
    <w:rsid w:val="00287C8F"/>
    <w:pPr>
      <w:numPr>
        <w:numId w:val="5"/>
      </w:numPr>
      <w:tabs>
        <w:tab w:val="clear" w:pos="284"/>
        <w:tab w:val="num" w:pos="567"/>
      </w:tabs>
      <w:ind w:left="567" w:hanging="454"/>
    </w:pPr>
    <w:rPr>
      <w:rFonts w:ascii="Georgia" w:hAnsi="Georgia"/>
      <w:sz w:val="20"/>
      <w:lang w:eastAsia="de-DE"/>
    </w:rPr>
  </w:style>
  <w:style w:type="paragraph" w:styleId="aff4">
    <w:name w:val="Balloon Text"/>
    <w:basedOn w:val="a0"/>
    <w:link w:val="aff5"/>
    <w:uiPriority w:val="99"/>
    <w:semiHidden/>
    <w:unhideWhenUsed/>
    <w:rsid w:val="003C167E"/>
    <w:rPr>
      <w:rFonts w:ascii="Tahoma" w:hAnsi="Tahoma" w:cs="Tahoma"/>
      <w:sz w:val="16"/>
      <w:szCs w:val="16"/>
    </w:rPr>
  </w:style>
  <w:style w:type="character" w:customStyle="1" w:styleId="aff5">
    <w:name w:val="吹き出し (文字)"/>
    <w:basedOn w:val="a1"/>
    <w:link w:val="aff4"/>
    <w:uiPriority w:val="99"/>
    <w:semiHidden/>
    <w:rsid w:val="003C167E"/>
    <w:rPr>
      <w:rFonts w:ascii="Tahoma" w:hAnsi="Tahoma" w:cs="Tahoma"/>
      <w:sz w:val="16"/>
      <w:szCs w:val="16"/>
      <w:lang w:val="en-GB"/>
    </w:rPr>
  </w:style>
  <w:style w:type="character" w:styleId="aff6">
    <w:name w:val="annotation reference"/>
    <w:basedOn w:val="a1"/>
    <w:uiPriority w:val="99"/>
    <w:semiHidden/>
    <w:unhideWhenUsed/>
    <w:rsid w:val="00FA2400"/>
    <w:rPr>
      <w:sz w:val="16"/>
      <w:szCs w:val="16"/>
    </w:rPr>
  </w:style>
  <w:style w:type="paragraph" w:styleId="aff7">
    <w:name w:val="annotation text"/>
    <w:basedOn w:val="a0"/>
    <w:link w:val="aff8"/>
    <w:uiPriority w:val="99"/>
    <w:unhideWhenUsed/>
    <w:rsid w:val="00FA2400"/>
    <w:rPr>
      <w:sz w:val="20"/>
    </w:rPr>
  </w:style>
  <w:style w:type="character" w:customStyle="1" w:styleId="aff8">
    <w:name w:val="コメント文字列 (文字)"/>
    <w:basedOn w:val="a1"/>
    <w:link w:val="aff7"/>
    <w:uiPriority w:val="99"/>
    <w:rsid w:val="00FA2400"/>
    <w:rPr>
      <w:lang w:val="en-GB"/>
    </w:rPr>
  </w:style>
  <w:style w:type="paragraph" w:styleId="aff9">
    <w:name w:val="annotation subject"/>
    <w:basedOn w:val="aff7"/>
    <w:next w:val="aff7"/>
    <w:link w:val="affa"/>
    <w:uiPriority w:val="99"/>
    <w:semiHidden/>
    <w:unhideWhenUsed/>
    <w:rsid w:val="00FA2400"/>
    <w:rPr>
      <w:b/>
      <w:bCs/>
    </w:rPr>
  </w:style>
  <w:style w:type="character" w:customStyle="1" w:styleId="affa">
    <w:name w:val="コメント内容 (文字)"/>
    <w:basedOn w:val="aff8"/>
    <w:link w:val="aff9"/>
    <w:uiPriority w:val="99"/>
    <w:semiHidden/>
    <w:rsid w:val="00FA2400"/>
    <w:rPr>
      <w:b/>
      <w:bCs/>
      <w:lang w:val="en-GB"/>
    </w:rPr>
  </w:style>
  <w:style w:type="paragraph" w:styleId="affb">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affc">
    <w:name w:val="FollowedHyperlink"/>
    <w:basedOn w:val="a1"/>
    <w:uiPriority w:val="99"/>
    <w:semiHidden/>
    <w:unhideWhenUsed/>
    <w:rsid w:val="007B354B"/>
    <w:rPr>
      <w:color w:val="954F72" w:themeColor="followedHyperlink"/>
      <w:u w:val="single"/>
    </w:rPr>
  </w:style>
  <w:style w:type="paragraph" w:styleId="Web">
    <w:name w:val="Normal (Web)"/>
    <w:basedOn w:val="a0"/>
    <w:uiPriority w:val="99"/>
    <w:semiHidden/>
    <w:unhideWhenUsed/>
    <w:rsid w:val="00B424F5"/>
    <w:pPr>
      <w:spacing w:before="100" w:beforeAutospacing="1" w:after="100" w:afterAutospacing="1"/>
    </w:pPr>
  </w:style>
  <w:style w:type="character" w:customStyle="1" w:styleId="outputecliaff">
    <w:name w:val="outputecliaff"/>
    <w:basedOn w:val="a1"/>
    <w:rsid w:val="00595F08"/>
  </w:style>
  <w:style w:type="paragraph" w:customStyle="1" w:styleId="05HeadlinenoIndex">
    <w:name w:val="05_Headline no Index"/>
    <w:basedOn w:val="a0"/>
    <w:rsid w:val="005C7E1F"/>
    <w:pPr>
      <w:spacing w:after="250" w:line="300" w:lineRule="exact"/>
      <w:jc w:val="both"/>
    </w:pPr>
    <w:rPr>
      <w:rFonts w:ascii="Georgia" w:hAnsi="Georgia"/>
      <w:b/>
      <w:lang w:eastAsia="de-DE"/>
    </w:rPr>
  </w:style>
  <w:style w:type="paragraph" w:customStyle="1" w:styleId="04BodyText">
    <w:name w:val="04_Body Text"/>
    <w:basedOn w:val="a0"/>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a2"/>
    <w:next w:val="af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リスト段落 (文字)"/>
    <w:aliases w:val="Paragraphe EI (文字),Paragraphe de liste1 (文字),EC (文字),Paragraphe de liste (文字),Normal Nivel 1 (文字),List Paragraph Main (文字),List first level (文字),List Paragraph_Sections (文字)"/>
    <w:basedOn w:val="a1"/>
    <w:link w:val="a"/>
    <w:uiPriority w:val="34"/>
    <w:rsid w:val="00695AF2"/>
    <w:rPr>
      <w:rFonts w:eastAsiaTheme="majorEastAsia" w:cstheme="minorHAnsi"/>
      <w:sz w:val="22"/>
      <w:szCs w:val="22"/>
      <w:lang w:val="en-GB" w:eastAsia="en-GB"/>
    </w:rPr>
  </w:style>
  <w:style w:type="table" w:customStyle="1" w:styleId="TableGrid3">
    <w:name w:val="Table Grid3"/>
    <w:basedOn w:val="a2"/>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570">
      <w:bodyDiv w:val="1"/>
      <w:marLeft w:val="0"/>
      <w:marRight w:val="0"/>
      <w:marTop w:val="0"/>
      <w:marBottom w:val="0"/>
      <w:divBdr>
        <w:top w:val="none" w:sz="0" w:space="0" w:color="auto"/>
        <w:left w:val="none" w:sz="0" w:space="0" w:color="auto"/>
        <w:bottom w:val="none" w:sz="0" w:space="0" w:color="auto"/>
        <w:right w:val="none" w:sz="0" w:space="0" w:color="auto"/>
      </w:divBdr>
    </w:div>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455866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43872018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12546813">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53233289">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7176163">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4780746">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jpx.co.jp/jscc/en/information/news/20210326_02.htm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boj.or.jp/en/paym/market/jpy_cmte/data/cmt210726b.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boj.or.jp/en/paym/market/jpy_cmte/cmt210326b.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jpx.co.jp/jscc/en/cash/irs/product.html"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jpx.co.jp/jscc/en/interest_rate_swap.htm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jpx.co.jp/jscc/en/information/news/i1h00a000000bdgr-att/conversion_of_libor_irs_20210326_e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isda.org/a/DCMgE/ISDA-Clarus-RFR-Adoption-Indicator-July-2021.pdf"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ESMA70-156-4704</_dlc_DocId>
    <TaxCatchAll xmlns="20fbe147-bbda-4e53-b6b1-7e8bbff3fe19">
      <Value>832</Value>
      <Value>5</Value>
      <Value>14</Value>
      <Value>12</Value>
      <Value>833</Value>
    </TaxCatchAll>
    <_dlc_DocIdUrl xmlns="20fbe147-bbda-4e53-b6b1-7e8bbff3fe19">
      <Url>https://sherpa.esma.europa.eu/sites/MKT/SMK/_layouts/15/DocIdRedir.aspx?ID=ESMA70-156-4704</Url>
      <Description>ESMA70-156-4704</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EMIR - Clearing Obbligation</TermName>
          <TermId xmlns="http://schemas.microsoft.com/office/infopath/2007/PartnerControls">0bb3118f-23b5-4afc-b0fc-946893a4d1d6</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EMIR - Clearing Obbligation - Amendements</TermName>
          <TermId xmlns="http://schemas.microsoft.com/office/infopath/2007/PartnerControls">b02e17f3-fe5b-4971-a303-faa191b0e9d0</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DA66DDF4-AF59-4802-B20A-1D51C1856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18</TotalTime>
  <Pages>9</Pages>
  <Words>2168</Words>
  <Characters>12363</Characters>
  <Application>Microsoft Office Word</Application>
  <DocSecurity>8</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河合 文子</cp:lastModifiedBy>
  <cp:revision>3</cp:revision>
  <dcterms:created xsi:type="dcterms:W3CDTF">2021-08-19T02:37:00Z</dcterms:created>
  <dcterms:modified xsi:type="dcterms:W3CDTF">2021-08-19T04:50:00Z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da41af48-8004-49e2-b53f-177962124504</vt:lpwstr>
  </property>
  <property fmtid="{D5CDD505-2E9C-101B-9397-08002B2CF9AE}" pid="6" name="DocumentType">
    <vt:lpwstr>12;#Report|78753201-1e9e-4a21-a088-6ff602b5c999</vt:lpwstr>
  </property>
  <property fmtid="{D5CDD505-2E9C-101B-9397-08002B2CF9AE}" pid="7" name="Topic">
    <vt:lpwstr>832;#EMIR - Clearing Obbligation|0bb3118f-23b5-4afc-b0fc-946893a4d1d6</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833;#EMIR - Clearing Obbligation - Amendements|b02e17f3-fe5b-4971-a303-faa191b0e9d0</vt:lpwstr>
  </property>
  <property fmtid="{D5CDD505-2E9C-101B-9397-08002B2CF9AE}" pid="18" name="TeamTopic">
    <vt:lpwstr>87;#Other Work|f1a52b52-917d-42ef-9667-945839604bb2</vt:lpwstr>
  </property>
</Properties>
</file>