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16706" w14:paraId="55D8B106" w14:textId="77777777" w:rsidTr="00D13661">
            <w:trPr>
              <w:trHeight w:hRule="exact" w:val="1492"/>
            </w:trPr>
            <w:tc>
              <w:tcPr>
                <w:tcW w:w="10490" w:type="dxa"/>
                <w:vAlign w:val="bottom"/>
              </w:tcPr>
              <w:p w14:paraId="2A8545EF" w14:textId="7F7023FD" w:rsidR="00AF2EF7" w:rsidRPr="005B4BE0" w:rsidRDefault="00C1698A" w:rsidP="00D13661">
                <w:pPr>
                  <w:pStyle w:val="Titel"/>
                  <w:spacing w:line="276" w:lineRule="auto"/>
                  <w:ind w:right="854"/>
                  <w:rPr>
                    <w:rFonts w:asciiTheme="minorHAnsi" w:hAnsiTheme="minorHAnsi" w:cstheme="minorHAnsi"/>
                    <w:sz w:val="32"/>
                    <w:szCs w:val="32"/>
                  </w:rPr>
                </w:pPr>
                <w:r w:rsidRPr="006F1733">
                  <w:rPr>
                    <w:rFonts w:asciiTheme="minorHAnsi" w:hAnsiTheme="minorHAnsi" w:cstheme="minorHAnsi"/>
                    <w:sz w:val="36"/>
                    <w:szCs w:val="36"/>
                  </w:rPr>
                  <w:t xml:space="preserve">Response Form to the </w:t>
                </w:r>
                <w:r w:rsidR="008B2AF1" w:rsidRPr="006F1733">
                  <w:rPr>
                    <w:rFonts w:asciiTheme="minorHAnsi" w:hAnsiTheme="minorHAnsi" w:cstheme="minorHAnsi"/>
                    <w:sz w:val="36"/>
                    <w:szCs w:val="36"/>
                  </w:rPr>
                  <w:t xml:space="preserve">Consultation Paper </w:t>
                </w:r>
                <w:r w:rsidR="00B16706" w:rsidRPr="006F1733">
                  <w:rPr>
                    <w:rFonts w:asciiTheme="minorHAnsi" w:hAnsiTheme="minorHAnsi" w:cstheme="minorHAnsi"/>
                    <w:sz w:val="36"/>
                    <w:szCs w:val="36"/>
                  </w:rPr>
                  <w:t xml:space="preserve">on </w:t>
                </w:r>
                <w:r w:rsidR="0070098E" w:rsidRPr="006F1733">
                  <w:rPr>
                    <w:rFonts w:asciiTheme="minorHAnsi" w:hAnsiTheme="minorHAnsi" w:cstheme="minorHAnsi"/>
                    <w:sz w:val="36"/>
                    <w:szCs w:val="36"/>
                  </w:rPr>
                  <w:t xml:space="preserve">Review of MAR Guidelines on delay in the disclosure of inside information and interactions with prudential supervision   </w:t>
                </w:r>
              </w:p>
            </w:tc>
          </w:tr>
          <w:tr w:rsidR="00AB6157" w:rsidRPr="00B16706" w14:paraId="76D253F5" w14:textId="77777777" w:rsidTr="00D13661">
            <w:trPr>
              <w:trHeight w:hRule="exact" w:val="747"/>
            </w:trPr>
            <w:tc>
              <w:tcPr>
                <w:tcW w:w="10490" w:type="dxa"/>
                <w:tcMar>
                  <w:top w:w="142" w:type="dxa"/>
                </w:tcMar>
              </w:tcPr>
              <w:p w14:paraId="26CF3934" w14:textId="20E9863B" w:rsidR="00AB6157" w:rsidRPr="00B16706" w:rsidRDefault="00AB6157" w:rsidP="001F23C9">
                <w:pPr>
                  <w:pStyle w:val="berschrift2"/>
                  <w:numPr>
                    <w:ilvl w:val="0"/>
                    <w:numId w:val="0"/>
                  </w:numPr>
                  <w:spacing w:before="0"/>
                  <w:rPr>
                    <w:sz w:val="22"/>
                    <w:szCs w:val="22"/>
                  </w:rPr>
                </w:pPr>
              </w:p>
            </w:tc>
          </w:tr>
        </w:tbl>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AF2EF7">
          <w:pPr>
            <w:spacing w:line="276" w:lineRule="auto"/>
            <w:rPr>
              <w:rFonts w:asciiTheme="minorHAnsi" w:hAnsiTheme="minorHAnsi" w:cstheme="minorHAnsi"/>
              <w:sz w:val="20"/>
              <w:szCs w:val="20"/>
            </w:r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3D5D2432"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w:t>
          </w:r>
          <w:r w:rsidR="005B4BE0">
            <w:rPr>
              <w:rFonts w:asciiTheme="minorHAnsi" w:eastAsiaTheme="minorEastAsia" w:hAnsiTheme="minorHAnsi" w:cstheme="minorBidi"/>
              <w:sz w:val="18"/>
              <w:szCs w:val="16"/>
              <w:lang w:eastAsia="en-US"/>
            </w:rPr>
            <w:t xml:space="preserve">. </w:t>
          </w:r>
          <w:r w:rsidRPr="00B16706">
            <w:rPr>
              <w:rFonts w:asciiTheme="minorHAnsi" w:eastAsiaTheme="minorEastAsia" w:hAnsiTheme="minorHAnsi" w:cstheme="minorBidi"/>
              <w:sz w:val="18"/>
              <w:szCs w:val="16"/>
              <w:lang w:eastAsia="en-US"/>
            </w:rPr>
            <w:t>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2A5B5CD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B16706" w:rsidRPr="00B16706">
            <w:rPr>
              <w:rFonts w:asciiTheme="minorHAnsi" w:eastAsiaTheme="minorEastAsia" w:hAnsiTheme="minorHAnsi" w:cstheme="minorBidi"/>
              <w:b/>
              <w:sz w:val="18"/>
              <w:szCs w:val="16"/>
              <w:lang w:eastAsia="en-US"/>
            </w:rPr>
            <w:t>2</w:t>
          </w:r>
          <w:r w:rsidR="005B4BE0">
            <w:rPr>
              <w:rFonts w:asciiTheme="minorHAnsi" w:eastAsiaTheme="minorEastAsia" w:hAnsiTheme="minorHAnsi" w:cstheme="minorBidi"/>
              <w:b/>
              <w:sz w:val="18"/>
              <w:szCs w:val="16"/>
              <w:lang w:eastAsia="en-US"/>
            </w:rPr>
            <w:t>7</w:t>
          </w:r>
          <w:r w:rsidR="00B16706" w:rsidRPr="00B16706">
            <w:rPr>
              <w:rFonts w:asciiTheme="minorHAnsi" w:eastAsiaTheme="minorEastAsia" w:hAnsiTheme="minorHAnsi" w:cstheme="minorBidi"/>
              <w:b/>
              <w:sz w:val="18"/>
              <w:szCs w:val="16"/>
              <w:lang w:eastAsia="en-US"/>
            </w:rPr>
            <w:t xml:space="preserve"> </w:t>
          </w:r>
          <w:r w:rsidR="005B4BE0">
            <w:rPr>
              <w:rFonts w:asciiTheme="minorHAnsi" w:eastAsiaTheme="minorEastAsia" w:hAnsiTheme="minorHAnsi" w:cstheme="minorBidi"/>
              <w:b/>
              <w:sz w:val="18"/>
              <w:szCs w:val="16"/>
              <w:lang w:eastAsia="en-US"/>
            </w:rPr>
            <w:t>August</w:t>
          </w:r>
          <w:r w:rsidR="00B16706" w:rsidRPr="00B16706">
            <w:rPr>
              <w:rFonts w:asciiTheme="minorHAnsi" w:eastAsiaTheme="minorEastAsia" w:hAnsiTheme="minorHAnsi" w:cstheme="minorBidi"/>
              <w:b/>
              <w:sz w:val="18"/>
              <w:szCs w:val="16"/>
              <w:lang w:eastAsia="en-US"/>
            </w:rPr>
            <w:t xml:space="preserve"> 2021</w:t>
          </w:r>
          <w:r w:rsidRPr="00B16706">
            <w:rPr>
              <w:rFonts w:asciiTheme="minorHAnsi" w:eastAsiaTheme="minorEastAsia" w:hAnsiTheme="minorHAnsi" w:cstheme="minorBidi"/>
              <w:b/>
              <w:sz w:val="18"/>
              <w:szCs w:val="16"/>
              <w:lang w:eastAsia="en-US"/>
            </w:rPr>
            <w:t xml:space="preserve">. </w:t>
          </w:r>
        </w:p>
        <w:p w14:paraId="6ABAAC1F" w14:textId="50B9A93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should be submitted online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‘Your input - Consultations’.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3ECBC854" w:rsidR="00A409C2" w:rsidRPr="00A409C2" w:rsidRDefault="00A409C2"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use this form and send your responses in Word format (</w:t>
          </w:r>
          <w:r w:rsidRPr="00A409C2">
            <w:rPr>
              <w:rFonts w:eastAsiaTheme="minorEastAsia" w:cstheme="minorBidi"/>
              <w:b/>
              <w:bCs/>
              <w:sz w:val="18"/>
              <w:szCs w:val="16"/>
              <w:lang w:eastAsia="en-US"/>
            </w:rPr>
            <w:t>pdf documents will not be considered except for annexes</w:t>
          </w:r>
          <w:r w:rsidRPr="00A409C2">
            <w:rPr>
              <w:rFonts w:eastAsiaTheme="minorEastAsia" w:cstheme="minorBidi"/>
              <w:sz w:val="18"/>
              <w:szCs w:val="16"/>
              <w:lang w:eastAsia="en-US"/>
            </w:rPr>
            <w:t>);</w:t>
          </w:r>
        </w:p>
        <w:p w14:paraId="6692798E" w14:textId="482FD8C2"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5B4BE0">
            <w:rPr>
              <w:rFonts w:eastAsiaTheme="minorEastAsia" w:cstheme="minorBidi"/>
              <w:sz w:val="18"/>
              <w:szCs w:val="16"/>
              <w:lang w:eastAsia="en-US"/>
            </w:rPr>
            <w:t>MRGL</w:t>
          </w:r>
          <w:r w:rsidRPr="00A409C2">
            <w:rPr>
              <w:rFonts w:eastAsiaTheme="minorEastAsia" w:cstheme="minorBidi"/>
              <w:sz w:val="18"/>
              <w:szCs w:val="16"/>
              <w:lang w:eastAsia="en-US"/>
            </w:rPr>
            <w:t xml:space="preserve">_1&gt;. </w:t>
          </w:r>
          <w:r w:rsidRPr="000D106E">
            <w:rPr>
              <w:rFonts w:eastAsiaTheme="minorEastAsia" w:cstheme="minorBidi"/>
              <w:b/>
              <w:bCs/>
              <w:sz w:val="18"/>
              <w:szCs w:val="16"/>
              <w:lang w:eastAsia="en-US"/>
            </w:rPr>
            <w:t>Your response to each question has to be framed by the two tags corresponding to the question.</w:t>
          </w:r>
        </w:p>
        <w:p w14:paraId="1C4E226A" w14:textId="1D43AA8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6E508D65"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5B4BE0">
            <w:rPr>
              <w:rFonts w:eastAsiaTheme="minorEastAsia" w:cstheme="minorBidi"/>
              <w:sz w:val="18"/>
              <w:szCs w:val="16"/>
              <w:lang w:eastAsia="en-US"/>
            </w:rPr>
            <w:t>MRGL</w:t>
          </w:r>
          <w:r w:rsidRPr="00A409C2">
            <w:rPr>
              <w:rFonts w:eastAsiaTheme="minorEastAsia" w:cstheme="minorBidi"/>
              <w:sz w:val="18"/>
              <w:szCs w:val="16"/>
              <w:lang w:eastAsia="en-US"/>
            </w:rPr>
            <w:t>_nameofrespondent_RESPONSEFORM. For example, for a respondent named ABCD, the response form would be entitled ESMA_</w:t>
          </w:r>
          <w:r w:rsidR="005B4BE0">
            <w:rPr>
              <w:rFonts w:eastAsiaTheme="minorEastAsia" w:cstheme="minorBidi"/>
              <w:sz w:val="18"/>
              <w:szCs w:val="16"/>
              <w:lang w:eastAsia="en-US"/>
            </w:rPr>
            <w:t>MRGL</w:t>
          </w:r>
          <w:r w:rsidRPr="00A409C2">
            <w:rPr>
              <w:rFonts w:eastAsiaTheme="minorEastAsia" w:cstheme="minorBidi"/>
              <w:sz w:val="18"/>
              <w:szCs w:val="16"/>
              <w:lang w:eastAsia="en-US"/>
            </w:rPr>
            <w:t>_ABCD_RESPONSEFORM.</w:t>
          </w:r>
        </w:p>
        <w:p w14:paraId="28EEA743" w14:textId="29FCF7E5" w:rsidR="00A02199" w:rsidRPr="00A409C2" w:rsidRDefault="00B16706" w:rsidP="00AF2EF7">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5B4BE0" w:rsidRPr="005B4BE0">
            <w:rPr>
              <w:rFonts w:eastAsiaTheme="minorEastAsia" w:cstheme="minorBidi"/>
              <w:sz w:val="18"/>
              <w:szCs w:val="16"/>
              <w:lang w:eastAsia="en-US"/>
            </w:rPr>
            <w:t>Consultation Paper on Review of MAR Guidelines on delay in the disclosure of inside information and interactions with prudential supervision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7"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8"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3645E7FF"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3AEDA0D" w14:textId="6900A418" w:rsidR="00AF2EF7" w:rsidRPr="00B16706" w:rsidRDefault="005B4BE0" w:rsidP="00AF2EF7">
      <w:pPr>
        <w:spacing w:after="120" w:line="276" w:lineRule="auto"/>
        <w:rPr>
          <w:rFonts w:asciiTheme="minorHAnsi" w:hAnsiTheme="minorHAnsi" w:cstheme="minorHAnsi"/>
          <w:sz w:val="20"/>
          <w:szCs w:val="20"/>
        </w:rPr>
      </w:pPr>
      <w:r w:rsidRPr="005B4BE0">
        <w:rPr>
          <w:rFonts w:ascii="Arial" w:hAnsi="Arial" w:cs="Arial"/>
          <w:sz w:val="18"/>
          <w:szCs w:val="18"/>
          <w:lang w:eastAsia="it-IT"/>
        </w:rPr>
        <w:t>All interested stakeholders are invited to respond to this consultation paper. This consultation paper is primarily of interest to the banking sector, but responses are also sought from any other market participant including trade associations and industry bodies, institutional and retail investors, consultants and academics.</w:t>
      </w:r>
    </w:p>
    <w:p w14:paraId="3F02AC35" w14:textId="40CC1462" w:rsidR="006F1733" w:rsidRDefault="00AF2EF7" w:rsidP="006F1733">
      <w:pPr>
        <w:pStyle w:val="berschrift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7036BA8E" w14:textId="77777777" w:rsidR="006F1733" w:rsidRPr="006F1733" w:rsidRDefault="006F1733" w:rsidP="006F173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240F8D8B" w:rsidR="00C85C8B" w:rsidRPr="00B16706" w:rsidRDefault="00013506" w:rsidP="00013506">
                <w:pPr>
                  <w:rPr>
                    <w:rFonts w:ascii="Arial" w:hAnsi="Arial" w:cs="Arial"/>
                    <w:color w:val="808080"/>
                    <w:sz w:val="16"/>
                    <w:szCs w:val="20"/>
                    <w:lang w:eastAsia="de-DE"/>
                  </w:rPr>
                </w:pPr>
                <w:r>
                  <w:rPr>
                    <w:rFonts w:ascii="Arial" w:hAnsi="Arial" w:cs="Arial"/>
                    <w:color w:val="808080"/>
                    <w:sz w:val="16"/>
                    <w:szCs w:val="20"/>
                    <w:lang w:eastAsia="de-DE"/>
                  </w:rPr>
                  <w:t>Bundesanstalt für Finanzdienstleistungen</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76F636B1" w:rsidR="00C85C8B" w:rsidRPr="00B16706" w:rsidRDefault="00013506"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ascii="Arial" w:hAnsi="Arial" w:cs="Arial"/>
                    <w:sz w:val="16"/>
                    <w:szCs w:val="20"/>
                    <w:lang w:eastAsia="de-DE"/>
                  </w:rPr>
                  <w:t>Government, Regulatory and Enforcement</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4D7DFC72" w:rsidR="00C85C8B" w:rsidRPr="00B16706" w:rsidRDefault="00013506"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D8AFB8B" w:rsidR="00C85C8B" w:rsidRPr="00B16706" w:rsidRDefault="00013506" w:rsidP="00C85C8B">
                <w:pPr>
                  <w:rPr>
                    <w:rFonts w:ascii="Arial" w:hAnsi="Arial" w:cs="Arial"/>
                    <w:sz w:val="16"/>
                    <w:szCs w:val="20"/>
                    <w:lang w:eastAsia="de-DE"/>
                  </w:rPr>
                </w:pPr>
                <w:r>
                  <w:rPr>
                    <w:rFonts w:ascii="Arial" w:hAnsi="Arial" w:cs="Arial"/>
                    <w:sz w:val="16"/>
                    <w:szCs w:val="20"/>
                    <w:lang w:eastAsia="de-DE"/>
                  </w:rPr>
                  <w:t>Germany</w:t>
                </w:r>
              </w:p>
            </w:tc>
          </w:sdtContent>
        </w:sdt>
      </w:tr>
      <w:permEnd w:id="1269442871"/>
    </w:tbl>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214D9BB4" w14:textId="77777777" w:rsidR="00AA0794" w:rsidRDefault="00AA0794">
      <w:pPr>
        <w:spacing w:after="120" w:line="264" w:lineRule="auto"/>
        <w:rPr>
          <w:rFonts w:asciiTheme="minorHAnsi" w:hAnsiTheme="minorHAnsi" w:cstheme="minorHAnsi"/>
          <w:b/>
          <w:sz w:val="22"/>
          <w:szCs w:val="22"/>
        </w:rPr>
      </w:pPr>
      <w:bookmarkStart w:id="1" w:name="_GoBack"/>
      <w:bookmarkEnd w:id="1"/>
    </w:p>
    <w:p w14:paraId="263D4CC3" w14:textId="246DDAE6" w:rsidR="002F7820" w:rsidRDefault="002F7820" w:rsidP="002F7820">
      <w:pPr>
        <w:pStyle w:val="Questionstyle"/>
        <w:ind w:left="360"/>
      </w:pPr>
      <w:r w:rsidRPr="007B360E">
        <w:t>Please make your introductory comments below, if any</w:t>
      </w:r>
      <w:r>
        <w:t xml:space="preserve">. </w:t>
      </w:r>
      <w:r w:rsidRPr="00391CB0">
        <w:t xml:space="preserve"> </w:t>
      </w:r>
    </w:p>
    <w:p w14:paraId="18B6A2C5" w14:textId="77777777" w:rsidR="002F7820" w:rsidRDefault="002F7820" w:rsidP="002F7820">
      <w:r>
        <w:t>&lt;ESMA_QUESTION_MRGL_0&gt;</w:t>
      </w:r>
    </w:p>
    <w:p w14:paraId="318F0F72" w14:textId="77777777" w:rsidR="002F7820" w:rsidRDefault="002F7820" w:rsidP="002F7820">
      <w:permStart w:id="514478012" w:edGrp="everyone"/>
      <w:r>
        <w:t>TYPE YOUR TEXT HERE</w:t>
      </w:r>
    </w:p>
    <w:permEnd w:id="514478012"/>
    <w:p w14:paraId="585064E0" w14:textId="6924877A" w:rsidR="002F7820" w:rsidRDefault="002F7820" w:rsidP="002F7820">
      <w:r>
        <w:t>&lt;ESMA_QUESTION_MRGL_0&gt;</w:t>
      </w:r>
    </w:p>
    <w:p w14:paraId="396E3D1F" w14:textId="552B9405" w:rsidR="002F7820" w:rsidRDefault="002F7820" w:rsidP="002F7820"/>
    <w:p w14:paraId="03DA61C8" w14:textId="6BE5E096" w:rsidR="002F7820" w:rsidRDefault="002F7820" w:rsidP="002F7820"/>
    <w:p w14:paraId="6CE5DDC4" w14:textId="49798B09" w:rsidR="002F7820" w:rsidRDefault="002F7820" w:rsidP="002F7820"/>
    <w:p w14:paraId="56D7A239" w14:textId="29774943" w:rsidR="002F7820" w:rsidRDefault="002F7820" w:rsidP="002F7820"/>
    <w:p w14:paraId="60426009" w14:textId="6D6B2B28" w:rsidR="002F7820" w:rsidRDefault="002F7820" w:rsidP="002F7820"/>
    <w:p w14:paraId="4363A155" w14:textId="603100D6" w:rsidR="002F7820" w:rsidRDefault="002F7820" w:rsidP="002F7820"/>
    <w:p w14:paraId="52F9EC1B" w14:textId="58E3A3E5" w:rsidR="002F7820" w:rsidRDefault="002F7820" w:rsidP="002F7820"/>
    <w:p w14:paraId="30136B19" w14:textId="74006EED" w:rsidR="002F7820" w:rsidRDefault="002F7820" w:rsidP="002F7820"/>
    <w:p w14:paraId="4FAC79ED" w14:textId="26CE4E71" w:rsidR="002F7820" w:rsidRDefault="002F7820" w:rsidP="002F7820"/>
    <w:p w14:paraId="53A41A9E" w14:textId="599E09DF" w:rsidR="002F7820" w:rsidRDefault="002F7820" w:rsidP="002F7820"/>
    <w:p w14:paraId="1EED8E20" w14:textId="1A721A80" w:rsidR="002F7820" w:rsidRDefault="002F7820" w:rsidP="002F7820"/>
    <w:p w14:paraId="266F4ECF" w14:textId="172F186B" w:rsidR="002F7820" w:rsidRDefault="002F7820" w:rsidP="002F7820"/>
    <w:p w14:paraId="04C883B6" w14:textId="1B71917F" w:rsidR="002F7820" w:rsidRDefault="002F7820" w:rsidP="002F7820"/>
    <w:p w14:paraId="6EE76756" w14:textId="3E7442E8" w:rsidR="002F7820" w:rsidRDefault="002F7820" w:rsidP="002F7820"/>
    <w:p w14:paraId="0D379115" w14:textId="27C57B18" w:rsidR="002F7820" w:rsidRDefault="002F7820" w:rsidP="002F7820"/>
    <w:p w14:paraId="5E0FFE7D" w14:textId="26A2F926" w:rsidR="002F7820" w:rsidRDefault="002F7820" w:rsidP="002F7820"/>
    <w:p w14:paraId="553CE452" w14:textId="1C0FFC80" w:rsidR="002F7820" w:rsidRDefault="002F7820" w:rsidP="002F7820"/>
    <w:p w14:paraId="2C5684C1" w14:textId="0E2FBA2E" w:rsidR="002F7820" w:rsidRDefault="002F7820" w:rsidP="002F7820"/>
    <w:p w14:paraId="580636EC" w14:textId="0175EF21" w:rsidR="002F7820" w:rsidRDefault="002F7820" w:rsidP="002F7820"/>
    <w:p w14:paraId="24636DFA" w14:textId="157ED103" w:rsidR="002F7820" w:rsidRDefault="002F7820" w:rsidP="002F7820"/>
    <w:p w14:paraId="3D25201E" w14:textId="544DEDAF" w:rsidR="002F7820" w:rsidRDefault="002F7820" w:rsidP="002F7820"/>
    <w:p w14:paraId="4CA43F5F" w14:textId="541FEF76" w:rsidR="002F7820" w:rsidRDefault="002F7820" w:rsidP="002F7820"/>
    <w:p w14:paraId="68325470" w14:textId="6DDE2CF8" w:rsidR="002F7820" w:rsidRDefault="002F7820" w:rsidP="002F7820"/>
    <w:p w14:paraId="7F700F97" w14:textId="09130A78" w:rsidR="002F7820" w:rsidRDefault="002F7820" w:rsidP="002F7820"/>
    <w:p w14:paraId="3A8565C0" w14:textId="2A9D4D85" w:rsidR="002F7820" w:rsidRDefault="002F7820" w:rsidP="002F7820"/>
    <w:p w14:paraId="6FB3A7D4" w14:textId="5A3A58EA" w:rsidR="002F7820" w:rsidRDefault="002F7820" w:rsidP="002F7820"/>
    <w:p w14:paraId="0B71EE3D" w14:textId="2CCD5CD9" w:rsidR="002F7820" w:rsidRDefault="002F7820" w:rsidP="002F7820"/>
    <w:p w14:paraId="5D6FBDA2" w14:textId="22CAD0A9" w:rsidR="002F7820" w:rsidRDefault="002F7820" w:rsidP="002F7820"/>
    <w:p w14:paraId="59B3B0F2" w14:textId="5D980DAD" w:rsidR="002F7820" w:rsidRDefault="002F7820" w:rsidP="002F7820"/>
    <w:p w14:paraId="2D5196EA" w14:textId="2E176C85" w:rsidR="002F7820" w:rsidRDefault="002F7820" w:rsidP="002F7820"/>
    <w:p w14:paraId="53AAF82B" w14:textId="60FF58E5" w:rsidR="002F7820" w:rsidRDefault="002F7820" w:rsidP="002F7820"/>
    <w:p w14:paraId="3F0229C6" w14:textId="51096FF0" w:rsidR="002F7820" w:rsidRDefault="002F7820" w:rsidP="002F7820"/>
    <w:p w14:paraId="72183050" w14:textId="25025D02" w:rsidR="002F7820" w:rsidRDefault="002F7820" w:rsidP="002F7820"/>
    <w:p w14:paraId="66B6D796" w14:textId="0F7988BC" w:rsidR="002F7820" w:rsidRDefault="002F7820" w:rsidP="002F7820"/>
    <w:p w14:paraId="447F55B6" w14:textId="722F12B1" w:rsidR="002F7820" w:rsidRPr="002F7820" w:rsidRDefault="002F7820" w:rsidP="002F7820">
      <w:pPr>
        <w:rPr>
          <w:rFonts w:asciiTheme="minorHAnsi" w:hAnsiTheme="minorHAnsi" w:cstheme="minorHAnsi"/>
          <w:b/>
          <w:bCs/>
          <w:sz w:val="22"/>
          <w:szCs w:val="22"/>
        </w:rPr>
      </w:pPr>
      <w:r w:rsidRPr="002F7820">
        <w:rPr>
          <w:rFonts w:asciiTheme="minorHAnsi" w:hAnsiTheme="minorHAnsi" w:cstheme="minorHAnsi"/>
          <w:b/>
          <w:bCs/>
          <w:sz w:val="22"/>
          <w:szCs w:val="22"/>
        </w:rPr>
        <w:t>Questions</w:t>
      </w:r>
    </w:p>
    <w:p w14:paraId="1F3AC4C3" w14:textId="77777777" w:rsidR="002F7820" w:rsidRDefault="002F7820" w:rsidP="002F7820"/>
    <w:p w14:paraId="2C9B2915" w14:textId="77777777" w:rsidR="002F7820" w:rsidRDefault="002F7820" w:rsidP="002F7820">
      <w:pPr>
        <w:pStyle w:val="Questionstyle"/>
        <w:numPr>
          <w:ilvl w:val="0"/>
          <w:numId w:val="9"/>
        </w:numPr>
        <w:spacing w:after="250" w:line="276" w:lineRule="auto"/>
      </w:pPr>
      <w:r>
        <w:t>:</w:t>
      </w:r>
      <w:r w:rsidRPr="00391CB0">
        <w:t xml:space="preserve"> </w:t>
      </w:r>
      <w:r w:rsidRPr="008E4D69">
        <w:t xml:space="preserve">Do you agree with the proposed amendment to the MAR Guidelines in relation to redemptions, reduction and repurchase of own funds? </w:t>
      </w:r>
      <w:r w:rsidRPr="00391CB0">
        <w:t xml:space="preserve"> </w:t>
      </w:r>
    </w:p>
    <w:p w14:paraId="5783E5F7" w14:textId="77777777" w:rsidR="002F7820" w:rsidRDefault="002F7820" w:rsidP="002F7820">
      <w:r>
        <w:t>&lt;ESMA_QUESTION_MRGL_1&gt;</w:t>
      </w:r>
    </w:p>
    <w:p w14:paraId="7A1A1EAD" w14:textId="77777777" w:rsidR="002F7820" w:rsidRDefault="002F7820" w:rsidP="002F7820">
      <w:permStart w:id="366022626" w:edGrp="everyone"/>
      <w:r>
        <w:t>TYPE YOUR TEXT HERE</w:t>
      </w:r>
    </w:p>
    <w:permEnd w:id="366022626"/>
    <w:p w14:paraId="5717CCE8" w14:textId="77777777" w:rsidR="002F7820" w:rsidRDefault="002F7820" w:rsidP="002F7820">
      <w:r>
        <w:t>&lt;ESMA_QUESTION_MRGL_1&gt;</w:t>
      </w:r>
    </w:p>
    <w:p w14:paraId="471CB613" w14:textId="77777777" w:rsidR="002F7820" w:rsidRDefault="002F7820" w:rsidP="002F7820"/>
    <w:p w14:paraId="3381CFEB" w14:textId="77777777" w:rsidR="002F7820" w:rsidRDefault="002F7820" w:rsidP="002F7820">
      <w:pPr>
        <w:pStyle w:val="Questionstyle"/>
        <w:numPr>
          <w:ilvl w:val="0"/>
          <w:numId w:val="9"/>
        </w:numPr>
        <w:spacing w:after="250" w:line="276" w:lineRule="auto"/>
      </w:pPr>
      <w:r>
        <w:t xml:space="preserve">: </w:t>
      </w:r>
      <w:r w:rsidRPr="008E4D69">
        <w:t>Do you see other areas of interactions between MAR transparency and other supervisory frameworks where the same approach should be pursued</w:t>
      </w:r>
      <w:r w:rsidRPr="00391CB0">
        <w:t xml:space="preserve">? </w:t>
      </w:r>
    </w:p>
    <w:p w14:paraId="16123C1F" w14:textId="77777777" w:rsidR="002F7820" w:rsidRDefault="002F7820" w:rsidP="002F7820">
      <w:r>
        <w:t>&lt;ESMA_QUESTION_MRGL_2&gt;</w:t>
      </w:r>
    </w:p>
    <w:p w14:paraId="4DDC4D8A" w14:textId="77777777" w:rsidR="00013506" w:rsidRPr="00DC30EA" w:rsidRDefault="00013506" w:rsidP="00013506">
      <w:permStart w:id="624960948" w:edGrp="everyone"/>
      <w:r>
        <w:t xml:space="preserve">Another area of interactions between MAR transparency is the resolution of credit and financial institutions on the basis of the framework of a Single Resolution Mechanism and a Single Resultion Fund, SRMR and the </w:t>
      </w:r>
      <w:r w:rsidRPr="00DC30EA">
        <w:t>Bank Recovery and Re</w:t>
      </w:r>
      <w:r>
        <w:t xml:space="preserve">solution Directive, </w:t>
      </w:r>
      <w:r w:rsidRPr="00DC30EA">
        <w:t>BRRD</w:t>
      </w:r>
      <w:r>
        <w:t xml:space="preserve">. The SRM Regulation and the BRRD </w:t>
      </w:r>
      <w:r w:rsidRPr="00DC30EA">
        <w:t xml:space="preserve">give </w:t>
      </w:r>
      <w:r>
        <w:t xml:space="preserve">the relevant authorities </w:t>
      </w:r>
      <w:r w:rsidRPr="00DC30EA">
        <w:t xml:space="preserve">sweeping powers to take resolution action in respect of an institution once the resolution conditions have been met. In accordance with the provisions of the SRM Regulation and the </w:t>
      </w:r>
      <w:r>
        <w:t>BRRD</w:t>
      </w:r>
      <w:r w:rsidRPr="00DC30EA">
        <w:t>, "resolution" is understood as the use of resolution tools by a resolution authority to achieve one or more of the resolution objectives la</w:t>
      </w:r>
      <w:r>
        <w:t>id down in law (see Article 14(</w:t>
      </w:r>
      <w:r w:rsidRPr="00DC30EA">
        <w:t xml:space="preserve">2) of the SRM Resolution and </w:t>
      </w:r>
      <w:r>
        <w:t>Article 31(2) of the BRRD</w:t>
      </w:r>
      <w:r w:rsidRPr="00DC30EA">
        <w:t>).</w:t>
      </w:r>
      <w:r>
        <w:t xml:space="preserve"> </w:t>
      </w:r>
      <w:r w:rsidRPr="00DC30EA">
        <w:t xml:space="preserve">A key requirement for resolution action to be taken by the resolution authority in </w:t>
      </w:r>
      <w:r>
        <w:t xml:space="preserve">accordance with Article 18(1) SRMR and Article 32(1) BRRD </w:t>
      </w:r>
      <w:r w:rsidRPr="00DC30EA">
        <w:t>is the failure or likely failure of an institution (threat to its status as a going concern), to the extent this cannot be avoided by means of supervisory or private sector action, and that resolution is in the public interest. In principle, inside information may arise prior to and during resolution action.</w:t>
      </w:r>
      <w:r>
        <w:t xml:space="preserve"> </w:t>
      </w:r>
      <w:r w:rsidRPr="006347F4">
        <w:t>Measures taken by the resolution authority in the run-up to the issuing of a resolution order are of particular relevance to the possible creation of inside information and</w:t>
      </w:r>
      <w:r>
        <w:t xml:space="preserve"> its</w:t>
      </w:r>
      <w:r w:rsidRPr="006347F4">
        <w:t xml:space="preserve"> </w:t>
      </w:r>
      <w:r>
        <w:t>disclosure</w:t>
      </w:r>
      <w:r w:rsidRPr="006347F4">
        <w:t xml:space="preserve"> obligation</w:t>
      </w:r>
      <w:r>
        <w:t xml:space="preserve"> according to Art. 17 MAR</w:t>
      </w:r>
      <w:r w:rsidRPr="006347F4">
        <w:t xml:space="preserve">. </w:t>
      </w:r>
      <w:r w:rsidRPr="00DC30EA">
        <w:t>If there are mounting signs that an institution is facing a crisis situation, the conditions for deeming the institution failing or likely to fail are examined by the competent supervisory authority after consulting the resolution authority (standard procedure) or by the resolution authority after consulting the supervisory authority.</w:t>
      </w:r>
      <w:r w:rsidRPr="006347F4">
        <w:t xml:space="preserve"> </w:t>
      </w:r>
      <w:r w:rsidRPr="00DC30EA">
        <w:t xml:space="preserve">In accordance </w:t>
      </w:r>
      <w:r>
        <w:t xml:space="preserve">with </w:t>
      </w:r>
      <w:r w:rsidRPr="00DC30EA">
        <w:t>Arti</w:t>
      </w:r>
      <w:r>
        <w:t>cle 18(4) SRMR and Aricle 32(4) BRRD</w:t>
      </w:r>
      <w:r w:rsidRPr="00DC30EA">
        <w:t xml:space="preserve">, an institution is deemed failing or likely to fail if: </w:t>
      </w:r>
    </w:p>
    <w:p w14:paraId="17978159" w14:textId="77777777" w:rsidR="00013506" w:rsidRDefault="00013506" w:rsidP="00013506">
      <w:pPr>
        <w:numPr>
          <w:ilvl w:val="0"/>
          <w:numId w:val="31"/>
        </w:numPr>
        <w:spacing w:after="548" w:line="243" w:lineRule="auto"/>
        <w:ind w:left="0" w:right="2720"/>
        <w:jc w:val="both"/>
      </w:pPr>
      <w:r>
        <w:t xml:space="preserve">the institution infringes or there are objective elements to support a determination that the institution will, in the near future, infringe the requirements for continuing authorisation in a way that would justify the withdrawal of the authorisation by the competent authority including but not limited to because the institution has incurred or is likely to incur losses that will deplete all or a significant amount of its own funds; </w:t>
      </w:r>
    </w:p>
    <w:p w14:paraId="2A4A017C" w14:textId="77777777" w:rsidR="00013506" w:rsidRDefault="00013506" w:rsidP="00013506">
      <w:pPr>
        <w:numPr>
          <w:ilvl w:val="0"/>
          <w:numId w:val="31"/>
        </w:numPr>
        <w:spacing w:after="547" w:line="243" w:lineRule="auto"/>
        <w:ind w:left="0" w:right="2720"/>
        <w:jc w:val="both"/>
      </w:pPr>
      <w:r>
        <w:t xml:space="preserve">the assets of the institution are or there are objective elements to support a determination that the assets of the institution will, in the near future, be less than its liabilities; </w:t>
      </w:r>
    </w:p>
    <w:p w14:paraId="7427B6D4" w14:textId="77777777" w:rsidR="00013506" w:rsidRDefault="00013506" w:rsidP="00013506">
      <w:pPr>
        <w:numPr>
          <w:ilvl w:val="0"/>
          <w:numId w:val="31"/>
        </w:numPr>
        <w:spacing w:after="549" w:line="243" w:lineRule="auto"/>
        <w:ind w:left="0" w:right="2720"/>
        <w:jc w:val="both"/>
      </w:pPr>
      <w:r>
        <w:t xml:space="preserve">the institution is or there are objective elements to support a determination that the institution will, in the near future, be unable to pay its debts or other liabilities as they fall due; </w:t>
      </w:r>
    </w:p>
    <w:p w14:paraId="329DD97A" w14:textId="77777777" w:rsidR="00013506" w:rsidRPr="00334300" w:rsidRDefault="00013506" w:rsidP="00013506">
      <w:r w:rsidRPr="00DC30EA">
        <w:t xml:space="preserve"> The </w:t>
      </w:r>
      <w:r w:rsidRPr="006347F4">
        <w:t>specific circumstances and/or the underlying events on the part of the institution that have caused a significant deterioration in its financial position or violation of requirements relevant to its authorisation and thus could potentially contribute to its failure or likely failure and the possibility of resolution generally c</w:t>
      </w:r>
      <w:r>
        <w:t>o</w:t>
      </w:r>
      <w:r w:rsidRPr="006347F4">
        <w:t>nstitute inside information subject to an disclosure obligation</w:t>
      </w:r>
      <w:r>
        <w:t xml:space="preserve"> according to Art. 17 MAR</w:t>
      </w:r>
      <w:r w:rsidRPr="006347F4">
        <w:t>.</w:t>
      </w:r>
      <w:r w:rsidRPr="003352BC">
        <w:rPr>
          <w:highlight w:val="yellow"/>
        </w:rPr>
        <w:t xml:space="preserve"> </w:t>
      </w:r>
      <w:r w:rsidRPr="00334300">
        <w:t>In such a situation the competent authorities are very often trying to save the institution and avoid winding-up through either supervisory measures or the injection of new capital by private third parties (alternative measures). A disclosure by the senior management of specific information that would drive markets to anticipate the institution could be failing or likely to fail at this stage could undermine the success of these efforts by market reactions. If, on the other hand, the planned rescue measures are successful and the institution does not need to be liquidated or resolution actions can be avoided, the entity survives and the total loss (or at least a significant loss) of shareholders equity is prevented.</w:t>
      </w:r>
    </w:p>
    <w:p w14:paraId="6CACFDE7" w14:textId="77777777" w:rsidR="00013506" w:rsidRPr="00DC30EA" w:rsidRDefault="00013506" w:rsidP="00013506">
      <w:r w:rsidRPr="00334300">
        <w:t>However, the economic situation of the company and the interests of its shareholders and creditors may also be affected by publication in the immediate period prior to taking resolution measures.</w:t>
      </w:r>
      <w:r w:rsidRPr="00334300" w:rsidDel="009D64ED">
        <w:t xml:space="preserve"> </w:t>
      </w:r>
      <w:r w:rsidRPr="00334300">
        <w:t>T</w:t>
      </w:r>
      <w:r w:rsidRPr="00B3302A">
        <w:t>he central objective of the resolution is to maintain critical functions of the institution/entity and thus to continue at least parts of the entity. Publication before the decision is notified by the resolution authority jeopardises the achievement of the objective. In addition, not every action of a resolution authority in the crisis of an institution/entity must lead to resolution. If the resolution authority, after examining the facts, decides not to wind up the institution/entity, for example because financial support is provided in the short term by the parent undertaking or by private third parties, publication of the issuer before a decision of the resolution authority would in principle be likely to aggravate the crisis situation and the intended rescue operation could not be successful.</w:t>
      </w:r>
      <w:r w:rsidRPr="00226D8A">
        <w:t xml:space="preserve"> </w:t>
      </w:r>
      <w:r w:rsidRPr="00D3396E">
        <w:t xml:space="preserve">Therefore, </w:t>
      </w:r>
      <w:r>
        <w:t xml:space="preserve">in case of </w:t>
      </w:r>
      <w:r w:rsidRPr="00D3396E">
        <w:t xml:space="preserve">pending disclosure of the resolution order </w:t>
      </w:r>
      <w:r>
        <w:t>by the resolution authority, the immediate disclosure is likely to prejudice the l</w:t>
      </w:r>
      <w:r w:rsidRPr="00226D8A">
        <w:t>egitimate int</w:t>
      </w:r>
      <w:r>
        <w:t>erest of the institution/entity.</w:t>
      </w:r>
    </w:p>
    <w:permEnd w:id="624960948"/>
    <w:p w14:paraId="131D4D15" w14:textId="77777777" w:rsidR="002F7820" w:rsidRDefault="002F7820" w:rsidP="002F7820">
      <w:r>
        <w:t>&lt;ESMA_QUESTION_MRGL_2&gt;</w:t>
      </w:r>
    </w:p>
    <w:p w14:paraId="6622EAC1" w14:textId="77777777" w:rsidR="002F7820" w:rsidRDefault="002F7820" w:rsidP="002F7820"/>
    <w:p w14:paraId="6494DCEE" w14:textId="77777777" w:rsidR="002F7820" w:rsidRDefault="002F7820" w:rsidP="002F7820">
      <w:pPr>
        <w:pStyle w:val="Questionstyle"/>
        <w:numPr>
          <w:ilvl w:val="0"/>
          <w:numId w:val="9"/>
        </w:numPr>
        <w:spacing w:after="250" w:line="276" w:lineRule="auto"/>
      </w:pPr>
      <w:r>
        <w:t xml:space="preserve">: </w:t>
      </w:r>
      <w:r w:rsidRPr="00391CB0">
        <w:t xml:space="preserve"> </w:t>
      </w:r>
      <w:r w:rsidRPr="008E4D69">
        <w:t>Do you agree with the proposed amendment to the MAR Guidelines in relation to draft SREP decisions and preliminary information related thereto</w:t>
      </w:r>
      <w:r>
        <w:t>?</w:t>
      </w:r>
    </w:p>
    <w:p w14:paraId="3DEC891A" w14:textId="77777777" w:rsidR="002F7820" w:rsidRDefault="002F7820" w:rsidP="002F7820">
      <w:r>
        <w:t>&lt;ESMA_QUESTION_MRGL_3&gt;</w:t>
      </w:r>
    </w:p>
    <w:p w14:paraId="365480D7" w14:textId="77777777" w:rsidR="002F7820" w:rsidRDefault="002F7820" w:rsidP="002F7820">
      <w:permStart w:id="745096277" w:edGrp="everyone"/>
      <w:r>
        <w:t>TYPE YOUR TEXT HERE</w:t>
      </w:r>
    </w:p>
    <w:permEnd w:id="745096277"/>
    <w:p w14:paraId="62DF7C23" w14:textId="77777777" w:rsidR="002F7820" w:rsidRDefault="002F7820" w:rsidP="002F7820">
      <w:r>
        <w:t>&lt;ESMA_QUESTION_MRGL_3&gt;</w:t>
      </w:r>
    </w:p>
    <w:p w14:paraId="32AA4839" w14:textId="77777777" w:rsidR="002F7820" w:rsidRDefault="002F7820" w:rsidP="002F7820"/>
    <w:p w14:paraId="49A16FB3" w14:textId="77777777" w:rsidR="002F7820" w:rsidRDefault="002F7820" w:rsidP="002F7820">
      <w:pPr>
        <w:pStyle w:val="Questionstyle"/>
        <w:numPr>
          <w:ilvl w:val="0"/>
          <w:numId w:val="9"/>
        </w:numPr>
        <w:spacing w:after="250" w:line="276" w:lineRule="auto"/>
      </w:pPr>
      <w:r>
        <w:t xml:space="preserve">: </w:t>
      </w:r>
      <w:r w:rsidRPr="008E4D69">
        <w:t>Do you agree with the proposed amendments to the MAR Guidelines in relation to P2R</w:t>
      </w:r>
      <w:r w:rsidRPr="00374876">
        <w:t>?</w:t>
      </w:r>
    </w:p>
    <w:p w14:paraId="5146FA52" w14:textId="77777777" w:rsidR="002F7820" w:rsidRDefault="002F7820" w:rsidP="002F7820">
      <w:r>
        <w:t>&lt;ESMA_QUESTION_MRGL_4&gt;</w:t>
      </w:r>
    </w:p>
    <w:p w14:paraId="2AFE02E4" w14:textId="77777777" w:rsidR="002F7820" w:rsidRDefault="002F7820" w:rsidP="002F7820">
      <w:permStart w:id="350290824" w:edGrp="everyone"/>
      <w:r>
        <w:t>TYPE YOUR TEXT HERE</w:t>
      </w:r>
    </w:p>
    <w:permEnd w:id="350290824"/>
    <w:p w14:paraId="6DC1BC44" w14:textId="77777777" w:rsidR="002F7820" w:rsidRDefault="002F7820" w:rsidP="002F7820">
      <w:r>
        <w:t>&lt;ESMA_QUESTION_MRGL_4&gt;</w:t>
      </w:r>
    </w:p>
    <w:p w14:paraId="3C607BEF" w14:textId="77777777" w:rsidR="002F7820" w:rsidRDefault="002F7820" w:rsidP="002F7820"/>
    <w:p w14:paraId="5C7F43C8" w14:textId="77777777" w:rsidR="002F7820" w:rsidRDefault="002F7820" w:rsidP="002F7820">
      <w:pPr>
        <w:pStyle w:val="Questionstyle"/>
        <w:numPr>
          <w:ilvl w:val="0"/>
          <w:numId w:val="9"/>
        </w:numPr>
        <w:spacing w:after="250" w:line="276" w:lineRule="auto"/>
      </w:pPr>
      <w:r>
        <w:t xml:space="preserve">: </w:t>
      </w:r>
      <w:r w:rsidRPr="008E4D69">
        <w:t>Do you agree with the proposed amendments to the MAR Guidelines in relation to P2G?</w:t>
      </w:r>
    </w:p>
    <w:p w14:paraId="19584632" w14:textId="77777777" w:rsidR="002F7820" w:rsidRDefault="002F7820" w:rsidP="002F7820">
      <w:r>
        <w:t>&lt;ESMA_QUESTION_MRGL_5&gt;</w:t>
      </w:r>
    </w:p>
    <w:p w14:paraId="6A89AD46" w14:textId="77777777" w:rsidR="002F7820" w:rsidRDefault="002F7820" w:rsidP="002F7820">
      <w:permStart w:id="1608137607" w:edGrp="everyone"/>
      <w:r>
        <w:t>TYPE YOUR TEXT HERE</w:t>
      </w:r>
    </w:p>
    <w:permEnd w:id="1608137607"/>
    <w:p w14:paraId="3EC950B7" w14:textId="77777777" w:rsidR="002F7820" w:rsidRDefault="002F7820" w:rsidP="002F7820">
      <w:r>
        <w:t>&lt;ESMA_QUESTION_MRGL_5&gt;</w:t>
      </w:r>
    </w:p>
    <w:p w14:paraId="4C2A40BD" w14:textId="77777777" w:rsidR="002F7820" w:rsidRDefault="002F7820" w:rsidP="002F7820"/>
    <w:p w14:paraId="0C027EB6" w14:textId="77777777" w:rsidR="002F7820" w:rsidRDefault="002F7820" w:rsidP="002F7820">
      <w:pPr>
        <w:pStyle w:val="Questionstyle"/>
        <w:numPr>
          <w:ilvl w:val="0"/>
          <w:numId w:val="9"/>
        </w:numPr>
        <w:spacing w:after="250" w:line="276" w:lineRule="auto"/>
      </w:pPr>
      <w:r>
        <w:t xml:space="preserve">: </w:t>
      </w:r>
      <w:r w:rsidRPr="00A16220">
        <w:t>With regard to the examples listed in paragraph 130, do you agree with the examples when P2G may not be price sensitive, and do you consider it useful to list these examples in the MAR Guidelines?</w:t>
      </w:r>
      <w:r w:rsidRPr="008E4D69">
        <w:t xml:space="preserve"> </w:t>
      </w:r>
    </w:p>
    <w:p w14:paraId="56C3BCBF" w14:textId="77777777" w:rsidR="002F7820" w:rsidRDefault="002F7820" w:rsidP="002F7820">
      <w:r>
        <w:t>&lt;ESMA_QUESTION_MRGL_6&gt;</w:t>
      </w:r>
    </w:p>
    <w:p w14:paraId="2E2CC0CE" w14:textId="77777777" w:rsidR="002F7820" w:rsidRDefault="002F7820" w:rsidP="002F7820">
      <w:permStart w:id="1344172401" w:edGrp="everyone"/>
      <w:r>
        <w:t>TYPE YOUR TEXT HERE</w:t>
      </w:r>
    </w:p>
    <w:permEnd w:id="1344172401"/>
    <w:p w14:paraId="05ED7B60" w14:textId="77777777" w:rsidR="002F7820" w:rsidRDefault="002F7820" w:rsidP="002F7820">
      <w:r>
        <w:t>&lt;ESMA_QUESTION_MRGL_6&gt;</w:t>
      </w:r>
    </w:p>
    <w:p w14:paraId="02A2D1DE" w14:textId="77777777" w:rsidR="002F7820" w:rsidRDefault="002F7820" w:rsidP="002F7820"/>
    <w:p w14:paraId="3B59E9C5" w14:textId="77777777" w:rsidR="002F7820" w:rsidRDefault="002F7820" w:rsidP="002F7820">
      <w:pPr>
        <w:pStyle w:val="Questionstyle"/>
        <w:numPr>
          <w:ilvl w:val="0"/>
          <w:numId w:val="9"/>
        </w:numPr>
        <w:spacing w:after="250" w:line="276" w:lineRule="auto"/>
      </w:pPr>
      <w:r>
        <w:t xml:space="preserve">: </w:t>
      </w:r>
      <w:r w:rsidRPr="00A16220">
        <w:t>Do you see other cases where P2G may not be price sensitive?</w:t>
      </w:r>
      <w:r>
        <w:t xml:space="preserve"> </w:t>
      </w:r>
    </w:p>
    <w:p w14:paraId="036A0649" w14:textId="77777777" w:rsidR="002F7820" w:rsidRDefault="002F7820" w:rsidP="002F7820">
      <w:r>
        <w:t>&lt;ESMA_QUESTION_MRGL_7&gt;</w:t>
      </w:r>
    </w:p>
    <w:p w14:paraId="157FCF3A" w14:textId="77777777" w:rsidR="002F7820" w:rsidRDefault="002F7820" w:rsidP="002F7820">
      <w:permStart w:id="1014058407" w:edGrp="everyone"/>
      <w:r>
        <w:t>TYPE YOUR TEXT HERE</w:t>
      </w:r>
    </w:p>
    <w:permEnd w:id="1014058407"/>
    <w:p w14:paraId="633D9A17" w14:textId="77777777" w:rsidR="002F7820" w:rsidRDefault="002F7820" w:rsidP="002F7820">
      <w:r>
        <w:t>&lt;ESMA_QUESTION_MRGL_7&gt;</w:t>
      </w:r>
    </w:p>
    <w:p w14:paraId="4D4D6322" w14:textId="77777777" w:rsidR="002F7820" w:rsidRDefault="002F7820" w:rsidP="002F7820"/>
    <w:p w14:paraId="2CE0F614" w14:textId="77777777" w:rsidR="002F7820" w:rsidRDefault="002F7820" w:rsidP="002F7820">
      <w:pPr>
        <w:pStyle w:val="Questionstyle"/>
        <w:numPr>
          <w:ilvl w:val="0"/>
          <w:numId w:val="9"/>
        </w:numPr>
        <w:spacing w:after="250" w:line="276" w:lineRule="auto"/>
      </w:pPr>
      <w:r>
        <w:t xml:space="preserve">: </w:t>
      </w:r>
      <w:r w:rsidRPr="00A16220">
        <w:t>Do you agree with the proposed approach in relation to other supervisory measures?</w:t>
      </w:r>
      <w:r w:rsidRPr="008E4D69">
        <w:t xml:space="preserve"> </w:t>
      </w:r>
    </w:p>
    <w:p w14:paraId="4D4D383A" w14:textId="77777777" w:rsidR="002F7820" w:rsidRDefault="002F7820" w:rsidP="002F7820">
      <w:r>
        <w:t>&lt;ESMA_QUESTION_MRGL_8&gt;</w:t>
      </w:r>
    </w:p>
    <w:p w14:paraId="2672F68B" w14:textId="77777777" w:rsidR="002F7820" w:rsidRDefault="002F7820" w:rsidP="002F7820">
      <w:permStart w:id="1164142904" w:edGrp="everyone"/>
      <w:r>
        <w:t>TYPE YOUR TEXT HERE</w:t>
      </w:r>
    </w:p>
    <w:permEnd w:id="1164142904"/>
    <w:p w14:paraId="2368F46F" w14:textId="77777777" w:rsidR="002F7820" w:rsidRDefault="002F7820" w:rsidP="002F7820">
      <w:r>
        <w:t>&lt;ESMA_QUESTION_MRGL_8&gt;</w:t>
      </w:r>
    </w:p>
    <w:p w14:paraId="0C761A2C" w14:textId="77777777" w:rsidR="002F7820" w:rsidRDefault="002F7820" w:rsidP="002F7820"/>
    <w:p w14:paraId="29D6C747" w14:textId="77777777" w:rsidR="002F7820" w:rsidRDefault="002F7820" w:rsidP="002F7820">
      <w:pPr>
        <w:pStyle w:val="Questionstyle"/>
        <w:numPr>
          <w:ilvl w:val="0"/>
          <w:numId w:val="9"/>
        </w:numPr>
        <w:spacing w:after="250" w:line="276" w:lineRule="auto"/>
      </w:pPr>
      <w:r>
        <w:t xml:space="preserve">: </w:t>
      </w:r>
      <w:r w:rsidRPr="00A16220">
        <w:t>Do you see any other element that ESMA should consider in a potential amendment to its MAR Guidelines?</w:t>
      </w:r>
    </w:p>
    <w:p w14:paraId="2FA7B899" w14:textId="77777777" w:rsidR="002F7820" w:rsidRDefault="002F7820" w:rsidP="002F7820">
      <w:r>
        <w:t>&lt;ESMA_QUESTION_MRGL_9&gt;</w:t>
      </w:r>
    </w:p>
    <w:p w14:paraId="50619C33" w14:textId="77777777" w:rsidR="002F7820" w:rsidRDefault="002F7820" w:rsidP="002F7820">
      <w:permStart w:id="802038503" w:edGrp="everyone"/>
      <w:r>
        <w:t>TYPE YOUR TEXT HERE</w:t>
      </w:r>
    </w:p>
    <w:permEnd w:id="802038503"/>
    <w:p w14:paraId="4BB22978" w14:textId="77777777" w:rsidR="002F7820" w:rsidRDefault="002F7820" w:rsidP="002F7820">
      <w:r>
        <w:t>&lt;ESMA_QUESTION_MRGL_9&gt;</w:t>
      </w:r>
    </w:p>
    <w:p w14:paraId="0CEDAB60" w14:textId="77777777" w:rsidR="002F7820" w:rsidRDefault="002F7820" w:rsidP="002F7820"/>
    <w:p w14:paraId="14D43FFE" w14:textId="77777777" w:rsidR="002F7820" w:rsidRDefault="002F7820" w:rsidP="002F7820"/>
    <w:p w14:paraId="3AABEE7A" w14:textId="0D5ADE86" w:rsidR="009835AD" w:rsidRDefault="009835AD">
      <w:pPr>
        <w:spacing w:after="120" w:line="264" w:lineRule="auto"/>
        <w:rPr>
          <w:rFonts w:asciiTheme="minorHAnsi" w:hAnsiTheme="minorHAnsi" w:cstheme="minorHAnsi"/>
          <w:b/>
          <w:sz w:val="22"/>
          <w:szCs w:val="22"/>
        </w:rPr>
      </w:pPr>
    </w:p>
    <w:bookmarkEnd w:id="0"/>
    <w:sectPr w:rsidR="009835AD" w:rsidSect="00C85C8B">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EEF1B" w14:textId="77777777" w:rsidR="00133436" w:rsidRDefault="00133436" w:rsidP="007E7997">
      <w:r>
        <w:separator/>
      </w:r>
    </w:p>
  </w:endnote>
  <w:endnote w:type="continuationSeparator" w:id="0">
    <w:p w14:paraId="05F00CC6" w14:textId="77777777" w:rsidR="00133436" w:rsidRDefault="00133436" w:rsidP="007E7997">
      <w:r>
        <w:continuationSeparator/>
      </w:r>
    </w:p>
  </w:endnote>
  <w:endnote w:type="continuationNotice" w:id="1">
    <w:p w14:paraId="19C25886" w14:textId="77777777" w:rsidR="00133436" w:rsidRDefault="00133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5C40CFB2"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5B4BE0">
      <w:rPr>
        <w:rFonts w:asciiTheme="majorHAnsi" w:hAnsiTheme="majorHAnsi"/>
        <w:color w:val="FFFFFF" w:themeColor="background1"/>
      </w:rPr>
      <w:t>12 July</w:t>
    </w:r>
    <w:r w:rsidR="00AB6157">
      <w:rPr>
        <w:rFonts w:asciiTheme="majorHAnsi" w:hAnsiTheme="majorHAnsi"/>
        <w:color w:val="FFFFFF" w:themeColor="background1"/>
      </w:rPr>
      <w:t xml:space="preserve"> </w:t>
    </w:r>
    <w:r w:rsidR="00AB6157" w:rsidRPr="005B4BE0">
      <w:rPr>
        <w:rFonts w:asciiTheme="majorHAnsi" w:hAnsiTheme="majorHAnsi"/>
        <w:color w:val="FFFFFF" w:themeColor="background1"/>
      </w:rPr>
      <w:t>20</w:t>
    </w:r>
    <w:r w:rsidR="006B391B" w:rsidRPr="005B4BE0">
      <w:rPr>
        <w:rFonts w:asciiTheme="majorHAnsi" w:hAnsiTheme="majorHAnsi"/>
        <w:color w:val="FFFFFF" w:themeColor="background1"/>
      </w:rPr>
      <w:t>21</w:t>
    </w:r>
    <w:r w:rsidR="00FF6930" w:rsidRPr="005B4BE0">
      <w:rPr>
        <w:rFonts w:asciiTheme="majorHAnsi" w:hAnsiTheme="majorHAnsi"/>
        <w:color w:val="FFFFFF" w:themeColor="background1"/>
      </w:rPr>
      <w:t xml:space="preserve"> </w:t>
    </w:r>
    <w:r w:rsidR="006B391B" w:rsidRPr="005B4BE0">
      <w:rPr>
        <w:rFonts w:asciiTheme="majorHAnsi" w:hAnsiTheme="majorHAnsi"/>
        <w:color w:val="FFFFFF" w:themeColor="background1"/>
      </w:rPr>
      <w:t xml:space="preserve">| </w:t>
    </w:r>
    <w:hyperlink r:id="rId1" w:tgtFrame="_blank" w:history="1">
      <w:r w:rsidR="006B391B" w:rsidRPr="005B4BE0">
        <w:rPr>
          <w:rFonts w:asciiTheme="majorHAnsi" w:hAnsiTheme="majorHAnsi"/>
          <w:color w:val="FFFFFF" w:themeColor="background1"/>
        </w:rPr>
        <w:t>ESMA</w:t>
      </w:r>
    </w:hyperlink>
    <w:r w:rsidR="000D106E">
      <w:rPr>
        <w:rFonts w:asciiTheme="majorHAnsi" w:hAnsiTheme="majorHAnsi"/>
        <w:color w:val="FFFFFF" w:themeColor="background1"/>
      </w:rPr>
      <w:t>70-156-4731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5C545EB8" w:rsidR="00E36813" w:rsidRDefault="00E36813">
        <w:pPr>
          <w:pStyle w:val="Fuzeile"/>
          <w:jc w:val="center"/>
        </w:pPr>
        <w:r>
          <w:fldChar w:fldCharType="begin"/>
        </w:r>
        <w:r>
          <w:instrText xml:space="preserve"> PAGE   \* MERGEFORMAT </w:instrText>
        </w:r>
        <w:r>
          <w:fldChar w:fldCharType="separate"/>
        </w:r>
        <w:r w:rsidR="00013506">
          <w:rPr>
            <w:noProof/>
          </w:rPr>
          <w:t>6</w:t>
        </w:r>
        <w:r>
          <w:rPr>
            <w:noProof/>
          </w:rPr>
          <w:fldChar w:fldCharType="end"/>
        </w:r>
      </w:p>
    </w:sdtContent>
  </w:sdt>
  <w:p w14:paraId="5EAB6EC7" w14:textId="1F85019A" w:rsidR="00E36813" w:rsidRDefault="00E36813" w:rsidP="00FB24ED">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DCED0" w14:textId="77777777" w:rsidR="00133436" w:rsidRDefault="00133436" w:rsidP="007E7997">
      <w:r>
        <w:separator/>
      </w:r>
    </w:p>
  </w:footnote>
  <w:footnote w:type="continuationSeparator" w:id="0">
    <w:p w14:paraId="62F2473D" w14:textId="77777777" w:rsidR="00133436" w:rsidRDefault="00133436" w:rsidP="007E7997">
      <w:r>
        <w:continuationSeparator/>
      </w:r>
    </w:p>
  </w:footnote>
  <w:footnote w:type="continuationNotice" w:id="1">
    <w:p w14:paraId="3EA1E851" w14:textId="77777777" w:rsidR="00133436" w:rsidRDefault="001334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35" w14:textId="77777777" w:rsidR="00E36813" w:rsidRDefault="00E36813">
    <w:pPr>
      <w:pStyle w:val="Kopfzeile"/>
    </w:pPr>
    <w:r>
      <w:rPr>
        <w:noProof/>
        <w:lang w:val="de-DE" w:eastAsia="de-DE"/>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5E62980F" w:rsidR="00E36813" w:rsidRDefault="00E36813" w:rsidP="00B50534">
    <w:pPr>
      <w:pStyle w:val="Kopfzeile"/>
      <w:jc w:val="right"/>
      <w:rPr>
        <w:b/>
        <w:color w:val="FF0000"/>
      </w:rPr>
    </w:pPr>
    <w:r w:rsidRPr="008D5F86">
      <w:rPr>
        <w:rFonts w:ascii="Arial" w:hAnsi="Arial" w:cs="Arial"/>
        <w:noProof/>
        <w:lang w:val="de-DE" w:eastAsia="de-DE"/>
      </w:rPr>
      <mc:AlternateContent>
        <mc:Choice Requires="wps">
          <w:drawing>
            <wp:anchor distT="0" distB="0" distL="114300" distR="114300" simplePos="0" relativeHeight="251662336"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802F667" id="Line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1E4219F2" w:rsidR="00E36813" w:rsidRPr="00D13661" w:rsidRDefault="00E36813"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de-DE" w:eastAsia="de-DE"/>
      </w:rPr>
      <w:drawing>
        <wp:anchor distT="0" distB="0" distL="114300" distR="114300" simplePos="0" relativeHeight="251657216"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0A2D3D"/>
    <w:multiLevelType w:val="hybridMultilevel"/>
    <w:tmpl w:val="505EBA60"/>
    <w:lvl w:ilvl="0" w:tplc="966A0BF0">
      <w:start w:val="1"/>
      <w:numFmt w:val="lowerLetter"/>
      <w:lvlText w:val="(%1)"/>
      <w:lvlJc w:val="left"/>
      <w:pPr>
        <w:ind w:left="969"/>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1" w:tplc="460E030A">
      <w:start w:val="1"/>
      <w:numFmt w:val="lowerRoman"/>
      <w:lvlText w:val="(%2)"/>
      <w:lvlJc w:val="left"/>
      <w:pPr>
        <w:ind w:left="1412"/>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2" w:tplc="031E104E">
      <w:start w:val="1"/>
      <w:numFmt w:val="lowerRoman"/>
      <w:lvlText w:val="%3"/>
      <w:lvlJc w:val="left"/>
      <w:pPr>
        <w:ind w:left="1449"/>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3" w:tplc="C3B221E6">
      <w:start w:val="1"/>
      <w:numFmt w:val="decimal"/>
      <w:lvlText w:val="%4"/>
      <w:lvlJc w:val="left"/>
      <w:pPr>
        <w:ind w:left="2169"/>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4" w:tplc="F5C04DB2">
      <w:start w:val="1"/>
      <w:numFmt w:val="lowerLetter"/>
      <w:lvlText w:val="%5"/>
      <w:lvlJc w:val="left"/>
      <w:pPr>
        <w:ind w:left="2889"/>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5" w:tplc="0436F9A4">
      <w:start w:val="1"/>
      <w:numFmt w:val="lowerRoman"/>
      <w:lvlText w:val="%6"/>
      <w:lvlJc w:val="left"/>
      <w:pPr>
        <w:ind w:left="3609"/>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6" w:tplc="A852BC96">
      <w:start w:val="1"/>
      <w:numFmt w:val="decimal"/>
      <w:lvlText w:val="%7"/>
      <w:lvlJc w:val="left"/>
      <w:pPr>
        <w:ind w:left="4329"/>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7" w:tplc="3E76A7C6">
      <w:start w:val="1"/>
      <w:numFmt w:val="lowerLetter"/>
      <w:lvlText w:val="%8"/>
      <w:lvlJc w:val="left"/>
      <w:pPr>
        <w:ind w:left="5049"/>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8" w:tplc="005E8D34">
      <w:start w:val="1"/>
      <w:numFmt w:val="lowerRoman"/>
      <w:lvlText w:val="%9"/>
      <w:lvlJc w:val="left"/>
      <w:pPr>
        <w:ind w:left="5769"/>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BA944B8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3"/>
  </w:num>
  <w:num w:numId="3">
    <w:abstractNumId w:val="22"/>
  </w:num>
  <w:num w:numId="4">
    <w:abstractNumId w:val="4"/>
  </w:num>
  <w:num w:numId="5">
    <w:abstractNumId w:val="13"/>
  </w:num>
  <w:num w:numId="6">
    <w:abstractNumId w:val="24"/>
  </w:num>
  <w:num w:numId="7">
    <w:abstractNumId w:val="12"/>
  </w:num>
  <w:num w:numId="8">
    <w:abstractNumId w:val="6"/>
  </w:num>
  <w:num w:numId="9">
    <w:abstractNumId w:val="9"/>
  </w:num>
  <w:num w:numId="10">
    <w:abstractNumId w:val="8"/>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9"/>
  </w:num>
  <w:num w:numId="16">
    <w:abstractNumId w:val="2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4"/>
  </w:num>
  <w:num w:numId="20">
    <w:abstractNumId w:val="11"/>
  </w:num>
  <w:num w:numId="21">
    <w:abstractNumId w:val="21"/>
  </w:num>
  <w:num w:numId="22">
    <w:abstractNumId w:val="14"/>
  </w:num>
  <w:num w:numId="23">
    <w:abstractNumId w:val="18"/>
  </w:num>
  <w:num w:numId="24">
    <w:abstractNumId w:val="0"/>
  </w:num>
  <w:num w:numId="25">
    <w:abstractNumId w:val="17"/>
  </w:num>
  <w:num w:numId="26">
    <w:abstractNumId w:val="15"/>
  </w:num>
  <w:num w:numId="27">
    <w:abstractNumId w:val="10"/>
  </w:num>
  <w:num w:numId="28">
    <w:abstractNumId w:val="1"/>
  </w:num>
  <w:num w:numId="29">
    <w:abstractNumId w:val="16"/>
  </w:num>
  <w:num w:numId="30">
    <w:abstractNumId w:val="5"/>
  </w:num>
  <w:num w:numId="3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attachedTemplate r:id="rId1"/>
  <w:documentProtection w:edit="readOnly" w:enforcement="1" w:cryptProviderType="rsaAES" w:cryptAlgorithmClass="hash" w:cryptAlgorithmType="typeAny" w:cryptAlgorithmSid="14" w:cryptSpinCount="100000" w:hash="qQdH4Pb2CtX4m1BgLKBgD5ll8+Z1ORROWEGwXemejbY7TwkWlf8hN7w0WjFs4kyquq65AHBhrnWnKMPSy5KV2g==" w:salt="sdzSjd5354Xhd3LDW1rsNg=="/>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1F6C"/>
    <w:rsid w:val="0001249B"/>
    <w:rsid w:val="00012D68"/>
    <w:rsid w:val="00013506"/>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06E"/>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3436"/>
    <w:rsid w:val="001355E6"/>
    <w:rsid w:val="0013644A"/>
    <w:rsid w:val="00140BA6"/>
    <w:rsid w:val="00141946"/>
    <w:rsid w:val="00143CC7"/>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702"/>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2F7820"/>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3C4B"/>
    <w:rsid w:val="003545A6"/>
    <w:rsid w:val="00356C60"/>
    <w:rsid w:val="003578D1"/>
    <w:rsid w:val="00363639"/>
    <w:rsid w:val="00366D42"/>
    <w:rsid w:val="0036748C"/>
    <w:rsid w:val="00372615"/>
    <w:rsid w:val="00372EA3"/>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152"/>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4BE0"/>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370F"/>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1733"/>
    <w:rsid w:val="006F53E8"/>
    <w:rsid w:val="006F5FB8"/>
    <w:rsid w:val="0070017B"/>
    <w:rsid w:val="0070098E"/>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794"/>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65DB6"/>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5B4BE0"/>
    <w:pPr>
      <w:contextualSpacing/>
      <w:jc w:val="both"/>
    </w:pPr>
    <w:rPr>
      <w:rFonts w:asciiTheme="minorHAnsi" w:hAnsiTheme="minorHAnsi" w:cstheme="minorHAnsi"/>
      <w:b/>
      <w:bCs/>
      <w:sz w:val="22"/>
      <w:szCs w:val="22"/>
    </w:rPr>
  </w:style>
  <w:style w:type="character" w:customStyle="1" w:styleId="QuestionstyleChar">
    <w:name w:val="Question style Char"/>
    <w:basedOn w:val="Absatz-Standardschriftart"/>
    <w:link w:val="Questionstyle"/>
    <w:rsid w:val="005B4BE0"/>
    <w:rPr>
      <w:rFonts w:eastAsia="Times New Roman" w:cstheme="minorHAnsi"/>
      <w:b/>
      <w:bCs/>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ESMA70-156-4731</_dlc_DocId>
    <TaxCatchAll xmlns="20fbe147-bbda-4e53-b6b1-7e8bbff3fe19">
      <Value>503</Value>
      <Value>5</Value>
      <Value>14</Value>
      <Value>12</Value>
    </TaxCatchAll>
    <_dlc_DocIdUrl xmlns="20fbe147-bbda-4e53-b6b1-7e8bbff3fe19">
      <Url>https://sherpa.esma.europa.eu/sites/MKT/SMK/_layouts/15/DocIdRedir.aspx?ID=ESMA70-156-4731</Url>
      <Description>ESMA70-156-4731</Description>
    </_dlc_DocIdUrl>
    <Year xmlns="20fbe147-bbda-4e53-b6b1-7e8bbff3fe19">2019</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documentManagement>
</p:propertie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60d58daf62131746c3ac1b9b4e2bb79e">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784e366caaeed31c75d3039e996262f4"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purl.org/dc/terms/"/>
    <ds:schemaRef ds:uri="http://schemas.microsoft.com/sharepoint/v3"/>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http://schemas.microsoft.com/sharepoint/v4"/>
    <ds:schemaRef ds:uri="20fbe147-bbda-4e53-b6b1-7e8bbff3fe19"/>
  </ds:schemaRefs>
</ds:datastoreItem>
</file>

<file path=customXml/itemProps2.xml><?xml version="1.0" encoding="utf-8"?>
<ds:datastoreItem xmlns:ds="http://schemas.openxmlformats.org/officeDocument/2006/customXml" ds:itemID="{DA66DDF4-AF59-4802-B20A-1D51C1856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B8EE9F4F-3C42-4502-A7DE-F617BEF23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7</Pages>
  <Words>1403</Words>
  <Characters>8846</Characters>
  <Application>Microsoft Office Word</Application>
  <DocSecurity>8</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BaFin</cp:lastModifiedBy>
  <cp:revision>3</cp:revision>
  <cp:lastPrinted>2021-07-20T09:34:00Z</cp:lastPrinted>
  <dcterms:created xsi:type="dcterms:W3CDTF">2021-07-20T09:35:00Z</dcterms:created>
  <dcterms:modified xsi:type="dcterms:W3CDTF">2021-08-25T10:53:00Z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0x01010001BD15C3986B91498E0AE644B715B9EE010D00757D222C6B0DA241B5F74437644107D4</vt:lpwstr>
  </property>
  <property fmtid="{D5CDD505-2E9C-101B-9397-08002B2CF9AE}" pid="5" name="_dlc_DocIdItemGuid">
    <vt:lpwstr>42996dc2-fe45-4333-9dc4-b81c5ad0916a</vt:lpwstr>
  </property>
  <property fmtid="{D5CDD505-2E9C-101B-9397-08002B2CF9AE}" pid="6" name="DocumentType">
    <vt:lpwstr>12;#Report|78753201-1e9e-4a21-a088-6ff602b5c999</vt:lpwstr>
  </property>
  <property fmtid="{D5CDD505-2E9C-101B-9397-08002B2CF9AE}" pid="7" name="Topic">
    <vt:lpwstr>503;#Market Abuse|c480dd12-5209-4ca4-80a5-d0e37753c09e</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y fmtid="{D5CDD505-2E9C-101B-9397-08002B2CF9AE}" pid="18" name="TeamTopic">
    <vt:lpwstr>87;#Other Work|f1a52b52-917d-42ef-9667-945839604bb2</vt:lpwstr>
  </property>
</Properties>
</file>