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le"/>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default" r:id="rId11"/>
          <w:footerReference w:type="default" r:id="rId12"/>
          <w:headerReference w:type="first" r:id="rId13"/>
          <w:pgSz w:w="11906" w:h="16838"/>
          <w:pgMar w:top="2268" w:right="1418" w:bottom="1418" w:left="1418" w:header="708" w:footer="708" w:gutter="0"/>
          <w:pgNumType w:start="0"/>
          <w:cols w:space="720"/>
        </w:sectPr>
      </w:pPr>
    </w:p>
    <w:p w14:paraId="3CB8E8D5" w14:textId="77777777" w:rsidR="005968A1" w:rsidRDefault="005968A1" w:rsidP="005968A1">
      <w:pPr>
        <w:pStyle w:val="Subtitle"/>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4" w:history="1">
        <w:r>
          <w:rPr>
            <w:rStyle w:val="Hyperlink"/>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When you have drafted your response, name your response form according to the following convention: ESMA_</w:t>
      </w:r>
      <w:r>
        <w:rPr>
          <w:rFonts w:eastAsiaTheme="minorEastAsia" w:cs="Arial"/>
          <w:szCs w:val="20"/>
        </w:rPr>
        <w:t>DCFE</w:t>
      </w:r>
      <w:r w:rsidRPr="004C7902">
        <w:rPr>
          <w:rFonts w:eastAsiaTheme="minorEastAsia" w:cs="Arial"/>
          <w:szCs w:val="20"/>
        </w:rPr>
        <w:t>_nameofrespondent_RESPONSEFORM.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5"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6" w:history="1">
        <w:r>
          <w:rPr>
            <w:rStyle w:val="Hyperlink"/>
            <w:rFonts w:cs="Arial"/>
            <w:sz w:val="22"/>
            <w:szCs w:val="24"/>
          </w:rPr>
          <w:t>www.esma.europa.eu</w:t>
        </w:r>
      </w:hyperlink>
      <w:r>
        <w:rPr>
          <w:rFonts w:cs="Arial"/>
          <w:sz w:val="22"/>
          <w:szCs w:val="24"/>
        </w:rPr>
        <w:t xml:space="preserve"> under the heading </w:t>
      </w:r>
      <w:hyperlink r:id="rId17" w:history="1">
        <w:r>
          <w:rPr>
            <w:rStyle w:val="Hyperlink"/>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TOCHeading"/>
            <w:numPr>
              <w:ilvl w:val="0"/>
              <w:numId w:val="0"/>
            </w:numPr>
            <w:ind w:left="431" w:hanging="431"/>
            <w:rPr>
              <w:rFonts w:ascii="Arial" w:hAnsi="Arial" w:cs="Arial"/>
            </w:rPr>
          </w:pPr>
          <w:r w:rsidRPr="005968A1">
            <w:rPr>
              <w:rFonts w:ascii="Arial" w:hAnsi="Arial" w:cs="Arial"/>
            </w:rPr>
            <w:t>Table of Contents</w:t>
          </w:r>
        </w:p>
        <w:p w14:paraId="08847E30" w14:textId="51094F0C" w:rsidR="005968A1" w:rsidRPr="005968A1" w:rsidRDefault="00CC36BE">
          <w:pPr>
            <w:pStyle w:val="TOC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Hyperlink"/>
                <w:rFonts w:ascii="Arial" w:hAnsi="Arial" w:cs="Arial"/>
                <w:noProof/>
              </w:rPr>
              <w:t>1</w:t>
            </w:r>
            <w:r w:rsidR="005968A1" w:rsidRPr="005968A1">
              <w:rPr>
                <w:rFonts w:ascii="Arial" w:hAnsi="Arial" w:cs="Arial"/>
                <w:noProof/>
                <w:szCs w:val="22"/>
                <w:lang w:eastAsia="en-GB"/>
              </w:rPr>
              <w:tab/>
            </w:r>
            <w:r w:rsidR="005968A1" w:rsidRPr="005968A1">
              <w:rPr>
                <w:rStyle w:val="Hyperlink"/>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6</w:t>
            </w:r>
            <w:r w:rsidR="005968A1" w:rsidRPr="005968A1">
              <w:rPr>
                <w:rFonts w:ascii="Arial" w:hAnsi="Arial" w:cs="Arial"/>
                <w:noProof/>
                <w:webHidden/>
              </w:rPr>
              <w:fldChar w:fldCharType="end"/>
            </w:r>
          </w:hyperlink>
        </w:p>
        <w:p w14:paraId="5DE99FE6" w14:textId="7CEB04BF" w:rsidR="005968A1" w:rsidRPr="005968A1" w:rsidRDefault="00502E23">
          <w:pPr>
            <w:pStyle w:val="TOC1"/>
            <w:tabs>
              <w:tab w:val="left" w:pos="440"/>
              <w:tab w:val="right" w:leader="dot" w:pos="9060"/>
            </w:tabs>
            <w:rPr>
              <w:rFonts w:ascii="Arial" w:hAnsi="Arial" w:cs="Arial"/>
              <w:noProof/>
              <w:szCs w:val="22"/>
              <w:lang w:eastAsia="en-GB"/>
            </w:rPr>
          </w:pPr>
          <w:hyperlink w:anchor="_Toc72509287" w:history="1">
            <w:r w:rsidR="005968A1" w:rsidRPr="005968A1">
              <w:rPr>
                <w:rStyle w:val="Hyperlink"/>
                <w:rFonts w:ascii="Arial" w:hAnsi="Arial" w:cs="Arial"/>
                <w:noProof/>
              </w:rPr>
              <w:t>2</w:t>
            </w:r>
            <w:r w:rsidR="005968A1" w:rsidRPr="005968A1">
              <w:rPr>
                <w:rFonts w:ascii="Arial" w:hAnsi="Arial" w:cs="Arial"/>
                <w:noProof/>
                <w:szCs w:val="22"/>
                <w:lang w:eastAsia="en-GB"/>
              </w:rPr>
              <w:tab/>
            </w:r>
            <w:r w:rsidR="005968A1" w:rsidRPr="005968A1">
              <w:rPr>
                <w:rStyle w:val="Hyperlink"/>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7</w:t>
            </w:r>
            <w:r w:rsidR="005968A1" w:rsidRPr="005968A1">
              <w:rPr>
                <w:rFonts w:ascii="Arial" w:hAnsi="Arial" w:cs="Arial"/>
                <w:noProof/>
                <w:webHidden/>
              </w:rPr>
              <w:fldChar w:fldCharType="end"/>
            </w:r>
          </w:hyperlink>
        </w:p>
        <w:p w14:paraId="66A817B0" w14:textId="2AFAA2E9" w:rsidR="005968A1" w:rsidRPr="005968A1" w:rsidRDefault="00502E23">
          <w:pPr>
            <w:pStyle w:val="TOC1"/>
            <w:tabs>
              <w:tab w:val="left" w:pos="440"/>
              <w:tab w:val="right" w:leader="dot" w:pos="9060"/>
            </w:tabs>
            <w:rPr>
              <w:rFonts w:ascii="Arial" w:hAnsi="Arial" w:cs="Arial"/>
              <w:noProof/>
              <w:szCs w:val="22"/>
              <w:lang w:eastAsia="en-GB"/>
            </w:rPr>
          </w:pPr>
          <w:hyperlink w:anchor="_Toc72509288" w:history="1">
            <w:r w:rsidR="005968A1" w:rsidRPr="005968A1">
              <w:rPr>
                <w:rStyle w:val="Hyperlink"/>
                <w:rFonts w:ascii="Arial" w:hAnsi="Arial" w:cs="Arial"/>
                <w:noProof/>
              </w:rPr>
              <w:t>3</w:t>
            </w:r>
            <w:r w:rsidR="005968A1" w:rsidRPr="005968A1">
              <w:rPr>
                <w:rFonts w:ascii="Arial" w:hAnsi="Arial" w:cs="Arial"/>
                <w:noProof/>
                <w:szCs w:val="22"/>
                <w:lang w:eastAsia="en-GB"/>
              </w:rPr>
              <w:tab/>
            </w:r>
            <w:r w:rsidR="005968A1" w:rsidRPr="005968A1">
              <w:rPr>
                <w:rStyle w:val="Hyperlink"/>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10</w:t>
            </w:r>
            <w:r w:rsidR="005968A1" w:rsidRPr="005968A1">
              <w:rPr>
                <w:rFonts w:ascii="Arial" w:hAnsi="Arial" w:cs="Arial"/>
                <w:noProof/>
                <w:webHidden/>
              </w:rPr>
              <w:fldChar w:fldCharType="end"/>
            </w:r>
          </w:hyperlink>
        </w:p>
        <w:p w14:paraId="59A1B2AC" w14:textId="348657C9" w:rsidR="005968A1" w:rsidRPr="005968A1" w:rsidRDefault="00502E23">
          <w:pPr>
            <w:pStyle w:val="TOC1"/>
            <w:tabs>
              <w:tab w:val="left" w:pos="440"/>
              <w:tab w:val="right" w:leader="dot" w:pos="9060"/>
            </w:tabs>
            <w:rPr>
              <w:rFonts w:ascii="Arial" w:hAnsi="Arial" w:cs="Arial"/>
              <w:noProof/>
              <w:szCs w:val="22"/>
              <w:lang w:eastAsia="en-GB"/>
            </w:rPr>
          </w:pPr>
          <w:hyperlink w:anchor="_Toc72509289" w:history="1">
            <w:r w:rsidR="005968A1" w:rsidRPr="005968A1">
              <w:rPr>
                <w:rStyle w:val="Hyperlink"/>
                <w:rFonts w:ascii="Arial" w:hAnsi="Arial" w:cs="Arial"/>
                <w:noProof/>
              </w:rPr>
              <w:t>4</w:t>
            </w:r>
            <w:r w:rsidR="005968A1" w:rsidRPr="005968A1">
              <w:rPr>
                <w:rFonts w:ascii="Arial" w:hAnsi="Arial" w:cs="Arial"/>
                <w:noProof/>
                <w:szCs w:val="22"/>
                <w:lang w:eastAsia="en-GB"/>
              </w:rPr>
              <w:tab/>
            </w:r>
            <w:r w:rsidR="005968A1" w:rsidRPr="005968A1">
              <w:rPr>
                <w:rStyle w:val="Hyperlink"/>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14</w:t>
            </w:r>
            <w:r w:rsidR="005968A1" w:rsidRPr="005968A1">
              <w:rPr>
                <w:rFonts w:ascii="Arial" w:hAnsi="Arial" w:cs="Arial"/>
                <w:noProof/>
                <w:webHidden/>
              </w:rPr>
              <w:fldChar w:fldCharType="end"/>
            </w:r>
          </w:hyperlink>
        </w:p>
        <w:p w14:paraId="2B50545E" w14:textId="16A6D599" w:rsidR="005968A1" w:rsidRPr="005968A1" w:rsidRDefault="00502E23">
          <w:pPr>
            <w:pStyle w:val="TOC1"/>
            <w:tabs>
              <w:tab w:val="left" w:pos="440"/>
              <w:tab w:val="right" w:leader="dot" w:pos="9060"/>
            </w:tabs>
            <w:rPr>
              <w:rFonts w:ascii="Arial" w:hAnsi="Arial" w:cs="Arial"/>
              <w:noProof/>
              <w:szCs w:val="22"/>
              <w:lang w:eastAsia="en-GB"/>
            </w:rPr>
          </w:pPr>
          <w:hyperlink w:anchor="_Toc72509290" w:history="1">
            <w:r w:rsidR="005968A1" w:rsidRPr="005968A1">
              <w:rPr>
                <w:rStyle w:val="Hyperlink"/>
                <w:rFonts w:ascii="Arial" w:hAnsi="Arial" w:cs="Arial"/>
                <w:noProof/>
              </w:rPr>
              <w:t>5</w:t>
            </w:r>
            <w:r w:rsidR="005968A1" w:rsidRPr="005968A1">
              <w:rPr>
                <w:rFonts w:ascii="Arial" w:hAnsi="Arial" w:cs="Arial"/>
                <w:noProof/>
                <w:szCs w:val="22"/>
                <w:lang w:eastAsia="en-GB"/>
              </w:rPr>
              <w:tab/>
            </w:r>
            <w:r w:rsidR="005968A1" w:rsidRPr="005968A1">
              <w:rPr>
                <w:rStyle w:val="Hyperlink"/>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18</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Heading1"/>
        <w:numPr>
          <w:ilvl w:val="0"/>
          <w:numId w:val="17"/>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FootnoteReference"/>
          <w:rFonts w:ascii="Arial" w:hAnsi="Arial"/>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FootnoteReference"/>
          <w:rFonts w:ascii="Arial" w:hAnsi="Arial"/>
          <w:color w:val="2F5496"/>
          <w:sz w:val="22"/>
        </w:rPr>
        <w:footnoteReference w:id="2"/>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Heading1"/>
        <w:numPr>
          <w:ilvl w:val="0"/>
          <w:numId w:val="17"/>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FootnoteReference"/>
        </w:rPr>
        <w:footnoteReference w:id="3"/>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FootnoteReference"/>
        </w:rPr>
        <w:footnoteReference w:id="4"/>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FootnoteReference"/>
        </w:rPr>
        <w:footnoteReference w:id="5"/>
      </w:r>
      <w:r>
        <w:rPr>
          <w:rFonts w:cs="Arial"/>
        </w:rPr>
        <w:t xml:space="preserve"> – adopted on 15 December 2020 – and Digital Operational Resilience Regulation (DORA)</w:t>
      </w:r>
      <w:r>
        <w:rPr>
          <w:rStyle w:val="FootnoteReference"/>
        </w:rPr>
        <w:footnoteReference w:id="6"/>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FootnoteReference"/>
        </w:rPr>
        <w:footnoteReference w:id="7"/>
      </w:r>
      <w:r>
        <w:rPr>
          <w:rFonts w:cs="Arial"/>
        </w:rPr>
        <w:t xml:space="preserve"> for what concerns EBA or a Discussion Paper on the (re)insurance value chain and new business models arising from digitalization</w:t>
      </w:r>
      <w:r>
        <w:rPr>
          <w:rStyle w:val="FootnoteReference"/>
        </w:rPr>
        <w:footnoteReference w:id="8"/>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PlaceholderText"/>
              <w:rFonts w:cs="Arial"/>
              <w:sz w:val="22"/>
            </w:rPr>
            <w:id w:val="-1905066999"/>
            <w:text/>
          </w:sdtPr>
          <w:sdtEndPr>
            <w:rPr>
              <w:rStyle w:val="PlaceholderText"/>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1D0F66EC" w:rsidR="00A41C15" w:rsidRPr="00A41C15" w:rsidRDefault="009F3DA0" w:rsidP="00A41C15">
                <w:pPr>
                  <w:spacing w:before="60" w:after="60" w:line="276" w:lineRule="auto"/>
                  <w:rPr>
                    <w:rStyle w:val="PlaceholderText"/>
                    <w:rFonts w:cs="Arial"/>
                    <w:sz w:val="22"/>
                  </w:rPr>
                </w:pPr>
                <w:r>
                  <w:rPr>
                    <w:rStyle w:val="PlaceholderText"/>
                    <w:rFonts w:cs="Arial"/>
                    <w:sz w:val="22"/>
                  </w:rPr>
                  <w:t>ID2S S.A.</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49F8EED8" w:rsidR="00A41C15" w:rsidRPr="00A41C15" w:rsidRDefault="00502E23"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9F3DA0">
                  <w:rPr>
                    <w:rFonts w:cs="Arial"/>
                    <w:sz w:val="22"/>
                  </w:rPr>
                  <w:t>Regulated Market</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0"/>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32600E0B" w:rsidR="00A41C15" w:rsidRPr="00A41C15" w:rsidRDefault="0024358D" w:rsidP="00A41C15">
                <w:pPr>
                  <w:spacing w:before="60" w:after="60" w:line="276" w:lineRule="auto"/>
                  <w:rPr>
                    <w:rFonts w:cs="Arial"/>
                    <w:sz w:val="22"/>
                  </w:rPr>
                </w:pPr>
                <w:r>
                  <w:rPr>
                    <w:rFonts w:ascii="MS Gothic" w:eastAsia="MS Gothic" w:hAnsi="MS Gothic" w:cs="Arial" w:hint="eastAsia"/>
                    <w:sz w:val="22"/>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020C0773" w:rsidR="00A41C15" w:rsidRPr="00A41C15" w:rsidRDefault="009F3DA0" w:rsidP="00A41C15">
                <w:pPr>
                  <w:spacing w:before="60" w:after="60" w:line="276" w:lineRule="auto"/>
                  <w:rPr>
                    <w:rFonts w:cs="Arial"/>
                    <w:sz w:val="22"/>
                  </w:rPr>
                </w:pPr>
                <w:r>
                  <w:rPr>
                    <w:rFonts w:cs="Arial"/>
                    <w:sz w:val="22"/>
                  </w:rPr>
                  <w:t>France</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0844EB" w:rsidRPr="00A41C15" w:rsidRDefault="00A41C15">
      <w:pPr>
        <w:rPr>
          <w:rFonts w:cs="Arial"/>
        </w:rPr>
      </w:pPr>
      <w:r w:rsidRPr="00A41C15">
        <w:rPr>
          <w:rFonts w:cs="Arial"/>
        </w:rPr>
        <w:t>&lt;ESMA_QUESTION_DCFE_1&gt;</w:t>
      </w:r>
    </w:p>
    <w:p w14:paraId="2E3E9722" w14:textId="3F191E01" w:rsidR="00A41C15" w:rsidRDefault="009F3DA0">
      <w:pPr>
        <w:rPr>
          <w:rFonts w:cs="Arial"/>
        </w:rPr>
      </w:pPr>
      <w:permStart w:id="81926432" w:edGrp="everyone"/>
      <w:r>
        <w:rPr>
          <w:rFonts w:cs="Arial"/>
        </w:rPr>
        <w:t>ID2S has provided its initial observation</w:t>
      </w:r>
      <w:r w:rsidR="005125A7">
        <w:rPr>
          <w:rFonts w:cs="Arial"/>
        </w:rPr>
        <w:t>s</w:t>
      </w:r>
      <w:r>
        <w:rPr>
          <w:rFonts w:cs="Arial"/>
        </w:rPr>
        <w:t xml:space="preserve"> in a Position Paper</w:t>
      </w:r>
      <w:r w:rsidR="005125A7">
        <w:rPr>
          <w:rFonts w:cs="Arial"/>
        </w:rPr>
        <w:t xml:space="preserve"> on DLT in April 2021. The document is attached.</w:t>
      </w:r>
    </w:p>
    <w:p w14:paraId="2AD93609" w14:textId="51AF8CF6" w:rsidR="009F3DA0" w:rsidRDefault="005125A7">
      <w:pPr>
        <w:rPr>
          <w:rFonts w:cs="Arial"/>
        </w:rPr>
      </w:pPr>
      <w:r>
        <w:rPr>
          <w:rFonts w:cs="Arial"/>
        </w:rPr>
        <w:t>I</w:t>
      </w:r>
      <w:r w:rsidR="005B43A6">
        <w:rPr>
          <w:rFonts w:cs="Arial"/>
        </w:rPr>
        <w:t>n</w:t>
      </w:r>
      <w:r w:rsidR="009F3DA0">
        <w:rPr>
          <w:rFonts w:cs="Arial"/>
        </w:rPr>
        <w:t xml:space="preserve"> addition </w:t>
      </w:r>
      <w:r>
        <w:rPr>
          <w:rFonts w:cs="Arial"/>
        </w:rPr>
        <w:t xml:space="preserve">ID2S </w:t>
      </w:r>
      <w:r w:rsidR="009F3DA0">
        <w:rPr>
          <w:rFonts w:cs="Arial"/>
        </w:rPr>
        <w:t>recommend</w:t>
      </w:r>
      <w:r>
        <w:rPr>
          <w:rFonts w:cs="Arial"/>
        </w:rPr>
        <w:t>s to leverage</w:t>
      </w:r>
      <w:r w:rsidR="009F3DA0">
        <w:rPr>
          <w:rFonts w:cs="Arial"/>
        </w:rPr>
        <w:t xml:space="preserve"> lesson</w:t>
      </w:r>
      <w:r>
        <w:rPr>
          <w:rFonts w:cs="Arial"/>
        </w:rPr>
        <w:t xml:space="preserve">s learnt </w:t>
      </w:r>
      <w:r w:rsidR="009F3DA0">
        <w:rPr>
          <w:rFonts w:cs="Arial"/>
        </w:rPr>
        <w:t>f</w:t>
      </w:r>
      <w:r>
        <w:rPr>
          <w:rFonts w:cs="Arial"/>
        </w:rPr>
        <w:t>rom</w:t>
      </w:r>
      <w:r w:rsidR="00620CC6">
        <w:rPr>
          <w:rFonts w:cs="Arial"/>
        </w:rPr>
        <w:t xml:space="preserve"> countries (such a France)</w:t>
      </w:r>
      <w:r w:rsidR="009F3DA0">
        <w:rPr>
          <w:rFonts w:cs="Arial"/>
        </w:rPr>
        <w:t>,</w:t>
      </w:r>
      <w:r>
        <w:rPr>
          <w:rFonts w:cs="Arial"/>
        </w:rPr>
        <w:t xml:space="preserve"> that </w:t>
      </w:r>
      <w:r w:rsidR="009F3DA0">
        <w:rPr>
          <w:rFonts w:cs="Arial"/>
        </w:rPr>
        <w:t xml:space="preserve">have implemented </w:t>
      </w:r>
      <w:r>
        <w:rPr>
          <w:rFonts w:cs="Arial"/>
        </w:rPr>
        <w:t xml:space="preserve">(since 2017) </w:t>
      </w:r>
      <w:r w:rsidR="009F3DA0">
        <w:rPr>
          <w:rFonts w:cs="Arial"/>
        </w:rPr>
        <w:t xml:space="preserve">regulation on market digitalization and </w:t>
      </w:r>
      <w:r>
        <w:rPr>
          <w:rFonts w:cs="Arial"/>
        </w:rPr>
        <w:t xml:space="preserve">the </w:t>
      </w:r>
      <w:r w:rsidR="009F3DA0">
        <w:rPr>
          <w:rFonts w:cs="Arial"/>
        </w:rPr>
        <w:t xml:space="preserve">usage of technologies instrumental to such </w:t>
      </w:r>
      <w:r>
        <w:rPr>
          <w:rFonts w:cs="Arial"/>
        </w:rPr>
        <w:t xml:space="preserve">digital finance </w:t>
      </w:r>
      <w:r w:rsidR="009F3DA0">
        <w:rPr>
          <w:rFonts w:cs="Arial"/>
        </w:rPr>
        <w:t>objective</w:t>
      </w:r>
      <w:r>
        <w:rPr>
          <w:rFonts w:cs="Arial"/>
        </w:rPr>
        <w:t>s, such as</w:t>
      </w:r>
      <w:r w:rsidR="009F3DA0">
        <w:rPr>
          <w:rFonts w:cs="Arial"/>
        </w:rPr>
        <w:t xml:space="preserve"> DLT. </w:t>
      </w:r>
    </w:p>
    <w:p w14:paraId="46C15340" w14:textId="419A51B0" w:rsidR="005B43A6" w:rsidRDefault="009F3DA0">
      <w:pPr>
        <w:rPr>
          <w:rFonts w:cs="Arial"/>
        </w:rPr>
      </w:pPr>
      <w:r>
        <w:rPr>
          <w:rFonts w:cs="Arial"/>
        </w:rPr>
        <w:t xml:space="preserve">ID2S considers that it would be detrimental to the </w:t>
      </w:r>
      <w:r w:rsidR="00707081">
        <w:rPr>
          <w:rFonts w:cs="Arial"/>
        </w:rPr>
        <w:t xml:space="preserve">expected </w:t>
      </w:r>
      <w:r>
        <w:rPr>
          <w:rFonts w:cs="Arial"/>
        </w:rPr>
        <w:t>final result of the implementation and harmonization efforts that the ESMA is producing in coordination with the European Commission, the Parliament and the Counsel, if these legislative and market experiences were ignored</w:t>
      </w:r>
      <w:r w:rsidR="005B43A6">
        <w:rPr>
          <w:rFonts w:cs="Arial"/>
        </w:rPr>
        <w:t>.</w:t>
      </w:r>
    </w:p>
    <w:p w14:paraId="797679E6" w14:textId="2E8439A5" w:rsidR="005B43A6" w:rsidRPr="00707081" w:rsidRDefault="005B43A6">
      <w:pPr>
        <w:rPr>
          <w:rFonts w:cs="Arial"/>
          <w:color w:val="FF0000"/>
        </w:rPr>
      </w:pPr>
      <w:r>
        <w:rPr>
          <w:rFonts w:cs="Arial"/>
        </w:rPr>
        <w:t>Moreover</w:t>
      </w:r>
      <w:r w:rsidR="005125A7">
        <w:rPr>
          <w:rFonts w:cs="Arial"/>
        </w:rPr>
        <w:t>, we would like to suggest whilst</w:t>
      </w:r>
      <w:r>
        <w:rPr>
          <w:rFonts w:cs="Arial"/>
        </w:rPr>
        <w:t xml:space="preserve"> establishing a new regulatory</w:t>
      </w:r>
      <w:r w:rsidR="00707081">
        <w:rPr>
          <w:rFonts w:cs="Arial"/>
        </w:rPr>
        <w:t xml:space="preserve"> and supervisory</w:t>
      </w:r>
      <w:r>
        <w:rPr>
          <w:rFonts w:cs="Arial"/>
        </w:rPr>
        <w:t xml:space="preserve"> framework for operating using new technologies supporting digitalization, to consider the viability of the various measures and if these measures are</w:t>
      </w:r>
      <w:r w:rsidR="00707081" w:rsidRPr="00707081">
        <w:t xml:space="preserve"> </w:t>
      </w:r>
      <w:r w:rsidR="00707081" w:rsidRPr="00707081">
        <w:rPr>
          <w:rFonts w:cs="Arial"/>
        </w:rPr>
        <w:t>designed to support both growth and the wider adoption</w:t>
      </w:r>
      <w:r>
        <w:rPr>
          <w:rFonts w:cs="Arial"/>
        </w:rPr>
        <w:t xml:space="preserve"> of the incumbent</w:t>
      </w:r>
      <w:r w:rsidR="00707081">
        <w:rPr>
          <w:rFonts w:cs="Arial"/>
        </w:rPr>
        <w:t xml:space="preserve"> </w:t>
      </w:r>
      <w:r>
        <w:rPr>
          <w:rFonts w:cs="Arial"/>
        </w:rPr>
        <w:t>s</w:t>
      </w:r>
      <w:r w:rsidR="00707081">
        <w:rPr>
          <w:rFonts w:cs="Arial"/>
        </w:rPr>
        <w:t>takeholders</w:t>
      </w:r>
      <w:r>
        <w:rPr>
          <w:rFonts w:cs="Arial"/>
        </w:rPr>
        <w:t xml:space="preserve"> </w:t>
      </w:r>
      <w:r w:rsidR="00707081" w:rsidRPr="00707081">
        <w:rPr>
          <w:rFonts w:cs="Arial"/>
        </w:rPr>
        <w:t>or to encourage new entrants and innovation</w:t>
      </w:r>
      <w:r>
        <w:rPr>
          <w:rFonts w:cs="Arial"/>
        </w:rPr>
        <w:t xml:space="preserve">. </w:t>
      </w:r>
      <w:r w:rsidR="00707081" w:rsidRPr="00DB684F">
        <w:rPr>
          <w:rFonts w:cs="Arial"/>
        </w:rPr>
        <w:t xml:space="preserve">In fact, differentiate according to the application and use of the new technology, and not to the technology itself. For example, using DLT as a more efficient book-entry system supporting existing financial products would have a very different risk and financial profile from the use of DLT to support a new financial product or asset class. </w:t>
      </w:r>
      <w:r w:rsidRPr="00DB684F">
        <w:rPr>
          <w:rFonts w:cs="Arial"/>
        </w:rPr>
        <w:t xml:space="preserve">As the underlying assessment of the </w:t>
      </w:r>
      <w:r w:rsidR="000317A1" w:rsidRPr="00DB684F">
        <w:rPr>
          <w:rFonts w:cs="Arial"/>
        </w:rPr>
        <w:t>economic</w:t>
      </w:r>
      <w:r w:rsidRPr="00DB684F">
        <w:rPr>
          <w:rFonts w:cs="Arial"/>
        </w:rPr>
        <w:t xml:space="preserve"> viability would be different. To support this rationale we wish to stress the unrealistic </w:t>
      </w:r>
      <w:r w:rsidR="009D1404" w:rsidRPr="00DB684F">
        <w:rPr>
          <w:rFonts w:cs="Arial"/>
        </w:rPr>
        <w:t>size of the threshold established to operate under the forthcoming DLT Pilot regime as revenues associated to the limited assets under management would compensate only in nominal part the project costs and would de facto limit the applicability of the regime to companies that are already authorised under CSDR.</w:t>
      </w:r>
    </w:p>
    <w:p w14:paraId="1BC52EFD" w14:textId="7A58DFFB" w:rsidR="009D1404" w:rsidRDefault="009D1404">
      <w:pPr>
        <w:rPr>
          <w:rFonts w:cs="Arial"/>
        </w:rPr>
      </w:pPr>
      <w:r>
        <w:rPr>
          <w:rFonts w:cs="Arial"/>
        </w:rPr>
        <w:t>In terms of relevance of digital finance to ID2S activity, ID2S is the fore runner in the European Union of the application of digital technologies to operational processes set within the framework of CSDR. We do aim at being the first at introducing in stable manner digitalised products that would settle in TARGET2 Securities according to the MIFID and CSDR rules in 2022.</w:t>
      </w:r>
    </w:p>
    <w:permEnd w:id="81926432"/>
    <w:p w14:paraId="58456EF8" w14:textId="01A386C9" w:rsidR="00A41C15" w:rsidRPr="00A41C15" w:rsidRDefault="00A41C15">
      <w:pPr>
        <w:rPr>
          <w:rFonts w:cs="Arial"/>
        </w:rPr>
      </w:pPr>
      <w:r w:rsidRPr="00A41C15">
        <w:rPr>
          <w:rFonts w:cs="Arial"/>
        </w:rPr>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Heading1"/>
        <w:numPr>
          <w:ilvl w:val="0"/>
          <w:numId w:val="17"/>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048719EF" w14:textId="4F40AA87" w:rsidR="000317A1" w:rsidRDefault="000317A1">
      <w:pPr>
        <w:rPr>
          <w:rFonts w:cs="Arial"/>
        </w:rPr>
      </w:pPr>
      <w:permStart w:id="412029462" w:edGrp="everyone"/>
      <w:r w:rsidRPr="000317A1">
        <w:rPr>
          <w:rFonts w:cs="Arial"/>
          <w:highlight w:val="green"/>
        </w:rPr>
        <w:t xml:space="preserve">Yes, </w:t>
      </w:r>
      <w:r w:rsidR="00707081">
        <w:t>ID2S observes that changes in the value chains resulting from the adoption of technological innovation will impact in terms of r</w:t>
      </w:r>
      <w:r w:rsidR="00707081" w:rsidRPr="007123AD">
        <w:t>e-shaping established markets</w:t>
      </w:r>
      <w:r w:rsidR="00707081">
        <w:t>, as well as allowing for the introduction of n</w:t>
      </w:r>
      <w:r w:rsidR="00707081" w:rsidRPr="007123AD">
        <w:t>ew Products &amp; Services</w:t>
      </w:r>
      <w:r w:rsidR="00707081">
        <w:t xml:space="preserve"> and new Asset Classes</w:t>
      </w:r>
      <w:r w:rsidRPr="000317A1">
        <w:rPr>
          <w:rFonts w:cs="Arial"/>
        </w:rPr>
        <w:t xml:space="preserve">. </w:t>
      </w:r>
      <w:r>
        <w:rPr>
          <w:rFonts w:cs="Arial"/>
        </w:rPr>
        <w:t>For instance, we see that technological innovation both in terms of processes and products is being more widely adopted in the pre-trade/origination and trading space, than in the post trading one. We do believe that the rational for this might be twofold:</w:t>
      </w:r>
    </w:p>
    <w:p w14:paraId="41F220EB" w14:textId="54BC19B9" w:rsidR="000317A1" w:rsidRDefault="000317A1" w:rsidP="000317A1">
      <w:pPr>
        <w:pStyle w:val="ListParagraph"/>
        <w:numPr>
          <w:ilvl w:val="0"/>
          <w:numId w:val="22"/>
        </w:numPr>
        <w:rPr>
          <w:rFonts w:cs="Arial"/>
        </w:rPr>
      </w:pPr>
      <w:r>
        <w:rPr>
          <w:rFonts w:cs="Arial"/>
        </w:rPr>
        <w:lastRenderedPageBreak/>
        <w:t>The relative technological simplicity of the processes in the trading layer compared to post trade</w:t>
      </w:r>
    </w:p>
    <w:p w14:paraId="670E8678" w14:textId="77777777" w:rsidR="000317A1" w:rsidRDefault="000317A1" w:rsidP="000317A1">
      <w:pPr>
        <w:pStyle w:val="ListParagraph"/>
        <w:numPr>
          <w:ilvl w:val="0"/>
          <w:numId w:val="22"/>
        </w:numPr>
        <w:rPr>
          <w:rFonts w:cs="Arial"/>
        </w:rPr>
      </w:pPr>
      <w:r>
        <w:rPr>
          <w:rFonts w:cs="Arial"/>
        </w:rPr>
        <w:t>The costs of research and development to reach the proof of concept level;</w:t>
      </w:r>
    </w:p>
    <w:p w14:paraId="2F541B42" w14:textId="37C9D466" w:rsidR="00A41C15" w:rsidRDefault="000317A1" w:rsidP="000317A1">
      <w:pPr>
        <w:rPr>
          <w:rFonts w:cs="Arial"/>
        </w:rPr>
      </w:pPr>
      <w:r>
        <w:rPr>
          <w:rFonts w:cs="Arial"/>
        </w:rPr>
        <w:t xml:space="preserve">We do experience on the other hand that this innovative path is not followed by the FMIs and market operators of the post trade </w:t>
      </w:r>
      <w:r w:rsidR="004E3207">
        <w:rPr>
          <w:rFonts w:cs="Arial"/>
        </w:rPr>
        <w:t>space</w:t>
      </w:r>
      <w:r>
        <w:rPr>
          <w:rFonts w:cs="Arial"/>
        </w:rPr>
        <w:t>, due to the significant implementation cost</w:t>
      </w:r>
      <w:r w:rsidR="004E3207">
        <w:rPr>
          <w:rFonts w:cs="Arial"/>
        </w:rPr>
        <w:t>s</w:t>
      </w:r>
      <w:r>
        <w:rPr>
          <w:rFonts w:cs="Arial"/>
        </w:rPr>
        <w:t xml:space="preserve"> and requirement of revenues for a successful project return.</w:t>
      </w:r>
      <w:r w:rsidR="00707081">
        <w:rPr>
          <w:rFonts w:cs="Arial"/>
        </w:rPr>
        <w:t xml:space="preserve"> To this extent, we should probably d</w:t>
      </w:r>
      <w:r w:rsidR="00707081" w:rsidRPr="00707081">
        <w:rPr>
          <w:rFonts w:cs="Arial"/>
        </w:rPr>
        <w:t>ifferentiate between fintech solution providers that are established with longer term investment horizon from those that have shorter (&lt; 3 years) breakeven horizon</w:t>
      </w:r>
      <w:r>
        <w:rPr>
          <w:rFonts w:cs="Arial"/>
        </w:rPr>
        <w:t xml:space="preserve"> T</w:t>
      </w:r>
      <w:r w:rsidR="00DB684F">
        <w:rPr>
          <w:rFonts w:cs="Arial"/>
        </w:rPr>
        <w:t>his proves</w:t>
      </w:r>
      <w:r>
        <w:rPr>
          <w:rFonts w:cs="Arial"/>
        </w:rPr>
        <w:t xml:space="preserve"> why since several </w:t>
      </w:r>
      <w:r w:rsidR="004E3207">
        <w:rPr>
          <w:rFonts w:cs="Arial"/>
        </w:rPr>
        <w:t>years the</w:t>
      </w:r>
      <w:r>
        <w:rPr>
          <w:rFonts w:cs="Arial"/>
        </w:rPr>
        <w:t xml:space="preserve"> </w:t>
      </w:r>
      <w:r w:rsidR="004E3207">
        <w:rPr>
          <w:rFonts w:cs="Arial"/>
        </w:rPr>
        <w:t>introduction</w:t>
      </w:r>
      <w:r>
        <w:rPr>
          <w:rFonts w:cs="Arial"/>
        </w:rPr>
        <w:t xml:space="preserve"> of digital technologies</w:t>
      </w:r>
      <w:r w:rsidR="00DB684F">
        <w:rPr>
          <w:rFonts w:cs="Arial"/>
        </w:rPr>
        <w:t xml:space="preserve"> have resulted only in a limited number of production</w:t>
      </w:r>
      <w:r w:rsidR="00707081">
        <w:rPr>
          <w:rFonts w:cs="Arial"/>
        </w:rPr>
        <w:t xml:space="preserve"> examples </w:t>
      </w:r>
      <w:r w:rsidR="004E3207">
        <w:rPr>
          <w:rFonts w:cs="Arial"/>
        </w:rPr>
        <w:t xml:space="preserve">. </w:t>
      </w:r>
    </w:p>
    <w:p w14:paraId="5D961E44" w14:textId="3404AC8F" w:rsidR="004E3207" w:rsidRDefault="004E3207" w:rsidP="000317A1">
      <w:pPr>
        <w:rPr>
          <w:rFonts w:cs="Arial"/>
        </w:rPr>
      </w:pPr>
      <w:r>
        <w:rPr>
          <w:rFonts w:cs="Arial"/>
        </w:rPr>
        <w:t>ID2S believes that the introduction of digitalization in the financial services industry will follow the following</w:t>
      </w:r>
      <w:r w:rsidR="00707081">
        <w:rPr>
          <w:rFonts w:cs="Arial"/>
        </w:rPr>
        <w:t xml:space="preserve"> technological</w:t>
      </w:r>
      <w:r>
        <w:rPr>
          <w:rFonts w:cs="Arial"/>
        </w:rPr>
        <w:t xml:space="preserve"> path.</w:t>
      </w:r>
    </w:p>
    <w:tbl>
      <w:tblPr>
        <w:tblStyle w:val="TableGrid"/>
        <w:tblW w:w="0" w:type="auto"/>
        <w:tblLook w:val="04A0" w:firstRow="1" w:lastRow="0" w:firstColumn="1" w:lastColumn="0" w:noHBand="0" w:noVBand="1"/>
      </w:tblPr>
      <w:tblGrid>
        <w:gridCol w:w="1880"/>
        <w:gridCol w:w="2680"/>
        <w:gridCol w:w="2540"/>
        <w:gridCol w:w="1420"/>
      </w:tblGrid>
      <w:tr w:rsidR="004E3207" w:rsidRPr="004E3207" w14:paraId="06116AD3" w14:textId="77777777" w:rsidTr="004E3207">
        <w:trPr>
          <w:trHeight w:val="580"/>
        </w:trPr>
        <w:tc>
          <w:tcPr>
            <w:tcW w:w="1880" w:type="dxa"/>
            <w:hideMark/>
          </w:tcPr>
          <w:p w14:paraId="7C09AF9F" w14:textId="77777777" w:rsidR="004E3207" w:rsidRPr="004E3207" w:rsidRDefault="004E3207">
            <w:pPr>
              <w:rPr>
                <w:rFonts w:cs="Arial"/>
              </w:rPr>
            </w:pPr>
          </w:p>
        </w:tc>
        <w:tc>
          <w:tcPr>
            <w:tcW w:w="2680" w:type="dxa"/>
            <w:hideMark/>
          </w:tcPr>
          <w:p w14:paraId="1AA35F06" w14:textId="77777777" w:rsidR="004E3207" w:rsidRPr="004E3207" w:rsidRDefault="004E3207" w:rsidP="004E3207">
            <w:pPr>
              <w:rPr>
                <w:rFonts w:cs="Arial"/>
              </w:rPr>
            </w:pPr>
            <w:r w:rsidRPr="004E3207">
              <w:rPr>
                <w:rFonts w:cs="Arial"/>
              </w:rPr>
              <w:t>SECURITIES PROCESS DIGITALIZATION</w:t>
            </w:r>
          </w:p>
        </w:tc>
        <w:tc>
          <w:tcPr>
            <w:tcW w:w="2540" w:type="dxa"/>
            <w:hideMark/>
          </w:tcPr>
          <w:p w14:paraId="08813131" w14:textId="77777777" w:rsidR="004E3207" w:rsidRPr="004E3207" w:rsidRDefault="004E3207" w:rsidP="004E3207">
            <w:pPr>
              <w:rPr>
                <w:rFonts w:cs="Arial"/>
              </w:rPr>
            </w:pPr>
            <w:r w:rsidRPr="004E3207">
              <w:rPr>
                <w:rFonts w:cs="Arial"/>
              </w:rPr>
              <w:t>SECURITIES PRODUCT DIGITALIZATION</w:t>
            </w:r>
          </w:p>
        </w:tc>
        <w:tc>
          <w:tcPr>
            <w:tcW w:w="1420" w:type="dxa"/>
            <w:hideMark/>
          </w:tcPr>
          <w:p w14:paraId="5F48C744" w14:textId="77777777" w:rsidR="004E3207" w:rsidRPr="004E3207" w:rsidRDefault="004E3207" w:rsidP="004E3207">
            <w:pPr>
              <w:rPr>
                <w:rFonts w:cs="Arial"/>
              </w:rPr>
            </w:pPr>
            <w:r w:rsidRPr="004E3207">
              <w:rPr>
                <w:rFonts w:cs="Arial"/>
              </w:rPr>
              <w:t>CBDC</w:t>
            </w:r>
          </w:p>
        </w:tc>
      </w:tr>
      <w:tr w:rsidR="004E3207" w:rsidRPr="004E3207" w14:paraId="7726741D" w14:textId="77777777" w:rsidTr="004E3207">
        <w:trPr>
          <w:trHeight w:val="580"/>
        </w:trPr>
        <w:tc>
          <w:tcPr>
            <w:tcW w:w="1880" w:type="dxa"/>
            <w:hideMark/>
          </w:tcPr>
          <w:p w14:paraId="653BE270" w14:textId="77777777" w:rsidR="004E3207" w:rsidRPr="004E3207" w:rsidRDefault="004E3207">
            <w:pPr>
              <w:rPr>
                <w:rFonts w:cs="Arial"/>
              </w:rPr>
            </w:pPr>
            <w:r w:rsidRPr="004E3207">
              <w:rPr>
                <w:rFonts w:cs="Arial"/>
              </w:rPr>
              <w:t>ISSUANCE and PRE-TRADING</w:t>
            </w:r>
          </w:p>
        </w:tc>
        <w:tc>
          <w:tcPr>
            <w:tcW w:w="2680" w:type="dxa"/>
            <w:hideMark/>
          </w:tcPr>
          <w:p w14:paraId="456ACEF5" w14:textId="38C95844" w:rsidR="004E3207" w:rsidRPr="004E3207" w:rsidRDefault="004E3207">
            <w:pPr>
              <w:rPr>
                <w:rFonts w:cs="Arial"/>
              </w:rPr>
            </w:pPr>
            <w:r w:rsidRPr="004E3207">
              <w:rPr>
                <w:rFonts w:cs="Arial"/>
              </w:rPr>
              <w:t>Since 2019 ca</w:t>
            </w:r>
          </w:p>
        </w:tc>
        <w:tc>
          <w:tcPr>
            <w:tcW w:w="2540" w:type="dxa"/>
            <w:hideMark/>
          </w:tcPr>
          <w:p w14:paraId="2D9278E7" w14:textId="58CE0C23" w:rsidR="004E3207" w:rsidRPr="004E3207" w:rsidRDefault="004E3207">
            <w:pPr>
              <w:rPr>
                <w:rFonts w:cs="Arial"/>
              </w:rPr>
            </w:pPr>
            <w:r w:rsidRPr="004E3207">
              <w:rPr>
                <w:rFonts w:cs="Arial"/>
              </w:rPr>
              <w:t>Since 2019 ca</w:t>
            </w:r>
          </w:p>
        </w:tc>
        <w:tc>
          <w:tcPr>
            <w:tcW w:w="1420" w:type="dxa"/>
            <w:hideMark/>
          </w:tcPr>
          <w:p w14:paraId="6734FEF9" w14:textId="77777777" w:rsidR="004E3207" w:rsidRPr="004E3207" w:rsidRDefault="004E3207">
            <w:pPr>
              <w:rPr>
                <w:rFonts w:cs="Arial"/>
              </w:rPr>
            </w:pPr>
            <w:r w:rsidRPr="004E3207">
              <w:rPr>
                <w:rFonts w:cs="Arial"/>
              </w:rPr>
              <w:t>Since 2020</w:t>
            </w:r>
          </w:p>
        </w:tc>
      </w:tr>
      <w:tr w:rsidR="004E3207" w:rsidRPr="004E3207" w14:paraId="75BD6B68" w14:textId="77777777" w:rsidTr="004E3207">
        <w:trPr>
          <w:trHeight w:val="290"/>
        </w:trPr>
        <w:tc>
          <w:tcPr>
            <w:tcW w:w="1880" w:type="dxa"/>
            <w:hideMark/>
          </w:tcPr>
          <w:p w14:paraId="19417EB0" w14:textId="77777777" w:rsidR="004E3207" w:rsidRPr="004E3207" w:rsidRDefault="004E3207">
            <w:pPr>
              <w:rPr>
                <w:rFonts w:cs="Arial"/>
              </w:rPr>
            </w:pPr>
            <w:r w:rsidRPr="004E3207">
              <w:rPr>
                <w:rFonts w:cs="Arial"/>
              </w:rPr>
              <w:t>TRADING</w:t>
            </w:r>
          </w:p>
        </w:tc>
        <w:tc>
          <w:tcPr>
            <w:tcW w:w="2680" w:type="dxa"/>
            <w:hideMark/>
          </w:tcPr>
          <w:p w14:paraId="00A5ED0C" w14:textId="77777777" w:rsidR="004E3207" w:rsidRPr="004E3207" w:rsidRDefault="004E3207">
            <w:pPr>
              <w:rPr>
                <w:rFonts w:cs="Arial"/>
              </w:rPr>
            </w:pPr>
            <w:r w:rsidRPr="004E3207">
              <w:rPr>
                <w:rFonts w:cs="Arial"/>
              </w:rPr>
              <w:t>Since 2019 ca</w:t>
            </w:r>
          </w:p>
        </w:tc>
        <w:tc>
          <w:tcPr>
            <w:tcW w:w="2540" w:type="dxa"/>
            <w:hideMark/>
          </w:tcPr>
          <w:p w14:paraId="7883A74B" w14:textId="524EF276" w:rsidR="004E3207" w:rsidRPr="004E3207" w:rsidRDefault="004E3207">
            <w:pPr>
              <w:rPr>
                <w:rFonts w:cs="Arial"/>
              </w:rPr>
            </w:pPr>
            <w:r w:rsidRPr="004E3207">
              <w:rPr>
                <w:rFonts w:cs="Arial"/>
              </w:rPr>
              <w:t>Since 2019 ca</w:t>
            </w:r>
          </w:p>
        </w:tc>
        <w:tc>
          <w:tcPr>
            <w:tcW w:w="1420" w:type="dxa"/>
            <w:hideMark/>
          </w:tcPr>
          <w:p w14:paraId="6DB5E274" w14:textId="77777777" w:rsidR="004E3207" w:rsidRPr="004E3207" w:rsidRDefault="004E3207">
            <w:pPr>
              <w:rPr>
                <w:rFonts w:cs="Arial"/>
              </w:rPr>
            </w:pPr>
            <w:r w:rsidRPr="004E3207">
              <w:rPr>
                <w:rFonts w:cs="Arial"/>
              </w:rPr>
              <w:t>Since 2020</w:t>
            </w:r>
          </w:p>
        </w:tc>
      </w:tr>
      <w:tr w:rsidR="004E3207" w:rsidRPr="004E3207" w14:paraId="6ED53314" w14:textId="77777777" w:rsidTr="004E3207">
        <w:trPr>
          <w:trHeight w:val="580"/>
        </w:trPr>
        <w:tc>
          <w:tcPr>
            <w:tcW w:w="1880" w:type="dxa"/>
            <w:hideMark/>
          </w:tcPr>
          <w:p w14:paraId="7ECE6AF1" w14:textId="77777777" w:rsidR="004E3207" w:rsidRPr="004E3207" w:rsidRDefault="004E3207">
            <w:pPr>
              <w:rPr>
                <w:rFonts w:cs="Arial"/>
              </w:rPr>
            </w:pPr>
            <w:r w:rsidRPr="004E3207">
              <w:rPr>
                <w:rFonts w:cs="Arial"/>
              </w:rPr>
              <w:t>CLEARING</w:t>
            </w:r>
          </w:p>
        </w:tc>
        <w:tc>
          <w:tcPr>
            <w:tcW w:w="2680" w:type="dxa"/>
            <w:hideMark/>
          </w:tcPr>
          <w:p w14:paraId="4FE98A9F" w14:textId="4195942F" w:rsidR="004E3207" w:rsidRPr="00F34D5C" w:rsidRDefault="004E3207" w:rsidP="00DB684F">
            <w:pPr>
              <w:rPr>
                <w:rFonts w:cs="Arial"/>
                <w:color w:val="FF0000"/>
              </w:rPr>
            </w:pPr>
            <w:r w:rsidRPr="00F34D5C">
              <w:rPr>
                <w:rFonts w:cs="Arial"/>
                <w:color w:val="FF0000"/>
              </w:rPr>
              <w:t>Expected 20</w:t>
            </w:r>
            <w:r w:rsidR="00DB684F" w:rsidRPr="00F34D5C">
              <w:rPr>
                <w:rFonts w:cs="Arial"/>
                <w:color w:val="FF0000"/>
              </w:rPr>
              <w:t>25</w:t>
            </w:r>
            <w:r w:rsidRPr="00F34D5C">
              <w:rPr>
                <w:rFonts w:cs="Arial"/>
                <w:color w:val="FF0000"/>
              </w:rPr>
              <w:t xml:space="preserve"> (ON CHAIN)</w:t>
            </w:r>
          </w:p>
        </w:tc>
        <w:tc>
          <w:tcPr>
            <w:tcW w:w="2540" w:type="dxa"/>
            <w:hideMark/>
          </w:tcPr>
          <w:p w14:paraId="4D77E554" w14:textId="4251B337" w:rsidR="004E3207" w:rsidRPr="00F34D5C" w:rsidRDefault="004E3207" w:rsidP="00DB684F">
            <w:pPr>
              <w:rPr>
                <w:rFonts w:cs="Arial"/>
                <w:color w:val="FF0000"/>
              </w:rPr>
            </w:pPr>
            <w:r w:rsidRPr="00F34D5C">
              <w:rPr>
                <w:rFonts w:cs="Arial"/>
                <w:color w:val="FF0000"/>
              </w:rPr>
              <w:t>Expected 20</w:t>
            </w:r>
            <w:r w:rsidR="00DB684F" w:rsidRPr="00F34D5C">
              <w:rPr>
                <w:rFonts w:cs="Arial"/>
                <w:color w:val="FF0000"/>
              </w:rPr>
              <w:t>25</w:t>
            </w:r>
            <w:r w:rsidRPr="00F34D5C">
              <w:rPr>
                <w:rFonts w:cs="Arial"/>
                <w:color w:val="FF0000"/>
              </w:rPr>
              <w:t xml:space="preserve"> (ON CHAIN)</w:t>
            </w:r>
          </w:p>
        </w:tc>
        <w:tc>
          <w:tcPr>
            <w:tcW w:w="1420" w:type="dxa"/>
            <w:hideMark/>
          </w:tcPr>
          <w:p w14:paraId="0BA5B31E" w14:textId="2008EE9F" w:rsidR="004E3207" w:rsidRPr="004E3207" w:rsidRDefault="004E3207" w:rsidP="00DB684F">
            <w:pPr>
              <w:rPr>
                <w:rFonts w:cs="Arial"/>
              </w:rPr>
            </w:pPr>
            <w:r w:rsidRPr="004E3207">
              <w:rPr>
                <w:rFonts w:cs="Arial"/>
              </w:rPr>
              <w:t>Expected 20</w:t>
            </w:r>
            <w:r w:rsidR="00DB684F">
              <w:rPr>
                <w:rFonts w:cs="Arial"/>
              </w:rPr>
              <w:t>25</w:t>
            </w:r>
          </w:p>
        </w:tc>
      </w:tr>
      <w:tr w:rsidR="004E3207" w:rsidRPr="004E3207" w14:paraId="332F3F25" w14:textId="77777777" w:rsidTr="004E3207">
        <w:trPr>
          <w:trHeight w:val="580"/>
        </w:trPr>
        <w:tc>
          <w:tcPr>
            <w:tcW w:w="1880" w:type="dxa"/>
            <w:hideMark/>
          </w:tcPr>
          <w:p w14:paraId="0415746A" w14:textId="77777777" w:rsidR="004E3207" w:rsidRPr="004E3207" w:rsidRDefault="004E3207">
            <w:pPr>
              <w:rPr>
                <w:rFonts w:cs="Arial"/>
              </w:rPr>
            </w:pPr>
            <w:r w:rsidRPr="004E3207">
              <w:rPr>
                <w:rFonts w:cs="Arial"/>
              </w:rPr>
              <w:t>SETTLEMENT</w:t>
            </w:r>
          </w:p>
        </w:tc>
        <w:tc>
          <w:tcPr>
            <w:tcW w:w="2680" w:type="dxa"/>
            <w:hideMark/>
          </w:tcPr>
          <w:p w14:paraId="461FBA95" w14:textId="3D09D639" w:rsidR="004E3207" w:rsidRPr="004E3207" w:rsidRDefault="004E3207" w:rsidP="00F34D5C">
            <w:pPr>
              <w:rPr>
                <w:rFonts w:cs="Arial"/>
              </w:rPr>
            </w:pPr>
            <w:r w:rsidRPr="004E3207">
              <w:rPr>
                <w:rFonts w:cs="Arial"/>
              </w:rPr>
              <w:t xml:space="preserve">Expected </w:t>
            </w:r>
            <w:r w:rsidR="00F34D5C">
              <w:rPr>
                <w:rFonts w:cs="Arial"/>
              </w:rPr>
              <w:t>2022 OFF CHAIN</w:t>
            </w:r>
            <w:r w:rsidR="00F34D5C" w:rsidRPr="004E3207">
              <w:rPr>
                <w:rFonts w:cs="Arial"/>
              </w:rPr>
              <w:t xml:space="preserve"> </w:t>
            </w:r>
            <w:r w:rsidRPr="004E3207">
              <w:rPr>
                <w:rFonts w:cs="Arial"/>
              </w:rPr>
              <w:t>20</w:t>
            </w:r>
            <w:r w:rsidR="00DB684F">
              <w:rPr>
                <w:rFonts w:cs="Arial"/>
              </w:rPr>
              <w:t xml:space="preserve">25 ON CHAIN, </w:t>
            </w:r>
          </w:p>
        </w:tc>
        <w:tc>
          <w:tcPr>
            <w:tcW w:w="2540" w:type="dxa"/>
            <w:hideMark/>
          </w:tcPr>
          <w:p w14:paraId="4A45C92F" w14:textId="4A7261F2" w:rsidR="004E3207" w:rsidRPr="004E3207" w:rsidRDefault="004E3207" w:rsidP="00F34D5C">
            <w:pPr>
              <w:rPr>
                <w:rFonts w:cs="Arial"/>
              </w:rPr>
            </w:pPr>
            <w:r w:rsidRPr="004E3207">
              <w:rPr>
                <w:rFonts w:cs="Arial"/>
              </w:rPr>
              <w:t>E</w:t>
            </w:r>
            <w:r w:rsidR="00DB684F">
              <w:rPr>
                <w:rFonts w:cs="Arial"/>
              </w:rPr>
              <w:t xml:space="preserve">xpected </w:t>
            </w:r>
            <w:r w:rsidR="00F34D5C">
              <w:rPr>
                <w:rFonts w:cs="Arial"/>
              </w:rPr>
              <w:t xml:space="preserve">2022 OFF CHAIN </w:t>
            </w:r>
            <w:r w:rsidR="00DB684F">
              <w:rPr>
                <w:rFonts w:cs="Arial"/>
              </w:rPr>
              <w:t xml:space="preserve">2025 ON CHAIN </w:t>
            </w:r>
          </w:p>
        </w:tc>
        <w:tc>
          <w:tcPr>
            <w:tcW w:w="1420" w:type="dxa"/>
            <w:hideMark/>
          </w:tcPr>
          <w:p w14:paraId="7243EEDB" w14:textId="089E7279" w:rsidR="004E3207" w:rsidRPr="004E3207" w:rsidRDefault="00DB684F" w:rsidP="00DB684F">
            <w:pPr>
              <w:rPr>
                <w:rFonts w:cs="Arial"/>
              </w:rPr>
            </w:pPr>
            <w:r>
              <w:rPr>
                <w:rFonts w:cs="Arial"/>
              </w:rPr>
              <w:t>Expected 2025</w:t>
            </w:r>
          </w:p>
        </w:tc>
      </w:tr>
    </w:tbl>
    <w:p w14:paraId="73F6367B" w14:textId="77777777" w:rsidR="004E3207" w:rsidRDefault="004E3207" w:rsidP="000317A1">
      <w:pPr>
        <w:rPr>
          <w:rFonts w:cs="Arial"/>
        </w:rPr>
      </w:pPr>
    </w:p>
    <w:p w14:paraId="79CD1488" w14:textId="50121AC9" w:rsidR="004E3207" w:rsidRDefault="004E3207" w:rsidP="000317A1">
      <w:pPr>
        <w:rPr>
          <w:rFonts w:cs="Arial"/>
        </w:rPr>
      </w:pPr>
      <w:r>
        <w:rPr>
          <w:rFonts w:cs="Arial"/>
        </w:rPr>
        <w:t xml:space="preserve">This will imply that in the relative short term, digitalized securities will continue to clear and settle OFF CHAIN, i.e. in traditional € currency as well as in TARGET2 Securities. </w:t>
      </w:r>
    </w:p>
    <w:p w14:paraId="38509DED" w14:textId="78162E64" w:rsidR="004E3207" w:rsidRDefault="002C1BDA" w:rsidP="000317A1">
      <w:pPr>
        <w:rPr>
          <w:rFonts w:cs="Arial"/>
        </w:rPr>
      </w:pPr>
      <w:r>
        <w:rPr>
          <w:rFonts w:cs="Arial"/>
        </w:rPr>
        <w:t>“ON CHAIN</w:t>
      </w:r>
      <w:r w:rsidR="000844EB">
        <w:rPr>
          <w:rFonts w:cs="Arial"/>
        </w:rPr>
        <w:t xml:space="preserve">” settlement </w:t>
      </w:r>
      <w:r>
        <w:rPr>
          <w:rFonts w:cs="Arial"/>
        </w:rPr>
        <w:t>is only likely to be commercially adopted once</w:t>
      </w:r>
      <w:r w:rsidR="000844EB">
        <w:rPr>
          <w:rFonts w:cs="Arial"/>
        </w:rPr>
        <w:t xml:space="preserve"> issues linked to legal certainty and settlement finality of instruments outside T2S will be addressed</w:t>
      </w:r>
      <w:r>
        <w:rPr>
          <w:rFonts w:cs="Arial"/>
        </w:rPr>
        <w:t>.</w:t>
      </w:r>
    </w:p>
    <w:p w14:paraId="2674F9B2" w14:textId="3EB8C69B" w:rsidR="000844EB" w:rsidRDefault="000844EB" w:rsidP="000317A1">
      <w:pPr>
        <w:rPr>
          <w:rFonts w:cs="Arial"/>
        </w:rPr>
      </w:pPr>
      <w:r>
        <w:rPr>
          <w:rFonts w:cs="Arial"/>
        </w:rPr>
        <w:t>Similarly, settlement in Central Bank Dig</w:t>
      </w:r>
      <w:r w:rsidR="00F34D5C">
        <w:rPr>
          <w:rFonts w:cs="Arial"/>
        </w:rPr>
        <w:t xml:space="preserve">ital Currency (CBDC) will see </w:t>
      </w:r>
      <w:r>
        <w:rPr>
          <w:rFonts w:cs="Arial"/>
        </w:rPr>
        <w:t xml:space="preserve">widespread adoption only when </w:t>
      </w:r>
      <w:r w:rsidR="00F34D5C">
        <w:rPr>
          <w:rFonts w:cs="Arial"/>
        </w:rPr>
        <w:t>implemented</w:t>
      </w:r>
      <w:r>
        <w:rPr>
          <w:rFonts w:cs="Arial"/>
        </w:rPr>
        <w:t xml:space="preserve"> by the Eurosystem. </w:t>
      </w:r>
      <w:r w:rsidR="002144B0">
        <w:rPr>
          <w:rFonts w:cs="Arial"/>
        </w:rPr>
        <w:t xml:space="preserve">The most recent Eurosystem publication </w:t>
      </w:r>
      <w:r w:rsidR="00F34D5C">
        <w:rPr>
          <w:rFonts w:cs="Arial"/>
        </w:rPr>
        <w:t>seems to indicate that digital E</w:t>
      </w:r>
      <w:r w:rsidR="002144B0">
        <w:rPr>
          <w:rFonts w:cs="Arial"/>
        </w:rPr>
        <w:t xml:space="preserve">uro (D€) will be a conventional representation of a collateral placed on the T2 account of authorised intermediaries, and not a real bitcoin. </w:t>
      </w:r>
    </w:p>
    <w:p w14:paraId="63E178B5" w14:textId="07803103" w:rsidR="004E3207" w:rsidRPr="000317A1" w:rsidRDefault="002144B0" w:rsidP="000317A1">
      <w:pPr>
        <w:rPr>
          <w:rFonts w:cs="Arial"/>
        </w:rPr>
      </w:pPr>
      <w:r>
        <w:rPr>
          <w:rFonts w:cs="Arial"/>
        </w:rPr>
        <w:t xml:space="preserve">On that point, we are </w:t>
      </w:r>
      <w:r w:rsidR="003E74CA">
        <w:rPr>
          <w:rFonts w:cs="Arial"/>
        </w:rPr>
        <w:t>sceptic</w:t>
      </w:r>
      <w:r w:rsidR="000844EB">
        <w:rPr>
          <w:rFonts w:cs="Arial"/>
        </w:rPr>
        <w:t xml:space="preserve"> on the fact that a non-regulated digital currency</w:t>
      </w:r>
      <w:r>
        <w:rPr>
          <w:rFonts w:cs="Arial"/>
        </w:rPr>
        <w:t xml:space="preserve"> </w:t>
      </w:r>
      <w:r w:rsidR="000844EB">
        <w:rPr>
          <w:rFonts w:cs="Arial"/>
        </w:rPr>
        <w:t>would</w:t>
      </w:r>
      <w:r>
        <w:rPr>
          <w:rFonts w:cs="Arial"/>
        </w:rPr>
        <w:t xml:space="preserve"> ever have a widespread adoption in the EU, </w:t>
      </w:r>
      <w:r w:rsidR="00707081">
        <w:rPr>
          <w:rFonts w:cs="Arial"/>
        </w:rPr>
        <w:t xml:space="preserve">unless fully backed/collateralised such as the </w:t>
      </w:r>
      <w:r>
        <w:rPr>
          <w:rFonts w:cs="Arial"/>
        </w:rPr>
        <w:t>USC from Fnality or Steblecoins</w:t>
      </w:r>
      <w:r w:rsidR="00707081">
        <w:rPr>
          <w:rFonts w:cs="Arial"/>
        </w:rPr>
        <w:t xml:space="preserve"> </w:t>
      </w:r>
      <w:r w:rsidR="000844EB">
        <w:rPr>
          <w:rFonts w:cs="Arial"/>
        </w:rPr>
        <w:t>as its use would go against the reduction the operational risk (in this case currency risk) that the digital technology itself aims at intr</w:t>
      </w:r>
      <w:r>
        <w:rPr>
          <w:rFonts w:cs="Arial"/>
        </w:rPr>
        <w:t>oducing.</w:t>
      </w:r>
    </w:p>
    <w:permEnd w:id="412029462"/>
    <w:p w14:paraId="49125775" w14:textId="483762D3" w:rsidR="00A41C15" w:rsidRPr="00A41C15" w:rsidRDefault="00A41C15">
      <w:pPr>
        <w:rPr>
          <w:rFonts w:cs="Arial"/>
        </w:rPr>
      </w:pPr>
      <w:r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4C511089" w14:textId="47FB21D2" w:rsidR="000844EB" w:rsidRDefault="000844EB">
      <w:pPr>
        <w:rPr>
          <w:rFonts w:cs="Arial"/>
        </w:rPr>
      </w:pPr>
      <w:permStart w:id="550195526" w:edGrp="everyone"/>
      <w:r>
        <w:rPr>
          <w:rFonts w:cs="Arial"/>
        </w:rPr>
        <w:t xml:space="preserve">It is </w:t>
      </w:r>
      <w:r w:rsidR="00F32EB8">
        <w:rPr>
          <w:rFonts w:cs="Arial"/>
        </w:rPr>
        <w:t xml:space="preserve">correct to state </w:t>
      </w:r>
      <w:r>
        <w:rPr>
          <w:rFonts w:cs="Arial"/>
        </w:rPr>
        <w:t xml:space="preserve">that the history of financial services has seen </w:t>
      </w:r>
      <w:r w:rsidR="00DC07FF">
        <w:rPr>
          <w:rFonts w:cs="Arial"/>
        </w:rPr>
        <w:t>in</w:t>
      </w:r>
      <w:r w:rsidR="00F32EB8">
        <w:rPr>
          <w:rFonts w:cs="Arial"/>
        </w:rPr>
        <w:t>itially</w:t>
      </w:r>
      <w:r w:rsidR="00DC07FF">
        <w:rPr>
          <w:rFonts w:cs="Arial"/>
        </w:rPr>
        <w:t xml:space="preserve"> </w:t>
      </w:r>
      <w:r>
        <w:rPr>
          <w:rFonts w:cs="Arial"/>
        </w:rPr>
        <w:t xml:space="preserve">the development of legacy non-standard systems that for several decades have powered the banks and the FMIs of this </w:t>
      </w:r>
      <w:r w:rsidR="00DC07FF">
        <w:rPr>
          <w:rFonts w:cs="Arial"/>
        </w:rPr>
        <w:t>world</w:t>
      </w:r>
      <w:r>
        <w:rPr>
          <w:rFonts w:cs="Arial"/>
        </w:rPr>
        <w:t xml:space="preserve">. </w:t>
      </w:r>
    </w:p>
    <w:p w14:paraId="6606FA89" w14:textId="18B6589A" w:rsidR="00DC07FF" w:rsidRDefault="000844EB">
      <w:pPr>
        <w:rPr>
          <w:rFonts w:cs="Arial"/>
        </w:rPr>
      </w:pPr>
      <w:r>
        <w:rPr>
          <w:rFonts w:cs="Arial"/>
        </w:rPr>
        <w:lastRenderedPageBreak/>
        <w:t xml:space="preserve">It is also </w:t>
      </w:r>
      <w:r w:rsidR="00BA45A6">
        <w:rPr>
          <w:rFonts w:cs="Arial"/>
        </w:rPr>
        <w:t xml:space="preserve">correct to identify </w:t>
      </w:r>
      <w:r>
        <w:rPr>
          <w:rFonts w:cs="Arial"/>
        </w:rPr>
        <w:t>that a second phase (whose start may vary depending on the fact that we speak of credit institutions or market infrastructures) has seen</w:t>
      </w:r>
      <w:r w:rsidR="00BA45A6">
        <w:rPr>
          <w:rFonts w:cs="Arial"/>
        </w:rPr>
        <w:t xml:space="preserve"> the introduction of </w:t>
      </w:r>
      <w:r w:rsidR="00DC07FF">
        <w:rPr>
          <w:rFonts w:cs="Arial"/>
        </w:rPr>
        <w:t xml:space="preserve"> </w:t>
      </w:r>
      <w:r w:rsidR="00BA45A6">
        <w:rPr>
          <w:rFonts w:cs="Arial"/>
        </w:rPr>
        <w:t xml:space="preserve">a </w:t>
      </w:r>
      <w:r>
        <w:rPr>
          <w:rFonts w:cs="Arial"/>
        </w:rPr>
        <w:t xml:space="preserve">significant number of technology vendors </w:t>
      </w:r>
      <w:r w:rsidR="00BA45A6">
        <w:rPr>
          <w:rFonts w:cs="Arial"/>
        </w:rPr>
        <w:t xml:space="preserve">and fintechs </w:t>
      </w:r>
      <w:r>
        <w:rPr>
          <w:rFonts w:cs="Arial"/>
        </w:rPr>
        <w:t>which has</w:t>
      </w:r>
      <w:r w:rsidR="00DC07FF">
        <w:rPr>
          <w:rFonts w:cs="Arial"/>
        </w:rPr>
        <w:t xml:space="preserve"> led </w:t>
      </w:r>
      <w:r>
        <w:rPr>
          <w:rFonts w:cs="Arial"/>
        </w:rPr>
        <w:t>to the introduction</w:t>
      </w:r>
      <w:r w:rsidR="00DC07FF">
        <w:rPr>
          <w:rFonts w:cs="Arial"/>
        </w:rPr>
        <w:t xml:space="preserve"> of more standardized </w:t>
      </w:r>
      <w:r w:rsidR="00BA45A6">
        <w:rPr>
          <w:rFonts w:cs="Arial"/>
        </w:rPr>
        <w:t xml:space="preserve">and efficient </w:t>
      </w:r>
      <w:r w:rsidR="00DC07FF">
        <w:rPr>
          <w:rFonts w:cs="Arial"/>
        </w:rPr>
        <w:t xml:space="preserve">processes. </w:t>
      </w:r>
    </w:p>
    <w:p w14:paraId="7D2020EF" w14:textId="280F2293" w:rsidR="00A41C15" w:rsidRPr="00A41C15" w:rsidRDefault="00BA45A6">
      <w:pPr>
        <w:rPr>
          <w:rFonts w:cs="Arial"/>
        </w:rPr>
      </w:pPr>
      <w:r>
        <w:rPr>
          <w:rFonts w:cs="Arial"/>
        </w:rPr>
        <w:t>But what we see</w:t>
      </w:r>
      <w:r w:rsidR="00DC07FF">
        <w:rPr>
          <w:rFonts w:cs="Arial"/>
        </w:rPr>
        <w:t xml:space="preserve"> now is another and more dramatic step in handling technology. Outsourcing has become an increasingly frequent practice due to the increased complexity of technology and the willingness to balance IT risk. It is now frequently the case that market operators estimate the risk of outsourcing as lower than the risk of not managing correctly the technology, and that establishing an appropriate legal framework for the outsourcing appears a solution to reduce overall the corporate risk.</w:t>
      </w:r>
    </w:p>
    <w:permEnd w:id="550195526"/>
    <w:p w14:paraId="2F8FCE28" w14:textId="71784A63" w:rsidR="00A41C15" w:rsidRPr="00A41C15" w:rsidRDefault="00A41C15">
      <w:pPr>
        <w:rPr>
          <w:rFonts w:cs="Arial"/>
        </w:rPr>
      </w:pPr>
      <w:r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71F9B8BA" w14:textId="77777777" w:rsidR="007605B9" w:rsidRPr="00865133" w:rsidRDefault="007605B9" w:rsidP="007605B9">
      <w:pPr>
        <w:pStyle w:val="ListParagraph"/>
        <w:numPr>
          <w:ilvl w:val="0"/>
          <w:numId w:val="25"/>
        </w:numPr>
        <w:rPr>
          <w:rFonts w:cs="Arial"/>
          <w:lang w:val="en-US"/>
        </w:rPr>
      </w:pPr>
      <w:permStart w:id="1103772276" w:edGrp="everyone"/>
      <w:r w:rsidRPr="00865133">
        <w:rPr>
          <w:rFonts w:cs="Arial"/>
          <w:b/>
          <w:lang w:val="en-US"/>
        </w:rPr>
        <w:t>Atos</w:t>
      </w:r>
      <w:r w:rsidRPr="00865133">
        <w:rPr>
          <w:rFonts w:cs="Arial"/>
          <w:lang w:val="en-US"/>
        </w:rPr>
        <w:t>, an international IT services company, Atos supply systems integration and managed services for LCH.Clearnet's core clearing business activity with the UCS (Universal Clearing and Settlement System) solution. Atos also provide hosting of the applications in its own data centres, as well as application and production management.</w:t>
      </w:r>
    </w:p>
    <w:p w14:paraId="1430A186" w14:textId="77777777" w:rsidR="007605B9" w:rsidRPr="00865133" w:rsidRDefault="007605B9" w:rsidP="007605B9">
      <w:pPr>
        <w:pStyle w:val="ListParagraph"/>
        <w:numPr>
          <w:ilvl w:val="0"/>
          <w:numId w:val="25"/>
        </w:numPr>
        <w:rPr>
          <w:rFonts w:cs="Arial"/>
          <w:lang w:val="en-US"/>
        </w:rPr>
      </w:pPr>
      <w:r w:rsidRPr="00865133">
        <w:rPr>
          <w:rFonts w:cs="Arial"/>
          <w:b/>
          <w:lang w:val="en-US"/>
        </w:rPr>
        <w:t>Sopra Steria,</w:t>
      </w:r>
      <w:r w:rsidRPr="00865133">
        <w:rPr>
          <w:rFonts w:cs="Arial"/>
          <w:lang w:val="en-US"/>
        </w:rPr>
        <w:t xml:space="preserve"> a European leader in consulting, digital services and software development, helps its clients drive their digital transformation to obtain tangible and sustainable benefits. It provides end-to-end solutions to make large companies and organisations more competitive by combining in-depth knowledge of a wide range of business sectors and innovative technologies with a fully collaborative approach.Sopra provide a full solution for market pricing management and a customised solution for collateral management.</w:t>
      </w:r>
    </w:p>
    <w:permEnd w:id="1103772276"/>
    <w:p w14:paraId="4924A00B" w14:textId="6F9C95DC"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7CE15B28" w14:textId="77777777" w:rsidR="007605B9" w:rsidRDefault="007605B9" w:rsidP="007605B9">
      <w:pPr>
        <w:pStyle w:val="Subtitle"/>
        <w:rPr>
          <w:rFonts w:cs="Arial"/>
          <w:szCs w:val="20"/>
        </w:rPr>
      </w:pPr>
      <w:permStart w:id="1452881685" w:edGrp="everyone"/>
      <w:r>
        <w:rPr>
          <w:rFonts w:cs="Arial"/>
          <w:szCs w:val="20"/>
        </w:rPr>
        <w:t>Orange Cyberdefense (OCD)</w:t>
      </w:r>
    </w:p>
    <w:p w14:paraId="6C7312E7" w14:textId="77777777" w:rsidR="007605B9" w:rsidRPr="00E2035F" w:rsidRDefault="007605B9" w:rsidP="007605B9">
      <w:pPr>
        <w:jc w:val="both"/>
        <w:rPr>
          <w:rFonts w:cs="Arial"/>
        </w:rPr>
      </w:pPr>
      <w:r w:rsidRPr="00E2035F">
        <w:rPr>
          <w:rFonts w:cs="Arial"/>
        </w:rPr>
        <w:t>OCD is the expert cybersecurity business unit of the Orange Group, providing managed security, managed threat detection and response services to organisations around the globe. As Europe’s go-to security provider, OCD strives to protect freedom and builds a safer digital society.</w:t>
      </w:r>
    </w:p>
    <w:p w14:paraId="15A90E0C" w14:textId="77777777" w:rsidR="007605B9" w:rsidRPr="00E2035F" w:rsidRDefault="007605B9" w:rsidP="007605B9">
      <w:pPr>
        <w:jc w:val="both"/>
        <w:rPr>
          <w:rFonts w:cs="Arial"/>
        </w:rPr>
      </w:pPr>
      <w:r w:rsidRPr="00E2035F">
        <w:rPr>
          <w:rFonts w:cs="Arial"/>
        </w:rPr>
        <w:lastRenderedPageBreak/>
        <w:t>OCD is powered by a strong combination of artificial and human intelligence-driven solutions. Its division of OBS (Orange Business Services ) offers unparalleled access and insight to current and emerging cyber threats. With a 25+ year track record in information security, 250+ researchers and analysts and 16 SOCs distributed across the world and sales and services support in 160 countries, OCD offers global protection with local expertise and provides support services to customers throughout the entire threat lifecycle.</w:t>
      </w:r>
    </w:p>
    <w:p w14:paraId="118CAC04" w14:textId="77777777" w:rsidR="007605B9" w:rsidRPr="00E2035F" w:rsidRDefault="007605B9" w:rsidP="007605B9">
      <w:pPr>
        <w:jc w:val="both"/>
        <w:rPr>
          <w:rFonts w:cs="Arial"/>
        </w:rPr>
      </w:pPr>
      <w:r w:rsidRPr="00E2035F">
        <w:rPr>
          <w:rFonts w:cs="Arial"/>
        </w:rPr>
        <w:t xml:space="preserve">OCD embeds security into Orange Business Services solutions for multinationals worldwide. </w:t>
      </w:r>
    </w:p>
    <w:p w14:paraId="5CAFDE22" w14:textId="77777777" w:rsidR="007605B9" w:rsidRPr="00E2035F" w:rsidRDefault="007605B9" w:rsidP="007605B9">
      <w:pPr>
        <w:jc w:val="both"/>
        <w:rPr>
          <w:rFonts w:cs="Arial"/>
        </w:rPr>
      </w:pPr>
      <w:r w:rsidRPr="00E2035F">
        <w:rPr>
          <w:rFonts w:cs="Arial"/>
        </w:rPr>
        <w:t>Overall OCD has the following:</w:t>
      </w:r>
    </w:p>
    <w:p w14:paraId="61E99F88" w14:textId="77777777" w:rsidR="007605B9" w:rsidRPr="00E2035F" w:rsidRDefault="007605B9" w:rsidP="007605B9">
      <w:pPr>
        <w:pStyle w:val="ListParagraph"/>
        <w:numPr>
          <w:ilvl w:val="0"/>
          <w:numId w:val="26"/>
        </w:numPr>
        <w:shd w:val="clear" w:color="auto" w:fill="auto"/>
        <w:spacing w:after="200" w:line="276" w:lineRule="auto"/>
        <w:contextualSpacing/>
        <w:rPr>
          <w:rFonts w:cs="Arial"/>
          <w:sz w:val="20"/>
        </w:rPr>
      </w:pPr>
      <w:r w:rsidRPr="00E2035F">
        <w:rPr>
          <w:rFonts w:cs="Arial"/>
          <w:sz w:val="20"/>
        </w:rPr>
        <w:t>25+ Years track record in information security</w:t>
      </w:r>
    </w:p>
    <w:p w14:paraId="5A9A14CC" w14:textId="77777777" w:rsidR="007605B9" w:rsidRPr="00E2035F" w:rsidRDefault="007605B9" w:rsidP="007605B9">
      <w:pPr>
        <w:pStyle w:val="ListParagraph"/>
        <w:numPr>
          <w:ilvl w:val="0"/>
          <w:numId w:val="26"/>
        </w:numPr>
        <w:shd w:val="clear" w:color="auto" w:fill="auto"/>
        <w:spacing w:after="200" w:line="276" w:lineRule="auto"/>
        <w:contextualSpacing/>
        <w:rPr>
          <w:rFonts w:cs="Arial"/>
          <w:sz w:val="20"/>
        </w:rPr>
      </w:pPr>
      <w:r w:rsidRPr="00E2035F">
        <w:rPr>
          <w:rFonts w:cs="Arial"/>
          <w:sz w:val="20"/>
        </w:rPr>
        <w:t>50+ high end security researchers and penetration testers</w:t>
      </w:r>
    </w:p>
    <w:p w14:paraId="641CC1A1" w14:textId="77777777" w:rsidR="007605B9" w:rsidRPr="00E2035F" w:rsidRDefault="007605B9" w:rsidP="007605B9">
      <w:pPr>
        <w:pStyle w:val="ListParagraph"/>
        <w:numPr>
          <w:ilvl w:val="0"/>
          <w:numId w:val="26"/>
        </w:numPr>
        <w:shd w:val="clear" w:color="auto" w:fill="auto"/>
        <w:spacing w:after="200" w:line="276" w:lineRule="auto"/>
        <w:contextualSpacing/>
        <w:rPr>
          <w:rFonts w:cs="Arial"/>
          <w:sz w:val="20"/>
        </w:rPr>
      </w:pPr>
      <w:r w:rsidRPr="00E2035F">
        <w:rPr>
          <w:rFonts w:cs="Arial"/>
          <w:sz w:val="20"/>
        </w:rPr>
        <w:t>24x7x365 UK-based SOC and 3 UK data centres</w:t>
      </w:r>
    </w:p>
    <w:p w14:paraId="3E3D306E" w14:textId="77777777" w:rsidR="007605B9" w:rsidRPr="00E2035F" w:rsidRDefault="007605B9" w:rsidP="007605B9">
      <w:pPr>
        <w:pStyle w:val="ListParagraph"/>
        <w:numPr>
          <w:ilvl w:val="0"/>
          <w:numId w:val="26"/>
        </w:numPr>
        <w:shd w:val="clear" w:color="auto" w:fill="auto"/>
        <w:spacing w:after="200" w:line="276" w:lineRule="auto"/>
        <w:contextualSpacing/>
        <w:rPr>
          <w:rFonts w:cs="Arial"/>
          <w:sz w:val="20"/>
        </w:rPr>
      </w:pPr>
      <w:r w:rsidRPr="00E2035F">
        <w:rPr>
          <w:rFonts w:cs="Arial"/>
          <w:sz w:val="20"/>
        </w:rPr>
        <w:t>7000+ managed devices across 6 continents</w:t>
      </w:r>
    </w:p>
    <w:p w14:paraId="4C77B7DD" w14:textId="77777777" w:rsidR="007605B9" w:rsidRPr="00E2035F" w:rsidRDefault="007605B9" w:rsidP="007605B9">
      <w:pPr>
        <w:pStyle w:val="ListParagraph"/>
        <w:numPr>
          <w:ilvl w:val="0"/>
          <w:numId w:val="26"/>
        </w:numPr>
        <w:shd w:val="clear" w:color="auto" w:fill="auto"/>
        <w:spacing w:after="200" w:line="276" w:lineRule="auto"/>
        <w:contextualSpacing/>
        <w:rPr>
          <w:rFonts w:cs="Arial"/>
          <w:sz w:val="20"/>
        </w:rPr>
      </w:pPr>
      <w:r w:rsidRPr="00E2035F">
        <w:rPr>
          <w:rFonts w:cs="Arial"/>
          <w:sz w:val="20"/>
        </w:rPr>
        <w:t>90% identified threats before having an impact on services.*</w:t>
      </w:r>
    </w:p>
    <w:p w14:paraId="27D57333" w14:textId="77777777" w:rsidR="007605B9" w:rsidRPr="00E2035F" w:rsidRDefault="007605B9" w:rsidP="007605B9">
      <w:pPr>
        <w:jc w:val="both"/>
        <w:rPr>
          <w:rFonts w:cs="Arial"/>
        </w:rPr>
      </w:pPr>
      <w:r w:rsidRPr="00E2035F">
        <w:rPr>
          <w:rFonts w:cs="Arial"/>
        </w:rPr>
        <w:t>ID2S uses a range of OCD’s products and offers such as:</w:t>
      </w:r>
    </w:p>
    <w:p w14:paraId="42B1442B" w14:textId="77777777" w:rsidR="007605B9" w:rsidRPr="00E2035F" w:rsidRDefault="007605B9" w:rsidP="007605B9">
      <w:pPr>
        <w:pStyle w:val="NoSpacing"/>
        <w:numPr>
          <w:ilvl w:val="0"/>
          <w:numId w:val="27"/>
        </w:numPr>
        <w:jc w:val="both"/>
        <w:rPr>
          <w:rFonts w:cs="Arial"/>
        </w:rPr>
      </w:pPr>
      <w:r w:rsidRPr="00E2035F">
        <w:rPr>
          <w:rFonts w:cs="Arial"/>
        </w:rPr>
        <w:t>Security Information and Event Management (SIEM);</w:t>
      </w:r>
    </w:p>
    <w:p w14:paraId="2590FAE4" w14:textId="77777777" w:rsidR="007605B9" w:rsidRPr="00E2035F" w:rsidRDefault="007605B9" w:rsidP="007605B9">
      <w:pPr>
        <w:pStyle w:val="NoSpacing"/>
        <w:numPr>
          <w:ilvl w:val="0"/>
          <w:numId w:val="27"/>
        </w:numPr>
        <w:jc w:val="both"/>
        <w:rPr>
          <w:rFonts w:cs="Arial"/>
        </w:rPr>
      </w:pPr>
      <w:r w:rsidRPr="00E2035F">
        <w:rPr>
          <w:rFonts w:cs="Arial"/>
        </w:rPr>
        <w:t>Monthly vulnerability scanning;</w:t>
      </w:r>
    </w:p>
    <w:p w14:paraId="45F5CB6E" w14:textId="77777777" w:rsidR="007605B9" w:rsidRPr="00E2035F" w:rsidRDefault="007605B9" w:rsidP="007605B9">
      <w:pPr>
        <w:pStyle w:val="NoSpacing"/>
        <w:numPr>
          <w:ilvl w:val="0"/>
          <w:numId w:val="27"/>
        </w:numPr>
        <w:jc w:val="both"/>
        <w:rPr>
          <w:rFonts w:cs="Arial"/>
        </w:rPr>
      </w:pPr>
      <w:r w:rsidRPr="00E2035F">
        <w:rPr>
          <w:rFonts w:cs="Arial"/>
        </w:rPr>
        <w:t>Intrusion Detection System (IDS);</w:t>
      </w:r>
    </w:p>
    <w:p w14:paraId="018A0332" w14:textId="77777777" w:rsidR="007605B9" w:rsidRPr="00E2035F" w:rsidRDefault="007605B9" w:rsidP="007605B9">
      <w:pPr>
        <w:pStyle w:val="NoSpacing"/>
        <w:numPr>
          <w:ilvl w:val="0"/>
          <w:numId w:val="27"/>
        </w:numPr>
        <w:jc w:val="both"/>
        <w:rPr>
          <w:rFonts w:cs="Arial"/>
        </w:rPr>
      </w:pPr>
      <w:r w:rsidRPr="00E2035F">
        <w:rPr>
          <w:rFonts w:cs="Arial"/>
        </w:rPr>
        <w:t>Secured Gateway and managed Firewall infrastructure;</w:t>
      </w:r>
    </w:p>
    <w:p w14:paraId="26A94C8A" w14:textId="77777777" w:rsidR="007605B9" w:rsidRPr="00E2035F" w:rsidRDefault="007605B9" w:rsidP="007605B9">
      <w:pPr>
        <w:pStyle w:val="NoSpacing"/>
        <w:numPr>
          <w:ilvl w:val="0"/>
          <w:numId w:val="27"/>
        </w:numPr>
        <w:jc w:val="both"/>
        <w:rPr>
          <w:rFonts w:cs="Arial"/>
        </w:rPr>
      </w:pPr>
      <w:r w:rsidRPr="00E2035F">
        <w:rPr>
          <w:rFonts w:cs="Arial"/>
        </w:rPr>
        <w:t xml:space="preserve">Distributed Denial of Service (DDOS) protection; </w:t>
      </w:r>
    </w:p>
    <w:p w14:paraId="47EA0687" w14:textId="77777777" w:rsidR="007605B9" w:rsidRPr="00E2035F" w:rsidRDefault="007605B9" w:rsidP="007605B9">
      <w:pPr>
        <w:pStyle w:val="NoSpacing"/>
        <w:numPr>
          <w:ilvl w:val="0"/>
          <w:numId w:val="27"/>
        </w:numPr>
        <w:jc w:val="both"/>
        <w:rPr>
          <w:rFonts w:cs="Arial"/>
        </w:rPr>
      </w:pPr>
      <w:r w:rsidRPr="00E2035F">
        <w:rPr>
          <w:rFonts w:cs="Arial"/>
        </w:rPr>
        <w:t>IP filtering;</w:t>
      </w:r>
    </w:p>
    <w:p w14:paraId="78093774" w14:textId="77777777" w:rsidR="007605B9" w:rsidRPr="00E2035F" w:rsidRDefault="007605B9" w:rsidP="007605B9">
      <w:pPr>
        <w:pStyle w:val="NoSpacing"/>
        <w:numPr>
          <w:ilvl w:val="0"/>
          <w:numId w:val="27"/>
        </w:numPr>
        <w:jc w:val="both"/>
        <w:rPr>
          <w:rFonts w:cs="Arial"/>
        </w:rPr>
      </w:pPr>
      <w:r w:rsidRPr="00E2035F">
        <w:rPr>
          <w:rFonts w:cs="Arial"/>
        </w:rPr>
        <w:t>Web Application service Guardian (WAF);</w:t>
      </w:r>
    </w:p>
    <w:p w14:paraId="14A14D89" w14:textId="77777777" w:rsidR="007605B9" w:rsidRPr="00E2035F" w:rsidRDefault="007605B9" w:rsidP="007605B9">
      <w:pPr>
        <w:pStyle w:val="NoSpacing"/>
        <w:numPr>
          <w:ilvl w:val="0"/>
          <w:numId w:val="27"/>
        </w:numPr>
        <w:jc w:val="both"/>
        <w:rPr>
          <w:rFonts w:cs="Arial"/>
        </w:rPr>
      </w:pPr>
      <w:r w:rsidRPr="00E2035F">
        <w:rPr>
          <w:rFonts w:cs="Arial"/>
        </w:rPr>
        <w:t>OS and middleware hardening;</w:t>
      </w:r>
    </w:p>
    <w:p w14:paraId="0B2845EF" w14:textId="77777777" w:rsidR="007605B9" w:rsidRPr="00E2035F" w:rsidRDefault="007605B9" w:rsidP="007605B9">
      <w:pPr>
        <w:pStyle w:val="NoSpacing"/>
        <w:numPr>
          <w:ilvl w:val="0"/>
          <w:numId w:val="27"/>
        </w:numPr>
        <w:jc w:val="both"/>
        <w:rPr>
          <w:rFonts w:cs="Arial"/>
        </w:rPr>
      </w:pPr>
      <w:r w:rsidRPr="00E2035F">
        <w:rPr>
          <w:rFonts w:cs="Arial"/>
        </w:rPr>
        <w:t>Antivirus; and</w:t>
      </w:r>
    </w:p>
    <w:p w14:paraId="230F880A" w14:textId="77777777" w:rsidR="007605B9" w:rsidRPr="00E2035F" w:rsidRDefault="007605B9" w:rsidP="007605B9">
      <w:pPr>
        <w:pStyle w:val="NoSpacing"/>
        <w:numPr>
          <w:ilvl w:val="0"/>
          <w:numId w:val="27"/>
        </w:numPr>
        <w:jc w:val="both"/>
        <w:rPr>
          <w:rFonts w:cs="Arial"/>
        </w:rPr>
      </w:pPr>
      <w:r w:rsidRPr="00E2035F">
        <w:rPr>
          <w:rFonts w:cs="Arial"/>
        </w:rPr>
        <w:t>Two-factor authentication.</w:t>
      </w:r>
    </w:p>
    <w:permEnd w:id="1452881685"/>
    <w:p w14:paraId="26ACF3DA" w14:textId="12FDCFAF"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r w:rsidRPr="00A41C15">
        <w:rPr>
          <w:rFonts w:cs="Arial"/>
        </w:rPr>
        <w:t>&lt;ESMA_QUESTION_DCFE_6&gt;</w:t>
      </w:r>
    </w:p>
    <w:p w14:paraId="33788E2B" w14:textId="3394DBE8" w:rsidR="00A41C15" w:rsidRPr="00A41C15" w:rsidRDefault="00BA45A6">
      <w:pPr>
        <w:rPr>
          <w:rFonts w:cs="Arial"/>
        </w:rPr>
      </w:pPr>
      <w:permStart w:id="82212871" w:edGrp="everyone"/>
      <w:r>
        <w:rPr>
          <w:rFonts w:cs="Arial"/>
        </w:rPr>
        <w:t xml:space="preserve">You can observe many examples of unregulated trading platforms, pre-trade / origination platforms, post-trade and middle office service platforms that all impact the value chain, and as a result collect, use and disseminate financial market data. </w:t>
      </w:r>
      <w:r w:rsidR="00613721">
        <w:rPr>
          <w:rFonts w:cs="Arial"/>
        </w:rPr>
        <w:t>However, extending this to specific data service providers whose value proposition is based around the collection of an increasing wider set of financial market data, forming part of the move towards the provision of big data, does change the overall risk profile. Data service providers operate (largely) on an unregulated and unsupervised basis, yet as a source of big data us</w:t>
      </w:r>
      <w:r w:rsidR="00BF287E">
        <w:rPr>
          <w:rFonts w:cs="Arial"/>
        </w:rPr>
        <w:t>ed by many regulated entities (B</w:t>
      </w:r>
      <w:r w:rsidR="00613721">
        <w:rPr>
          <w:rFonts w:cs="Arial"/>
        </w:rPr>
        <w:t xml:space="preserve">anks, CSDs, </w:t>
      </w:r>
      <w:r w:rsidR="00BF287E">
        <w:rPr>
          <w:rFonts w:cs="Arial"/>
        </w:rPr>
        <w:t>CCPs, …), an increasing reliance must be placed on ensuring that the data source is not subject to inadequate data governance, mismanagement of data, poor quality and inaccurate data, poorly structured / organised or even corrupted data, or data that may fall outside of applicable data privacy rules. Rarely is adequate due diligence carried out the sources of big data</w:t>
      </w:r>
      <w:r w:rsidR="00796BC8">
        <w:rPr>
          <w:rFonts w:cs="Arial"/>
        </w:rPr>
        <w:t xml:space="preserve">, yet this very data is increasingly used to support new technology applications involving AI, advanced analytics, and DLT (as examples) where key financial decisions are made on the basis of the accuracy and validity of underlying data. </w:t>
      </w:r>
      <w:r w:rsidR="00BF287E">
        <w:rPr>
          <w:rFonts w:cs="Arial"/>
        </w:rPr>
        <w:t xml:space="preserve">   </w:t>
      </w:r>
      <w:r w:rsidR="00613721">
        <w:rPr>
          <w:rFonts w:cs="Arial"/>
        </w:rPr>
        <w:t xml:space="preserve"> </w:t>
      </w:r>
    </w:p>
    <w:permEnd w:id="82212871"/>
    <w:p w14:paraId="71A0B66D" w14:textId="77C1C86C"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lastRenderedPageBreak/>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11E66393" w14:textId="4D0749AF" w:rsidR="00943350" w:rsidRPr="00317D73" w:rsidRDefault="00E50D43" w:rsidP="003B2B61">
      <w:pPr>
        <w:rPr>
          <w:rFonts w:cs="Arial"/>
        </w:rPr>
      </w:pPr>
      <w:permStart w:id="208669876" w:edGrp="everyone"/>
      <w:r w:rsidRPr="00317D73">
        <w:rPr>
          <w:rFonts w:cs="Arial"/>
        </w:rPr>
        <w:t xml:space="preserve">Changes in the value </w:t>
      </w:r>
      <w:r w:rsidR="00502E23" w:rsidRPr="00502E23">
        <w:rPr>
          <w:rFonts w:cs="Arial"/>
        </w:rPr>
        <w:t>chain</w:t>
      </w:r>
      <w:r w:rsidR="00502E23">
        <w:rPr>
          <w:rFonts w:cs="Arial"/>
        </w:rPr>
        <w:t xml:space="preserve"> </w:t>
      </w:r>
      <w:r w:rsidRPr="00317D73">
        <w:rPr>
          <w:rFonts w:cs="Arial"/>
        </w:rPr>
        <w:t xml:space="preserve">should be read as a positive sign of evolution of the financial services industry, with technology fostering more competition, more efficiency, reduced costs and risks. </w:t>
      </w:r>
    </w:p>
    <w:p w14:paraId="1FC79D65" w14:textId="39D05394" w:rsidR="00943350" w:rsidRPr="00317D73" w:rsidRDefault="00E50D43" w:rsidP="003B2B61">
      <w:pPr>
        <w:rPr>
          <w:rFonts w:cs="Arial"/>
        </w:rPr>
      </w:pPr>
      <w:r w:rsidRPr="00317D73">
        <w:rPr>
          <w:rFonts w:cs="Arial"/>
        </w:rPr>
        <w:t>ID2S is the forerunner amongst the European FMIs that not only adopt a new technology innovating its process management, but it also seeks for introducing in the current European post trade environment the fi</w:t>
      </w:r>
      <w:r w:rsidR="00943350" w:rsidRPr="00317D73">
        <w:rPr>
          <w:rFonts w:cs="Arial"/>
        </w:rPr>
        <w:t>rst native digital instruments</w:t>
      </w:r>
    </w:p>
    <w:p w14:paraId="583C1C48" w14:textId="77777777" w:rsidR="00943350" w:rsidRPr="00317D73" w:rsidRDefault="00943350" w:rsidP="00943350">
      <w:pPr>
        <w:pStyle w:val="ListParagraph"/>
        <w:numPr>
          <w:ilvl w:val="0"/>
          <w:numId w:val="23"/>
        </w:numPr>
        <w:rPr>
          <w:rFonts w:cs="Arial"/>
        </w:rPr>
      </w:pPr>
      <w:r w:rsidRPr="00317D73">
        <w:rPr>
          <w:rFonts w:cs="Arial"/>
        </w:rPr>
        <w:t xml:space="preserve">favouring </w:t>
      </w:r>
      <w:r w:rsidR="00E50D43" w:rsidRPr="00317D73">
        <w:rPr>
          <w:rFonts w:cs="Arial"/>
        </w:rPr>
        <w:t xml:space="preserve">initially </w:t>
      </w:r>
      <w:r w:rsidRPr="00317D73">
        <w:rPr>
          <w:rFonts w:cs="Arial"/>
        </w:rPr>
        <w:t>“</w:t>
      </w:r>
      <w:r w:rsidR="00E50D43" w:rsidRPr="00317D73">
        <w:rPr>
          <w:rFonts w:cs="Arial"/>
        </w:rPr>
        <w:t>off chain</w:t>
      </w:r>
      <w:r w:rsidRPr="00317D73">
        <w:rPr>
          <w:rFonts w:cs="Arial"/>
        </w:rPr>
        <w:t>”</w:t>
      </w:r>
      <w:r w:rsidR="00E50D43" w:rsidRPr="00317D73">
        <w:rPr>
          <w:rFonts w:cs="Arial"/>
        </w:rPr>
        <w:t xml:space="preserve"> settlement of these instruments, and subsequently, </w:t>
      </w:r>
    </w:p>
    <w:p w14:paraId="2A4787E8" w14:textId="1515E401" w:rsidR="00943350" w:rsidRDefault="00E50D43" w:rsidP="00943350">
      <w:pPr>
        <w:pStyle w:val="ListParagraph"/>
        <w:numPr>
          <w:ilvl w:val="0"/>
          <w:numId w:val="23"/>
        </w:numPr>
        <w:rPr>
          <w:rFonts w:cs="Arial"/>
        </w:rPr>
      </w:pPr>
      <w:r w:rsidRPr="00317D73">
        <w:rPr>
          <w:rFonts w:cs="Arial"/>
        </w:rPr>
        <w:t xml:space="preserve">creating the conditions to allow </w:t>
      </w:r>
      <w:r w:rsidR="00943350" w:rsidRPr="00317D73">
        <w:rPr>
          <w:rFonts w:cs="Arial"/>
        </w:rPr>
        <w:t>“on chain” secure settlement of a large volumes of transactions on diversified products.</w:t>
      </w:r>
    </w:p>
    <w:p w14:paraId="150C2F74" w14:textId="77777777" w:rsidR="00317D73" w:rsidRDefault="00317D73" w:rsidP="00317D73">
      <w:pPr>
        <w:rPr>
          <w:rFonts w:cs="Arial"/>
        </w:rPr>
      </w:pPr>
    </w:p>
    <w:p w14:paraId="567C5F40" w14:textId="13DAF858" w:rsidR="00317D73" w:rsidRPr="00317D73" w:rsidRDefault="00317D73" w:rsidP="00317D73">
      <w:pPr>
        <w:rPr>
          <w:rFonts w:cs="Arial"/>
        </w:rPr>
      </w:pPr>
      <w:r>
        <w:rPr>
          <w:rFonts w:cs="Arial"/>
        </w:rPr>
        <w:t>Also, it is not excluded that digitalization might also re-open the debate of the disintermediation of the agents, both on the Issuer/IPA side, where the critical functions of the IPA can be absorbed by the CSD, as well as on the investor side where the custodian bank can restrict its function to the one of “operator”</w:t>
      </w:r>
      <w:r w:rsidR="001019E0">
        <w:rPr>
          <w:rFonts w:cs="Arial"/>
        </w:rPr>
        <w:t xml:space="preserve"> and investors can directly operate segregated accounts from the books of the CSD.</w:t>
      </w:r>
      <w:r>
        <w:rPr>
          <w:rFonts w:cs="Arial"/>
        </w:rPr>
        <w:t xml:space="preserve"> </w:t>
      </w:r>
    </w:p>
    <w:permEnd w:id="208669876"/>
    <w:p w14:paraId="02AACFE6" w14:textId="1535986A"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3636AE8D" w14:textId="5704D412" w:rsidR="001B465A" w:rsidRPr="002144B0" w:rsidRDefault="001B465A" w:rsidP="001B465A">
      <w:pPr>
        <w:rPr>
          <w:rFonts w:cs="Arial"/>
        </w:rPr>
      </w:pPr>
      <w:permStart w:id="1660507590" w:edGrp="everyone"/>
      <w:r w:rsidRPr="002144B0">
        <w:rPr>
          <w:rFonts w:cs="Arial"/>
        </w:rPr>
        <w:t xml:space="preserve">As a DLT CSD, ID2S uses </w:t>
      </w:r>
      <w:r w:rsidR="002144B0" w:rsidRPr="002144B0">
        <w:rPr>
          <w:rFonts w:cs="Arial"/>
        </w:rPr>
        <w:t>the same practices as other non</w:t>
      </w:r>
      <w:r w:rsidRPr="002144B0">
        <w:rPr>
          <w:rFonts w:cs="Arial"/>
        </w:rPr>
        <w:t xml:space="preserve"> DLT CSD. The main difference is the security provided by the private </w:t>
      </w:r>
      <w:r w:rsidR="002144B0" w:rsidRPr="002144B0">
        <w:rPr>
          <w:rFonts w:cs="Arial"/>
        </w:rPr>
        <w:t xml:space="preserve">permissioned </w:t>
      </w:r>
      <w:r w:rsidRPr="002144B0">
        <w:rPr>
          <w:rFonts w:cs="Arial"/>
        </w:rPr>
        <w:t xml:space="preserve">blockchain management. In this sense, </w:t>
      </w:r>
      <w:r w:rsidR="002144B0" w:rsidRPr="002144B0">
        <w:rPr>
          <w:rFonts w:cs="Arial"/>
        </w:rPr>
        <w:t xml:space="preserve">the </w:t>
      </w:r>
      <w:r w:rsidRPr="002144B0">
        <w:rPr>
          <w:rFonts w:cs="Arial"/>
        </w:rPr>
        <w:t xml:space="preserve">DLT CSD presents less </w:t>
      </w:r>
      <w:r w:rsidR="002144B0" w:rsidRPr="002144B0">
        <w:rPr>
          <w:rFonts w:cs="Arial"/>
        </w:rPr>
        <w:t>r</w:t>
      </w:r>
      <w:r w:rsidRPr="002144B0">
        <w:rPr>
          <w:rFonts w:cs="Arial"/>
        </w:rPr>
        <w:t>isks as the others</w:t>
      </w:r>
      <w:r w:rsidR="002144B0" w:rsidRPr="002144B0">
        <w:rPr>
          <w:rFonts w:cs="Arial"/>
        </w:rPr>
        <w:t xml:space="preserve"> thank to the increased level of automation</w:t>
      </w:r>
      <w:r w:rsidRPr="002144B0">
        <w:rPr>
          <w:rFonts w:cs="Arial"/>
        </w:rPr>
        <w:t xml:space="preserve">. </w:t>
      </w:r>
      <w:r w:rsidR="002144B0" w:rsidRPr="002144B0">
        <w:rPr>
          <w:rFonts w:cs="Arial"/>
        </w:rPr>
        <w:t xml:space="preserve">Moreover, the most relevant processes are also backed up with traditional technology solutions. </w:t>
      </w:r>
      <w:r w:rsidRPr="002144B0">
        <w:rPr>
          <w:rFonts w:cs="Arial"/>
        </w:rPr>
        <w:t>Cyber</w:t>
      </w:r>
      <w:r w:rsidR="002144B0" w:rsidRPr="002144B0">
        <w:rPr>
          <w:rFonts w:cs="Arial"/>
        </w:rPr>
        <w:t xml:space="preserve"> </w:t>
      </w:r>
      <w:r w:rsidRPr="002144B0">
        <w:rPr>
          <w:rFonts w:cs="Arial"/>
        </w:rPr>
        <w:t xml:space="preserve">risks </w:t>
      </w:r>
      <w:r w:rsidR="002144B0" w:rsidRPr="002144B0">
        <w:rPr>
          <w:rFonts w:cs="Arial"/>
        </w:rPr>
        <w:t>are approached</w:t>
      </w:r>
      <w:r w:rsidRPr="002144B0">
        <w:rPr>
          <w:rFonts w:cs="Arial"/>
        </w:rPr>
        <w:t xml:space="preserve"> differently but risks are the sam</w:t>
      </w:r>
      <w:r w:rsidR="00322436">
        <w:rPr>
          <w:rFonts w:cs="Arial"/>
        </w:rPr>
        <w:t>e (</w:t>
      </w:r>
      <w:r w:rsidR="002144B0">
        <w:rPr>
          <w:rFonts w:cs="Arial"/>
        </w:rPr>
        <w:t>i.e.</w:t>
      </w:r>
      <w:r w:rsidR="002144B0" w:rsidRPr="002144B0">
        <w:rPr>
          <w:rFonts w:cs="Arial"/>
        </w:rPr>
        <w:t xml:space="preserve"> data protection and compliance</w:t>
      </w:r>
      <w:r w:rsidRPr="002144B0">
        <w:rPr>
          <w:rFonts w:cs="Arial"/>
        </w:rPr>
        <w:t xml:space="preserve">).  Third parties companies are reviewed according to ID2S strict procedures which </w:t>
      </w:r>
      <w:r w:rsidR="002144B0" w:rsidRPr="002144B0">
        <w:rPr>
          <w:rFonts w:cs="Arial"/>
        </w:rPr>
        <w:t xml:space="preserve">are continuously upgraded </w:t>
      </w:r>
      <w:r w:rsidRPr="002144B0">
        <w:rPr>
          <w:rFonts w:cs="Arial"/>
        </w:rPr>
        <w:t>by the complia</w:t>
      </w:r>
      <w:r w:rsidR="002144B0" w:rsidRPr="002144B0">
        <w:rPr>
          <w:rFonts w:cs="Arial"/>
        </w:rPr>
        <w:t>nce department in line with CSD</w:t>
      </w:r>
      <w:r w:rsidRPr="002144B0">
        <w:rPr>
          <w:rFonts w:cs="Arial"/>
        </w:rPr>
        <w:t>R regulation.</w:t>
      </w:r>
    </w:p>
    <w:permEnd w:id="1660507590"/>
    <w:p w14:paraId="004D5F7D" w14:textId="6EC15E29"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64F9508B" w14:textId="793F4A77" w:rsidR="00493BE8" w:rsidRPr="00406A53" w:rsidRDefault="001B465A" w:rsidP="00493BE8">
      <w:pPr>
        <w:rPr>
          <w:rFonts w:cs="Arial"/>
          <w:color w:val="FF0000"/>
        </w:rPr>
      </w:pPr>
      <w:permStart w:id="1847731928" w:edGrp="everyone"/>
      <w:r>
        <w:rPr>
          <w:rFonts w:cs="Arial"/>
          <w:color w:val="FF0000"/>
        </w:rPr>
        <w:t>See 8</w:t>
      </w:r>
    </w:p>
    <w:permEnd w:id="1847731928"/>
    <w:p w14:paraId="741588A3" w14:textId="07DFDF72" w:rsidR="00A41C15" w:rsidRPr="00A41C15" w:rsidRDefault="00A41C15">
      <w:pPr>
        <w:rPr>
          <w:rFonts w:cs="Arial"/>
        </w:rPr>
      </w:pPr>
      <w:r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lastRenderedPageBreak/>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t>&lt;ESMA_QUESTION_DCFE_10&gt;</w:t>
      </w:r>
    </w:p>
    <w:p w14:paraId="7BCEB7AC" w14:textId="11FAF195" w:rsidR="00493BE8" w:rsidRPr="00406A53" w:rsidRDefault="001B465A" w:rsidP="00493BE8">
      <w:pPr>
        <w:rPr>
          <w:rFonts w:cs="Arial"/>
          <w:color w:val="FF0000"/>
        </w:rPr>
      </w:pPr>
      <w:permStart w:id="1065638051" w:edGrp="everyone"/>
      <w:r>
        <w:rPr>
          <w:rFonts w:cs="Arial"/>
          <w:color w:val="FF0000"/>
          <w:highlight w:val="green"/>
        </w:rPr>
        <w:t>See 8</w:t>
      </w:r>
      <w:r w:rsidR="00493BE8" w:rsidRPr="00406A53">
        <w:rPr>
          <w:rFonts w:cs="Arial"/>
          <w:color w:val="FF0000"/>
          <w:highlight w:val="green"/>
        </w:rPr>
        <w:t>.</w:t>
      </w:r>
    </w:p>
    <w:permEnd w:id="1065638051"/>
    <w:p w14:paraId="4F9071EB" w14:textId="0C39A903" w:rsidR="00A41C15" w:rsidRPr="00A41C15" w:rsidRDefault="00A41C15">
      <w:pPr>
        <w:rPr>
          <w:rFonts w:cs="Arial"/>
        </w:rPr>
      </w:pPr>
      <w:r w:rsidRPr="00A41C15">
        <w:rPr>
          <w:rFonts w:cs="Arial"/>
        </w:rPr>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035B4F4A" w14:textId="100F1DDA" w:rsidR="00493BE8" w:rsidRPr="00406A53" w:rsidRDefault="00796BC8" w:rsidP="00493BE8">
      <w:pPr>
        <w:rPr>
          <w:rFonts w:cs="Arial"/>
          <w:color w:val="FF0000"/>
        </w:rPr>
      </w:pPr>
      <w:permStart w:id="486040576" w:edGrp="everyone"/>
      <w:r w:rsidRPr="004714F1">
        <w:rPr>
          <w:rFonts w:cs="Arial"/>
        </w:rPr>
        <w:t xml:space="preserve">EU regulatory framework should support the changes in value chains, and the use of new technologies within the scope of re-shaping established markets, but should </w:t>
      </w:r>
      <w:r w:rsidR="004714F1" w:rsidRPr="004714F1">
        <w:rPr>
          <w:rFonts w:cs="Arial"/>
        </w:rPr>
        <w:t xml:space="preserve">also </w:t>
      </w:r>
      <w:r w:rsidRPr="004714F1">
        <w:rPr>
          <w:rFonts w:cs="Arial"/>
        </w:rPr>
        <w:t>establish a clearer path to the introduction of new Products &amp; Services and new Asset Classes. Where possible, the EU regulatory framework may also wish to incorporate within existing regulation (such as CSDR), some of the value chain activities that currently remain outside (such as the activities of a Numbering Agency, or a Data Services Provider</w:t>
      </w:r>
      <w:r>
        <w:rPr>
          <w:rFonts w:cs="Arial"/>
          <w:color w:val="FF0000"/>
        </w:rPr>
        <w:t>.</w:t>
      </w:r>
    </w:p>
    <w:permEnd w:id="486040576"/>
    <w:p w14:paraId="7DCD679F" w14:textId="30CE3727" w:rsidR="00A41C15" w:rsidRPr="00A41C15" w:rsidRDefault="00A41C15">
      <w:pPr>
        <w:rPr>
          <w:rFonts w:cs="Arial"/>
        </w:rPr>
      </w:pPr>
      <w:r w:rsidRPr="00A41C15">
        <w:rPr>
          <w:rFonts w:cs="Arial"/>
        </w:rPr>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75CEABE4" w14:textId="7D4AEDEA" w:rsidR="00493BE8" w:rsidRPr="004714F1" w:rsidRDefault="0055077F" w:rsidP="00493BE8">
      <w:pPr>
        <w:rPr>
          <w:rFonts w:cs="Arial"/>
        </w:rPr>
      </w:pPr>
      <w:permStart w:id="1252263033" w:edGrp="everyone"/>
      <w:r w:rsidRPr="004714F1">
        <w:rPr>
          <w:rFonts w:cs="Arial"/>
        </w:rPr>
        <w:t>Focus on regulatory framework that better supports the commercial adoption of value chain enhancements.</w:t>
      </w:r>
    </w:p>
    <w:permEnd w:id="1252263033"/>
    <w:p w14:paraId="173735AB" w14:textId="32B89948" w:rsidR="00A41C15" w:rsidRPr="00A41C15" w:rsidRDefault="00A41C15">
      <w:pPr>
        <w:rPr>
          <w:rFonts w:cs="Arial"/>
        </w:rPr>
      </w:pPr>
      <w:r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6C0BA96D" w14:textId="4E421397" w:rsidR="00006759" w:rsidRPr="007605B9" w:rsidRDefault="004714F1" w:rsidP="00006759">
      <w:pPr>
        <w:rPr>
          <w:rFonts w:cs="Arial"/>
        </w:rPr>
      </w:pPr>
      <w:permStart w:id="1154298267" w:edGrp="everyone"/>
      <w:r w:rsidRPr="007605B9">
        <w:rPr>
          <w:rFonts w:cs="Arial"/>
          <w:lang w:val="en-US"/>
        </w:rPr>
        <w:t xml:space="preserve">As a general consideration, there is a consensus on the fact that there should be a </w:t>
      </w:r>
      <w:r w:rsidRPr="007605B9">
        <w:rPr>
          <w:rFonts w:cs="Arial"/>
        </w:rPr>
        <w:t>harmonization in the approach followed by the different national competent authorities in the process of authorization and annual review of CSDs. With respect to the last one, reviews should not be annual, apart from the need of CSDs to address Eurosystem recommendations.</w:t>
      </w:r>
    </w:p>
    <w:permEnd w:id="1154298267"/>
    <w:p w14:paraId="20550AC5" w14:textId="6174AA79" w:rsidR="00A41C15" w:rsidRPr="00A41C15" w:rsidRDefault="00A41C15">
      <w:pPr>
        <w:rPr>
          <w:rFonts w:cs="Arial"/>
        </w:rPr>
      </w:pPr>
      <w:r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lastRenderedPageBreak/>
        <w:t>&lt;ESMA_QUESTION_DCFE_14&gt;</w:t>
      </w:r>
    </w:p>
    <w:p w14:paraId="01E78229" w14:textId="55A45B18" w:rsidR="0067521E" w:rsidRPr="007605B9" w:rsidRDefault="004714F1" w:rsidP="00006759">
      <w:pPr>
        <w:rPr>
          <w:rFonts w:cs="Arial"/>
          <w:szCs w:val="20"/>
          <w:highlight w:val="green"/>
        </w:rPr>
      </w:pPr>
      <w:permStart w:id="1522146814" w:edGrp="everyone"/>
      <w:r w:rsidRPr="007605B9">
        <w:rPr>
          <w:rFonts w:cs="Arial"/>
          <w:szCs w:val="20"/>
          <w:highlight w:val="green"/>
        </w:rPr>
        <w:t>T</w:t>
      </w:r>
      <w:r w:rsidR="00F34D5C" w:rsidRPr="007605B9">
        <w:rPr>
          <w:rFonts w:cs="Arial"/>
          <w:szCs w:val="20"/>
          <w:highlight w:val="green"/>
        </w:rPr>
        <w:t>he digitalization of the industry</w:t>
      </w:r>
      <w:r w:rsidR="00B443C7" w:rsidRPr="007605B9">
        <w:rPr>
          <w:rFonts w:cs="Arial"/>
          <w:szCs w:val="20"/>
          <w:highlight w:val="green"/>
        </w:rPr>
        <w:t xml:space="preserve"> </w:t>
      </w:r>
      <w:r w:rsidRPr="007605B9">
        <w:rPr>
          <w:rFonts w:cs="Arial"/>
          <w:szCs w:val="20"/>
          <w:highlight w:val="green"/>
        </w:rPr>
        <w:t xml:space="preserve">will </w:t>
      </w:r>
      <w:r w:rsidR="00F34D5C" w:rsidRPr="007605B9">
        <w:rPr>
          <w:rFonts w:cs="Arial"/>
          <w:szCs w:val="20"/>
          <w:highlight w:val="green"/>
        </w:rPr>
        <w:t xml:space="preserve">lead to </w:t>
      </w:r>
      <w:r w:rsidRPr="007605B9">
        <w:rPr>
          <w:rFonts w:cs="Arial"/>
          <w:szCs w:val="20"/>
          <w:highlight w:val="green"/>
        </w:rPr>
        <w:t>more frequent opportunities to challenge the traditional issuer/investor-intermediary-CSD model</w:t>
      </w:r>
      <w:r w:rsidR="00B443C7" w:rsidRPr="007605B9">
        <w:rPr>
          <w:rFonts w:cs="Arial"/>
          <w:szCs w:val="20"/>
          <w:highlight w:val="green"/>
        </w:rPr>
        <w:t xml:space="preserve">. </w:t>
      </w:r>
    </w:p>
    <w:p w14:paraId="637CCF10" w14:textId="3736EFBA" w:rsidR="0067521E" w:rsidRPr="007605B9" w:rsidRDefault="0067521E" w:rsidP="00006759">
      <w:pPr>
        <w:rPr>
          <w:rFonts w:cs="Arial"/>
          <w:szCs w:val="20"/>
          <w:highlight w:val="green"/>
        </w:rPr>
      </w:pPr>
      <w:r w:rsidRPr="007605B9">
        <w:rPr>
          <w:rFonts w:cs="Arial"/>
          <w:szCs w:val="20"/>
          <w:highlight w:val="green"/>
        </w:rPr>
        <w:t xml:space="preserve">The NCA should limit its role to </w:t>
      </w:r>
      <w:r w:rsidR="00F34D5C" w:rsidRPr="007605B9">
        <w:rPr>
          <w:rFonts w:cs="Arial"/>
          <w:szCs w:val="20"/>
          <w:highlight w:val="green"/>
        </w:rPr>
        <w:t xml:space="preserve">assessing </w:t>
      </w:r>
      <w:r w:rsidRPr="007605B9">
        <w:rPr>
          <w:rFonts w:cs="Arial"/>
          <w:szCs w:val="20"/>
          <w:highlight w:val="green"/>
        </w:rPr>
        <w:t xml:space="preserve">new </w:t>
      </w:r>
      <w:r w:rsidR="00F34D5C" w:rsidRPr="007605B9">
        <w:rPr>
          <w:rFonts w:cs="Arial"/>
          <w:szCs w:val="20"/>
          <w:highlight w:val="green"/>
        </w:rPr>
        <w:t xml:space="preserve">products and </w:t>
      </w:r>
      <w:r w:rsidRPr="007605B9">
        <w:rPr>
          <w:rFonts w:cs="Arial"/>
          <w:szCs w:val="20"/>
          <w:highlight w:val="green"/>
        </w:rPr>
        <w:t>services and ensure</w:t>
      </w:r>
      <w:r w:rsidR="00F34D5C" w:rsidRPr="007605B9">
        <w:rPr>
          <w:rFonts w:cs="Arial"/>
          <w:szCs w:val="20"/>
          <w:highlight w:val="green"/>
        </w:rPr>
        <w:t>:</w:t>
      </w:r>
      <w:r w:rsidRPr="007605B9">
        <w:rPr>
          <w:rFonts w:cs="Arial"/>
          <w:szCs w:val="20"/>
          <w:highlight w:val="green"/>
        </w:rPr>
        <w:t xml:space="preserve"> </w:t>
      </w:r>
    </w:p>
    <w:p w14:paraId="14B4633F" w14:textId="1D478169" w:rsidR="0067521E" w:rsidRPr="007605B9" w:rsidRDefault="0067521E" w:rsidP="0067521E">
      <w:pPr>
        <w:pStyle w:val="ListParagraph"/>
        <w:numPr>
          <w:ilvl w:val="0"/>
          <w:numId w:val="24"/>
        </w:numPr>
        <w:rPr>
          <w:rFonts w:cs="Arial"/>
          <w:sz w:val="20"/>
          <w:szCs w:val="20"/>
        </w:rPr>
      </w:pPr>
      <w:r w:rsidRPr="007605B9">
        <w:rPr>
          <w:rFonts w:cs="Arial"/>
          <w:sz w:val="20"/>
          <w:szCs w:val="20"/>
          <w:highlight w:val="green"/>
        </w:rPr>
        <w:t>initially an accurate assessment before CSD developments are launched, so to set any eventual requirement</w:t>
      </w:r>
      <w:r w:rsidR="00F34D5C" w:rsidRPr="007605B9">
        <w:rPr>
          <w:rFonts w:cs="Arial"/>
          <w:sz w:val="20"/>
          <w:szCs w:val="20"/>
        </w:rPr>
        <w:t>s</w:t>
      </w:r>
    </w:p>
    <w:p w14:paraId="11981F83" w14:textId="346A48DC" w:rsidR="0067521E" w:rsidRPr="007605B9" w:rsidRDefault="0067521E" w:rsidP="00F34D5C">
      <w:pPr>
        <w:pStyle w:val="ListParagraph"/>
        <w:numPr>
          <w:ilvl w:val="0"/>
          <w:numId w:val="24"/>
        </w:numPr>
        <w:rPr>
          <w:rFonts w:cs="Arial"/>
          <w:sz w:val="20"/>
          <w:szCs w:val="20"/>
        </w:rPr>
      </w:pPr>
      <w:r w:rsidRPr="007605B9">
        <w:rPr>
          <w:rFonts w:cs="Arial"/>
          <w:sz w:val="20"/>
          <w:szCs w:val="20"/>
          <w:highlight w:val="green"/>
        </w:rPr>
        <w:t>t</w:t>
      </w:r>
      <w:r w:rsidR="00B443C7" w:rsidRPr="007605B9">
        <w:rPr>
          <w:rFonts w:cs="Arial"/>
          <w:sz w:val="20"/>
          <w:szCs w:val="20"/>
          <w:highlight w:val="green"/>
        </w:rPr>
        <w:t xml:space="preserve">he legal documentation of the CSDs should reflect with particular accuracy the description of the </w:t>
      </w:r>
      <w:r w:rsidRPr="007605B9">
        <w:rPr>
          <w:rFonts w:cs="Arial"/>
          <w:sz w:val="20"/>
          <w:szCs w:val="20"/>
          <w:highlight w:val="green"/>
        </w:rPr>
        <w:t xml:space="preserve">new </w:t>
      </w:r>
      <w:r w:rsidR="00821953" w:rsidRPr="007605B9">
        <w:rPr>
          <w:rFonts w:cs="Arial"/>
          <w:sz w:val="20"/>
          <w:szCs w:val="20"/>
          <w:highlight w:val="green"/>
        </w:rPr>
        <w:t xml:space="preserve">services the CSD will </w:t>
      </w:r>
      <w:r w:rsidRPr="007605B9">
        <w:rPr>
          <w:rFonts w:cs="Arial"/>
          <w:sz w:val="20"/>
          <w:szCs w:val="20"/>
          <w:highlight w:val="green"/>
        </w:rPr>
        <w:t>launch</w:t>
      </w:r>
      <w:r w:rsidR="00821953" w:rsidRPr="007605B9">
        <w:rPr>
          <w:rFonts w:cs="Arial"/>
          <w:sz w:val="20"/>
          <w:szCs w:val="20"/>
          <w:highlight w:val="green"/>
        </w:rPr>
        <w:t xml:space="preserve"> while moving up in the value chain. </w:t>
      </w:r>
    </w:p>
    <w:p w14:paraId="0260BA1F" w14:textId="08E9E860" w:rsidR="0067521E" w:rsidRPr="007605B9" w:rsidRDefault="0067521E">
      <w:pPr>
        <w:rPr>
          <w:rFonts w:cs="Arial"/>
          <w:szCs w:val="20"/>
        </w:rPr>
      </w:pPr>
      <w:r w:rsidRPr="007605B9">
        <w:rPr>
          <w:rFonts w:cs="Arial"/>
          <w:szCs w:val="20"/>
          <w:highlight w:val="green"/>
        </w:rPr>
        <w:t xml:space="preserve">CSDR reviews should not be annual anymore (every 3 years) and organised by committee including the CSD NCA + other NCAs, in order to ensure </w:t>
      </w:r>
      <w:r w:rsidR="008A4D33" w:rsidRPr="007605B9">
        <w:rPr>
          <w:rFonts w:cs="Arial"/>
          <w:szCs w:val="20"/>
          <w:highlight w:val="green"/>
        </w:rPr>
        <w:t xml:space="preserve">harmonised </w:t>
      </w:r>
      <w:r w:rsidRPr="007605B9">
        <w:rPr>
          <w:rFonts w:cs="Arial"/>
          <w:szCs w:val="20"/>
          <w:highlight w:val="green"/>
        </w:rPr>
        <w:t>assessment and knowledge sharing</w:t>
      </w:r>
      <w:r w:rsidR="008A4D33" w:rsidRPr="007605B9">
        <w:rPr>
          <w:rFonts w:cs="Arial"/>
          <w:szCs w:val="20"/>
          <w:highlight w:val="green"/>
        </w:rPr>
        <w:t xml:space="preserve"> across Europe</w:t>
      </w:r>
      <w:r w:rsidRPr="007605B9">
        <w:rPr>
          <w:rFonts w:cs="Arial"/>
          <w:szCs w:val="20"/>
          <w:highlight w:val="green"/>
        </w:rPr>
        <w:t>.</w:t>
      </w:r>
    </w:p>
    <w:permEnd w:id="1522146814"/>
    <w:p w14:paraId="0722CA7A" w14:textId="13FD9599" w:rsidR="00A41C15" w:rsidRPr="00A41C15" w:rsidRDefault="00A41C15">
      <w:pPr>
        <w:rPr>
          <w:rFonts w:cs="Arial"/>
        </w:rPr>
      </w:pPr>
      <w:r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033DE5FC" w14:textId="77777777" w:rsidR="007605B9" w:rsidRDefault="007605B9">
      <w:pPr>
        <w:rPr>
          <w:rFonts w:cs="Arial"/>
        </w:rPr>
      </w:pPr>
      <w:permStart w:id="423319101" w:edGrp="everyone"/>
      <w:r w:rsidRPr="004C7902">
        <w:rPr>
          <w:rFonts w:eastAsiaTheme="minorEastAsia" w:cs="Arial"/>
          <w:szCs w:val="20"/>
        </w:rPr>
        <w:t>TYPE YOUR TEXT HERE</w:t>
      </w:r>
      <w:r w:rsidRPr="00A41C15">
        <w:rPr>
          <w:rFonts w:cs="Arial"/>
        </w:rPr>
        <w:t xml:space="preserve"> </w:t>
      </w:r>
    </w:p>
    <w:permEnd w:id="423319101"/>
    <w:p w14:paraId="6328F403" w14:textId="78ACB6DB" w:rsidR="00A41C15" w:rsidRPr="00A41C15" w:rsidRDefault="00A41C15">
      <w:pPr>
        <w:rPr>
          <w:rFonts w:cs="Arial"/>
        </w:rPr>
      </w:pPr>
      <w:r w:rsidRPr="00A41C15">
        <w:rPr>
          <w:rFonts w:cs="Arial"/>
        </w:rPr>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8" w:name="_Toc72509289"/>
      <w:r>
        <w:rPr>
          <w:sz w:val="32"/>
          <w:szCs w:val="40"/>
        </w:rPr>
        <w:br w:type="page"/>
      </w:r>
    </w:p>
    <w:p w14:paraId="389D6E7C" w14:textId="643E44E5" w:rsidR="004C7902" w:rsidRPr="00CC36BE" w:rsidRDefault="004C7902" w:rsidP="004C7902">
      <w:pPr>
        <w:pStyle w:val="Heading1"/>
        <w:numPr>
          <w:ilvl w:val="0"/>
          <w:numId w:val="17"/>
        </w:numPr>
        <w:spacing w:after="240"/>
        <w:ind w:hanging="720"/>
        <w:rPr>
          <w:b w:val="0"/>
          <w:sz w:val="32"/>
          <w:szCs w:val="40"/>
        </w:rPr>
      </w:pPr>
      <w:r>
        <w:rPr>
          <w:sz w:val="32"/>
          <w:szCs w:val="40"/>
        </w:rPr>
        <w:lastRenderedPageBreak/>
        <w:t>Platforms and bundling of various financial services</w:t>
      </w:r>
      <w:bookmarkEnd w:id="8"/>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3F75DACC" w:rsidR="00A41C15" w:rsidRPr="00A41C15" w:rsidRDefault="00A41C15">
      <w:pPr>
        <w:rPr>
          <w:rFonts w:cs="Arial"/>
        </w:rPr>
      </w:pPr>
      <w:permStart w:id="2144016802" w:edGrp="everyone"/>
      <w:r w:rsidRPr="00A41C15">
        <w:rPr>
          <w:rFonts w:cs="Arial"/>
        </w:rPr>
        <w:t>TYPE YOUR TEXT HERE</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2A1C0DDC" w14:textId="77777777" w:rsidR="007605B9" w:rsidRDefault="007605B9">
      <w:pPr>
        <w:rPr>
          <w:rFonts w:cs="Arial"/>
        </w:rPr>
      </w:pPr>
      <w:permStart w:id="1775333702" w:edGrp="everyone"/>
      <w:r w:rsidRPr="004C7902">
        <w:rPr>
          <w:rFonts w:eastAsiaTheme="minorEastAsia" w:cs="Arial"/>
          <w:szCs w:val="20"/>
        </w:rPr>
        <w:t>TYPE YOUR TEXT HERE</w:t>
      </w:r>
      <w:r w:rsidRPr="00A41C15">
        <w:rPr>
          <w:rFonts w:cs="Arial"/>
        </w:rPr>
        <w:t xml:space="preserve"> </w:t>
      </w:r>
    </w:p>
    <w:permEnd w:id="1775333702"/>
    <w:p w14:paraId="1007DD50" w14:textId="114C6BE5" w:rsidR="00A41C15" w:rsidRPr="00A41C15" w:rsidRDefault="00A41C15">
      <w:pPr>
        <w:rPr>
          <w:rFonts w:cs="Arial"/>
        </w:rPr>
      </w:pPr>
      <w:r w:rsidRPr="00A41C15">
        <w:rPr>
          <w:rFonts w:cs="Arial"/>
        </w:rPr>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32D970F8" w:rsidR="00A41C15" w:rsidRPr="00A41C15" w:rsidRDefault="009E1BE4">
      <w:pPr>
        <w:rPr>
          <w:rFonts w:cs="Arial"/>
        </w:rPr>
      </w:pPr>
      <w:permStart w:id="1397641550" w:edGrp="everyone"/>
      <w:r>
        <w:rPr>
          <w:rFonts w:cs="Arial"/>
        </w:rPr>
        <w:t xml:space="preserve">ID2S does not use specific platforms for </w:t>
      </w:r>
      <w:r w:rsidRPr="009E1BE4">
        <w:rPr>
          <w:rFonts w:cs="Arial"/>
        </w:rPr>
        <w:t>marketing or the conclusion with customers of your financial products and services</w:t>
      </w:r>
      <w:r>
        <w:rPr>
          <w:rFonts w:cs="Arial"/>
        </w:rPr>
        <w:t>.</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2CFC35DF" w14:textId="77777777" w:rsidR="007605B9" w:rsidRDefault="007605B9">
      <w:pPr>
        <w:rPr>
          <w:rFonts w:cs="Arial"/>
        </w:rPr>
      </w:pPr>
      <w:permStart w:id="1527262833" w:edGrp="everyone"/>
      <w:r w:rsidRPr="004C7902">
        <w:rPr>
          <w:rFonts w:eastAsiaTheme="minorEastAsia" w:cs="Arial"/>
          <w:szCs w:val="20"/>
        </w:rPr>
        <w:t>TYPE YOUR TEXT HERE</w:t>
      </w:r>
      <w:r w:rsidRPr="00A41C15">
        <w:rPr>
          <w:rFonts w:cs="Arial"/>
        </w:rPr>
        <w:t xml:space="preserve"> </w:t>
      </w:r>
    </w:p>
    <w:permEnd w:id="1527262833"/>
    <w:p w14:paraId="6FA7BB85" w14:textId="62AB70DE"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334F7016" w14:textId="77777777" w:rsidR="007605B9" w:rsidRDefault="007605B9">
      <w:pPr>
        <w:rPr>
          <w:rFonts w:cs="Arial"/>
        </w:rPr>
      </w:pPr>
      <w:permStart w:id="1097866786" w:edGrp="everyone"/>
      <w:r w:rsidRPr="004C7902">
        <w:rPr>
          <w:rFonts w:eastAsiaTheme="minorEastAsia" w:cs="Arial"/>
          <w:szCs w:val="20"/>
        </w:rPr>
        <w:t>TYPE YOUR TEXT HERE</w:t>
      </w:r>
      <w:r w:rsidRPr="00A41C15">
        <w:rPr>
          <w:rFonts w:cs="Arial"/>
        </w:rPr>
        <w:t xml:space="preserve"> </w:t>
      </w:r>
    </w:p>
    <w:permEnd w:id="1097866786"/>
    <w:p w14:paraId="4BAC467A" w14:textId="098BBC5C"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business, (iv) ICT and security risks, (v) money laundering / terrorism financing, </w:t>
      </w:r>
      <w:r w:rsidRPr="00A41C15">
        <w:lastRenderedPageBreak/>
        <w:t>(vi)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1E2B4BD2" w14:textId="77777777" w:rsidR="007605B9" w:rsidRDefault="007605B9">
      <w:pPr>
        <w:rPr>
          <w:rFonts w:cs="Arial"/>
        </w:rPr>
      </w:pPr>
      <w:permStart w:id="1631988263" w:edGrp="everyone"/>
      <w:r w:rsidRPr="004C7902">
        <w:rPr>
          <w:rFonts w:eastAsiaTheme="minorEastAsia" w:cs="Arial"/>
          <w:szCs w:val="20"/>
        </w:rPr>
        <w:t>TYPE YOUR TEXT HERE</w:t>
      </w:r>
      <w:r w:rsidRPr="00A41C15">
        <w:rPr>
          <w:rFonts w:cs="Arial"/>
        </w:rPr>
        <w:t xml:space="preserve"> </w:t>
      </w:r>
    </w:p>
    <w:permEnd w:id="1631988263"/>
    <w:p w14:paraId="67CA13D4" w14:textId="7E088B21"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201988C4" w14:textId="77777777" w:rsidR="007605B9" w:rsidRDefault="007605B9">
      <w:pPr>
        <w:rPr>
          <w:rFonts w:cs="Arial"/>
        </w:rPr>
      </w:pPr>
      <w:permStart w:id="468809516" w:edGrp="everyone"/>
      <w:r w:rsidRPr="004C7902">
        <w:rPr>
          <w:rFonts w:eastAsiaTheme="minorEastAsia" w:cs="Arial"/>
          <w:szCs w:val="20"/>
        </w:rPr>
        <w:t>TYPE YOUR TEXT HERE</w:t>
      </w:r>
      <w:r w:rsidRPr="00A41C15">
        <w:rPr>
          <w:rFonts w:cs="Arial"/>
        </w:rPr>
        <w:t xml:space="preserve"> </w:t>
      </w:r>
    </w:p>
    <w:permEnd w:id="468809516"/>
    <w:p w14:paraId="5F12D9A5" w14:textId="0EA097E7"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4AD3C014" w14:textId="77777777" w:rsidR="007605B9" w:rsidRDefault="007605B9">
      <w:pPr>
        <w:rPr>
          <w:rFonts w:cs="Arial"/>
        </w:rPr>
      </w:pPr>
      <w:permStart w:id="990914493" w:edGrp="everyone"/>
      <w:r w:rsidRPr="004C7902">
        <w:rPr>
          <w:rFonts w:eastAsiaTheme="minorEastAsia" w:cs="Arial"/>
          <w:szCs w:val="20"/>
        </w:rPr>
        <w:t>TYPE YOUR TEXT HERE</w:t>
      </w:r>
      <w:r w:rsidRPr="00A41C15">
        <w:rPr>
          <w:rFonts w:cs="Arial"/>
        </w:rPr>
        <w:t xml:space="preserve"> </w:t>
      </w:r>
    </w:p>
    <w:permEnd w:id="990914493"/>
    <w:p w14:paraId="0874BF4E" w14:textId="387C92A9"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21D75FB1" w14:textId="77777777" w:rsidR="007605B9" w:rsidRDefault="007605B9">
      <w:pPr>
        <w:rPr>
          <w:rFonts w:cs="Arial"/>
        </w:rPr>
      </w:pPr>
      <w:permStart w:id="34737842" w:edGrp="everyone"/>
      <w:r w:rsidRPr="004C7902">
        <w:rPr>
          <w:rFonts w:eastAsiaTheme="minorEastAsia" w:cs="Arial"/>
          <w:szCs w:val="20"/>
        </w:rPr>
        <w:t>TYPE YOUR TEXT HERE</w:t>
      </w:r>
      <w:r w:rsidRPr="00A41C15">
        <w:rPr>
          <w:rFonts w:cs="Arial"/>
        </w:rPr>
        <w:t xml:space="preserve"> </w:t>
      </w:r>
    </w:p>
    <w:permEnd w:id="34737842"/>
    <w:p w14:paraId="0D0D8A08" w14:textId="5E7ED101" w:rsidR="00A41C15" w:rsidRPr="00A41C15" w:rsidRDefault="00A41C15">
      <w:pPr>
        <w:rPr>
          <w:rFonts w:cs="Arial"/>
        </w:rPr>
      </w:pPr>
      <w:r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18A3FA3D" w14:textId="77777777" w:rsidR="007605B9" w:rsidRDefault="007605B9">
      <w:pPr>
        <w:rPr>
          <w:rFonts w:cs="Arial"/>
        </w:rPr>
      </w:pPr>
      <w:permStart w:id="415902689" w:edGrp="everyone"/>
      <w:r w:rsidRPr="004C7902">
        <w:rPr>
          <w:rFonts w:eastAsiaTheme="minorEastAsia" w:cs="Arial"/>
          <w:szCs w:val="20"/>
        </w:rPr>
        <w:t>TYPE YOUR TEXT HERE</w:t>
      </w:r>
      <w:r w:rsidRPr="00A41C15">
        <w:rPr>
          <w:rFonts w:cs="Arial"/>
        </w:rPr>
        <w:t xml:space="preserve"> </w:t>
      </w:r>
    </w:p>
    <w:permEnd w:id="415902689"/>
    <w:p w14:paraId="6A42DA6A" w14:textId="65C3A3CA" w:rsidR="00A41C15" w:rsidRPr="00A41C15" w:rsidRDefault="00A41C15">
      <w:pPr>
        <w:rPr>
          <w:rFonts w:cs="Arial"/>
        </w:rPr>
      </w:pPr>
      <w:r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lastRenderedPageBreak/>
        <w:t>&lt;ESMA_QUESTION_DCFE_26&gt;</w:t>
      </w:r>
    </w:p>
    <w:p w14:paraId="239F73F8" w14:textId="77777777" w:rsidR="007605B9" w:rsidRDefault="007605B9">
      <w:pPr>
        <w:rPr>
          <w:rFonts w:cs="Arial"/>
        </w:rPr>
      </w:pPr>
      <w:permStart w:id="1305224783" w:edGrp="everyone"/>
      <w:r w:rsidRPr="004C7902">
        <w:rPr>
          <w:rFonts w:eastAsiaTheme="minorEastAsia" w:cs="Arial"/>
          <w:szCs w:val="20"/>
        </w:rPr>
        <w:t>TYPE YOUR TEXT HERE</w:t>
      </w:r>
      <w:r w:rsidRPr="00A41C15">
        <w:rPr>
          <w:rFonts w:cs="Arial"/>
        </w:rPr>
        <w:t xml:space="preserve"> </w:t>
      </w:r>
    </w:p>
    <w:permEnd w:id="1305224783"/>
    <w:p w14:paraId="63CCF390" w14:textId="3730C2FE" w:rsidR="00A41C15" w:rsidRPr="00A41C15" w:rsidRDefault="00A41C15">
      <w:pPr>
        <w:rPr>
          <w:rFonts w:cs="Arial"/>
        </w:rPr>
      </w:pPr>
      <w:r w:rsidRPr="00A41C15">
        <w:rPr>
          <w:rFonts w:cs="Arial"/>
        </w:rPr>
        <w:t>&lt;ESMA_QUESTION_DCFE_26&gt;</w:t>
      </w:r>
    </w:p>
    <w:p w14:paraId="62DC40DB" w14:textId="498E5C9A" w:rsidR="00A41C15" w:rsidRDefault="00A41C15">
      <w:pPr>
        <w:rPr>
          <w:rFonts w:cs="Arial"/>
        </w:rPr>
      </w:pPr>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Heading1"/>
        <w:numPr>
          <w:ilvl w:val="0"/>
          <w:numId w:val="17"/>
        </w:numPr>
        <w:spacing w:after="240"/>
        <w:ind w:hanging="720"/>
        <w:rPr>
          <w:b w:val="0"/>
          <w:sz w:val="32"/>
          <w:szCs w:val="40"/>
        </w:rPr>
      </w:pPr>
      <w:bookmarkStart w:id="9" w:name="_Toc72509290"/>
      <w:r w:rsidRPr="00CC36BE">
        <w:rPr>
          <w:sz w:val="32"/>
          <w:szCs w:val="40"/>
        </w:rPr>
        <w:lastRenderedPageBreak/>
        <w:t>Risks of groups combining different activities</w:t>
      </w:r>
      <w:bookmarkEnd w:id="9"/>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35500B88" w14:textId="1BAB67FE" w:rsidR="002635A4" w:rsidRPr="00406A53" w:rsidRDefault="00F779A9" w:rsidP="002635A4">
      <w:pPr>
        <w:rPr>
          <w:rFonts w:cs="Arial"/>
          <w:color w:val="FF0000"/>
        </w:rPr>
      </w:pPr>
      <w:permStart w:id="794181109" w:edGrp="everyone"/>
      <w:r w:rsidRPr="00F779A9">
        <w:rPr>
          <w:rFonts w:cs="Arial"/>
        </w:rPr>
        <w:lastRenderedPageBreak/>
        <w:t>Yes, ID2S is a financial services subsidiary of a telecom company. We are not aware of other financial services companies that belong to non-financial groups</w:t>
      </w:r>
      <w:r>
        <w:rPr>
          <w:rFonts w:cs="Arial"/>
          <w:color w:val="FF0000"/>
        </w:rPr>
        <w:t>.</w:t>
      </w:r>
    </w:p>
    <w:permEnd w:id="794181109"/>
    <w:p w14:paraId="438C4A82" w14:textId="15CF665B" w:rsidR="00A41C15" w:rsidRPr="00A41C15" w:rsidRDefault="00A41C15">
      <w:pPr>
        <w:rPr>
          <w:rFonts w:cs="Arial"/>
        </w:rPr>
      </w:pPr>
      <w:r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0915BDB1" w14:textId="0EC51483" w:rsidR="00A41C15" w:rsidRPr="00A41C15" w:rsidRDefault="00F779A9">
      <w:pPr>
        <w:rPr>
          <w:rFonts w:cs="Arial"/>
        </w:rPr>
      </w:pPr>
      <w:permStart w:id="663431464" w:edGrp="everyone"/>
      <w:r>
        <w:rPr>
          <w:rFonts w:cs="Arial"/>
        </w:rPr>
        <w:t>ID2S is a central securities depository providing notary, central maintenance and settlement services under CSDR since 2018.</w:t>
      </w:r>
    </w:p>
    <w:permEnd w:id="663431464"/>
    <w:p w14:paraId="1964FCC9" w14:textId="568F070D" w:rsidR="00A41C15" w:rsidRPr="00A41C15" w:rsidRDefault="00A41C15">
      <w:pPr>
        <w:rPr>
          <w:rFonts w:cs="Arial"/>
        </w:rPr>
      </w:pPr>
      <w:r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01B519F2" w14:textId="597E565B" w:rsidR="00A41C15" w:rsidRPr="00707081" w:rsidRDefault="00F779A9">
      <w:pPr>
        <w:rPr>
          <w:rFonts w:cs="Arial"/>
        </w:rPr>
      </w:pPr>
      <w:permStart w:id="451292990" w:edGrp="everyone"/>
      <w:r w:rsidRPr="00707081">
        <w:rPr>
          <w:rFonts w:cs="Arial"/>
        </w:rPr>
        <w:t>As a startup, ID2S provision of financial service</w:t>
      </w:r>
      <w:r w:rsidR="002C3FCE" w:rsidRPr="00707081">
        <w:rPr>
          <w:rFonts w:cs="Arial"/>
        </w:rPr>
        <w:t>s</w:t>
      </w:r>
      <w:r w:rsidRPr="00707081">
        <w:rPr>
          <w:rFonts w:cs="Arial"/>
        </w:rPr>
        <w:t xml:space="preserve"> is dependent on the original project funding. </w:t>
      </w:r>
      <w:r w:rsidR="002C3FCE" w:rsidRPr="00707081">
        <w:rPr>
          <w:rFonts w:cs="Arial"/>
        </w:rPr>
        <w:t>Moreover, p</w:t>
      </w:r>
      <w:r w:rsidR="003B192E" w:rsidRPr="00707081">
        <w:rPr>
          <w:rFonts w:cs="Arial"/>
        </w:rPr>
        <w:t>arent company must be supported</w:t>
      </w:r>
      <w:r w:rsidR="00707081" w:rsidRPr="00707081">
        <w:rPr>
          <w:rFonts w:cs="Arial"/>
        </w:rPr>
        <w:t xml:space="preserve"> for corporate functions (e.i. </w:t>
      </w:r>
      <w:r w:rsidR="002C3FCE" w:rsidRPr="00707081">
        <w:rPr>
          <w:rFonts w:cs="Arial"/>
        </w:rPr>
        <w:t>audit) where specific independ</w:t>
      </w:r>
      <w:r w:rsidR="00707081" w:rsidRPr="00707081">
        <w:rPr>
          <w:rFonts w:cs="Arial"/>
        </w:rPr>
        <w:t>ent regulatory view is required. With respect to other corporate activities, the choice is possible between developing them in-house or outsource to group entities (treasury, legal, IT, finance, etc.)</w:t>
      </w:r>
      <w:r w:rsidR="003B192E" w:rsidRPr="00707081">
        <w:rPr>
          <w:rFonts w:cs="Arial"/>
        </w:rPr>
        <w:t xml:space="preserve"> </w:t>
      </w:r>
    </w:p>
    <w:permEnd w:id="451292990"/>
    <w:p w14:paraId="362F4E62" w14:textId="33F5464F" w:rsidR="00A41C15" w:rsidRPr="00A41C15" w:rsidRDefault="00A41C15">
      <w:pPr>
        <w:rPr>
          <w:rFonts w:cs="Arial"/>
        </w:rPr>
      </w:pPr>
      <w:r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59E49B1A" w14:textId="7447F061" w:rsidR="001B465A" w:rsidRPr="00A41C15" w:rsidRDefault="001B465A" w:rsidP="001B465A">
      <w:pPr>
        <w:rPr>
          <w:rFonts w:cs="Arial"/>
        </w:rPr>
      </w:pPr>
      <w:permStart w:id="1611666128" w:edGrp="everyone"/>
      <w:r>
        <w:rPr>
          <w:rFonts w:cs="Arial"/>
        </w:rPr>
        <w:t xml:space="preserve">ID2S is from inception a DLT model organisation. </w:t>
      </w:r>
      <w:r w:rsidR="002144B0">
        <w:rPr>
          <w:rFonts w:cs="Arial"/>
        </w:rPr>
        <w:t>As only real</w:t>
      </w:r>
      <w:r>
        <w:rPr>
          <w:rFonts w:cs="Arial"/>
        </w:rPr>
        <w:t xml:space="preserve"> DLT CSD, ID2S operational risks mainly shift</w:t>
      </w:r>
      <w:r w:rsidR="002144B0">
        <w:rPr>
          <w:rFonts w:cs="Arial"/>
        </w:rPr>
        <w:t>s</w:t>
      </w:r>
      <w:r>
        <w:rPr>
          <w:rFonts w:cs="Arial"/>
        </w:rPr>
        <w:t xml:space="preserve"> from human operational risks to automated ones as well as new controls </w:t>
      </w:r>
      <w:r w:rsidR="002144B0">
        <w:rPr>
          <w:rFonts w:cs="Arial"/>
        </w:rPr>
        <w:t>that are</w:t>
      </w:r>
      <w:r>
        <w:rPr>
          <w:rFonts w:cs="Arial"/>
        </w:rPr>
        <w:t xml:space="preserve"> put in place and holistic views of processes.  This </w:t>
      </w:r>
      <w:r w:rsidR="002144B0">
        <w:rPr>
          <w:rFonts w:cs="Arial"/>
        </w:rPr>
        <w:t>shift</w:t>
      </w:r>
      <w:r>
        <w:rPr>
          <w:rFonts w:cs="Arial"/>
        </w:rPr>
        <w:t xml:space="preserve"> is also true for general business risks and legal </w:t>
      </w:r>
      <w:r w:rsidR="002144B0">
        <w:rPr>
          <w:rFonts w:cs="Arial"/>
        </w:rPr>
        <w:t xml:space="preserve">one </w:t>
      </w:r>
      <w:r>
        <w:rPr>
          <w:rFonts w:cs="Arial"/>
        </w:rPr>
        <w:t>as DLT general business risks addresse</w:t>
      </w:r>
      <w:r w:rsidR="002144B0">
        <w:rPr>
          <w:rFonts w:cs="Arial"/>
        </w:rPr>
        <w:t>s</w:t>
      </w:r>
      <w:r>
        <w:rPr>
          <w:rFonts w:cs="Arial"/>
        </w:rPr>
        <w:t xml:space="preserve"> for instance new markets, technologies and processes as well new regulation and legal framework. In a nutshell, DLT defines a new paradigm which needs to see the same risks but from</w:t>
      </w:r>
      <w:r w:rsidR="002144B0">
        <w:rPr>
          <w:rFonts w:cs="Arial"/>
        </w:rPr>
        <w:t xml:space="preserve"> new </w:t>
      </w:r>
      <w:r>
        <w:rPr>
          <w:rFonts w:cs="Arial"/>
        </w:rPr>
        <w:t>angles</w:t>
      </w:r>
      <w:r w:rsidR="002144B0">
        <w:rPr>
          <w:rFonts w:cs="Arial"/>
        </w:rPr>
        <w:t xml:space="preserve"> and perspectives</w:t>
      </w:r>
      <w:r>
        <w:rPr>
          <w:rFonts w:cs="Arial"/>
        </w:rPr>
        <w:t xml:space="preserve">. </w:t>
      </w:r>
      <w:r w:rsidR="002144B0">
        <w:rPr>
          <w:rFonts w:cs="Arial"/>
        </w:rPr>
        <w:t>The three l</w:t>
      </w:r>
      <w:r>
        <w:rPr>
          <w:rFonts w:cs="Arial"/>
        </w:rPr>
        <w:t>ines follow the same approach and allow to obtain a robust risks management.</w:t>
      </w:r>
    </w:p>
    <w:permEnd w:id="1611666128"/>
    <w:p w14:paraId="64D6AC4D" w14:textId="11BB63C9" w:rsidR="00A41C15" w:rsidRPr="00A41C15" w:rsidRDefault="00A41C15">
      <w:pPr>
        <w:rPr>
          <w:rFonts w:cs="Arial"/>
        </w:rPr>
      </w:pPr>
      <w:r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3F846186" w14:textId="1651B1F4" w:rsidR="00A41C15" w:rsidRPr="00A41C15" w:rsidRDefault="002C3FCE">
      <w:pPr>
        <w:rPr>
          <w:rFonts w:cs="Arial"/>
        </w:rPr>
      </w:pPr>
      <w:permStart w:id="882901346" w:edGrp="everyone"/>
      <w:r>
        <w:rPr>
          <w:rFonts w:cs="Arial"/>
        </w:rPr>
        <w:t>Firms belonging to MAGs may suffer for a competitive disadvantage, but this not being generated by regulation or not resulting from the alteration of competitive conditions, shall be left to be handled to  the companies.</w:t>
      </w:r>
    </w:p>
    <w:permEnd w:id="882901346"/>
    <w:p w14:paraId="79AF82DD" w14:textId="6F0765FC" w:rsidR="00A41C15" w:rsidRPr="00A41C15" w:rsidRDefault="00A41C15">
      <w:pPr>
        <w:rPr>
          <w:rFonts w:cs="Arial"/>
        </w:rPr>
      </w:pPr>
      <w:r w:rsidRPr="00A41C15">
        <w:rPr>
          <w:rFonts w:cs="Arial"/>
        </w:rPr>
        <w:lastRenderedPageBreak/>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45709314" w14:textId="26501DB1" w:rsidR="00A41C15" w:rsidRPr="00A41C15" w:rsidRDefault="002C3FCE">
      <w:pPr>
        <w:rPr>
          <w:rFonts w:cs="Arial"/>
        </w:rPr>
      </w:pPr>
      <w:permStart w:id="894642396" w:edGrp="everyone"/>
      <w:r>
        <w:rPr>
          <w:rFonts w:cs="Arial"/>
        </w:rPr>
        <w:t>We do not see element</w:t>
      </w:r>
      <w:r w:rsidR="00A17F55">
        <w:rPr>
          <w:rFonts w:cs="Arial"/>
        </w:rPr>
        <w:t>s</w:t>
      </w:r>
      <w:r>
        <w:rPr>
          <w:rFonts w:cs="Arial"/>
        </w:rPr>
        <w:t xml:space="preserve"> that might prevent competition in this respect.</w:t>
      </w:r>
    </w:p>
    <w:permEnd w:id="894642396"/>
    <w:p w14:paraId="043BCFDA" w14:textId="231BFC9F" w:rsidR="00A41C15" w:rsidRPr="00A41C15" w:rsidRDefault="00A41C15">
      <w:pPr>
        <w:rPr>
          <w:rFonts w:cs="Arial"/>
        </w:rPr>
      </w:pPr>
      <w:r w:rsidRPr="00A41C15">
        <w:rPr>
          <w:rFonts w:cs="Arial"/>
        </w:rPr>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Do you consider there is a need for new cooperation and coordination arrangements between financial supervisors and other authorities (data, 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220FB4C7" w14:textId="77777777" w:rsidR="007605B9" w:rsidRDefault="007605B9">
      <w:pPr>
        <w:rPr>
          <w:rFonts w:cs="Arial"/>
        </w:rPr>
      </w:pPr>
      <w:permStart w:id="602830656" w:edGrp="everyone"/>
      <w:r w:rsidRPr="004C7902">
        <w:rPr>
          <w:rFonts w:eastAsiaTheme="minorEastAsia" w:cs="Arial"/>
          <w:szCs w:val="20"/>
        </w:rPr>
        <w:t>TYPE YOUR TEXT HERE</w:t>
      </w:r>
      <w:r w:rsidRPr="00A41C15">
        <w:rPr>
          <w:rFonts w:cs="Arial"/>
        </w:rPr>
        <w:t xml:space="preserve"> </w:t>
      </w:r>
    </w:p>
    <w:permEnd w:id="602830656"/>
    <w:p w14:paraId="4A465A83" w14:textId="4F96F7B4" w:rsidR="00A41C15" w:rsidRPr="00A41C15" w:rsidRDefault="00A41C15">
      <w:pPr>
        <w:rPr>
          <w:rFonts w:cs="Arial"/>
        </w:rPr>
      </w:pPr>
      <w:r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18"/>
      <w:footerReference w:type="default" r:id="rId19"/>
      <w:headerReference w:type="first" r:id="rId20"/>
      <w:footerReference w:type="first" r:id="rId21"/>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64E9" w14:textId="77777777" w:rsidR="0067521E" w:rsidRDefault="0067521E" w:rsidP="00A41C15">
      <w:pPr>
        <w:spacing w:after="0" w:line="240" w:lineRule="auto"/>
      </w:pPr>
      <w:r>
        <w:separator/>
      </w:r>
    </w:p>
  </w:endnote>
  <w:endnote w:type="continuationSeparator" w:id="0">
    <w:p w14:paraId="7A22E9D6" w14:textId="77777777" w:rsidR="0067521E" w:rsidRDefault="0067521E" w:rsidP="00A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D59A" w14:textId="0C6DC0B1" w:rsidR="0067521E" w:rsidRPr="005968A1" w:rsidRDefault="0067521E" w:rsidP="005968A1">
    <w:pPr>
      <w:pStyle w:val="Footer"/>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502E23">
      <w:rPr>
        <w:noProof/>
        <w:color w:val="FFFFFF" w:themeColor="background1"/>
      </w:rPr>
      <w:t>05 August 2021</w:t>
    </w:r>
    <w:r w:rsidRPr="005968A1">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7479"/>
      <w:docPartObj>
        <w:docPartGallery w:val="Page Numbers (Bottom of Page)"/>
        <w:docPartUnique/>
      </w:docPartObj>
    </w:sdtPr>
    <w:sdtEndPr>
      <w:rPr>
        <w:noProof/>
      </w:rPr>
    </w:sdtEndPr>
    <w:sdtContent>
      <w:p w14:paraId="230EBC97" w14:textId="62B5F82D" w:rsidR="0067521E" w:rsidRDefault="0067521E">
        <w:pPr>
          <w:pStyle w:val="Footer"/>
          <w:jc w:val="right"/>
        </w:pPr>
        <w:r>
          <w:fldChar w:fldCharType="begin"/>
        </w:r>
        <w:r>
          <w:instrText xml:space="preserve"> PAGE   \* MERGEFORMAT </w:instrText>
        </w:r>
        <w:r>
          <w:fldChar w:fldCharType="separate"/>
        </w:r>
        <w:r w:rsidR="007605B9">
          <w:rPr>
            <w:noProof/>
          </w:rPr>
          <w:t>24</w:t>
        </w:r>
        <w:r>
          <w:rPr>
            <w:noProof/>
          </w:rPr>
          <w:fldChar w:fldCharType="end"/>
        </w:r>
      </w:p>
    </w:sdtContent>
  </w:sdt>
  <w:p w14:paraId="056D92AB" w14:textId="77777777" w:rsidR="0067521E" w:rsidRDefault="00675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627497"/>
      <w:docPartObj>
        <w:docPartGallery w:val="Page Numbers (Bottom of Page)"/>
        <w:docPartUnique/>
      </w:docPartObj>
    </w:sdtPr>
    <w:sdtEndPr>
      <w:rPr>
        <w:noProof/>
      </w:rPr>
    </w:sdtEndPr>
    <w:sdtContent>
      <w:p w14:paraId="29EA6D07" w14:textId="49D27271" w:rsidR="0067521E" w:rsidRDefault="0067521E">
        <w:pPr>
          <w:pStyle w:val="Footer"/>
          <w:jc w:val="right"/>
        </w:pPr>
        <w:r>
          <w:fldChar w:fldCharType="begin"/>
        </w:r>
        <w:r>
          <w:instrText xml:space="preserve"> PAGE   \* MERGEFORMAT </w:instrText>
        </w:r>
        <w:r>
          <w:fldChar w:fldCharType="separate"/>
        </w:r>
        <w:r w:rsidR="007605B9">
          <w:rPr>
            <w:noProof/>
          </w:rPr>
          <w:t>1</w:t>
        </w:r>
        <w:r>
          <w:rPr>
            <w:noProof/>
          </w:rPr>
          <w:fldChar w:fldCharType="end"/>
        </w:r>
      </w:p>
    </w:sdtContent>
  </w:sdt>
  <w:p w14:paraId="362D8067" w14:textId="77777777" w:rsidR="0067521E" w:rsidRDefault="0067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7A88" w14:textId="77777777" w:rsidR="0067521E" w:rsidRDefault="0067521E" w:rsidP="00A41C15">
      <w:pPr>
        <w:spacing w:after="0" w:line="240" w:lineRule="auto"/>
      </w:pPr>
      <w:r>
        <w:separator/>
      </w:r>
    </w:p>
  </w:footnote>
  <w:footnote w:type="continuationSeparator" w:id="0">
    <w:p w14:paraId="18268920" w14:textId="77777777" w:rsidR="0067521E" w:rsidRDefault="0067521E" w:rsidP="00A41C15">
      <w:pPr>
        <w:spacing w:after="0" w:line="240" w:lineRule="auto"/>
      </w:pPr>
      <w:r>
        <w:continuationSeparator/>
      </w:r>
    </w:p>
  </w:footnote>
  <w:footnote w:id="1">
    <w:p w14:paraId="3F945468" w14:textId="77777777" w:rsidR="0067521E" w:rsidRDefault="0067521E" w:rsidP="00CC36BE">
      <w:pPr>
        <w:pStyle w:val="FootnoteText"/>
        <w:rPr>
          <w:lang w:val="fr-FR"/>
        </w:rPr>
      </w:pPr>
      <w:r>
        <w:rPr>
          <w:rStyle w:val="FootnoteReference"/>
        </w:rPr>
        <w:footnoteRef/>
      </w:r>
      <w:r>
        <w:rPr>
          <w:lang w:val="fr-FR"/>
        </w:rPr>
        <w:t xml:space="preserve"> </w:t>
      </w:r>
      <w:hyperlink r:id="rId1" w:history="1">
        <w:r>
          <w:rPr>
            <w:rStyle w:val="Hyperlink"/>
            <w:lang w:val="fr-FR"/>
          </w:rPr>
          <w:t>Digital finance package | European Commission (europa.eu)</w:t>
        </w:r>
      </w:hyperlink>
    </w:p>
  </w:footnote>
  <w:footnote w:id="2">
    <w:p w14:paraId="3876F87E" w14:textId="77777777" w:rsidR="0067521E" w:rsidRDefault="0067521E" w:rsidP="00CC36BE">
      <w:pPr>
        <w:pStyle w:val="FootnoteText"/>
        <w:rPr>
          <w:lang w:val="fr-FR"/>
        </w:rPr>
      </w:pPr>
      <w:r>
        <w:rPr>
          <w:rStyle w:val="FootnoteReference"/>
        </w:rPr>
        <w:footnoteRef/>
      </w:r>
      <w:hyperlink r:id="rId2" w:history="1">
        <w:r>
          <w:rPr>
            <w:rStyle w:val="Hyperlink"/>
            <w:lang w:val="fr-FR"/>
          </w:rPr>
          <w:t>https://ec.europa.eu/info/sites/info/files/business_economy_euro/banking_and_finance/documents/210202-call-advice-esas-digital-finance_en.pdf</w:t>
        </w:r>
      </w:hyperlink>
    </w:p>
  </w:footnote>
  <w:footnote w:id="3">
    <w:p w14:paraId="4727C407" w14:textId="77777777" w:rsidR="0067521E" w:rsidRDefault="0067521E" w:rsidP="00CC36BE">
      <w:pPr>
        <w:pStyle w:val="FootnoteText"/>
      </w:pPr>
      <w:r>
        <w:rPr>
          <w:rStyle w:val="FootnoteReference"/>
        </w:rPr>
        <w:footnoteRef/>
      </w:r>
      <w:r>
        <w:t xml:space="preserve"> For a detailed introduction on how BigTech firms are entering the financial services sector and the possible challenges and benefits associated with this development, please have a look at </w:t>
      </w:r>
      <w:hyperlink r:id="rId3" w:history="1">
        <w:r>
          <w:rPr>
            <w:rStyle w:val="Hyperlink"/>
          </w:rPr>
          <w:t>ESMA’s ‘Trends, Risks and Vulnerabilities report 1/2020’</w:t>
        </w:r>
      </w:hyperlink>
      <w:r>
        <w:t xml:space="preserve">. </w:t>
      </w:r>
    </w:p>
  </w:footnote>
  <w:footnote w:id="4">
    <w:p w14:paraId="5B981A9B" w14:textId="77777777" w:rsidR="0067521E" w:rsidRDefault="0067521E" w:rsidP="00CC36BE">
      <w:pPr>
        <w:pStyle w:val="FootnoteText"/>
      </w:pPr>
      <w:r>
        <w:rPr>
          <w:rStyle w:val="FootnoteReference"/>
        </w:rPr>
        <w:footnoteRef/>
      </w:r>
      <w:r>
        <w:t xml:space="preserve"> The EC is also asking EBA for input in the areas of protection of client funds and non-bank lending.</w:t>
      </w:r>
    </w:p>
  </w:footnote>
  <w:footnote w:id="5">
    <w:p w14:paraId="754192E2" w14:textId="77777777" w:rsidR="0067521E" w:rsidRDefault="0067521E" w:rsidP="00CC36BE">
      <w:pPr>
        <w:pStyle w:val="FootnoteText"/>
      </w:pPr>
      <w:r>
        <w:rPr>
          <w:rStyle w:val="FootnoteReference"/>
        </w:rPr>
        <w:footnoteRef/>
      </w:r>
      <w:r>
        <w:t xml:space="preserve"> https://ec.europa.eu/info/strategy/priorities-2019-2024/europe-fit-digital-age/digital-markets-act-ensuring-fair-and-open-digital-markets_en  </w:t>
      </w:r>
    </w:p>
  </w:footnote>
  <w:footnote w:id="6">
    <w:p w14:paraId="6FACDB7D" w14:textId="77777777" w:rsidR="0067521E" w:rsidRDefault="0067521E" w:rsidP="00CC36BE">
      <w:pPr>
        <w:pStyle w:val="FootnoteText"/>
      </w:pPr>
      <w:r>
        <w:rPr>
          <w:rStyle w:val="FootnoteReference"/>
        </w:rPr>
        <w:footnoteRef/>
      </w:r>
      <w:r>
        <w:t xml:space="preserve"> https://ec.europa.eu/info/publications/200924-digital-finance-proposals_en</w:t>
      </w:r>
    </w:p>
  </w:footnote>
  <w:footnote w:id="7">
    <w:p w14:paraId="556D401F" w14:textId="77777777" w:rsidR="0067521E" w:rsidRDefault="0067521E" w:rsidP="00CC36BE">
      <w:pPr>
        <w:pStyle w:val="FootnoteText"/>
        <w:rPr>
          <w:color w:val="1F497D"/>
          <w:lang w:val="en-US"/>
        </w:rPr>
      </w:pPr>
      <w:r>
        <w:rPr>
          <w:rStyle w:val="FootnoteReference"/>
        </w:rPr>
        <w:footnoteRef/>
      </w:r>
      <w:r>
        <w:t xml:space="preserve"> </w:t>
      </w:r>
      <w:hyperlink r:id="rId4" w:history="1">
        <w:r>
          <w:rPr>
            <w:rStyle w:val="Hyperlink"/>
            <w:lang w:val="en-US"/>
          </w:rPr>
          <w:t>https://www.eba.europa.eu/financial-innovation-and-fintech/fintech-knowledge-hub/regtech-industry-survey</w:t>
        </w:r>
      </w:hyperlink>
    </w:p>
  </w:footnote>
  <w:footnote w:id="8">
    <w:p w14:paraId="5B41CCE3" w14:textId="77777777" w:rsidR="0067521E" w:rsidRDefault="0067521E" w:rsidP="00CC36BE">
      <w:pPr>
        <w:pStyle w:val="FootnoteText"/>
      </w:pPr>
      <w:r>
        <w:rPr>
          <w:rStyle w:val="FootnoteReference"/>
        </w:rPr>
        <w:footnoteRef/>
      </w:r>
      <w:r>
        <w:t xml:space="preserve"> </w:t>
      </w:r>
      <w:hyperlink r:id="rId5" w:history="1">
        <w:r>
          <w:rPr>
            <w:rStyle w:val="Hyperlink"/>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0F46" w14:textId="1A87281F" w:rsidR="0067521E" w:rsidRDefault="0067521E">
    <w:pPr>
      <w:pStyle w:val="Header"/>
    </w:pPr>
    <w:r>
      <w:rPr>
        <w:noProof/>
        <w:lang w:val="en-US"/>
      </w:rPr>
      <w:drawing>
        <wp:anchor distT="0" distB="0" distL="114300" distR="114300" simplePos="0" relativeHeight="251671552"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C86E" w14:textId="3597E45C" w:rsidR="0067521E" w:rsidRDefault="0067521E" w:rsidP="005968A1">
    <w:pPr>
      <w:pStyle w:val="Header"/>
      <w:jc w:val="right"/>
    </w:pPr>
    <w:r>
      <w:fldChar w:fldCharType="begin"/>
    </w:r>
    <w:r>
      <w:instrText xml:space="preserve"> DATE \@ "dd MMMM yyyy" </w:instrText>
    </w:r>
    <w:r>
      <w:fldChar w:fldCharType="separate"/>
    </w:r>
    <w:r w:rsidR="00502E23">
      <w:rPr>
        <w:noProof/>
      </w:rPr>
      <w:t>05 August 2021</w:t>
    </w:r>
    <w:r>
      <w:fldChar w:fldCharType="end"/>
    </w:r>
    <w:r>
      <w:rPr>
        <w:noProof/>
        <w:lang w:val="en-US"/>
      </w:rPr>
      <w:drawing>
        <wp:anchor distT="0" distB="0" distL="114300" distR="114300" simplePos="0" relativeHeight="25166643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val="en-US"/>
      </w:rPr>
      <mc:AlternateContent>
        <mc:Choice Requires="wps">
          <w:drawing>
            <wp:anchor distT="0" distB="0" distL="114300" distR="114300" simplePos="0" relativeHeight="251667456"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CB1128F"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4B9" w14:textId="7BC805C2" w:rsidR="0067521E" w:rsidRDefault="0067521E" w:rsidP="00A41C15">
    <w:pPr>
      <w:pStyle w:val="Header"/>
      <w:jc w:val="right"/>
    </w:pPr>
    <w:r>
      <w:rPr>
        <w:noProof/>
        <w:lang w:val="en-US"/>
      </w:rPr>
      <w:drawing>
        <wp:anchor distT="0" distB="0" distL="114300" distR="114300" simplePos="0" relativeHeight="25166336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val="en-US"/>
      </w:rPr>
      <mc:AlternateContent>
        <mc:Choice Requires="wps">
          <w:drawing>
            <wp:anchor distT="0" distB="0" distL="114300" distR="114300" simplePos="0" relativeHeight="251664384"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9881CF5"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75E5" w14:textId="75C0838E" w:rsidR="0067521E" w:rsidRDefault="0067521E" w:rsidP="005968A1">
    <w:pPr>
      <w:pStyle w:val="Header"/>
      <w:jc w:val="right"/>
    </w:pPr>
    <w:r>
      <w:fldChar w:fldCharType="begin"/>
    </w:r>
    <w:r>
      <w:instrText xml:space="preserve"> DATE \@ "dd MMMM yyyy" </w:instrText>
    </w:r>
    <w:r>
      <w:fldChar w:fldCharType="separate"/>
    </w:r>
    <w:r w:rsidR="00502E23">
      <w:rPr>
        <w:noProof/>
      </w:rPr>
      <w:t>05 August 2021</w:t>
    </w:r>
    <w:r>
      <w:fldChar w:fldCharType="end"/>
    </w:r>
    <w:r>
      <w:rPr>
        <w:noProof/>
        <w:lang w:val="en-US"/>
      </w:rPr>
      <w:drawing>
        <wp:anchor distT="0" distB="0" distL="114300" distR="114300" simplePos="0" relativeHeight="25166950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lang w:val="en-US"/>
      </w:rPr>
      <mc:AlternateContent>
        <mc:Choice Requires="wps">
          <w:drawing>
            <wp:anchor distT="0" distB="0" distL="114300" distR="114300" simplePos="0" relativeHeight="251670528"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7CC0A78"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169B2"/>
    <w:multiLevelType w:val="hybridMultilevel"/>
    <w:tmpl w:val="26C01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3" w15:restartNumberingAfterBreak="0">
    <w:nsid w:val="2185357B"/>
    <w:multiLevelType w:val="hybridMultilevel"/>
    <w:tmpl w:val="2BA0D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008592E"/>
    <w:multiLevelType w:val="hybridMultilevel"/>
    <w:tmpl w:val="34EEDF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B0705"/>
    <w:multiLevelType w:val="hybridMultilevel"/>
    <w:tmpl w:val="2B1C3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6E74A7E"/>
    <w:multiLevelType w:val="multilevel"/>
    <w:tmpl w:val="5D68BCEC"/>
    <w:lvl w:ilvl="0">
      <w:start w:val="1"/>
      <w:numFmt w:val="decimal"/>
      <w:pStyle w:val="ListParagraph"/>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5"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4A22448"/>
    <w:multiLevelType w:val="hybridMultilevel"/>
    <w:tmpl w:val="1A0A5B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5DE60E9"/>
    <w:multiLevelType w:val="hybridMultilevel"/>
    <w:tmpl w:val="1084069A"/>
    <w:lvl w:ilvl="0" w:tplc="B532C018">
      <w:start w:val="2"/>
      <w:numFmt w:val="upperRoman"/>
      <w:pStyle w:val="Heading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0"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22" w15:restartNumberingAfterBreak="0">
    <w:nsid w:val="77106C18"/>
    <w:multiLevelType w:val="hybridMultilevel"/>
    <w:tmpl w:val="2F04199E"/>
    <w:lvl w:ilvl="0" w:tplc="7FD0D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10"/>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0"/>
  </w:num>
  <w:num w:numId="19">
    <w:abstractNumId w:val="5"/>
  </w:num>
  <w:num w:numId="20">
    <w:abstractNumId w:val="7"/>
  </w:num>
  <w:num w:numId="21">
    <w:abstractNumId w:val="2"/>
  </w:num>
  <w:num w:numId="22">
    <w:abstractNumId w:val="3"/>
  </w:num>
  <w:num w:numId="23">
    <w:abstractNumId w:val="11"/>
  </w:num>
  <w:num w:numId="24">
    <w:abstractNumId w:val="22"/>
  </w:num>
  <w:num w:numId="25">
    <w:abstractNumId w:val="6"/>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Ggi+uKWosA9mvovmk9BTFxz1jl/IpXMk9UfuHxcWS0GwcO7f08NTXEnh3MerMc0zAkJDCRxyyiVVvej1qEjMA==" w:salt="fu0dX5TLUNJaBhuwci48o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C15"/>
    <w:rsid w:val="00006759"/>
    <w:rsid w:val="000317A1"/>
    <w:rsid w:val="00044BA2"/>
    <w:rsid w:val="000844EB"/>
    <w:rsid w:val="001019E0"/>
    <w:rsid w:val="001021BE"/>
    <w:rsid w:val="001B03CD"/>
    <w:rsid w:val="001B465A"/>
    <w:rsid w:val="002144B0"/>
    <w:rsid w:val="0024358D"/>
    <w:rsid w:val="002635A4"/>
    <w:rsid w:val="002923A9"/>
    <w:rsid w:val="002C1BDA"/>
    <w:rsid w:val="002C3FCE"/>
    <w:rsid w:val="00317D73"/>
    <w:rsid w:val="00322436"/>
    <w:rsid w:val="003375D2"/>
    <w:rsid w:val="003B192E"/>
    <w:rsid w:val="003B2B61"/>
    <w:rsid w:val="003E74CA"/>
    <w:rsid w:val="003F4263"/>
    <w:rsid w:val="00404042"/>
    <w:rsid w:val="00406A53"/>
    <w:rsid w:val="00414375"/>
    <w:rsid w:val="004714F1"/>
    <w:rsid w:val="00493BE8"/>
    <w:rsid w:val="004C7902"/>
    <w:rsid w:val="004D7DA2"/>
    <w:rsid w:val="004E3207"/>
    <w:rsid w:val="00502E23"/>
    <w:rsid w:val="005125A7"/>
    <w:rsid w:val="0055077F"/>
    <w:rsid w:val="005636D1"/>
    <w:rsid w:val="005968A1"/>
    <w:rsid w:val="005B43A6"/>
    <w:rsid w:val="005E7EC5"/>
    <w:rsid w:val="00613721"/>
    <w:rsid w:val="00620CC6"/>
    <w:rsid w:val="00635BCB"/>
    <w:rsid w:val="006406E8"/>
    <w:rsid w:val="0067521E"/>
    <w:rsid w:val="00707081"/>
    <w:rsid w:val="007123AD"/>
    <w:rsid w:val="007605B9"/>
    <w:rsid w:val="00796BC8"/>
    <w:rsid w:val="008122AF"/>
    <w:rsid w:val="00821953"/>
    <w:rsid w:val="008A4D33"/>
    <w:rsid w:val="008C6670"/>
    <w:rsid w:val="00943350"/>
    <w:rsid w:val="009D051D"/>
    <w:rsid w:val="009D1404"/>
    <w:rsid w:val="009E1BE4"/>
    <w:rsid w:val="009F3DA0"/>
    <w:rsid w:val="00A17F55"/>
    <w:rsid w:val="00A41C15"/>
    <w:rsid w:val="00A629B3"/>
    <w:rsid w:val="00B443C7"/>
    <w:rsid w:val="00B51C18"/>
    <w:rsid w:val="00BA45A6"/>
    <w:rsid w:val="00BF287E"/>
    <w:rsid w:val="00CC36BE"/>
    <w:rsid w:val="00DA7F6A"/>
    <w:rsid w:val="00DB684F"/>
    <w:rsid w:val="00DC07FF"/>
    <w:rsid w:val="00DD6EF2"/>
    <w:rsid w:val="00E50D43"/>
    <w:rsid w:val="00E8157F"/>
    <w:rsid w:val="00F24647"/>
    <w:rsid w:val="00F32EB8"/>
    <w:rsid w:val="00F34D5C"/>
    <w:rsid w:val="00F779A9"/>
    <w:rsid w:val="00FC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730F6E"/>
  <w15:chartTrackingRefBased/>
  <w15:docId w15:val="{2E7AD25C-A692-420A-A39E-279E9B5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BE"/>
  </w:style>
  <w:style w:type="paragraph" w:styleId="Heading1">
    <w:name w:val="heading 1"/>
    <w:basedOn w:val="Normal"/>
    <w:next w:val="Normal"/>
    <w:link w:val="Heading1Char"/>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Heading2">
    <w:name w:val="heading 2"/>
    <w:basedOn w:val="Normal"/>
    <w:next w:val="Normal"/>
    <w:link w:val="Heading2Char"/>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Heading6">
    <w:name w:val="heading 6"/>
    <w:basedOn w:val="Normal"/>
    <w:next w:val="Normal"/>
    <w:link w:val="Heading6Char"/>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Heading9">
    <w:name w:val="heading 9"/>
    <w:basedOn w:val="Normal"/>
    <w:next w:val="Normal"/>
    <w:link w:val="Heading9Char"/>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tyle">
    <w:name w:val="Question style"/>
    <w:basedOn w:val="Normal"/>
    <w:next w:val="Normal"/>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DefaultParagraphFont"/>
    <w:link w:val="Questionstyle"/>
    <w:rsid w:val="00A41C15"/>
    <w:rPr>
      <w:rFonts w:eastAsiaTheme="minorEastAsia" w:cs="Arial"/>
      <w:b/>
      <w:sz w:val="22"/>
      <w:lang w:val="en-US"/>
    </w:rPr>
  </w:style>
  <w:style w:type="character" w:customStyle="1" w:styleId="Heading1Char">
    <w:name w:val="Heading 1 Char"/>
    <w:basedOn w:val="DefaultParagraphFont"/>
    <w:link w:val="Heading1"/>
    <w:uiPriority w:val="9"/>
    <w:rsid w:val="00A41C15"/>
    <w:rPr>
      <w:rFonts w:eastAsia="Times New Roman" w:cs="Arial"/>
      <w:b/>
      <w:bCs/>
      <w:kern w:val="32"/>
      <w:sz w:val="24"/>
      <w:szCs w:val="32"/>
      <w:lang w:eastAsia="de-DE"/>
    </w:rPr>
  </w:style>
  <w:style w:type="character" w:styleId="PlaceholderText">
    <w:name w:val="Placeholder Text"/>
    <w:uiPriority w:val="99"/>
    <w:semiHidden/>
    <w:rsid w:val="00A41C15"/>
    <w:rPr>
      <w:color w:val="808080"/>
    </w:rPr>
  </w:style>
  <w:style w:type="character" w:customStyle="1" w:styleId="Heading2Char">
    <w:name w:val="Heading 2 Char"/>
    <w:basedOn w:val="DefaultParagraphFont"/>
    <w:link w:val="Heading2"/>
    <w:uiPriority w:val="9"/>
    <w:semiHidden/>
    <w:rsid w:val="00A41C15"/>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semiHidden/>
    <w:rsid w:val="00A41C1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A41C15"/>
    <w:rPr>
      <w:rFonts w:asciiTheme="majorHAnsi" w:eastAsiaTheme="majorEastAsia" w:hAnsiTheme="majorHAnsi" w:cstheme="majorBidi"/>
      <w:sz w:val="22"/>
    </w:rPr>
  </w:style>
  <w:style w:type="character" w:customStyle="1" w:styleId="Heading6Char">
    <w:name w:val="Heading 6 Char"/>
    <w:basedOn w:val="DefaultParagraphFont"/>
    <w:link w:val="Heading6"/>
    <w:uiPriority w:val="9"/>
    <w:semiHidden/>
    <w:rsid w:val="00A41C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41C15"/>
    <w:rPr>
      <w:rFonts w:asciiTheme="majorHAnsi" w:eastAsiaTheme="majorEastAsia" w:hAnsiTheme="majorHAnsi" w:cstheme="majorBidi"/>
      <w:b/>
      <w:bCs/>
      <w:color w:val="44546A" w:themeColor="text2"/>
      <w:sz w:val="22"/>
      <w:szCs w:val="20"/>
    </w:rPr>
  </w:style>
  <w:style w:type="character" w:customStyle="1" w:styleId="Heading9Char">
    <w:name w:val="Heading 9 Char"/>
    <w:basedOn w:val="DefaultParagraphFont"/>
    <w:link w:val="Heading9"/>
    <w:uiPriority w:val="9"/>
    <w:semiHidden/>
    <w:rsid w:val="00A41C15"/>
    <w:rPr>
      <w:rFonts w:asciiTheme="majorHAnsi" w:eastAsiaTheme="majorEastAsia" w:hAnsiTheme="majorHAnsi" w:cstheme="majorBidi"/>
      <w:b/>
      <w:bCs/>
      <w:i/>
      <w:iCs/>
      <w:color w:val="44546A" w:themeColor="text2"/>
      <w:sz w:val="22"/>
      <w:szCs w:val="20"/>
    </w:rPr>
  </w:style>
  <w:style w:type="character" w:styleId="Hyperlink">
    <w:name w:val="Hyperlink"/>
    <w:basedOn w:val="DefaultParagraphFont"/>
    <w:uiPriority w:val="99"/>
    <w:unhideWhenUsed/>
    <w:rsid w:val="00A41C15"/>
    <w:rPr>
      <w:color w:val="0563C1" w:themeColor="hyperlink"/>
      <w:u w:val="single"/>
    </w:rPr>
  </w:style>
  <w:style w:type="paragraph" w:styleId="TOC1">
    <w:name w:val="toc 1"/>
    <w:basedOn w:val="Normal"/>
    <w:next w:val="Normal"/>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semiHidden/>
    <w:locked/>
    <w:rsid w:val="00A41C15"/>
    <w:rPr>
      <w:sz w:val="16"/>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DefaultParagraphFont"/>
    <w:uiPriority w:val="99"/>
    <w:semiHidden/>
    <w:rsid w:val="00A41C15"/>
    <w:rPr>
      <w:szCs w:val="20"/>
    </w:rPr>
  </w:style>
  <w:style w:type="paragraph" w:styleId="Title">
    <w:name w:val="Title"/>
    <w:basedOn w:val="Normal"/>
    <w:next w:val="Normal"/>
    <w:link w:val="TitleChar"/>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leChar">
    <w:name w:val="Title Char"/>
    <w:basedOn w:val="DefaultParagraphFont"/>
    <w:link w:val="Title"/>
    <w:uiPriority w:val="10"/>
    <w:rsid w:val="00A41C15"/>
    <w:rPr>
      <w:rFonts w:asciiTheme="majorHAnsi" w:eastAsiaTheme="majorEastAsia" w:hAnsiTheme="majorHAnsi" w:cstheme="majorBidi"/>
      <w:b/>
      <w:color w:val="2E74B5" w:themeColor="accent5" w:themeShade="BF"/>
      <w:spacing w:val="-10"/>
      <w:sz w:val="56"/>
      <w:szCs w:val="56"/>
    </w:rPr>
  </w:style>
  <w:style w:type="paragraph" w:styleId="Subtitle">
    <w:name w:val="Subtitle"/>
    <w:basedOn w:val="Normal"/>
    <w:next w:val="Normal"/>
    <w:link w:val="SubtitleChar"/>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41C15"/>
    <w:rPr>
      <w:rFonts w:asciiTheme="majorHAnsi" w:eastAsiaTheme="majorEastAsia" w:hAnsiTheme="majorHAnsi" w:cstheme="majorBidi"/>
      <w:b/>
      <w:sz w:val="28"/>
      <w:szCs w:val="24"/>
    </w:rPr>
  </w:style>
  <w:style w:type="character" w:customStyle="1" w:styleId="NoSpacingChar">
    <w:name w:val="No Spacing Char"/>
    <w:basedOn w:val="DefaultParagraphFont"/>
    <w:link w:val="NoSpacing"/>
    <w:uiPriority w:val="1"/>
    <w:locked/>
    <w:rsid w:val="00A41C15"/>
  </w:style>
  <w:style w:type="paragraph" w:styleId="NoSpacing">
    <w:name w:val="No Spacing"/>
    <w:link w:val="NoSpacingChar"/>
    <w:uiPriority w:val="1"/>
    <w:qFormat/>
    <w:rsid w:val="00A41C15"/>
    <w:pPr>
      <w:spacing w:after="0" w:line="240" w:lineRule="auto"/>
    </w:pPr>
  </w:style>
  <w:style w:type="character" w:customStyle="1" w:styleId="ListParagraphChar">
    <w:name w:val="List Paragraph Char"/>
    <w:aliases w:val="Paragraphe EI Char,Paragraphe de liste1 Char,EC Char,Paragraphe de liste Char,Dot pt Char,List Paragraph1 Char,Colorful List - Accent 11 Char,No Spacing1 Char,List Paragraph Char Char Char Char,Indicator Text Char,Bullet 1 Char"/>
    <w:link w:val="ListParagraph"/>
    <w:uiPriority w:val="34"/>
    <w:qFormat/>
    <w:locked/>
    <w:rsid w:val="00A41C15"/>
    <w:rPr>
      <w:sz w:val="22"/>
      <w:shd w:val="clear" w:color="auto" w:fill="FFFFFF"/>
    </w:rPr>
  </w:style>
  <w:style w:type="paragraph" w:styleId="ListParagraph">
    <w:name w:val="List Paragraph"/>
    <w:aliases w:val="Paragraphe EI,Paragraphe de liste1,EC,Paragraphe de liste,Dot pt,List Paragraph1,Colorful List - Accent 11,No Spacing1,List Paragraph Char Char Char,Indicator Text,Numbered Para 1,Bullet 1,F5 List Paragraph,Bullet Points,List Paragraph2"/>
    <w:basedOn w:val="Normal"/>
    <w:link w:val="ListParagraphChar"/>
    <w:uiPriority w:val="34"/>
    <w:qFormat/>
    <w:rsid w:val="00A41C15"/>
    <w:pPr>
      <w:numPr>
        <w:numId w:val="4"/>
      </w:numPr>
      <w:shd w:val="clear" w:color="auto" w:fill="FFFFFF"/>
      <w:spacing w:after="120" w:line="264" w:lineRule="auto"/>
      <w:ind w:left="993" w:hanging="633"/>
      <w:jc w:val="both"/>
    </w:pPr>
    <w:rPr>
      <w:sz w:val="22"/>
    </w:rPr>
  </w:style>
  <w:style w:type="paragraph" w:styleId="TOCHeading">
    <w:name w:val="TOC Heading"/>
    <w:basedOn w:val="Heading1"/>
    <w:next w:val="Normal"/>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ListParagraphChar"/>
    <w:link w:val="ParagraphoftheCP"/>
    <w:locked/>
    <w:rsid w:val="00A41C15"/>
    <w:rPr>
      <w:sz w:val="22"/>
      <w:shd w:val="clear" w:color="auto" w:fill="FFFFFF"/>
    </w:rPr>
  </w:style>
  <w:style w:type="paragraph" w:customStyle="1" w:styleId="ParagraphoftheCP">
    <w:name w:val="Paragraph of the CP"/>
    <w:basedOn w:val="ListParagraph"/>
    <w:link w:val="ParagraphoftheCPChar"/>
    <w:qFormat/>
    <w:rsid w:val="00A41C15"/>
    <w:pPr>
      <w:numPr>
        <w:numId w:val="5"/>
      </w:numPr>
      <w:spacing w:line="280" w:lineRule="exact"/>
    </w:p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iPriority w:val="99"/>
    <w:semiHidden/>
    <w:unhideWhenUsed/>
    <w:qFormat/>
    <w:rsid w:val="00A41C15"/>
    <w:rPr>
      <w:rFonts w:asciiTheme="majorHAnsi" w:hAnsiTheme="majorHAnsi" w:cs="Arial" w:hint="default"/>
      <w:sz w:val="16"/>
      <w:vertAlign w:val="superscript"/>
    </w:rPr>
  </w:style>
  <w:style w:type="paragraph" w:styleId="Header">
    <w:name w:val="header"/>
    <w:basedOn w:val="Normal"/>
    <w:link w:val="HeaderChar"/>
    <w:uiPriority w:val="99"/>
    <w:unhideWhenUsed/>
    <w:rsid w:val="00A4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C15"/>
  </w:style>
  <w:style w:type="paragraph" w:styleId="Footer">
    <w:name w:val="footer"/>
    <w:basedOn w:val="Normal"/>
    <w:link w:val="FooterChar"/>
    <w:uiPriority w:val="99"/>
    <w:unhideWhenUsed/>
    <w:rsid w:val="00A4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C15"/>
  </w:style>
  <w:style w:type="table" w:styleId="TableGrid">
    <w:name w:val="Table Grid"/>
    <w:basedOn w:val="TableNormal"/>
    <w:uiPriority w:val="39"/>
    <w:rsid w:val="004E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25A7"/>
    <w:rPr>
      <w:sz w:val="16"/>
      <w:szCs w:val="16"/>
    </w:rPr>
  </w:style>
  <w:style w:type="paragraph" w:styleId="CommentText">
    <w:name w:val="annotation text"/>
    <w:basedOn w:val="Normal"/>
    <w:link w:val="CommentTextChar"/>
    <w:uiPriority w:val="99"/>
    <w:semiHidden/>
    <w:unhideWhenUsed/>
    <w:rsid w:val="005125A7"/>
    <w:pPr>
      <w:spacing w:line="240" w:lineRule="auto"/>
    </w:pPr>
    <w:rPr>
      <w:szCs w:val="20"/>
    </w:rPr>
  </w:style>
  <w:style w:type="character" w:customStyle="1" w:styleId="CommentTextChar">
    <w:name w:val="Comment Text Char"/>
    <w:basedOn w:val="DefaultParagraphFont"/>
    <w:link w:val="CommentText"/>
    <w:uiPriority w:val="99"/>
    <w:semiHidden/>
    <w:rsid w:val="005125A7"/>
    <w:rPr>
      <w:szCs w:val="20"/>
    </w:rPr>
  </w:style>
  <w:style w:type="paragraph" w:styleId="CommentSubject">
    <w:name w:val="annotation subject"/>
    <w:basedOn w:val="CommentText"/>
    <w:next w:val="CommentText"/>
    <w:link w:val="CommentSubjectChar"/>
    <w:uiPriority w:val="99"/>
    <w:semiHidden/>
    <w:unhideWhenUsed/>
    <w:rsid w:val="005125A7"/>
    <w:rPr>
      <w:b/>
      <w:bCs/>
    </w:rPr>
  </w:style>
  <w:style w:type="character" w:customStyle="1" w:styleId="CommentSubjectChar">
    <w:name w:val="Comment Subject Char"/>
    <w:basedOn w:val="CommentTextChar"/>
    <w:link w:val="CommentSubject"/>
    <w:uiPriority w:val="99"/>
    <w:semiHidden/>
    <w:rsid w:val="005125A7"/>
    <w:rPr>
      <w:b/>
      <w:bCs/>
      <w:szCs w:val="20"/>
    </w:rPr>
  </w:style>
  <w:style w:type="paragraph" w:styleId="BalloonText">
    <w:name w:val="Balloon Text"/>
    <w:basedOn w:val="Normal"/>
    <w:link w:val="BalloonTextChar"/>
    <w:uiPriority w:val="99"/>
    <w:semiHidden/>
    <w:unhideWhenUsed/>
    <w:rsid w:val="00512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8948">
      <w:bodyDiv w:val="1"/>
      <w:marLeft w:val="0"/>
      <w:marRight w:val="0"/>
      <w:marTop w:val="0"/>
      <w:marBottom w:val="0"/>
      <w:divBdr>
        <w:top w:val="none" w:sz="0" w:space="0" w:color="auto"/>
        <w:left w:val="none" w:sz="0" w:space="0" w:color="auto"/>
        <w:bottom w:val="none" w:sz="0" w:space="0" w:color="auto"/>
        <w:right w:val="none" w:sz="0" w:space="0" w:color="auto"/>
      </w:divBdr>
    </w:div>
    <w:div w:id="162209813">
      <w:bodyDiv w:val="1"/>
      <w:marLeft w:val="0"/>
      <w:marRight w:val="0"/>
      <w:marTop w:val="0"/>
      <w:marBottom w:val="0"/>
      <w:divBdr>
        <w:top w:val="none" w:sz="0" w:space="0" w:color="auto"/>
        <w:left w:val="none" w:sz="0" w:space="0" w:color="auto"/>
        <w:bottom w:val="none" w:sz="0" w:space="0" w:color="auto"/>
        <w:right w:val="none" w:sz="0" w:space="0" w:color="auto"/>
      </w:divBdr>
    </w:div>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_50-165-1040_trv_no.1_2020.pdf" TargetMode="External"/><Relationship Id="rId2" Type="http://schemas.openxmlformats.org/officeDocument/2006/relationships/hyperlink" Target="https://ec.europa.eu/info/sites/info/files/business_economy_euro/banking_and_finance/documents/210202-call-advice-esas-digital-finance_en.pdf" TargetMode="External"/><Relationship Id="rId1" Type="http://schemas.openxmlformats.org/officeDocument/2006/relationships/hyperlink" Target="https://ec.europa.eu/info/publications/200924-digital-finance-proposals_en" TargetMode="External"/><Relationship Id="rId5" Type="http://schemas.openxmlformats.org/officeDocument/2006/relationships/hyperlink" Target="https://www.eiopa.europa.eu/sites/default/files/publications/consultations/discussion-paper-on-insurance-value-chain-and-new-business-models-arising-from-digitalisation.pdf" TargetMode="External"/><Relationship Id="rId4"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A60FD6233C344979E3F31E13A4EA7" ma:contentTypeVersion="13" ma:contentTypeDescription="Create a new document." ma:contentTypeScope="" ma:versionID="bdbfb7d1c3595c845f50579bf2f245f0">
  <xsd:schema xmlns:xsd="http://www.w3.org/2001/XMLSchema" xmlns:xs="http://www.w3.org/2001/XMLSchema" xmlns:p="http://schemas.microsoft.com/office/2006/metadata/properties" xmlns:ns2="5dd7d9a2-19fe-4da7-b1b5-7993cafc840d" xmlns:ns3="bb0f1659-1c03-4c6d-b97d-81a1e8faf705" targetNamespace="http://schemas.microsoft.com/office/2006/metadata/properties" ma:root="true" ma:fieldsID="58dd9790070ea9aeb3cf080ebb374296" ns2:_="" ns3:_="">
    <xsd:import namespace="5dd7d9a2-19fe-4da7-b1b5-7993cafc840d"/>
    <xsd:import namespace="bb0f1659-1c03-4c6d-b97d-81a1e8faf70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d9a2-19fe-4da7-b1b5-7993cafc84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f1659-1c03-4c6d-b97d-81a1e8faf70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7D1A3-EE86-4D7E-A8D4-B91484312C46}">
  <ds:schemaRefs>
    <ds:schemaRef ds:uri="http://schemas.openxmlformats.org/officeDocument/2006/bibliography"/>
  </ds:schemaRefs>
</ds:datastoreItem>
</file>

<file path=customXml/itemProps2.xml><?xml version="1.0" encoding="utf-8"?>
<ds:datastoreItem xmlns:ds="http://schemas.openxmlformats.org/officeDocument/2006/customXml" ds:itemID="{294E8469-5C4E-43BA-B306-91256C650E4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d7d9a2-19fe-4da7-b1b5-7993cafc840d"/>
    <ds:schemaRef ds:uri="http://schemas.microsoft.com/office/2006/documentManagement/types"/>
    <ds:schemaRef ds:uri="bb0f1659-1c03-4c6d-b97d-81a1e8faf705"/>
    <ds:schemaRef ds:uri="http://www.w3.org/XML/1998/namespace"/>
    <ds:schemaRef ds:uri="http://purl.org/dc/dcmitype/"/>
  </ds:schemaRefs>
</ds:datastoreItem>
</file>

<file path=customXml/itemProps3.xml><?xml version="1.0" encoding="utf-8"?>
<ds:datastoreItem xmlns:ds="http://schemas.openxmlformats.org/officeDocument/2006/customXml" ds:itemID="{AECF6A51-B69C-4A43-B272-F2AF5230C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d9a2-19fe-4da7-b1b5-7993cafc840d"/>
    <ds:schemaRef ds:uri="bb0f1659-1c03-4c6d-b97d-81a1e8faf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2E1D9-6076-4F35-B7C7-C7909E4E9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25</Pages>
  <Words>6232</Words>
  <Characters>35523</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Valentina Mejdahl</cp:lastModifiedBy>
  <cp:revision>23</cp:revision>
  <dcterms:created xsi:type="dcterms:W3CDTF">2021-07-26T14:39:00Z</dcterms:created>
  <dcterms:modified xsi:type="dcterms:W3CDTF">2021-08-05T09:13:00Z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0x010100D97A60FD6233C344979E3F31E13A4EA7</vt:lpwstr>
  </property>
</Properties>
</file>