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hAnsiTheme="minorHAnsi" w:cstheme="minorHAnsi"/>
        </w:rPr>
        <w:id w:val="-973058580"/>
        <w:docPartObj>
          <w:docPartGallery w:val="Cover Pages"/>
          <w:docPartUnique/>
        </w:docPartObj>
      </w:sdtPr>
      <w:sdtEndPr>
        <w:rPr>
          <w:highlight w:val="yellow"/>
        </w:r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788743E8" w14:textId="77777777" w:rsidR="006B391B" w:rsidRPr="002C0C94" w:rsidRDefault="006B391B" w:rsidP="006B391B">
                <w:pPr>
                  <w:rPr>
                    <w:rFonts w:asciiTheme="majorHAnsi" w:eastAsiaTheme="majorEastAsia" w:hAnsiTheme="majorHAnsi" w:cs="Arial"/>
                    <w:b/>
                    <w:sz w:val="28"/>
                    <w:szCs w:val="28"/>
                  </w:rPr>
                </w:pPr>
                <w:r w:rsidRPr="002C0C94">
                  <w:rPr>
                    <w:rFonts w:asciiTheme="majorHAnsi" w:eastAsiaTheme="majorEastAsia" w:hAnsiTheme="majorHAnsi" w:cs="Arial"/>
                    <w:b/>
                    <w:sz w:val="28"/>
                    <w:szCs w:val="28"/>
                  </w:rPr>
                  <w:t xml:space="preserve">Technical standards </w:t>
                </w:r>
                <w:r>
                  <w:rPr>
                    <w:rFonts w:asciiTheme="majorHAnsi" w:eastAsiaTheme="majorEastAsia" w:hAnsiTheme="majorHAnsi" w:cs="Arial"/>
                    <w:b/>
                    <w:sz w:val="28"/>
                    <w:szCs w:val="28"/>
                  </w:rPr>
                  <w:t>for</w:t>
                </w:r>
                <w:r w:rsidRPr="002C0C94">
                  <w:rPr>
                    <w:rFonts w:asciiTheme="majorHAnsi" w:eastAsiaTheme="majorEastAsia" w:hAnsiTheme="majorHAnsi" w:cs="Arial"/>
                    <w:b/>
                    <w:sz w:val="28"/>
                    <w:szCs w:val="28"/>
                  </w:rPr>
                  <w:t xml:space="preserve"> commodity derivatives </w:t>
                </w:r>
              </w:p>
              <w:p w14:paraId="26CF3934" w14:textId="4E35944E" w:rsidR="00AB6157" w:rsidRPr="00B8572C" w:rsidRDefault="00AB6157" w:rsidP="001F23C9">
                <w:pPr>
                  <w:pStyle w:val="Heading2"/>
                  <w:numPr>
                    <w:ilvl w:val="0"/>
                    <w:numId w:val="0"/>
                  </w:numPr>
                  <w:spacing w:before="0"/>
                </w:pP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0973BF2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w:t>
          </w:r>
          <w:r w:rsidR="001F23C9">
            <w:rPr>
              <w:rFonts w:asciiTheme="minorHAnsi" w:eastAsiaTheme="minorEastAsia" w:hAnsiTheme="minorHAnsi" w:cstheme="minorBidi"/>
              <w:sz w:val="22"/>
              <w:szCs w:val="20"/>
              <w:lang w:eastAsia="en-US"/>
            </w:rPr>
            <w:t xml:space="preserve">consultation </w:t>
          </w:r>
          <w:r w:rsidRPr="00AB6157">
            <w:rPr>
              <w:rFonts w:asciiTheme="minorHAnsi" w:eastAsiaTheme="minorEastAsia" w:hAnsiTheme="minorHAnsi" w:cstheme="minorBidi"/>
              <w:sz w:val="22"/>
              <w:szCs w:val="20"/>
              <w:lang w:eastAsia="en-US"/>
            </w:rPr>
            <w:t xml:space="preserve">paper and </w:t>
          </w:r>
          <w:r w:rsidRPr="001F23C9">
            <w:rPr>
              <w:rFonts w:asciiTheme="minorHAnsi" w:eastAsiaTheme="minorEastAsia" w:hAnsiTheme="minorHAnsi" w:cstheme="minorBidi"/>
              <w:sz w:val="22"/>
              <w:szCs w:val="20"/>
              <w:u w:val="dottedHeavy" w:color="BF8F00" w:themeColor="accent4" w:themeShade="BF"/>
              <w:lang w:eastAsia="en-US"/>
            </w:rPr>
            <w:t>in particular on</w:t>
          </w:r>
          <w:r w:rsidRPr="00AB6157">
            <w:rPr>
              <w:rFonts w:asciiTheme="minorHAnsi" w:eastAsiaTheme="minorEastAsia" w:hAnsiTheme="minorHAnsi" w:cstheme="minorBidi"/>
              <w:sz w:val="22"/>
              <w:szCs w:val="20"/>
              <w:lang w:eastAsia="en-US"/>
            </w:rPr>
            <w:t xml:space="preserve"> the specific questions summarised in Annex </w:t>
          </w:r>
          <w:r w:rsidR="00220938" w:rsidRPr="00220938">
            <w:rPr>
              <w:rFonts w:asciiTheme="minorHAnsi" w:eastAsiaTheme="minorEastAsia" w:hAnsiTheme="minorHAnsi" w:cstheme="minorBidi"/>
              <w:sz w:val="22"/>
              <w:szCs w:val="20"/>
              <w:lang w:eastAsia="en-US"/>
            </w:rPr>
            <w:t>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2AD13BF0"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4B143D" w:rsidRPr="004B143D">
            <w:rPr>
              <w:rFonts w:asciiTheme="minorHAnsi" w:eastAsiaTheme="minorEastAsia" w:hAnsiTheme="minorHAnsi" w:cstheme="minorBidi"/>
              <w:b/>
              <w:sz w:val="22"/>
              <w:szCs w:val="20"/>
              <w:lang w:eastAsia="en-US"/>
            </w:rPr>
            <w:t>23</w:t>
          </w:r>
          <w:r w:rsidR="006B391B" w:rsidRPr="004B143D">
            <w:rPr>
              <w:rFonts w:asciiTheme="minorHAnsi" w:eastAsiaTheme="minorEastAsia" w:hAnsiTheme="minorHAnsi" w:cstheme="minorBidi"/>
              <w:b/>
              <w:sz w:val="22"/>
              <w:szCs w:val="20"/>
              <w:lang w:eastAsia="en-US"/>
            </w:rPr>
            <w:t xml:space="preserve"> </w:t>
          </w:r>
          <w:r w:rsidR="004B143D" w:rsidRPr="004B143D">
            <w:rPr>
              <w:rFonts w:asciiTheme="minorHAnsi" w:eastAsiaTheme="minorEastAsia" w:hAnsiTheme="minorHAnsi" w:cstheme="minorBidi"/>
              <w:b/>
              <w:sz w:val="22"/>
              <w:szCs w:val="20"/>
              <w:lang w:eastAsia="en-US"/>
            </w:rPr>
            <w:t>July</w:t>
          </w:r>
          <w:r w:rsidR="006B391B" w:rsidRPr="004B143D">
            <w:rPr>
              <w:rFonts w:asciiTheme="minorHAnsi" w:eastAsiaTheme="minorEastAsia" w:hAnsiTheme="minorHAnsi" w:cstheme="minorBidi"/>
              <w:b/>
              <w:sz w:val="22"/>
              <w:szCs w:val="20"/>
              <w:lang w:eastAsia="en-US"/>
            </w:rPr>
            <w:t xml:space="preserve"> 2021</w:t>
          </w:r>
          <w:r w:rsidRPr="004B143D">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0ABA1563"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6B391B">
            <w:rPr>
              <w:rFonts w:eastAsiaTheme="minorEastAsia" w:cstheme="minorBidi"/>
              <w:szCs w:val="20"/>
              <w:lang w:eastAsia="en-US"/>
            </w:rPr>
            <w:t>CD</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5AA40AF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1F23C9">
            <w:rPr>
              <w:rFonts w:eastAsiaTheme="minorEastAsia" w:cstheme="minorBidi"/>
              <w:szCs w:val="20"/>
              <w:lang w:eastAsia="en-US"/>
            </w:rPr>
            <w:t>PFG</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1F23C9">
            <w:rPr>
              <w:rFonts w:eastAsiaTheme="minorEastAsia" w:cstheme="minorBidi"/>
              <w:szCs w:val="20"/>
              <w:lang w:eastAsia="en-US"/>
            </w:rPr>
            <w:t>PFG</w:t>
          </w:r>
          <w:r w:rsidRPr="00C85C8B">
            <w:rPr>
              <w:rFonts w:eastAsiaTheme="minorEastAsia" w:cstheme="minorBidi"/>
              <w:szCs w:val="20"/>
              <w:lang w:eastAsia="en-US"/>
            </w:rPr>
            <w:t>_ABCD_RESPONSEFORM.</w:t>
          </w:r>
        </w:p>
        <w:p w14:paraId="1A9C59D6" w14:textId="34F7EAAE"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9"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AB6157">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20"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21"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14912E5E" w14:textId="5245D1E2" w:rsidR="00AF2EF7" w:rsidRPr="00B8572C" w:rsidRDefault="001F23C9" w:rsidP="001F23C9">
          <w:pPr>
            <w:spacing w:after="250" w:line="276" w:lineRule="auto"/>
            <w:jc w:val="both"/>
            <w:rPr>
              <w:rFonts w:asciiTheme="minorHAnsi" w:hAnsiTheme="minorHAnsi" w:cstheme="minorHAnsi"/>
            </w:rPr>
          </w:pPr>
          <w:r w:rsidRPr="001F23C9">
            <w:rPr>
              <w:rFonts w:ascii="Arial" w:hAnsi="Arial" w:cs="Arial"/>
              <w:sz w:val="22"/>
              <w:szCs w:val="22"/>
              <w:lang w:eastAsia="it-IT"/>
            </w:rPr>
            <w:t>This document will be of interest to asset managers managing retail funds and their trade associations, as well as institutional and retail investors investing into such funds and their associations.</w:t>
          </w: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000000" w:themeColor="text1"/>
              <w:sz w:val="20"/>
              <w:lang w:eastAsia="de-DE"/>
            </w:rPr>
            <w:id w:val="-1905066999"/>
            <w:text/>
          </w:sdtPr>
          <w:sdtEndPr/>
          <w:sdtContent>
            <w:tc>
              <w:tcPr>
                <w:tcW w:w="5595" w:type="dxa"/>
                <w:shd w:val="clear" w:color="auto" w:fill="auto"/>
              </w:tcPr>
              <w:p w14:paraId="1B67440D" w14:textId="26294E30" w:rsidR="00C85C8B" w:rsidRPr="00C85C8B" w:rsidRDefault="00F17BE6" w:rsidP="00C85C8B">
                <w:pPr>
                  <w:rPr>
                    <w:rFonts w:ascii="Arial" w:hAnsi="Arial" w:cs="Arial"/>
                    <w:color w:val="808080"/>
                    <w:sz w:val="20"/>
                    <w:lang w:eastAsia="de-DE"/>
                  </w:rPr>
                </w:pPr>
                <w:r w:rsidRPr="00A30DD2">
                  <w:rPr>
                    <w:rFonts w:ascii="Arial" w:hAnsi="Arial" w:cs="Arial"/>
                    <w:color w:val="000000" w:themeColor="text1"/>
                    <w:sz w:val="20"/>
                    <w:lang w:eastAsia="de-DE"/>
                  </w:rPr>
                  <w:t>NASDAQ</w:t>
                </w:r>
                <w:r w:rsidR="002321C3" w:rsidRPr="00A30DD2">
                  <w:rPr>
                    <w:rFonts w:ascii="Arial" w:hAnsi="Arial" w:cs="Arial"/>
                    <w:color w:val="000000" w:themeColor="text1"/>
                    <w:sz w:val="20"/>
                    <w:lang w:eastAsia="de-DE"/>
                  </w:rPr>
                  <w:t xml:space="preserve"> </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7B238543" w:rsidR="00C85C8B" w:rsidRPr="00C85C8B" w:rsidRDefault="00A30DD2"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2321C3">
                  <w:rPr>
                    <w:rFonts w:ascii="Arial" w:hAnsi="Arial" w:cs="Arial"/>
                    <w:sz w:val="20"/>
                    <w:lang w:eastAsia="de-DE"/>
                  </w:rPr>
                  <w:t>Regulated markets/Exchanges/Trading Systems</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59EE4DBE" w:rsidR="00C85C8B" w:rsidRPr="00C85C8B" w:rsidRDefault="002321C3"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5DBA479C" w:rsidR="00C85C8B" w:rsidRPr="00C85C8B" w:rsidRDefault="006B1BD2" w:rsidP="00C85C8B">
                <w:pPr>
                  <w:rPr>
                    <w:rFonts w:ascii="Arial" w:hAnsi="Arial" w:cs="Arial"/>
                    <w:sz w:val="20"/>
                    <w:lang w:eastAsia="de-DE"/>
                  </w:rPr>
                </w:pPr>
                <w:r>
                  <w:rPr>
                    <w:rFonts w:ascii="Arial" w:hAnsi="Arial" w:cs="Arial"/>
                    <w:sz w:val="20"/>
                    <w:lang w:eastAsia="de-DE"/>
                  </w:rPr>
                  <w:t>Europe</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1BEA8881"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6B391B">
        <w:rPr>
          <w:rFonts w:asciiTheme="minorHAnsi" w:eastAsiaTheme="minorEastAsia" w:hAnsiTheme="minorHAnsi" w:cstheme="minorBidi"/>
          <w:sz w:val="22"/>
          <w:szCs w:val="20"/>
          <w:lang w:eastAsia="en-US"/>
        </w:rPr>
        <w:t>CD</w:t>
      </w:r>
      <w:r w:rsidRPr="00C85C8B">
        <w:rPr>
          <w:rFonts w:asciiTheme="minorHAnsi" w:eastAsiaTheme="minorEastAsia" w:hAnsiTheme="minorHAnsi" w:cstheme="minorBidi"/>
          <w:sz w:val="22"/>
          <w:szCs w:val="20"/>
          <w:lang w:eastAsia="en-US"/>
        </w:rPr>
        <w:t>_</w:t>
      </w:r>
      <w:r w:rsidR="00D378C9">
        <w:rPr>
          <w:rFonts w:asciiTheme="minorHAnsi" w:eastAsiaTheme="minorEastAsia" w:hAnsiTheme="minorHAnsi" w:cstheme="minorBidi"/>
          <w:sz w:val="22"/>
          <w:szCs w:val="20"/>
          <w:lang w:eastAsia="en-US"/>
        </w:rPr>
        <w:t>0</w:t>
      </w:r>
      <w:r w:rsidR="006B391B">
        <w:rPr>
          <w:rFonts w:asciiTheme="minorHAnsi" w:eastAsiaTheme="minorEastAsia" w:hAnsiTheme="minorHAnsi" w:cstheme="minorBidi"/>
          <w:sz w:val="22"/>
          <w:szCs w:val="20"/>
          <w:lang w:eastAsia="en-US"/>
        </w:rPr>
        <w:t>0</w:t>
      </w:r>
      <w:r w:rsidRPr="00C85C8B">
        <w:rPr>
          <w:rFonts w:asciiTheme="minorHAnsi" w:eastAsiaTheme="minorEastAsia" w:hAnsiTheme="minorHAnsi" w:cstheme="minorBidi"/>
          <w:sz w:val="22"/>
          <w:szCs w:val="20"/>
          <w:lang w:eastAsia="en-US"/>
        </w:rPr>
        <w:t>&gt;</w:t>
      </w:r>
    </w:p>
    <w:p w14:paraId="6D6830D4" w14:textId="35BD04EF" w:rsidR="00F17BE6" w:rsidRDefault="00F17BE6" w:rsidP="000D5225">
      <w:pPr>
        <w:spacing w:after="120"/>
      </w:pPr>
      <w:permStart w:id="885457707" w:edGrp="everyone"/>
      <w:r>
        <w:t>Nasdaq appreciate</w:t>
      </w:r>
      <w:r w:rsidR="000368C8">
        <w:t>s</w:t>
      </w:r>
      <w:r>
        <w:t xml:space="preserve"> the opportunity to provide comments to the ESMA consultation on Technical Standards for Commodity Derivatives. We welcome ESMAs proposals </w:t>
      </w:r>
      <w:proofErr w:type="gramStart"/>
      <w:r>
        <w:t>in order to</w:t>
      </w:r>
      <w:proofErr w:type="gramEnd"/>
      <w:r>
        <w:t xml:space="preserve"> improve the current regime. </w:t>
      </w:r>
    </w:p>
    <w:p w14:paraId="51262D46" w14:textId="77777777" w:rsidR="00F17BE6" w:rsidRDefault="00F17BE6" w:rsidP="000D5225">
      <w:pPr>
        <w:spacing w:after="120"/>
      </w:pPr>
      <w:r w:rsidRPr="00B767C3">
        <w:t xml:space="preserve">Nasdaq </w:t>
      </w:r>
      <w:r>
        <w:t xml:space="preserve">fully </w:t>
      </w:r>
      <w:r w:rsidRPr="00B767C3">
        <w:t xml:space="preserve">supports the proposed changes for commodity derivatives </w:t>
      </w:r>
      <w:r>
        <w:t xml:space="preserve">position limit regime </w:t>
      </w:r>
      <w:r w:rsidRPr="00B767C3">
        <w:t>in the Capital Mar</w:t>
      </w:r>
      <w:r>
        <w:t xml:space="preserve">kets Recovery Package, which includes important improvements and measures. </w:t>
      </w:r>
    </w:p>
    <w:p w14:paraId="65C1B54D" w14:textId="783B18AF" w:rsidR="00F17BE6" w:rsidRPr="000368C8" w:rsidRDefault="00F17BE6" w:rsidP="000368C8">
      <w:pPr>
        <w:spacing w:after="120"/>
      </w:pPr>
      <w:r>
        <w:t xml:space="preserve">These measures will facilitate for European companies to hedge their risks. They will also contribute to provide a more harmonized regulatory and supervisory approach across European exchanges, which will strengthen the functioning of the important European Energy market. </w:t>
      </w:r>
    </w:p>
    <w:p w14:paraId="53553A17" w14:textId="77777777" w:rsidR="00F17BE6" w:rsidRDefault="00F17BE6" w:rsidP="000D5225">
      <w:r>
        <w:t>With regards to Part III Nasdaq appreciates ESMA’s intention to harmonize position management controls (PMC). Yet Nasdaq find that the suggested RTS 21a is overly prescriptive with regards to the measures and actions to be implemented by trading venues. While the proposed regulation is not explicit with regards to defining a scope for which contracts the accountability levels should be set, although it implies that the physically settled commodity derivatives is in focus.</w:t>
      </w:r>
    </w:p>
    <w:p w14:paraId="07A26C82" w14:textId="77777777" w:rsidR="00F17BE6" w:rsidRDefault="00F17BE6" w:rsidP="000D5225"/>
    <w:p w14:paraId="7D297D22" w14:textId="77777777" w:rsidR="00F17BE6" w:rsidRDefault="00F17BE6" w:rsidP="000D5225">
      <w:r>
        <w:t>Nasdaq recommends that the scope of the accountability levels regime is clearly limited to physically settled commodity derivatives.</w:t>
      </w:r>
    </w:p>
    <w:p w14:paraId="3BB26D40" w14:textId="77777777" w:rsidR="00F17BE6" w:rsidRDefault="00F17BE6" w:rsidP="000D5225"/>
    <w:p w14:paraId="4715F94E" w14:textId="4F568E93" w:rsidR="00F17BE6" w:rsidRDefault="00F17BE6" w:rsidP="000D5225">
      <w:r>
        <w:t>Furthermore, it should allow the trading venues the necessary discretion to operate the accountability level regime in an efficient and effective manner, i.e. without a disproportionate burden on trading venues</w:t>
      </w:r>
      <w:r w:rsidR="00844F57">
        <w:t xml:space="preserve"> and </w:t>
      </w:r>
      <w:r>
        <w:t>reporting entities</w:t>
      </w:r>
      <w:r w:rsidR="00844F57">
        <w:t>.</w:t>
      </w:r>
    </w:p>
    <w:p w14:paraId="310A02FF" w14:textId="77777777" w:rsidR="00F17BE6" w:rsidRDefault="00F17BE6" w:rsidP="000D5225"/>
    <w:p w14:paraId="64FA71C3" w14:textId="77777777" w:rsidR="00F17BE6" w:rsidRDefault="00F17BE6" w:rsidP="00C85C8B">
      <w:pPr>
        <w:spacing w:after="250" w:line="276" w:lineRule="auto"/>
        <w:jc w:val="both"/>
      </w:pPr>
      <w:r>
        <w:lastRenderedPageBreak/>
        <w:t>Finally, Nasdaq would encourage ESMA to find ways for NCAs to co-ordinate their review of accountability levels across jurisdictions.</w:t>
      </w:r>
    </w:p>
    <w:permEnd w:id="885457707"/>
    <w:p w14:paraId="15D00E65" w14:textId="3553A555"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6B391B">
        <w:rPr>
          <w:rFonts w:asciiTheme="minorHAnsi" w:eastAsiaTheme="minorEastAsia" w:hAnsiTheme="minorHAnsi" w:cs="Arial"/>
          <w:sz w:val="22"/>
          <w:szCs w:val="20"/>
          <w:lang w:eastAsia="en-US"/>
        </w:rPr>
        <w:t>CD</w:t>
      </w:r>
      <w:r w:rsidRPr="00C85C8B">
        <w:rPr>
          <w:rFonts w:asciiTheme="minorHAnsi" w:eastAsiaTheme="minorEastAsia" w:hAnsiTheme="minorHAnsi" w:cstheme="minorBidi"/>
          <w:sz w:val="22"/>
          <w:szCs w:val="20"/>
          <w:lang w:eastAsia="en-US"/>
        </w:rPr>
        <w:t>_</w:t>
      </w:r>
      <w:r w:rsidR="00D378C9">
        <w:rPr>
          <w:rFonts w:asciiTheme="minorHAnsi" w:eastAsiaTheme="minorEastAsia" w:hAnsiTheme="minorHAnsi" w:cstheme="minorBidi"/>
          <w:sz w:val="22"/>
          <w:szCs w:val="20"/>
          <w:lang w:eastAsia="en-US"/>
        </w:rPr>
        <w:t>0</w:t>
      </w:r>
      <w:r w:rsidR="006B391B">
        <w:rPr>
          <w:rFonts w:asciiTheme="minorHAnsi" w:eastAsiaTheme="minorEastAsia" w:hAnsiTheme="minorHAnsi" w:cstheme="minorBidi"/>
          <w:sz w:val="22"/>
          <w:szCs w:val="20"/>
          <w:lang w:eastAsia="en-US"/>
        </w:rPr>
        <w:t>0</w:t>
      </w:r>
      <w:r w:rsidRPr="00C85C8B">
        <w:rPr>
          <w:rFonts w:asciiTheme="minorHAnsi" w:eastAsiaTheme="minorEastAsia" w:hAnsiTheme="minorHAnsi" w:cstheme="minorBidi"/>
          <w:sz w:val="22"/>
          <w:szCs w:val="20"/>
          <w:lang w:eastAsia="en-US"/>
        </w:rPr>
        <w:t>&gt;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89A1E31" w14:textId="6515C9EB" w:rsidR="00AB6157" w:rsidRDefault="00AB6157" w:rsidP="00C1698A">
      <w:pPr>
        <w:spacing w:line="276" w:lineRule="auto"/>
        <w:rPr>
          <w:rFonts w:asciiTheme="minorHAnsi" w:hAnsiTheme="minorHAnsi" w:cstheme="minorHAnsi"/>
          <w:b/>
          <w:sz w:val="28"/>
          <w:szCs w:val="28"/>
        </w:rPr>
      </w:pPr>
    </w:p>
    <w:p w14:paraId="0449067B" w14:textId="662BB4B0" w:rsidR="001F23C9" w:rsidRDefault="001F23C9" w:rsidP="001F23C9">
      <w:pPr>
        <w:pStyle w:val="Questionstyle"/>
        <w:numPr>
          <w:ilvl w:val="0"/>
          <w:numId w:val="9"/>
        </w:numPr>
        <w:spacing w:after="250" w:line="276" w:lineRule="auto"/>
      </w:pPr>
      <w:r>
        <w:t xml:space="preserve">: </w:t>
      </w:r>
      <w:r w:rsidR="006B391B" w:rsidRPr="006B391B">
        <w:t>Do you agree with ESMA’s proposal regarding the impact of the new hedging exemption on the aggregation of positions? If not, please elaborate.</w:t>
      </w:r>
    </w:p>
    <w:p w14:paraId="008A4A78" w14:textId="5B7F4999"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1&gt;</w:t>
      </w:r>
    </w:p>
    <w:p w14:paraId="54579065" w14:textId="35097CCB" w:rsidR="001F23C9" w:rsidRPr="00F17BE6" w:rsidRDefault="00F17BE6" w:rsidP="00F17BE6">
      <w:pPr>
        <w:spacing w:after="120"/>
      </w:pPr>
      <w:permStart w:id="87702194" w:edGrp="everyone"/>
      <w:r>
        <w:t>Yes, Nasdaq agrees with ESMA’s proposal.</w:t>
      </w:r>
    </w:p>
    <w:permEnd w:id="87702194"/>
    <w:p w14:paraId="3E4B5260" w14:textId="678E3712"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1&gt;</w:t>
      </w:r>
    </w:p>
    <w:p w14:paraId="6AA41074" w14:textId="77777777" w:rsidR="001F23C9" w:rsidRDefault="001F23C9" w:rsidP="001F23C9">
      <w:pPr>
        <w:rPr>
          <w:rFonts w:ascii="Arial" w:hAnsi="Arial" w:cs="Arial"/>
        </w:rPr>
      </w:pPr>
    </w:p>
    <w:p w14:paraId="33181B57" w14:textId="57D6D58C" w:rsidR="001F23C9" w:rsidRDefault="001F23C9" w:rsidP="001F23C9">
      <w:pPr>
        <w:pStyle w:val="Questionstyle"/>
        <w:numPr>
          <w:ilvl w:val="0"/>
          <w:numId w:val="9"/>
        </w:numPr>
        <w:spacing w:after="250" w:line="276" w:lineRule="auto"/>
      </w:pPr>
      <w:r>
        <w:t xml:space="preserve">: </w:t>
      </w:r>
      <w:r w:rsidR="006B391B" w:rsidRPr="006B391B">
        <w:t>Do you agree with ESMA’s proposal for positions qualifying as risk-reducing? If not, please elaborate and provide an alternative proposal.</w:t>
      </w:r>
    </w:p>
    <w:p w14:paraId="3EDDB358" w14:textId="7238A1B4"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2&gt;</w:t>
      </w:r>
    </w:p>
    <w:p w14:paraId="5A360F88" w14:textId="594BBB17" w:rsidR="001F23C9" w:rsidRPr="00F17BE6" w:rsidRDefault="00F17BE6" w:rsidP="00F17BE6">
      <w:pPr>
        <w:spacing w:after="120"/>
      </w:pPr>
      <w:permStart w:id="1839020708" w:edGrp="everyone"/>
      <w:r>
        <w:t>Yes, Nasdaq agrees with ESMA’s proposal.</w:t>
      </w:r>
    </w:p>
    <w:permEnd w:id="1839020708"/>
    <w:p w14:paraId="66FEC911" w14:textId="36BA3FCD"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2&gt;</w:t>
      </w:r>
    </w:p>
    <w:p w14:paraId="57748A42" w14:textId="77777777" w:rsidR="001F23C9" w:rsidRDefault="001F23C9" w:rsidP="001F23C9">
      <w:pPr>
        <w:rPr>
          <w:rFonts w:ascii="Arial" w:hAnsi="Arial" w:cs="Arial"/>
        </w:rPr>
      </w:pPr>
    </w:p>
    <w:p w14:paraId="2CE8F433" w14:textId="7DCDEC99" w:rsidR="001F23C9" w:rsidRPr="00175CFB" w:rsidRDefault="001F23C9" w:rsidP="001F23C9">
      <w:pPr>
        <w:pStyle w:val="Questionstyle"/>
        <w:numPr>
          <w:ilvl w:val="0"/>
          <w:numId w:val="9"/>
        </w:numPr>
        <w:spacing w:after="250" w:line="276" w:lineRule="auto"/>
      </w:pPr>
      <w:r>
        <w:t>:</w:t>
      </w:r>
      <w:r w:rsidRPr="000F104A">
        <w:t xml:space="preserve"> </w:t>
      </w:r>
      <w:r w:rsidR="006B391B" w:rsidRPr="006B391B">
        <w:t>Do you agree with ESMA’s proposal on the application procedure for financial entities?? If not, please elaborate and provide an alternative proposal.</w:t>
      </w:r>
    </w:p>
    <w:p w14:paraId="7FED036B" w14:textId="0F36C648"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03</w:t>
      </w:r>
      <w:r>
        <w:rPr>
          <w:rFonts w:ascii="Arial" w:hAnsi="Arial" w:cs="Arial"/>
        </w:rPr>
        <w:t>&gt;</w:t>
      </w:r>
    </w:p>
    <w:p w14:paraId="42A9173B" w14:textId="33709FC9" w:rsidR="001F23C9" w:rsidRPr="00F17BE6" w:rsidRDefault="00F17BE6" w:rsidP="00F17BE6">
      <w:pPr>
        <w:spacing w:after="120"/>
      </w:pPr>
      <w:permStart w:id="1383364894" w:edGrp="everyone"/>
      <w:r>
        <w:t>Yes, Nasdaq agrees with ESMA’s proposal.</w:t>
      </w:r>
    </w:p>
    <w:permEnd w:id="1383364894"/>
    <w:p w14:paraId="6BED19E8" w14:textId="588EA1A5"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3&gt;</w:t>
      </w:r>
    </w:p>
    <w:p w14:paraId="0207D391" w14:textId="77777777" w:rsidR="001F23C9" w:rsidRDefault="001F23C9" w:rsidP="001F23C9">
      <w:pPr>
        <w:rPr>
          <w:rFonts w:ascii="Arial" w:hAnsi="Arial" w:cs="Arial"/>
        </w:rPr>
      </w:pPr>
    </w:p>
    <w:p w14:paraId="014C25F1" w14:textId="377335BC" w:rsidR="001F23C9" w:rsidRPr="00175CFB" w:rsidRDefault="001F23C9" w:rsidP="001F23C9">
      <w:pPr>
        <w:pStyle w:val="Questionstyle"/>
        <w:numPr>
          <w:ilvl w:val="0"/>
          <w:numId w:val="9"/>
        </w:numPr>
        <w:spacing w:after="250" w:line="276" w:lineRule="auto"/>
      </w:pPr>
      <w:r>
        <w:t>:</w:t>
      </w:r>
      <w:r w:rsidRPr="000F104A">
        <w:t xml:space="preserve"> </w:t>
      </w:r>
      <w:r w:rsidR="006B391B" w:rsidRPr="006B391B">
        <w:t>Do you agree with ESMA’s proposal on the application procedure for mandatory liquidity provision exemption? If not, please elaborate and provide an alternative proposal.</w:t>
      </w:r>
    </w:p>
    <w:p w14:paraId="61582DDF" w14:textId="3D8685D1"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4&gt;</w:t>
      </w:r>
    </w:p>
    <w:p w14:paraId="0EE4B201" w14:textId="74A8DB27" w:rsidR="001F23C9" w:rsidRPr="00F17BE6" w:rsidRDefault="00F17BE6" w:rsidP="00F17BE6">
      <w:pPr>
        <w:spacing w:after="120"/>
      </w:pPr>
      <w:permStart w:id="1723492748" w:edGrp="everyone"/>
      <w:r>
        <w:t>Yes, Nasdaq agrees with ESMA’s proposal.</w:t>
      </w:r>
    </w:p>
    <w:permEnd w:id="1723492748"/>
    <w:p w14:paraId="768D899B" w14:textId="6B982889"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4&gt;</w:t>
      </w:r>
    </w:p>
    <w:p w14:paraId="2EE4F6D2" w14:textId="77777777" w:rsidR="001F23C9" w:rsidRDefault="001F23C9" w:rsidP="001F23C9">
      <w:pPr>
        <w:rPr>
          <w:rFonts w:ascii="Arial" w:hAnsi="Arial" w:cs="Arial"/>
        </w:rPr>
      </w:pPr>
    </w:p>
    <w:p w14:paraId="20DDA557" w14:textId="092F6A61" w:rsidR="001F23C9" w:rsidRPr="00175CFB" w:rsidRDefault="001F23C9" w:rsidP="001F23C9">
      <w:pPr>
        <w:pStyle w:val="Questionstyle"/>
        <w:numPr>
          <w:ilvl w:val="0"/>
          <w:numId w:val="9"/>
        </w:numPr>
        <w:spacing w:after="250" w:line="276" w:lineRule="auto"/>
      </w:pPr>
      <w:r>
        <w:t>:</w:t>
      </w:r>
      <w:r w:rsidRPr="000F104A">
        <w:t xml:space="preserve"> </w:t>
      </w:r>
      <w:r w:rsidR="006B391B" w:rsidRPr="006B391B">
        <w:t>Do you agree with ESMA’s proposal on qualifying positions? If not, please elaborate and provide an alternative proposal.</w:t>
      </w:r>
    </w:p>
    <w:p w14:paraId="721CC648" w14:textId="671569F2"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5&gt;</w:t>
      </w:r>
    </w:p>
    <w:p w14:paraId="54EFA387" w14:textId="5156CEBC" w:rsidR="001F23C9" w:rsidRPr="00F17BE6" w:rsidRDefault="00F17BE6" w:rsidP="00F17BE6">
      <w:pPr>
        <w:spacing w:after="120"/>
      </w:pPr>
      <w:permStart w:id="377302903" w:edGrp="everyone"/>
      <w:r>
        <w:t>Yes, Nasdaq agrees with ESMA’s proposal.</w:t>
      </w:r>
    </w:p>
    <w:permEnd w:id="377302903"/>
    <w:p w14:paraId="08615720" w14:textId="510ECE21"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5&gt;</w:t>
      </w:r>
    </w:p>
    <w:p w14:paraId="19581B61" w14:textId="77777777" w:rsidR="001F23C9" w:rsidRDefault="001F23C9" w:rsidP="001F23C9">
      <w:pPr>
        <w:rPr>
          <w:rFonts w:ascii="Arial" w:hAnsi="Arial" w:cs="Arial"/>
        </w:rPr>
      </w:pPr>
    </w:p>
    <w:p w14:paraId="641F06EB" w14:textId="62863B24" w:rsidR="001F23C9" w:rsidRPr="00175CFB" w:rsidRDefault="001F23C9" w:rsidP="001F23C9">
      <w:pPr>
        <w:pStyle w:val="Questionstyle"/>
        <w:numPr>
          <w:ilvl w:val="0"/>
          <w:numId w:val="9"/>
        </w:numPr>
        <w:spacing w:after="250" w:line="276" w:lineRule="auto"/>
      </w:pPr>
      <w:r>
        <w:t>:</w:t>
      </w:r>
      <w:r w:rsidRPr="000F104A">
        <w:t xml:space="preserve"> </w:t>
      </w:r>
      <w:r w:rsidR="006B391B" w:rsidRPr="006B391B">
        <w:t>Do you agree with ESMA’s proposed definition of financial entities? If not, please elaborate.</w:t>
      </w:r>
    </w:p>
    <w:p w14:paraId="1559456F" w14:textId="6EE870CE"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6&gt;</w:t>
      </w:r>
    </w:p>
    <w:p w14:paraId="1CC9618F" w14:textId="461F5F1F" w:rsidR="001F23C9" w:rsidRPr="00F17BE6" w:rsidRDefault="00F17BE6" w:rsidP="00F17BE6">
      <w:pPr>
        <w:spacing w:after="120"/>
      </w:pPr>
      <w:permStart w:id="1290170203" w:edGrp="everyone"/>
      <w:r>
        <w:t>Yes, Nasdaq agrees with ESMA’s proposal.</w:t>
      </w:r>
    </w:p>
    <w:permEnd w:id="1290170203"/>
    <w:p w14:paraId="74B06132" w14:textId="3C6759B8"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6&gt;</w:t>
      </w:r>
    </w:p>
    <w:p w14:paraId="2D8DA87C" w14:textId="77777777" w:rsidR="001F23C9" w:rsidRDefault="001F23C9" w:rsidP="001F23C9">
      <w:pPr>
        <w:rPr>
          <w:rFonts w:ascii="Arial" w:hAnsi="Arial" w:cs="Arial"/>
        </w:rPr>
      </w:pPr>
    </w:p>
    <w:p w14:paraId="2E85777D" w14:textId="34F39C40" w:rsidR="001F23C9" w:rsidRPr="00175CFB" w:rsidRDefault="001F23C9" w:rsidP="001F23C9">
      <w:pPr>
        <w:pStyle w:val="Questionstyle"/>
        <w:numPr>
          <w:ilvl w:val="0"/>
          <w:numId w:val="9"/>
        </w:numPr>
        <w:spacing w:after="250" w:line="276" w:lineRule="auto"/>
      </w:pPr>
      <w:r>
        <w:lastRenderedPageBreak/>
        <w:t xml:space="preserve">: </w:t>
      </w:r>
      <w:r w:rsidR="006B391B" w:rsidRPr="006B391B">
        <w:t>Do you agree with ESMA’s proposal regarding the aggregation and netting of positions in a commodity derivative? If not, please elaborate and provide an alternative proposal where available.</w:t>
      </w:r>
    </w:p>
    <w:p w14:paraId="5145B31A" w14:textId="1FDF315A"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7&gt;</w:t>
      </w:r>
    </w:p>
    <w:p w14:paraId="79F4CB3A" w14:textId="4BF7405E" w:rsidR="001F23C9" w:rsidRPr="00F17BE6" w:rsidRDefault="00F17BE6" w:rsidP="00F17BE6">
      <w:pPr>
        <w:spacing w:after="120"/>
      </w:pPr>
      <w:permStart w:id="463824392" w:edGrp="everyone"/>
      <w:r>
        <w:t xml:space="preserve">Yes, Nasdaq agrees with ESMA’s proposal. </w:t>
      </w:r>
    </w:p>
    <w:permEnd w:id="463824392"/>
    <w:p w14:paraId="3F2567A8" w14:textId="5DE1724E"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7&gt;</w:t>
      </w:r>
    </w:p>
    <w:p w14:paraId="19066DFA" w14:textId="77777777" w:rsidR="001F23C9" w:rsidRDefault="001F23C9" w:rsidP="001F23C9">
      <w:pPr>
        <w:rPr>
          <w:rFonts w:ascii="Arial" w:hAnsi="Arial" w:cs="Arial"/>
        </w:rPr>
      </w:pPr>
    </w:p>
    <w:p w14:paraId="26B5D069" w14:textId="5F98A79A" w:rsidR="001F23C9" w:rsidRPr="00175CFB" w:rsidRDefault="001F23C9" w:rsidP="001F23C9">
      <w:pPr>
        <w:pStyle w:val="Questionstyle"/>
        <w:numPr>
          <w:ilvl w:val="0"/>
          <w:numId w:val="9"/>
        </w:numPr>
        <w:spacing w:after="250" w:line="276" w:lineRule="auto"/>
      </w:pPr>
      <w:r>
        <w:t xml:space="preserve">: </w:t>
      </w:r>
      <w:r w:rsidR="006B391B" w:rsidRPr="006B391B">
        <w:t>Do you agree with ESMA’s proposal for significant volumes? If not, please elaborate.</w:t>
      </w:r>
    </w:p>
    <w:p w14:paraId="280915A7" w14:textId="7E73B0F5"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8&gt;</w:t>
      </w:r>
    </w:p>
    <w:p w14:paraId="7F906268" w14:textId="41EA95D4" w:rsidR="001F23C9" w:rsidRPr="00F17BE6" w:rsidRDefault="00F17BE6" w:rsidP="00F17BE6">
      <w:pPr>
        <w:spacing w:after="120"/>
      </w:pPr>
      <w:permStart w:id="71388718" w:edGrp="everyone"/>
      <w:r>
        <w:t>Yes, Nasdaq agrees with ESMA’s proposal.</w:t>
      </w:r>
    </w:p>
    <w:permEnd w:id="71388718"/>
    <w:p w14:paraId="611C3F91" w14:textId="23032DD5"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8&gt;</w:t>
      </w:r>
    </w:p>
    <w:p w14:paraId="13BF8D66" w14:textId="77777777" w:rsidR="001F23C9" w:rsidRDefault="001F23C9" w:rsidP="001F23C9">
      <w:pPr>
        <w:rPr>
          <w:rFonts w:ascii="Arial" w:hAnsi="Arial" w:cs="Arial"/>
        </w:rPr>
      </w:pPr>
    </w:p>
    <w:p w14:paraId="36A02EDD" w14:textId="6925CDC1" w:rsidR="001F23C9" w:rsidRPr="00175CFB" w:rsidRDefault="001F23C9" w:rsidP="001F23C9">
      <w:pPr>
        <w:pStyle w:val="Questionstyle"/>
        <w:numPr>
          <w:ilvl w:val="0"/>
          <w:numId w:val="9"/>
        </w:numPr>
        <w:spacing w:after="250" w:line="276" w:lineRule="auto"/>
      </w:pPr>
      <w:r>
        <w:t>:</w:t>
      </w:r>
      <w:r w:rsidRPr="000F104A">
        <w:t xml:space="preserve"> </w:t>
      </w:r>
      <w:r w:rsidR="006B391B" w:rsidRPr="006B391B">
        <w:t>Do you agree with ESMA’s proposal? If not, please elaborate and provide an alternative proposal where available.</w:t>
      </w:r>
      <w:r w:rsidRPr="000F104A">
        <w:t xml:space="preserve"> </w:t>
      </w:r>
    </w:p>
    <w:p w14:paraId="3A329F97" w14:textId="29544F9C"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9&gt;</w:t>
      </w:r>
    </w:p>
    <w:p w14:paraId="2123D44A" w14:textId="77777777" w:rsidR="00F17BE6" w:rsidRDefault="00F17BE6" w:rsidP="00F17BE6">
      <w:pPr>
        <w:spacing w:after="120"/>
      </w:pPr>
      <w:permStart w:id="819753946" w:edGrp="everyone"/>
      <w:r>
        <w:t xml:space="preserve">We do not agree with ESMA`s proposal. </w:t>
      </w:r>
    </w:p>
    <w:p w14:paraId="7693E476" w14:textId="19687E84" w:rsidR="00F17BE6" w:rsidRDefault="00F17BE6" w:rsidP="00F17BE6">
      <w:pPr>
        <w:spacing w:after="120"/>
      </w:pPr>
      <w:r w:rsidRPr="00F87251">
        <w:t xml:space="preserve">It is unclear which rational ESMA uses to move to open interest for contracts for which the deliverable supply is sufficiently higher than open interest. We do not consider there </w:t>
      </w:r>
      <w:r w:rsidR="000368C8">
        <w:t xml:space="preserve">to </w:t>
      </w:r>
      <w:r w:rsidRPr="00F87251">
        <w:t>be an increased risk of market manipulation and are concerned that the change would again hinder growth in such markets, which are typically small and not yet developed.</w:t>
      </w:r>
    </w:p>
    <w:p w14:paraId="43212C63" w14:textId="22B06AF2" w:rsidR="001F23C9" w:rsidRDefault="00F17BE6" w:rsidP="00F17BE6">
      <w:pPr>
        <w:rPr>
          <w:rFonts w:ascii="Arial" w:hAnsi="Arial" w:cs="Arial"/>
        </w:rPr>
      </w:pPr>
      <w:r w:rsidRPr="00F87251">
        <w:rPr>
          <w:lang w:val="en-US"/>
        </w:rPr>
        <w:t xml:space="preserve">We therefore strongly recommend maintaining the current regime </w:t>
      </w:r>
      <w:r>
        <w:rPr>
          <w:lang w:val="en-US"/>
        </w:rPr>
        <w:t>for the spot month limits.</w:t>
      </w:r>
    </w:p>
    <w:permEnd w:id="819753946"/>
    <w:p w14:paraId="6AB0A535" w14:textId="03D1EA9A"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9&gt;</w:t>
      </w:r>
    </w:p>
    <w:p w14:paraId="15BEDAE4" w14:textId="77777777" w:rsidR="001F23C9" w:rsidRDefault="001F23C9" w:rsidP="001F23C9">
      <w:pPr>
        <w:rPr>
          <w:rFonts w:ascii="Arial" w:hAnsi="Arial" w:cs="Arial"/>
        </w:rPr>
      </w:pPr>
    </w:p>
    <w:p w14:paraId="55E0213D" w14:textId="6D383982" w:rsidR="001F23C9" w:rsidRPr="00175CFB" w:rsidRDefault="006B391B" w:rsidP="001F23C9">
      <w:pPr>
        <w:pStyle w:val="Questionstyle"/>
        <w:numPr>
          <w:ilvl w:val="0"/>
          <w:numId w:val="9"/>
        </w:numPr>
        <w:spacing w:after="250" w:line="276" w:lineRule="auto"/>
      </w:pPr>
      <w:r>
        <w:t xml:space="preserve">: </w:t>
      </w:r>
      <w:r w:rsidRPr="006B391B">
        <w:t>Do you agree with ESMA’s proposal? If not, please elaborate.</w:t>
      </w:r>
    </w:p>
    <w:p w14:paraId="1267F4C9" w14:textId="33C2A909"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_10&gt;</w:t>
      </w:r>
    </w:p>
    <w:p w14:paraId="39266B68" w14:textId="51264187" w:rsidR="001F23C9" w:rsidRPr="00F17BE6" w:rsidRDefault="00F17BE6" w:rsidP="00F17BE6">
      <w:pPr>
        <w:spacing w:after="120"/>
      </w:pPr>
      <w:permStart w:id="89662115" w:edGrp="everyone"/>
      <w:r>
        <w:t xml:space="preserve">Yes, Nasdaq agrees with ESMA`s proposal. </w:t>
      </w:r>
    </w:p>
    <w:permEnd w:id="89662115"/>
    <w:p w14:paraId="11F34AF4" w14:textId="62538008"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_10&gt;</w:t>
      </w:r>
    </w:p>
    <w:p w14:paraId="3D8F21C5" w14:textId="77777777" w:rsidR="001F23C9" w:rsidRDefault="001F23C9" w:rsidP="001F23C9">
      <w:pPr>
        <w:rPr>
          <w:rFonts w:ascii="Arial" w:hAnsi="Arial" w:cs="Arial"/>
        </w:rPr>
      </w:pPr>
    </w:p>
    <w:p w14:paraId="370F6612" w14:textId="3EA30A61" w:rsidR="001F23C9" w:rsidRPr="00175CFB" w:rsidRDefault="001F23C9" w:rsidP="001F23C9">
      <w:pPr>
        <w:pStyle w:val="Questionstyle"/>
        <w:numPr>
          <w:ilvl w:val="0"/>
          <w:numId w:val="9"/>
        </w:numPr>
        <w:spacing w:after="250" w:line="276" w:lineRule="auto"/>
      </w:pPr>
      <w:r>
        <w:t>:</w:t>
      </w:r>
      <w:r w:rsidRPr="000F104A">
        <w:t xml:space="preserve"> </w:t>
      </w:r>
      <w:r w:rsidR="006B391B" w:rsidRPr="006B391B">
        <w:t>Do you agree with ESMA’s proposals regarding Article 14 of RTS 21a? If not, please elaborate and provide alternative proposals.</w:t>
      </w:r>
    </w:p>
    <w:p w14:paraId="64CBA2C5" w14:textId="41E6770F"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_11&gt;</w:t>
      </w:r>
    </w:p>
    <w:p w14:paraId="2F91040C" w14:textId="77777777" w:rsidR="00F17BE6" w:rsidRPr="00FF4EDE" w:rsidRDefault="00F17BE6" w:rsidP="000D5225">
      <w:permStart w:id="1905472427" w:edGrp="everyone"/>
      <w:r w:rsidRPr="00FF4EDE">
        <w:t xml:space="preserve">Yes, we agree with ESMA’s proposal on how to calculate open interest. </w:t>
      </w:r>
    </w:p>
    <w:p w14:paraId="6926D92D" w14:textId="126687B7" w:rsidR="00F17BE6" w:rsidRPr="00FF4EDE" w:rsidRDefault="00F17BE6" w:rsidP="001F23C9">
      <w:pPr>
        <w:rPr>
          <w:rFonts w:eastAsiaTheme="minorHAnsi"/>
          <w:color w:val="000000"/>
          <w:lang w:val="en-US"/>
        </w:rPr>
      </w:pPr>
      <w:r w:rsidRPr="00FF4EDE">
        <w:t xml:space="preserve">It is highly important </w:t>
      </w:r>
      <w:r w:rsidRPr="00FF4EDE">
        <w:rPr>
          <w:rFonts w:eastAsiaTheme="minorHAnsi"/>
          <w:color w:val="000000"/>
          <w:lang w:val="en-US"/>
        </w:rPr>
        <w:t xml:space="preserve">that the calculation of open interest is </w:t>
      </w:r>
      <w:proofErr w:type="spellStart"/>
      <w:r w:rsidRPr="00FF4EDE">
        <w:rPr>
          <w:rFonts w:eastAsiaTheme="minorHAnsi"/>
          <w:color w:val="000000"/>
          <w:lang w:val="en-US"/>
        </w:rPr>
        <w:t>harmonised</w:t>
      </w:r>
      <w:proofErr w:type="spellEnd"/>
      <w:r w:rsidRPr="00FF4EDE">
        <w:rPr>
          <w:rFonts w:eastAsiaTheme="minorHAnsi"/>
          <w:color w:val="000000"/>
          <w:lang w:val="en-US"/>
        </w:rPr>
        <w:t xml:space="preserve"> across all European NCAs.</w:t>
      </w:r>
    </w:p>
    <w:permEnd w:id="1905472427"/>
    <w:p w14:paraId="1CD7B3CA" w14:textId="15BF5B86"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_11&gt;</w:t>
      </w:r>
    </w:p>
    <w:p w14:paraId="1A191E48" w14:textId="77777777" w:rsidR="001F23C9" w:rsidRDefault="001F23C9" w:rsidP="001F23C9">
      <w:pPr>
        <w:rPr>
          <w:rFonts w:ascii="Arial" w:hAnsi="Arial" w:cs="Arial"/>
        </w:rPr>
      </w:pPr>
    </w:p>
    <w:p w14:paraId="50AB7816" w14:textId="3BEB9D4E" w:rsidR="001F23C9" w:rsidRPr="00175CFB" w:rsidRDefault="001F23C9" w:rsidP="001F23C9">
      <w:pPr>
        <w:pStyle w:val="Questionstyle"/>
        <w:numPr>
          <w:ilvl w:val="0"/>
          <w:numId w:val="9"/>
        </w:numPr>
        <w:spacing w:after="250" w:line="276" w:lineRule="auto"/>
      </w:pPr>
      <w:r>
        <w:t>:</w:t>
      </w:r>
      <w:r w:rsidRPr="000F104A">
        <w:t xml:space="preserve"> </w:t>
      </w:r>
      <w:r w:rsidR="00EC15D5" w:rsidRPr="00EC15D5">
        <w:t>Do you see merit in the new approach considered by ESMA for new and less liquid agricultural commodity derivatives? If not, please elaborate and provide an alternative proposal.</w:t>
      </w:r>
    </w:p>
    <w:p w14:paraId="5D2ACC37" w14:textId="43C95BBB"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_12&gt;</w:t>
      </w:r>
    </w:p>
    <w:p w14:paraId="4DE94D38" w14:textId="4BD5BE5A" w:rsidR="001F23C9" w:rsidRDefault="00F17BE6" w:rsidP="001F23C9">
      <w:pPr>
        <w:rPr>
          <w:rFonts w:ascii="Arial" w:hAnsi="Arial" w:cs="Arial"/>
        </w:rPr>
      </w:pPr>
      <w:permStart w:id="436235028" w:edGrp="everyone"/>
      <w:r>
        <w:t>Yes, Nasdaq agrees with ESMA`s proposal.</w:t>
      </w:r>
    </w:p>
    <w:permEnd w:id="436235028"/>
    <w:p w14:paraId="0A44451F" w14:textId="2A2B5288" w:rsidR="001F23C9" w:rsidRDefault="001F23C9" w:rsidP="001F23C9">
      <w:pPr>
        <w:rPr>
          <w:rFonts w:ascii="Arial" w:hAnsi="Arial" w:cs="Arial"/>
        </w:rPr>
      </w:pPr>
      <w:r>
        <w:rPr>
          <w:rFonts w:ascii="Arial" w:hAnsi="Arial" w:cs="Arial"/>
        </w:rPr>
        <w:lastRenderedPageBreak/>
        <w:t>&lt;ESMA_QUESTION_</w:t>
      </w:r>
      <w:r w:rsidR="006B391B">
        <w:rPr>
          <w:rFonts w:ascii="Arial" w:hAnsi="Arial" w:cs="Arial"/>
        </w:rPr>
        <w:t>CD</w:t>
      </w:r>
      <w:r>
        <w:rPr>
          <w:rFonts w:ascii="Arial" w:hAnsi="Arial" w:cs="Arial"/>
        </w:rPr>
        <w:t>_12&gt;</w:t>
      </w:r>
    </w:p>
    <w:p w14:paraId="781C7FB0" w14:textId="77777777" w:rsidR="001F23C9" w:rsidRDefault="001F23C9" w:rsidP="001F23C9">
      <w:pPr>
        <w:rPr>
          <w:rFonts w:ascii="Arial" w:hAnsi="Arial" w:cs="Arial"/>
        </w:rPr>
      </w:pPr>
    </w:p>
    <w:p w14:paraId="785B8370" w14:textId="43FDA918" w:rsidR="001F23C9" w:rsidRPr="00175CFB" w:rsidRDefault="001F23C9" w:rsidP="001F23C9">
      <w:pPr>
        <w:pStyle w:val="Questionstyle"/>
        <w:numPr>
          <w:ilvl w:val="0"/>
          <w:numId w:val="9"/>
        </w:numPr>
        <w:spacing w:after="250" w:line="276" w:lineRule="auto"/>
      </w:pPr>
      <w:r>
        <w:t>:</w:t>
      </w:r>
      <w:r w:rsidRPr="00C64A98">
        <w:t xml:space="preserve"> </w:t>
      </w:r>
      <w:r w:rsidR="00EC15D5" w:rsidRPr="00EC15D5">
        <w:t>Do you agree with ESMA’s proposal regarding Article 19 of RTS 21a? If not, please elaborate.</w:t>
      </w:r>
    </w:p>
    <w:p w14:paraId="69CE4D4E" w14:textId="33146815"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_13&gt;</w:t>
      </w:r>
    </w:p>
    <w:p w14:paraId="662146C2" w14:textId="77777777" w:rsidR="00F17BE6" w:rsidRPr="00DA1DC0" w:rsidRDefault="00F17BE6" w:rsidP="00F17BE6">
      <w:pPr>
        <w:spacing w:after="120"/>
      </w:pPr>
      <w:permStart w:id="1785143847" w:edGrp="everyone"/>
      <w:r w:rsidRPr="00DA1DC0">
        <w:t xml:space="preserve">Yes, we agree with </w:t>
      </w:r>
      <w:r>
        <w:t xml:space="preserve">ESMA on </w:t>
      </w:r>
      <w:r w:rsidRPr="00DA1DC0">
        <w:t xml:space="preserve">adjusting the other month position limit upwards when open interest is significantly lower than deliverable supply. </w:t>
      </w:r>
    </w:p>
    <w:p w14:paraId="2A789FA6" w14:textId="58CA3FA1" w:rsidR="001F23C9" w:rsidRPr="00F17BE6" w:rsidRDefault="00F17BE6" w:rsidP="00F17BE6">
      <w:pPr>
        <w:spacing w:after="120"/>
      </w:pPr>
      <w:r w:rsidRPr="00DA1DC0">
        <w:t>We would not agree</w:t>
      </w:r>
      <w:r>
        <w:t xml:space="preserve"> with the ESMA proposal </w:t>
      </w:r>
      <w:r w:rsidRPr="00DA1DC0">
        <w:t>to adjust the spot month position limit downwards when open interest is significantly lower than deliverable supply. As outline</w:t>
      </w:r>
      <w:r w:rsidR="000368C8">
        <w:t>d</w:t>
      </w:r>
      <w:r w:rsidRPr="00DA1DC0">
        <w:t xml:space="preserve"> in Question 9 we do not see the rational for doing so. There is no increased risk of market manipulation, and it could hamper growth in these undeveloped markets.</w:t>
      </w:r>
    </w:p>
    <w:permEnd w:id="1785143847"/>
    <w:p w14:paraId="709175DF" w14:textId="7FDEFD80"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_13&gt;</w:t>
      </w:r>
    </w:p>
    <w:p w14:paraId="1763F2A9" w14:textId="77777777" w:rsidR="001F23C9" w:rsidRDefault="001F23C9" w:rsidP="001F23C9">
      <w:pPr>
        <w:rPr>
          <w:rFonts w:ascii="Arial" w:hAnsi="Arial" w:cs="Arial"/>
        </w:rPr>
      </w:pPr>
    </w:p>
    <w:p w14:paraId="7061009A" w14:textId="6E769AB8" w:rsidR="001F23C9" w:rsidRPr="00175CFB" w:rsidRDefault="001F23C9" w:rsidP="001F23C9">
      <w:pPr>
        <w:pStyle w:val="Questionstyle"/>
        <w:numPr>
          <w:ilvl w:val="0"/>
          <w:numId w:val="9"/>
        </w:numPr>
        <w:spacing w:after="250" w:line="276" w:lineRule="auto"/>
      </w:pPr>
      <w:r>
        <w:t>:</w:t>
      </w:r>
      <w:r w:rsidRPr="000F104A">
        <w:t xml:space="preserve"> </w:t>
      </w:r>
      <w:r w:rsidR="00EC15D5" w:rsidRPr="00EC15D5">
        <w:t>Do you agree with ESMA’ proposal regarding the upward adjustment factor to be used in case of a small number of market participants or less than three investment firms acting as market makers? If not, please elaborate and provide an alternative proposal.</w:t>
      </w:r>
    </w:p>
    <w:p w14:paraId="54611186" w14:textId="08B7B3AF"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_14&gt;</w:t>
      </w:r>
    </w:p>
    <w:p w14:paraId="2AEA2C01" w14:textId="1372CAA6" w:rsidR="001F23C9" w:rsidRPr="00F17BE6" w:rsidRDefault="00F17BE6" w:rsidP="00F17BE6">
      <w:pPr>
        <w:spacing w:after="120"/>
      </w:pPr>
      <w:permStart w:id="1033585913" w:edGrp="everyone"/>
      <w:r>
        <w:t>Y</w:t>
      </w:r>
      <w:r w:rsidR="000368C8">
        <w:t>es</w:t>
      </w:r>
      <w:r>
        <w:t xml:space="preserve">, Nasdaq agrees with ESMA`s proposal. </w:t>
      </w:r>
    </w:p>
    <w:permEnd w:id="1033585913"/>
    <w:p w14:paraId="74A6F289" w14:textId="39F8669A"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_14&gt;</w:t>
      </w:r>
    </w:p>
    <w:p w14:paraId="43B3593F" w14:textId="77777777" w:rsidR="001F23C9" w:rsidRDefault="001F23C9" w:rsidP="001F23C9">
      <w:pPr>
        <w:rPr>
          <w:rFonts w:ascii="Arial" w:hAnsi="Arial" w:cs="Arial"/>
        </w:rPr>
      </w:pPr>
    </w:p>
    <w:p w14:paraId="527399E1" w14:textId="546F740F" w:rsidR="001F23C9" w:rsidRPr="00175CFB" w:rsidRDefault="001F23C9" w:rsidP="001F23C9">
      <w:pPr>
        <w:pStyle w:val="Questionstyle"/>
        <w:numPr>
          <w:ilvl w:val="0"/>
          <w:numId w:val="9"/>
        </w:numPr>
        <w:spacing w:after="250" w:line="276" w:lineRule="auto"/>
      </w:pPr>
      <w:r>
        <w:t>:</w:t>
      </w:r>
      <w:r w:rsidRPr="000F104A">
        <w:t xml:space="preserve"> </w:t>
      </w:r>
      <w:r w:rsidR="00EC15D5" w:rsidRPr="00EC15D5">
        <w:t>Do you agree with ESMA’s proposed amendments to ITS 4? If not, please elaborate.</w:t>
      </w:r>
    </w:p>
    <w:p w14:paraId="37E33E55" w14:textId="6C39E034"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_15&gt;</w:t>
      </w:r>
    </w:p>
    <w:p w14:paraId="23DB0471" w14:textId="45862DA1" w:rsidR="001F23C9" w:rsidRPr="00F17BE6" w:rsidRDefault="00F17BE6" w:rsidP="00F17BE6">
      <w:pPr>
        <w:spacing w:after="120"/>
        <w:rPr>
          <w:lang w:val="en-US"/>
        </w:rPr>
      </w:pPr>
      <w:permStart w:id="360059141" w:edGrp="everyone"/>
      <w:r>
        <w:t xml:space="preserve">Yes, Nasdaq agrees with ESMA’s proposal regarding the </w:t>
      </w:r>
      <w:r w:rsidRPr="00CD1A31">
        <w:t xml:space="preserve">hedging exemption and liquidity provision exemption. Only the legal reference (RTS 21 -&gt; RTS 21a) of the </w:t>
      </w:r>
      <w:r>
        <w:t>hedging field should be updated.</w:t>
      </w:r>
    </w:p>
    <w:permEnd w:id="360059141"/>
    <w:p w14:paraId="24463A6B" w14:textId="1C3BB4D4"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_15&gt;</w:t>
      </w:r>
    </w:p>
    <w:p w14:paraId="353BECC5" w14:textId="77777777" w:rsidR="001F23C9" w:rsidRDefault="001F23C9" w:rsidP="001F23C9">
      <w:pPr>
        <w:rPr>
          <w:rFonts w:ascii="Arial" w:hAnsi="Arial" w:cs="Arial"/>
        </w:rPr>
      </w:pPr>
    </w:p>
    <w:p w14:paraId="56F7097F" w14:textId="19394B90" w:rsidR="001F23C9" w:rsidRPr="00175CFB" w:rsidRDefault="001F23C9" w:rsidP="001F23C9">
      <w:pPr>
        <w:pStyle w:val="Questionstyle"/>
        <w:numPr>
          <w:ilvl w:val="0"/>
          <w:numId w:val="9"/>
        </w:numPr>
        <w:spacing w:after="250" w:line="276" w:lineRule="auto"/>
      </w:pPr>
      <w:r>
        <w:t xml:space="preserve">: </w:t>
      </w:r>
      <w:r w:rsidR="00EC15D5" w:rsidRPr="00EC15D5">
        <w:t>Do you agree with ESMA’s suggestion to introduce such ongoing position monitoring requirement in the draft RTS? If not, please elaborate.</w:t>
      </w:r>
    </w:p>
    <w:p w14:paraId="5E34355C" w14:textId="546C10C4"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_16&gt;</w:t>
      </w:r>
    </w:p>
    <w:p w14:paraId="7BFDCB88" w14:textId="35D50A16" w:rsidR="00F17BE6" w:rsidRDefault="00F17BE6" w:rsidP="00F17BE6">
      <w:pPr>
        <w:spacing w:after="120"/>
      </w:pPr>
      <w:permStart w:id="1365146390" w:edGrp="everyone"/>
      <w:r>
        <w:t>Trading venues have already adopted position management regimes and Nasdaq support this for physical settled commodity derivatives.</w:t>
      </w:r>
    </w:p>
    <w:p w14:paraId="13EFFDAA" w14:textId="52760DBA" w:rsidR="001F23C9" w:rsidRDefault="00F17BE6" w:rsidP="00F17BE6">
      <w:pPr>
        <w:rPr>
          <w:rFonts w:ascii="Arial" w:hAnsi="Arial" w:cs="Arial"/>
        </w:rPr>
      </w:pPr>
      <w:r>
        <w:t>Nevertheless, we advise ESMA to not introduce the “persons with close links” wording in Article 1 of the proposed RTS21a, and rather use the wording in MIFID Article 58 par 3. Increasing the scope through the “persons with close links” would unduly increase the burden for reporting entities with little added value for the position management regime.</w:t>
      </w:r>
    </w:p>
    <w:permEnd w:id="1365146390"/>
    <w:p w14:paraId="78E3242B" w14:textId="3826E0DB"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_16&gt;</w:t>
      </w:r>
    </w:p>
    <w:p w14:paraId="3CEF756A" w14:textId="77777777" w:rsidR="001F23C9" w:rsidRDefault="001F23C9" w:rsidP="001F23C9">
      <w:pPr>
        <w:rPr>
          <w:rFonts w:ascii="Arial" w:hAnsi="Arial" w:cs="Arial"/>
        </w:rPr>
      </w:pPr>
    </w:p>
    <w:p w14:paraId="49783DA5" w14:textId="5F4873AE" w:rsidR="001F23C9" w:rsidRPr="00175CFB" w:rsidRDefault="001F23C9" w:rsidP="001F23C9">
      <w:pPr>
        <w:pStyle w:val="Questionstyle"/>
        <w:numPr>
          <w:ilvl w:val="0"/>
          <w:numId w:val="9"/>
        </w:numPr>
        <w:spacing w:after="250" w:line="276" w:lineRule="auto"/>
      </w:pPr>
      <w:r>
        <w:t>:</w:t>
      </w:r>
      <w:r w:rsidR="00EC15D5">
        <w:t xml:space="preserve"> </w:t>
      </w:r>
      <w:r w:rsidR="00EC15D5" w:rsidRPr="00EC15D5">
        <w:t xml:space="preserve">Do you agree with ESMA’s suggestion to introduce accountability levels as part of position management controls? Do you agree with ESMA’s assessment that </w:t>
      </w:r>
      <w:r w:rsidR="00EC15D5" w:rsidRPr="00EC15D5">
        <w:lastRenderedPageBreak/>
        <w:t>accountability levels would be of particular relevance for physically settled commodity derivatives? If not, please elaborate and provide alternative proposals.</w:t>
      </w:r>
    </w:p>
    <w:p w14:paraId="24E1D07D" w14:textId="052BA2BD"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_17&gt;</w:t>
      </w:r>
    </w:p>
    <w:p w14:paraId="251DA74E" w14:textId="48F0C848" w:rsidR="00F17BE6" w:rsidRDefault="00F17BE6" w:rsidP="00F17BE6">
      <w:permStart w:id="1933463559" w:edGrp="everyone"/>
      <w:r>
        <w:t>Nasdaq find</w:t>
      </w:r>
      <w:r w:rsidR="000368C8">
        <w:t>s</w:t>
      </w:r>
      <w:r>
        <w:t xml:space="preserve"> that accountability levels are only relevant for physically settled commodity derivatives. The</w:t>
      </w:r>
      <w:r w:rsidRPr="00BA1F9D">
        <w:t xml:space="preserve"> Market Abuse Regulation (MAR) and the Regulation on Energy Market Integrity and Transparency (REMIT)</w:t>
      </w:r>
      <w:r>
        <w:t xml:space="preserve"> clearly define and prohibit market manipulation</w:t>
      </w:r>
      <w:r w:rsidRPr="00BA1F9D">
        <w:t>.</w:t>
      </w:r>
    </w:p>
    <w:p w14:paraId="6E974F7D" w14:textId="77777777" w:rsidR="000368C8" w:rsidRDefault="000368C8" w:rsidP="00F17BE6"/>
    <w:p w14:paraId="7DA82091" w14:textId="14FE1BFD" w:rsidR="00F17BE6" w:rsidRDefault="00F17BE6" w:rsidP="00F17BE6">
      <w:r>
        <w:t xml:space="preserve">With these regulations, NCAs and trading venues have the necessary authority to ensure fair markets with efficient price discovery in </w:t>
      </w:r>
      <w:r w:rsidRPr="00BA1F9D">
        <w:t>financially settled commodity derivatives</w:t>
      </w:r>
      <w:r>
        <w:t xml:space="preserve"> within </w:t>
      </w:r>
      <w:r w:rsidRPr="00BA1F9D">
        <w:t>the abovementioned regulatory frameworks.</w:t>
      </w:r>
    </w:p>
    <w:p w14:paraId="73846929" w14:textId="77777777" w:rsidR="000368C8" w:rsidRDefault="000368C8" w:rsidP="00F17BE6"/>
    <w:p w14:paraId="35F66016" w14:textId="77777777" w:rsidR="00F17BE6" w:rsidRDefault="00F17BE6" w:rsidP="00F17BE6">
      <w:r>
        <w:t xml:space="preserve">To squeeze a financially settled commodity derivative one would need to manipulate the underlying market or index. This </w:t>
      </w:r>
      <w:proofErr w:type="spellStart"/>
      <w:r>
        <w:t>can not</w:t>
      </w:r>
      <w:proofErr w:type="spellEnd"/>
      <w:r>
        <w:t xml:space="preserve"> be prevented by position management controls, but must be prohibited in relevant legislation, like REMIT for the whole sale energy markets.  </w:t>
      </w:r>
    </w:p>
    <w:p w14:paraId="47D10289" w14:textId="77777777" w:rsidR="00F17BE6" w:rsidRDefault="00F17BE6" w:rsidP="00F17BE6"/>
    <w:p w14:paraId="385B13BE" w14:textId="77777777" w:rsidR="00F17BE6" w:rsidRDefault="00F17BE6" w:rsidP="00F17BE6">
      <w:r>
        <w:t>As such we kindly request ESMA to keep the scope of accountability levels clearly limited to physically settled commodity derivatives.</w:t>
      </w:r>
    </w:p>
    <w:p w14:paraId="19112EED" w14:textId="77777777" w:rsidR="00F17BE6" w:rsidRDefault="00F17BE6" w:rsidP="00F17BE6"/>
    <w:p w14:paraId="06081452" w14:textId="552AF8CE" w:rsidR="001F23C9" w:rsidRPr="00F17BE6" w:rsidRDefault="00F17BE6" w:rsidP="001F23C9">
      <w:r>
        <w:t>Further we see that the suggested Article 2 should guide exchanges on possible actions. I.e. not state explicit requirements on when they shall reach out to clients. This would be overly prescriptive and trading venues are able to operate this efficiently without the explicit requirements. One could address this by replacing the word “shall” with “may” in all paragraphs of Article 2 in the draft RTS 21a.</w:t>
      </w:r>
    </w:p>
    <w:permEnd w:id="1933463559"/>
    <w:p w14:paraId="7F003725" w14:textId="6422BA74"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_17&gt;</w:t>
      </w:r>
    </w:p>
    <w:p w14:paraId="465090D5" w14:textId="77777777" w:rsidR="001F23C9" w:rsidRDefault="001F23C9" w:rsidP="001F23C9">
      <w:pPr>
        <w:rPr>
          <w:rFonts w:ascii="Arial" w:hAnsi="Arial" w:cs="Arial"/>
        </w:rPr>
      </w:pPr>
    </w:p>
    <w:p w14:paraId="1BD1281A" w14:textId="3F93B6EA" w:rsidR="001F23C9" w:rsidRPr="00175CFB" w:rsidRDefault="001F23C9" w:rsidP="001F23C9">
      <w:pPr>
        <w:pStyle w:val="Questionstyle"/>
        <w:numPr>
          <w:ilvl w:val="0"/>
          <w:numId w:val="9"/>
        </w:numPr>
        <w:spacing w:after="250" w:line="276" w:lineRule="auto"/>
      </w:pPr>
      <w:r>
        <w:t>:</w:t>
      </w:r>
      <w:r w:rsidRPr="000F104A">
        <w:t xml:space="preserve"> </w:t>
      </w:r>
      <w:r w:rsidR="00EC15D5" w:rsidRPr="00EC15D5">
        <w:t>In your view, how should accountability levels be set for the spot month and the other months? Based on which methodology or criteria? Should all types of positions count towards the accountability levels?</w:t>
      </w:r>
    </w:p>
    <w:p w14:paraId="41FC366D" w14:textId="7942F802"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_18&gt;</w:t>
      </w:r>
    </w:p>
    <w:p w14:paraId="4F92C289" w14:textId="77777777" w:rsidR="00F17BE6" w:rsidRDefault="00F17BE6" w:rsidP="00F17BE6">
      <w:pPr>
        <w:spacing w:after="120"/>
      </w:pPr>
      <w:permStart w:id="1388730375" w:edGrp="everyone"/>
      <w:r>
        <w:t>As stated in Q17 Nasdaq advises ESMA to avoid introducing an overly prescriptive accountability levels regime, and a clear limitation of the scope to the physically settled commodity derivatives.</w:t>
      </w:r>
    </w:p>
    <w:p w14:paraId="7C8653B0" w14:textId="5D696122" w:rsidR="00F17BE6" w:rsidRDefault="00F17BE6" w:rsidP="00F17BE6">
      <w:pPr>
        <w:spacing w:after="120"/>
      </w:pPr>
      <w:r>
        <w:t xml:space="preserve">Considering physically settled derivatives, there are more parameters relevant for applicability of accountability levels than the simplified spot month and other months approach. Some of the relevant parameters to consider before applying accountability </w:t>
      </w:r>
      <w:proofErr w:type="gramStart"/>
      <w:r>
        <w:t>levels;</w:t>
      </w:r>
      <w:proofErr w:type="gramEnd"/>
    </w:p>
    <w:p w14:paraId="484582B8" w14:textId="77777777" w:rsidR="00F17BE6" w:rsidRPr="008155ED" w:rsidRDefault="00F17BE6" w:rsidP="00F17BE6">
      <w:pPr>
        <w:pStyle w:val="ListParagraph"/>
        <w:numPr>
          <w:ilvl w:val="0"/>
          <w:numId w:val="29"/>
        </w:numPr>
        <w:tabs>
          <w:tab w:val="clear" w:pos="0"/>
          <w:tab w:val="clear" w:pos="142"/>
          <w:tab w:val="clear" w:pos="284"/>
          <w:tab w:val="clear" w:pos="567"/>
        </w:tabs>
        <w:autoSpaceDE/>
        <w:autoSpaceDN/>
        <w:adjustRightInd/>
        <w:spacing w:after="120" w:line="240" w:lineRule="auto"/>
        <w:contextualSpacing/>
        <w:outlineLvl w:val="0"/>
      </w:pPr>
      <w:r>
        <w:rPr>
          <w:bCs/>
        </w:rPr>
        <w:t>Liquidity in the relevant contract</w:t>
      </w:r>
    </w:p>
    <w:p w14:paraId="2DB4A962" w14:textId="336DC149" w:rsidR="00F17BE6" w:rsidRPr="00D47C05" w:rsidRDefault="00F17BE6" w:rsidP="00F17BE6">
      <w:pPr>
        <w:pStyle w:val="ListParagraph"/>
        <w:numPr>
          <w:ilvl w:val="0"/>
          <w:numId w:val="29"/>
        </w:numPr>
        <w:tabs>
          <w:tab w:val="clear" w:pos="0"/>
          <w:tab w:val="clear" w:pos="142"/>
          <w:tab w:val="clear" w:pos="284"/>
          <w:tab w:val="clear" w:pos="567"/>
        </w:tabs>
        <w:autoSpaceDE/>
        <w:autoSpaceDN/>
        <w:adjustRightInd/>
        <w:spacing w:after="120" w:line="240" w:lineRule="auto"/>
        <w:contextualSpacing/>
        <w:outlineLvl w:val="0"/>
      </w:pPr>
      <w:r>
        <w:t>The contract</w:t>
      </w:r>
      <w:r w:rsidR="001A0635">
        <w:t>’</w:t>
      </w:r>
      <w:r>
        <w:t>s importance for the markets price formation</w:t>
      </w:r>
    </w:p>
    <w:p w14:paraId="61328357" w14:textId="3C00A034" w:rsidR="00F17BE6" w:rsidRPr="001A0635" w:rsidRDefault="00F17BE6" w:rsidP="00F17BE6">
      <w:pPr>
        <w:pStyle w:val="ListParagraph"/>
        <w:numPr>
          <w:ilvl w:val="0"/>
          <w:numId w:val="29"/>
        </w:numPr>
        <w:tabs>
          <w:tab w:val="clear" w:pos="0"/>
          <w:tab w:val="clear" w:pos="142"/>
          <w:tab w:val="clear" w:pos="284"/>
          <w:tab w:val="clear" w:pos="567"/>
        </w:tabs>
        <w:autoSpaceDE/>
        <w:autoSpaceDN/>
        <w:adjustRightInd/>
        <w:spacing w:after="120" w:line="240" w:lineRule="auto"/>
        <w:contextualSpacing/>
        <w:outlineLvl w:val="0"/>
        <w:rPr>
          <w:b/>
        </w:rPr>
      </w:pPr>
      <w:r w:rsidRPr="00D47C05">
        <w:t>Deliverable supply</w:t>
      </w:r>
    </w:p>
    <w:p w14:paraId="03C0CA4B" w14:textId="69E57C51" w:rsidR="001F23C9" w:rsidRDefault="00F17BE6" w:rsidP="00F17BE6">
      <w:pPr>
        <w:rPr>
          <w:rFonts w:ascii="Arial" w:hAnsi="Arial" w:cs="Arial"/>
        </w:rPr>
      </w:pPr>
      <w:r>
        <w:t>It is inconceivable to define an efficient one-size-fits-all regime that would address all relevant considerations. Instead trading venues should have discretion with regards to determining which contracts accountability levels are relevant for and the methodology.</w:t>
      </w:r>
    </w:p>
    <w:permEnd w:id="1388730375"/>
    <w:p w14:paraId="161D58CB" w14:textId="3A45CEB1"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_18&gt;</w:t>
      </w:r>
    </w:p>
    <w:p w14:paraId="7EE42A66" w14:textId="77777777" w:rsidR="001F23C9" w:rsidRDefault="001F23C9" w:rsidP="001F23C9">
      <w:pPr>
        <w:rPr>
          <w:rFonts w:ascii="Arial" w:hAnsi="Arial" w:cs="Arial"/>
        </w:rPr>
      </w:pPr>
    </w:p>
    <w:p w14:paraId="4A21C8B1" w14:textId="28DFFBC5" w:rsidR="00EC15D5" w:rsidRPr="00EC15D5" w:rsidRDefault="001F23C9" w:rsidP="00EC15D5">
      <w:pPr>
        <w:pStyle w:val="Questionstyle"/>
        <w:numPr>
          <w:ilvl w:val="0"/>
          <w:numId w:val="9"/>
        </w:numPr>
        <w:spacing w:after="250" w:line="276" w:lineRule="auto"/>
      </w:pPr>
      <w:r>
        <w:t>:</w:t>
      </w:r>
      <w:r w:rsidRPr="000F104A">
        <w:t xml:space="preserve"> </w:t>
      </w:r>
      <w:r w:rsidR="00EC15D5" w:rsidRPr="00EC15D5">
        <w:t>Do you agree with ESMA’s suggestion to introduce requirements for the review of accountability levels? Do you also agree with ESMA’s proposal regarding reporting requirements to the NCA on accountability levels? If not, please elaborate.</w:t>
      </w:r>
    </w:p>
    <w:p w14:paraId="0D1D11BC" w14:textId="77777777" w:rsidR="00EC15D5" w:rsidRPr="00EC15D5" w:rsidRDefault="00EC15D5" w:rsidP="00EC15D5">
      <w:pPr>
        <w:rPr>
          <w:rFonts w:ascii="Arial" w:hAnsi="Arial" w:cs="Arial"/>
        </w:rPr>
      </w:pPr>
      <w:r w:rsidRPr="00EC15D5">
        <w:rPr>
          <w:rFonts w:ascii="Arial" w:hAnsi="Arial" w:cs="Arial"/>
        </w:rPr>
        <w:lastRenderedPageBreak/>
        <w:t>&lt;ESMA_QUESTION_CD_19&gt;</w:t>
      </w:r>
    </w:p>
    <w:p w14:paraId="2F3E0E33" w14:textId="53675B0C" w:rsidR="00EC15D5" w:rsidRPr="00EC15D5" w:rsidRDefault="00F17BE6" w:rsidP="00EC15D5">
      <w:pPr>
        <w:rPr>
          <w:rFonts w:ascii="Arial" w:hAnsi="Arial" w:cs="Arial"/>
        </w:rPr>
      </w:pPr>
      <w:permStart w:id="1252535276" w:edGrp="everyone"/>
      <w:r>
        <w:t>Yes, we agree. Yet Nasdaq would welcome an obligation for NCAs to coordinate their review of accountability levels for contracts with the same underlying across trading venues and NCA jurisdictions.</w:t>
      </w:r>
    </w:p>
    <w:permEnd w:id="1252535276"/>
    <w:p w14:paraId="7AB37724" w14:textId="77777777" w:rsidR="00EC15D5" w:rsidRPr="00EC15D5" w:rsidRDefault="00EC15D5" w:rsidP="00EC15D5">
      <w:pPr>
        <w:rPr>
          <w:rFonts w:ascii="Arial" w:hAnsi="Arial" w:cs="Arial"/>
        </w:rPr>
      </w:pPr>
      <w:r w:rsidRPr="00EC15D5">
        <w:rPr>
          <w:rFonts w:ascii="Arial" w:hAnsi="Arial" w:cs="Arial"/>
        </w:rPr>
        <w:t>&lt;ESMA_QUESTION_CD_19&gt;</w:t>
      </w:r>
    </w:p>
    <w:p w14:paraId="2C0C1CF1" w14:textId="77777777" w:rsidR="00EC15D5" w:rsidRDefault="00EC15D5" w:rsidP="00EC15D5">
      <w:pPr>
        <w:pStyle w:val="Questionstyle"/>
        <w:numPr>
          <w:ilvl w:val="0"/>
          <w:numId w:val="0"/>
        </w:numPr>
        <w:spacing w:after="250" w:line="276" w:lineRule="auto"/>
      </w:pPr>
    </w:p>
    <w:p w14:paraId="28FFF90C" w14:textId="7A73FDE8" w:rsidR="00EC15D5" w:rsidRDefault="00EC15D5" w:rsidP="00EC15D5">
      <w:pPr>
        <w:pStyle w:val="Questionstyle"/>
        <w:numPr>
          <w:ilvl w:val="0"/>
          <w:numId w:val="9"/>
        </w:numPr>
        <w:spacing w:after="250" w:line="276" w:lineRule="auto"/>
      </w:pPr>
      <w:r>
        <w:t xml:space="preserve">: </w:t>
      </w:r>
      <w:r w:rsidRPr="00EC15D5">
        <w:t>In your view, what other types of position management controls could be further specified in the draft RTS?</w:t>
      </w:r>
    </w:p>
    <w:p w14:paraId="7F5A0F42" w14:textId="0AFFA951" w:rsidR="00EC15D5" w:rsidRPr="00EC15D5" w:rsidRDefault="00EC15D5" w:rsidP="00EC15D5">
      <w:pPr>
        <w:rPr>
          <w:rFonts w:ascii="Arial" w:hAnsi="Arial" w:cs="Arial"/>
        </w:rPr>
      </w:pPr>
      <w:r w:rsidRPr="00EC15D5">
        <w:rPr>
          <w:rFonts w:ascii="Arial" w:hAnsi="Arial" w:cs="Arial"/>
        </w:rPr>
        <w:t>&lt;ESMA_QUESTION_CD_</w:t>
      </w:r>
      <w:r>
        <w:rPr>
          <w:rFonts w:ascii="Arial" w:hAnsi="Arial" w:cs="Arial"/>
        </w:rPr>
        <w:t>20</w:t>
      </w:r>
      <w:r w:rsidRPr="00EC15D5">
        <w:rPr>
          <w:rFonts w:ascii="Arial" w:hAnsi="Arial" w:cs="Arial"/>
        </w:rPr>
        <w:t>&gt;</w:t>
      </w:r>
    </w:p>
    <w:p w14:paraId="3D08456C" w14:textId="6B6A8AD4" w:rsidR="00EC15D5" w:rsidRPr="00EC15D5" w:rsidRDefault="00F17BE6" w:rsidP="00EC15D5">
      <w:pPr>
        <w:rPr>
          <w:rFonts w:ascii="Arial" w:hAnsi="Arial" w:cs="Arial"/>
        </w:rPr>
      </w:pPr>
      <w:permStart w:id="133526605" w:edGrp="everyone"/>
      <w:r w:rsidRPr="000D5C44">
        <w:t>Find ways of harmonizing position management controls across EU commodity derivative trading venues, without prescribing overly prescriptive routines. Preferably through increased NCA co-operation across jurisdictions.</w:t>
      </w:r>
    </w:p>
    <w:permEnd w:id="133526605"/>
    <w:p w14:paraId="0CC67D21" w14:textId="79419E65" w:rsidR="00EC15D5" w:rsidRDefault="00EC15D5" w:rsidP="00EC15D5">
      <w:pPr>
        <w:rPr>
          <w:rFonts w:ascii="Arial" w:hAnsi="Arial" w:cs="Arial"/>
        </w:rPr>
      </w:pPr>
      <w:r w:rsidRPr="00EC15D5">
        <w:rPr>
          <w:rFonts w:ascii="Arial" w:hAnsi="Arial" w:cs="Arial"/>
        </w:rPr>
        <w:t>&lt;ESMA_QUESTION_CD_</w:t>
      </w:r>
      <w:r>
        <w:rPr>
          <w:rFonts w:ascii="Arial" w:hAnsi="Arial" w:cs="Arial"/>
        </w:rPr>
        <w:t>20</w:t>
      </w:r>
      <w:r w:rsidRPr="00EC15D5">
        <w:rPr>
          <w:rFonts w:ascii="Arial" w:hAnsi="Arial" w:cs="Arial"/>
        </w:rPr>
        <w:t>&gt;</w:t>
      </w:r>
    </w:p>
    <w:p w14:paraId="65667D94" w14:textId="27EC7E65" w:rsidR="00EC15D5" w:rsidRPr="00EC15D5" w:rsidRDefault="00EC15D5" w:rsidP="00EC15D5">
      <w:pPr>
        <w:rPr>
          <w:rFonts w:asciiTheme="minorHAnsi" w:hAnsiTheme="minorHAnsi" w:cstheme="minorHAnsi"/>
        </w:rPr>
      </w:pPr>
    </w:p>
    <w:p w14:paraId="36B9A42F" w14:textId="2AD988F9" w:rsidR="00EC15D5" w:rsidRPr="00EC15D5" w:rsidRDefault="00EC15D5" w:rsidP="00EC15D5">
      <w:pPr>
        <w:rPr>
          <w:rFonts w:asciiTheme="minorHAnsi" w:hAnsiTheme="minorHAnsi" w:cstheme="minorHAnsi"/>
          <w:b/>
          <w:bCs/>
        </w:rPr>
      </w:pPr>
      <w:r w:rsidRPr="00EC15D5">
        <w:rPr>
          <w:rFonts w:asciiTheme="minorHAnsi" w:hAnsiTheme="minorHAnsi" w:cstheme="minorHAnsi"/>
          <w:b/>
          <w:bCs/>
        </w:rPr>
        <w:t>Cost Benefit Analysis</w:t>
      </w:r>
    </w:p>
    <w:p w14:paraId="766888B4" w14:textId="77777777" w:rsidR="00EC15D5" w:rsidRPr="00EC15D5" w:rsidRDefault="00EC15D5" w:rsidP="00EC15D5">
      <w:pPr>
        <w:rPr>
          <w:rFonts w:ascii="Arial" w:hAnsi="Arial" w:cs="Arial"/>
        </w:rPr>
      </w:pPr>
    </w:p>
    <w:p w14:paraId="0535C89F" w14:textId="7B5E2917" w:rsidR="00EC15D5" w:rsidRDefault="00EC15D5" w:rsidP="00EC15D5"/>
    <w:p w14:paraId="40A59261" w14:textId="1578C3A6" w:rsidR="00EC15D5" w:rsidRDefault="00EC15D5" w:rsidP="00EC15D5">
      <w:pPr>
        <w:pStyle w:val="Questionstyle"/>
        <w:numPr>
          <w:ilvl w:val="0"/>
          <w:numId w:val="0"/>
        </w:numPr>
        <w:spacing w:after="250" w:line="276" w:lineRule="auto"/>
        <w:ind w:left="360"/>
      </w:pPr>
      <w:r w:rsidRPr="00EC15D5">
        <w:rPr>
          <w:b/>
          <w:bCs/>
        </w:rPr>
        <w:t>CBA Q1</w:t>
      </w:r>
      <w:r>
        <w:t xml:space="preserve">: </w:t>
      </w:r>
      <w:r w:rsidRPr="00EC15D5">
        <w:t>This first question aims at identifying the category of firm/entity you belong to. Please provide the total notional amount traded in commodity derivatives traded on a trading venue (and EEOTC contracts where relevant in 2020 in thousand euros and the related total number of trades in the relevant boxes).</w:t>
      </w:r>
    </w:p>
    <w:p w14:paraId="2AED79D1" w14:textId="25F50871" w:rsidR="00EC15D5" w:rsidRPr="00EC15D5" w:rsidRDefault="00EC15D5" w:rsidP="00EC15D5">
      <w:pPr>
        <w:rPr>
          <w:rFonts w:ascii="Arial" w:hAnsi="Arial" w:cs="Arial"/>
        </w:rPr>
      </w:pPr>
      <w:r w:rsidRPr="00EC15D5">
        <w:rPr>
          <w:rFonts w:ascii="Arial" w:hAnsi="Arial" w:cs="Arial"/>
        </w:rPr>
        <w:t>&lt;ESMA_QUESTION_CD_</w:t>
      </w:r>
      <w:r>
        <w:rPr>
          <w:rFonts w:ascii="Arial" w:hAnsi="Arial" w:cs="Arial"/>
        </w:rPr>
        <w:t>21</w:t>
      </w:r>
      <w:r w:rsidRPr="00EC15D5">
        <w:rPr>
          <w:rFonts w:ascii="Arial" w:hAnsi="Arial" w:cs="Arial"/>
        </w:rPr>
        <w:t>&gt;</w:t>
      </w:r>
    </w:p>
    <w:p w14:paraId="2FD986BD" w14:textId="72778A75" w:rsidR="00EC15D5" w:rsidRDefault="00EC15D5" w:rsidP="00EC15D5">
      <w:pPr>
        <w:rPr>
          <w:rFonts w:ascii="Arial" w:hAnsi="Arial" w:cs="Arial"/>
        </w:rPr>
      </w:pPr>
      <w:permStart w:id="1900831222" w:edGrp="everyone"/>
      <w:r w:rsidRPr="00EC15D5">
        <w:rPr>
          <w:rFonts w:ascii="Arial" w:hAnsi="Arial" w:cs="Arial"/>
        </w:rPr>
        <w:t>TYPE YOUR TEXT HERE</w:t>
      </w:r>
    </w:p>
    <w:tbl>
      <w:tblPr>
        <w:tblStyle w:val="TableGrid"/>
        <w:tblpPr w:leftFromText="141" w:rightFromText="141" w:vertAnchor="text" w:tblpXSpec="center" w:tblpY="1"/>
        <w:tblOverlap w:val="never"/>
        <w:tblW w:w="0" w:type="auto"/>
        <w:jc w:val="center"/>
        <w:tblLook w:val="04A0" w:firstRow="1" w:lastRow="0" w:firstColumn="1" w:lastColumn="0" w:noHBand="0" w:noVBand="1"/>
      </w:tblPr>
      <w:tblGrid>
        <w:gridCol w:w="2265"/>
        <w:gridCol w:w="2265"/>
        <w:gridCol w:w="2265"/>
        <w:gridCol w:w="2265"/>
      </w:tblGrid>
      <w:tr w:rsidR="00EC15D5" w14:paraId="55865BF6" w14:textId="77777777" w:rsidTr="008F530D">
        <w:trPr>
          <w:jc w:val="center"/>
        </w:trPr>
        <w:tc>
          <w:tcPr>
            <w:tcW w:w="2265" w:type="dxa"/>
          </w:tcPr>
          <w:p w14:paraId="04128C5C" w14:textId="77777777" w:rsidR="00EC15D5" w:rsidRDefault="00EC15D5" w:rsidP="008F530D">
            <w:r>
              <w:t xml:space="preserve">Category </w:t>
            </w:r>
          </w:p>
        </w:tc>
        <w:tc>
          <w:tcPr>
            <w:tcW w:w="2265" w:type="dxa"/>
          </w:tcPr>
          <w:p w14:paraId="569F603D" w14:textId="77777777" w:rsidR="00EC15D5" w:rsidRDefault="00EC15D5" w:rsidP="008F530D">
            <w:r>
              <w:t>Number of employees</w:t>
            </w:r>
          </w:p>
        </w:tc>
        <w:tc>
          <w:tcPr>
            <w:tcW w:w="2266" w:type="dxa"/>
          </w:tcPr>
          <w:p w14:paraId="3B3BF48E" w14:textId="77777777" w:rsidR="00EC15D5" w:rsidRDefault="00EC15D5" w:rsidP="008F530D">
            <w:r>
              <w:t xml:space="preserve">Total notional amount traded in 2020 in thousand euros </w:t>
            </w:r>
          </w:p>
        </w:tc>
        <w:tc>
          <w:tcPr>
            <w:tcW w:w="2266" w:type="dxa"/>
          </w:tcPr>
          <w:p w14:paraId="0621B0C0" w14:textId="77777777" w:rsidR="00EC15D5" w:rsidRDefault="00EC15D5" w:rsidP="008F530D">
            <w:r>
              <w:t>Number of trades in 2020</w:t>
            </w:r>
          </w:p>
        </w:tc>
      </w:tr>
      <w:tr w:rsidR="00EC15D5" w14:paraId="70C9B542" w14:textId="77777777" w:rsidTr="008F530D">
        <w:trPr>
          <w:jc w:val="center"/>
        </w:trPr>
        <w:tc>
          <w:tcPr>
            <w:tcW w:w="2265" w:type="dxa"/>
            <w:vMerge w:val="restart"/>
            <w:vAlign w:val="center"/>
          </w:tcPr>
          <w:p w14:paraId="1E82DEA3" w14:textId="77777777" w:rsidR="00EC15D5" w:rsidRDefault="00EC15D5" w:rsidP="008F530D">
            <w:r>
              <w:t>Trading venue</w:t>
            </w:r>
          </w:p>
        </w:tc>
        <w:tc>
          <w:tcPr>
            <w:tcW w:w="2265" w:type="dxa"/>
          </w:tcPr>
          <w:p w14:paraId="1DA3C6C5" w14:textId="77777777" w:rsidR="00EC15D5" w:rsidRDefault="00EC15D5" w:rsidP="008F530D">
            <w:r>
              <w:t>[1-50]</w:t>
            </w:r>
          </w:p>
        </w:tc>
        <w:tc>
          <w:tcPr>
            <w:tcW w:w="2266" w:type="dxa"/>
          </w:tcPr>
          <w:p w14:paraId="2F0D25D8" w14:textId="77777777" w:rsidR="00EC15D5" w:rsidRDefault="00EC15D5" w:rsidP="008F530D"/>
        </w:tc>
        <w:tc>
          <w:tcPr>
            <w:tcW w:w="2266" w:type="dxa"/>
          </w:tcPr>
          <w:p w14:paraId="2671A4BD" w14:textId="77777777" w:rsidR="00EC15D5" w:rsidRDefault="00EC15D5" w:rsidP="008F530D"/>
        </w:tc>
      </w:tr>
      <w:tr w:rsidR="00EC15D5" w14:paraId="5C95F789" w14:textId="77777777" w:rsidTr="008F530D">
        <w:trPr>
          <w:jc w:val="center"/>
        </w:trPr>
        <w:tc>
          <w:tcPr>
            <w:tcW w:w="2265" w:type="dxa"/>
            <w:vMerge/>
            <w:vAlign w:val="center"/>
          </w:tcPr>
          <w:p w14:paraId="053B9393" w14:textId="77777777" w:rsidR="00EC15D5" w:rsidRDefault="00EC15D5" w:rsidP="008F530D"/>
        </w:tc>
        <w:tc>
          <w:tcPr>
            <w:tcW w:w="2265" w:type="dxa"/>
          </w:tcPr>
          <w:p w14:paraId="599925C6" w14:textId="77777777" w:rsidR="00EC15D5" w:rsidRDefault="00EC15D5" w:rsidP="008F530D">
            <w:r>
              <w:t>[51-250]</w:t>
            </w:r>
          </w:p>
        </w:tc>
        <w:tc>
          <w:tcPr>
            <w:tcW w:w="2266" w:type="dxa"/>
          </w:tcPr>
          <w:p w14:paraId="634AFFAF" w14:textId="77777777" w:rsidR="00EC15D5" w:rsidRDefault="00EC15D5" w:rsidP="008F530D"/>
        </w:tc>
        <w:tc>
          <w:tcPr>
            <w:tcW w:w="2266" w:type="dxa"/>
          </w:tcPr>
          <w:p w14:paraId="4F3FC5D9" w14:textId="77777777" w:rsidR="00EC15D5" w:rsidRDefault="00EC15D5" w:rsidP="008F530D"/>
        </w:tc>
      </w:tr>
      <w:tr w:rsidR="00EC15D5" w14:paraId="772E7F95" w14:textId="77777777" w:rsidTr="008F530D">
        <w:trPr>
          <w:jc w:val="center"/>
        </w:trPr>
        <w:tc>
          <w:tcPr>
            <w:tcW w:w="2265" w:type="dxa"/>
            <w:vMerge/>
            <w:vAlign w:val="center"/>
          </w:tcPr>
          <w:p w14:paraId="00463D95" w14:textId="77777777" w:rsidR="00EC15D5" w:rsidRDefault="00EC15D5" w:rsidP="008F530D"/>
        </w:tc>
        <w:tc>
          <w:tcPr>
            <w:tcW w:w="2265" w:type="dxa"/>
          </w:tcPr>
          <w:p w14:paraId="21B52571" w14:textId="77777777" w:rsidR="00EC15D5" w:rsidRDefault="00EC15D5" w:rsidP="008F530D">
            <w:r>
              <w:t>[251-500]</w:t>
            </w:r>
          </w:p>
        </w:tc>
        <w:tc>
          <w:tcPr>
            <w:tcW w:w="2266" w:type="dxa"/>
          </w:tcPr>
          <w:p w14:paraId="3D6A2F40" w14:textId="77777777" w:rsidR="00EC15D5" w:rsidRDefault="00EC15D5" w:rsidP="008F530D"/>
        </w:tc>
        <w:tc>
          <w:tcPr>
            <w:tcW w:w="2266" w:type="dxa"/>
          </w:tcPr>
          <w:p w14:paraId="2DA39240" w14:textId="77777777" w:rsidR="00EC15D5" w:rsidRDefault="00EC15D5" w:rsidP="008F530D"/>
        </w:tc>
      </w:tr>
      <w:tr w:rsidR="00EC15D5" w14:paraId="54FB1C17" w14:textId="77777777" w:rsidTr="008F530D">
        <w:trPr>
          <w:jc w:val="center"/>
        </w:trPr>
        <w:tc>
          <w:tcPr>
            <w:tcW w:w="2265" w:type="dxa"/>
            <w:vMerge/>
            <w:vAlign w:val="center"/>
          </w:tcPr>
          <w:p w14:paraId="4DE16B44" w14:textId="77777777" w:rsidR="00EC15D5" w:rsidRDefault="00EC15D5" w:rsidP="008F530D"/>
        </w:tc>
        <w:tc>
          <w:tcPr>
            <w:tcW w:w="2265" w:type="dxa"/>
          </w:tcPr>
          <w:p w14:paraId="5BDCFE85" w14:textId="77777777" w:rsidR="00EC15D5" w:rsidRDefault="00EC15D5" w:rsidP="008F530D">
            <w:r>
              <w:t>&gt;500</w:t>
            </w:r>
          </w:p>
        </w:tc>
        <w:tc>
          <w:tcPr>
            <w:tcW w:w="2266" w:type="dxa"/>
          </w:tcPr>
          <w:p w14:paraId="481D26F5" w14:textId="77777777" w:rsidR="00EC15D5" w:rsidRDefault="00EC15D5" w:rsidP="008F530D"/>
        </w:tc>
        <w:tc>
          <w:tcPr>
            <w:tcW w:w="2266" w:type="dxa"/>
          </w:tcPr>
          <w:p w14:paraId="216C5B66" w14:textId="77777777" w:rsidR="00EC15D5" w:rsidRDefault="00EC15D5" w:rsidP="008F530D"/>
        </w:tc>
      </w:tr>
      <w:tr w:rsidR="00EC15D5" w14:paraId="44F5443C" w14:textId="77777777" w:rsidTr="008F530D">
        <w:trPr>
          <w:jc w:val="center"/>
        </w:trPr>
        <w:tc>
          <w:tcPr>
            <w:tcW w:w="2265" w:type="dxa"/>
            <w:vMerge w:val="restart"/>
            <w:vAlign w:val="center"/>
          </w:tcPr>
          <w:p w14:paraId="4071757F" w14:textId="77777777" w:rsidR="00EC15D5" w:rsidRDefault="00EC15D5" w:rsidP="008F530D">
            <w:r>
              <w:t xml:space="preserve">Financial entity </w:t>
            </w:r>
          </w:p>
        </w:tc>
        <w:tc>
          <w:tcPr>
            <w:tcW w:w="2265" w:type="dxa"/>
          </w:tcPr>
          <w:p w14:paraId="5BB56C7E" w14:textId="77777777" w:rsidR="00EC15D5" w:rsidRDefault="00EC15D5" w:rsidP="008F530D">
            <w:r>
              <w:t>[1-50]</w:t>
            </w:r>
          </w:p>
        </w:tc>
        <w:tc>
          <w:tcPr>
            <w:tcW w:w="2266" w:type="dxa"/>
          </w:tcPr>
          <w:p w14:paraId="5A0FF211" w14:textId="77777777" w:rsidR="00EC15D5" w:rsidRDefault="00EC15D5" w:rsidP="008F530D"/>
        </w:tc>
        <w:tc>
          <w:tcPr>
            <w:tcW w:w="2266" w:type="dxa"/>
          </w:tcPr>
          <w:p w14:paraId="30C65D47" w14:textId="77777777" w:rsidR="00EC15D5" w:rsidRDefault="00EC15D5" w:rsidP="008F530D"/>
        </w:tc>
      </w:tr>
      <w:tr w:rsidR="00EC15D5" w14:paraId="6BA0F3F9" w14:textId="77777777" w:rsidTr="008F530D">
        <w:trPr>
          <w:jc w:val="center"/>
        </w:trPr>
        <w:tc>
          <w:tcPr>
            <w:tcW w:w="2265" w:type="dxa"/>
            <w:vMerge/>
            <w:vAlign w:val="center"/>
          </w:tcPr>
          <w:p w14:paraId="10478AAA" w14:textId="77777777" w:rsidR="00EC15D5" w:rsidRDefault="00EC15D5" w:rsidP="008F530D"/>
        </w:tc>
        <w:tc>
          <w:tcPr>
            <w:tcW w:w="2265" w:type="dxa"/>
          </w:tcPr>
          <w:p w14:paraId="239F5F92" w14:textId="77777777" w:rsidR="00EC15D5" w:rsidRDefault="00EC15D5" w:rsidP="008F530D">
            <w:r>
              <w:t>[51-250]</w:t>
            </w:r>
          </w:p>
        </w:tc>
        <w:tc>
          <w:tcPr>
            <w:tcW w:w="2266" w:type="dxa"/>
          </w:tcPr>
          <w:p w14:paraId="34222647" w14:textId="77777777" w:rsidR="00EC15D5" w:rsidRDefault="00EC15D5" w:rsidP="008F530D"/>
        </w:tc>
        <w:tc>
          <w:tcPr>
            <w:tcW w:w="2266" w:type="dxa"/>
          </w:tcPr>
          <w:p w14:paraId="1D233B26" w14:textId="77777777" w:rsidR="00EC15D5" w:rsidRDefault="00EC15D5" w:rsidP="008F530D"/>
        </w:tc>
      </w:tr>
      <w:tr w:rsidR="00EC15D5" w14:paraId="525A394A" w14:textId="77777777" w:rsidTr="008F530D">
        <w:trPr>
          <w:jc w:val="center"/>
        </w:trPr>
        <w:tc>
          <w:tcPr>
            <w:tcW w:w="2265" w:type="dxa"/>
            <w:vMerge/>
            <w:vAlign w:val="center"/>
          </w:tcPr>
          <w:p w14:paraId="18BC8920" w14:textId="77777777" w:rsidR="00EC15D5" w:rsidRDefault="00EC15D5" w:rsidP="008F530D"/>
        </w:tc>
        <w:tc>
          <w:tcPr>
            <w:tcW w:w="2265" w:type="dxa"/>
          </w:tcPr>
          <w:p w14:paraId="13E5593C" w14:textId="77777777" w:rsidR="00EC15D5" w:rsidRDefault="00EC15D5" w:rsidP="008F530D">
            <w:r>
              <w:t>[251-500]</w:t>
            </w:r>
          </w:p>
        </w:tc>
        <w:tc>
          <w:tcPr>
            <w:tcW w:w="2266" w:type="dxa"/>
          </w:tcPr>
          <w:p w14:paraId="609D06A5" w14:textId="77777777" w:rsidR="00EC15D5" w:rsidRDefault="00EC15D5" w:rsidP="008F530D"/>
        </w:tc>
        <w:tc>
          <w:tcPr>
            <w:tcW w:w="2266" w:type="dxa"/>
          </w:tcPr>
          <w:p w14:paraId="0314DC75" w14:textId="77777777" w:rsidR="00EC15D5" w:rsidRDefault="00EC15D5" w:rsidP="008F530D"/>
        </w:tc>
      </w:tr>
      <w:tr w:rsidR="00EC15D5" w14:paraId="0093DA04" w14:textId="77777777" w:rsidTr="008F530D">
        <w:trPr>
          <w:jc w:val="center"/>
        </w:trPr>
        <w:tc>
          <w:tcPr>
            <w:tcW w:w="2265" w:type="dxa"/>
            <w:vMerge/>
            <w:vAlign w:val="center"/>
          </w:tcPr>
          <w:p w14:paraId="6A549BFB" w14:textId="77777777" w:rsidR="00EC15D5" w:rsidRDefault="00EC15D5" w:rsidP="008F530D"/>
        </w:tc>
        <w:tc>
          <w:tcPr>
            <w:tcW w:w="2265" w:type="dxa"/>
          </w:tcPr>
          <w:p w14:paraId="4AF0E3B2" w14:textId="77777777" w:rsidR="00EC15D5" w:rsidRDefault="00EC15D5" w:rsidP="008F530D">
            <w:r>
              <w:t>&gt;500</w:t>
            </w:r>
          </w:p>
        </w:tc>
        <w:tc>
          <w:tcPr>
            <w:tcW w:w="2266" w:type="dxa"/>
          </w:tcPr>
          <w:p w14:paraId="165BF2A4" w14:textId="77777777" w:rsidR="00EC15D5" w:rsidRDefault="00EC15D5" w:rsidP="008F530D"/>
        </w:tc>
        <w:tc>
          <w:tcPr>
            <w:tcW w:w="2266" w:type="dxa"/>
          </w:tcPr>
          <w:p w14:paraId="60784249" w14:textId="77777777" w:rsidR="00EC15D5" w:rsidRDefault="00EC15D5" w:rsidP="008F530D"/>
        </w:tc>
      </w:tr>
      <w:tr w:rsidR="00EC15D5" w14:paraId="606B1F68" w14:textId="77777777" w:rsidTr="008F530D">
        <w:trPr>
          <w:jc w:val="center"/>
        </w:trPr>
        <w:tc>
          <w:tcPr>
            <w:tcW w:w="2265" w:type="dxa"/>
            <w:vMerge w:val="restart"/>
            <w:vAlign w:val="center"/>
          </w:tcPr>
          <w:p w14:paraId="431F89B8" w14:textId="77777777" w:rsidR="00EC15D5" w:rsidRDefault="00EC15D5" w:rsidP="008F530D">
            <w:r>
              <w:t>Non-financial entity</w:t>
            </w:r>
          </w:p>
        </w:tc>
        <w:tc>
          <w:tcPr>
            <w:tcW w:w="2265" w:type="dxa"/>
          </w:tcPr>
          <w:p w14:paraId="2BF32F83" w14:textId="77777777" w:rsidR="00EC15D5" w:rsidRDefault="00EC15D5" w:rsidP="008F530D">
            <w:r>
              <w:t>[1-50]</w:t>
            </w:r>
          </w:p>
        </w:tc>
        <w:tc>
          <w:tcPr>
            <w:tcW w:w="2266" w:type="dxa"/>
          </w:tcPr>
          <w:p w14:paraId="2B728776" w14:textId="77777777" w:rsidR="00EC15D5" w:rsidRDefault="00EC15D5" w:rsidP="008F530D"/>
        </w:tc>
        <w:tc>
          <w:tcPr>
            <w:tcW w:w="2266" w:type="dxa"/>
          </w:tcPr>
          <w:p w14:paraId="63C38FA9" w14:textId="77777777" w:rsidR="00EC15D5" w:rsidRDefault="00EC15D5" w:rsidP="008F530D"/>
        </w:tc>
      </w:tr>
      <w:tr w:rsidR="00EC15D5" w14:paraId="5497FC94" w14:textId="77777777" w:rsidTr="008F530D">
        <w:trPr>
          <w:jc w:val="center"/>
        </w:trPr>
        <w:tc>
          <w:tcPr>
            <w:tcW w:w="2265" w:type="dxa"/>
            <w:vMerge/>
          </w:tcPr>
          <w:p w14:paraId="08A0D0E5" w14:textId="77777777" w:rsidR="00EC15D5" w:rsidRDefault="00EC15D5" w:rsidP="008F530D"/>
        </w:tc>
        <w:tc>
          <w:tcPr>
            <w:tcW w:w="2265" w:type="dxa"/>
          </w:tcPr>
          <w:p w14:paraId="1C7A9B30" w14:textId="77777777" w:rsidR="00EC15D5" w:rsidRDefault="00EC15D5" w:rsidP="008F530D">
            <w:r>
              <w:t>[51-250]</w:t>
            </w:r>
          </w:p>
        </w:tc>
        <w:tc>
          <w:tcPr>
            <w:tcW w:w="2266" w:type="dxa"/>
          </w:tcPr>
          <w:p w14:paraId="26A04A8B" w14:textId="77777777" w:rsidR="00EC15D5" w:rsidRDefault="00EC15D5" w:rsidP="008F530D"/>
        </w:tc>
        <w:tc>
          <w:tcPr>
            <w:tcW w:w="2266" w:type="dxa"/>
          </w:tcPr>
          <w:p w14:paraId="6E58829F" w14:textId="77777777" w:rsidR="00EC15D5" w:rsidRDefault="00EC15D5" w:rsidP="008F530D"/>
        </w:tc>
      </w:tr>
      <w:tr w:rsidR="00EC15D5" w14:paraId="77387BBF" w14:textId="77777777" w:rsidTr="008F530D">
        <w:trPr>
          <w:jc w:val="center"/>
        </w:trPr>
        <w:tc>
          <w:tcPr>
            <w:tcW w:w="2265" w:type="dxa"/>
            <w:vMerge/>
          </w:tcPr>
          <w:p w14:paraId="65C1AC7B" w14:textId="77777777" w:rsidR="00EC15D5" w:rsidRDefault="00EC15D5" w:rsidP="008F530D"/>
        </w:tc>
        <w:tc>
          <w:tcPr>
            <w:tcW w:w="2265" w:type="dxa"/>
          </w:tcPr>
          <w:p w14:paraId="5202C80B" w14:textId="77777777" w:rsidR="00EC15D5" w:rsidRDefault="00EC15D5" w:rsidP="008F530D">
            <w:r>
              <w:t>[251-500]</w:t>
            </w:r>
          </w:p>
        </w:tc>
        <w:tc>
          <w:tcPr>
            <w:tcW w:w="2266" w:type="dxa"/>
          </w:tcPr>
          <w:p w14:paraId="4FC13446" w14:textId="77777777" w:rsidR="00EC15D5" w:rsidRDefault="00EC15D5" w:rsidP="008F530D"/>
        </w:tc>
        <w:tc>
          <w:tcPr>
            <w:tcW w:w="2266" w:type="dxa"/>
          </w:tcPr>
          <w:p w14:paraId="41FF38F2" w14:textId="77777777" w:rsidR="00EC15D5" w:rsidRDefault="00EC15D5" w:rsidP="008F530D"/>
        </w:tc>
      </w:tr>
      <w:tr w:rsidR="00EC15D5" w14:paraId="63D63D99" w14:textId="77777777" w:rsidTr="008F530D">
        <w:trPr>
          <w:jc w:val="center"/>
        </w:trPr>
        <w:tc>
          <w:tcPr>
            <w:tcW w:w="2265" w:type="dxa"/>
            <w:vMerge/>
          </w:tcPr>
          <w:p w14:paraId="4CF03470" w14:textId="77777777" w:rsidR="00EC15D5" w:rsidRDefault="00EC15D5" w:rsidP="008F530D"/>
        </w:tc>
        <w:tc>
          <w:tcPr>
            <w:tcW w:w="2265" w:type="dxa"/>
          </w:tcPr>
          <w:p w14:paraId="361895D0" w14:textId="77777777" w:rsidR="00EC15D5" w:rsidRDefault="00EC15D5" w:rsidP="008F530D">
            <w:r>
              <w:t>&gt;500</w:t>
            </w:r>
          </w:p>
        </w:tc>
        <w:tc>
          <w:tcPr>
            <w:tcW w:w="2266" w:type="dxa"/>
          </w:tcPr>
          <w:p w14:paraId="68382055" w14:textId="77777777" w:rsidR="00EC15D5" w:rsidRDefault="00EC15D5" w:rsidP="008F530D"/>
        </w:tc>
        <w:tc>
          <w:tcPr>
            <w:tcW w:w="2266" w:type="dxa"/>
          </w:tcPr>
          <w:p w14:paraId="4C3D3991" w14:textId="77777777" w:rsidR="00EC15D5" w:rsidRDefault="00EC15D5" w:rsidP="008F530D"/>
        </w:tc>
      </w:tr>
    </w:tbl>
    <w:p w14:paraId="5F7F2B7B" w14:textId="77777777" w:rsidR="00EC15D5" w:rsidRPr="00EC15D5" w:rsidRDefault="00EC15D5" w:rsidP="00EC15D5">
      <w:pPr>
        <w:rPr>
          <w:rFonts w:ascii="Arial" w:hAnsi="Arial" w:cs="Arial"/>
        </w:rPr>
      </w:pPr>
    </w:p>
    <w:permEnd w:id="1900831222"/>
    <w:p w14:paraId="547546FD" w14:textId="07E2E738" w:rsidR="00EC15D5" w:rsidRPr="00EC15D5" w:rsidRDefault="00EC15D5" w:rsidP="00EC15D5">
      <w:pPr>
        <w:rPr>
          <w:rFonts w:ascii="Arial" w:hAnsi="Arial" w:cs="Arial"/>
        </w:rPr>
      </w:pPr>
      <w:r w:rsidRPr="00EC15D5">
        <w:rPr>
          <w:rFonts w:ascii="Arial" w:hAnsi="Arial" w:cs="Arial"/>
        </w:rPr>
        <w:t>&lt;ESMA_QUESTION_CD_</w:t>
      </w:r>
      <w:r>
        <w:rPr>
          <w:rFonts w:ascii="Arial" w:hAnsi="Arial" w:cs="Arial"/>
        </w:rPr>
        <w:t>21</w:t>
      </w:r>
      <w:r w:rsidRPr="00EC15D5">
        <w:rPr>
          <w:rFonts w:ascii="Arial" w:hAnsi="Arial" w:cs="Arial"/>
        </w:rPr>
        <w:t>&gt;</w:t>
      </w:r>
    </w:p>
    <w:p w14:paraId="665B536F" w14:textId="570F137E" w:rsidR="00EC15D5" w:rsidRDefault="00EC15D5" w:rsidP="00EC15D5"/>
    <w:p w14:paraId="786BB09F" w14:textId="5663BA86" w:rsidR="00EC15D5" w:rsidRDefault="00EC15D5" w:rsidP="00EC15D5"/>
    <w:p w14:paraId="68D7178E" w14:textId="1E25AFB2" w:rsidR="00EC15D5" w:rsidRDefault="00EC15D5" w:rsidP="00EC15D5">
      <w:pPr>
        <w:pStyle w:val="Questionstyle"/>
        <w:numPr>
          <w:ilvl w:val="0"/>
          <w:numId w:val="0"/>
        </w:numPr>
        <w:spacing w:after="250" w:line="276" w:lineRule="auto"/>
        <w:ind w:left="360"/>
      </w:pPr>
      <w:r w:rsidRPr="00EC15D5">
        <w:rPr>
          <w:b/>
          <w:bCs/>
        </w:rPr>
        <w:t>CBA Q</w:t>
      </w:r>
      <w:r>
        <w:rPr>
          <w:b/>
          <w:bCs/>
        </w:rPr>
        <w:t>2</w:t>
      </w:r>
      <w:r>
        <w:t xml:space="preserve">: </w:t>
      </w:r>
      <w:r w:rsidRPr="00EC15D5">
        <w:t>for Financial entities: Do you intend to apply for an exemption for risk-reducing positions related to the commercial activities of the commercial entity of the group? What percentage of your positions do these risk-reducing positions account for?</w:t>
      </w:r>
    </w:p>
    <w:p w14:paraId="1EAF88B7" w14:textId="3CC474FF" w:rsidR="00EC15D5" w:rsidRPr="00EC15D5" w:rsidRDefault="00EC15D5" w:rsidP="00EC15D5">
      <w:pPr>
        <w:rPr>
          <w:rFonts w:ascii="Arial" w:hAnsi="Arial" w:cs="Arial"/>
        </w:rPr>
      </w:pPr>
      <w:r w:rsidRPr="00EC15D5">
        <w:rPr>
          <w:rFonts w:ascii="Arial" w:hAnsi="Arial" w:cs="Arial"/>
        </w:rPr>
        <w:lastRenderedPageBreak/>
        <w:t>&lt;ESMA_QUESTION_CD_</w:t>
      </w:r>
      <w:r>
        <w:rPr>
          <w:rFonts w:ascii="Arial" w:hAnsi="Arial" w:cs="Arial"/>
        </w:rPr>
        <w:t>22</w:t>
      </w:r>
      <w:r w:rsidRPr="00EC15D5">
        <w:rPr>
          <w:rFonts w:ascii="Arial" w:hAnsi="Arial" w:cs="Arial"/>
        </w:rPr>
        <w:t>&gt;</w:t>
      </w:r>
    </w:p>
    <w:p w14:paraId="4F1C9E0F" w14:textId="77777777" w:rsidR="00EC15D5" w:rsidRPr="00EC15D5" w:rsidRDefault="00EC15D5" w:rsidP="00EC15D5">
      <w:pPr>
        <w:rPr>
          <w:rFonts w:ascii="Arial" w:hAnsi="Arial" w:cs="Arial"/>
        </w:rPr>
      </w:pPr>
      <w:permStart w:id="476319685" w:edGrp="everyone"/>
      <w:r w:rsidRPr="00EC15D5">
        <w:rPr>
          <w:rFonts w:ascii="Arial" w:hAnsi="Arial" w:cs="Arial"/>
        </w:rPr>
        <w:t>TYPE YOUR TEXT HERE</w:t>
      </w:r>
    </w:p>
    <w:permEnd w:id="476319685"/>
    <w:p w14:paraId="17E88D87" w14:textId="5C2B86C9" w:rsidR="00EC15D5" w:rsidRPr="00EC15D5" w:rsidRDefault="00EC15D5" w:rsidP="00EC15D5">
      <w:pPr>
        <w:rPr>
          <w:rFonts w:ascii="Arial" w:hAnsi="Arial" w:cs="Arial"/>
        </w:rPr>
      </w:pPr>
      <w:r w:rsidRPr="00EC15D5">
        <w:rPr>
          <w:rFonts w:ascii="Arial" w:hAnsi="Arial" w:cs="Arial"/>
        </w:rPr>
        <w:t>&lt;ESMA_QUESTION_CD_</w:t>
      </w:r>
      <w:r>
        <w:rPr>
          <w:rFonts w:ascii="Arial" w:hAnsi="Arial" w:cs="Arial"/>
        </w:rPr>
        <w:t>22</w:t>
      </w:r>
      <w:r w:rsidRPr="00EC15D5">
        <w:rPr>
          <w:rFonts w:ascii="Arial" w:hAnsi="Arial" w:cs="Arial"/>
        </w:rPr>
        <w:t>&gt;</w:t>
      </w:r>
    </w:p>
    <w:p w14:paraId="4AF77CC6" w14:textId="36752559" w:rsidR="00EC15D5" w:rsidRDefault="00EC15D5" w:rsidP="00EC15D5"/>
    <w:p w14:paraId="209E6A05" w14:textId="5E82A89F" w:rsidR="00EC15D5" w:rsidRDefault="00EC15D5" w:rsidP="00EC15D5">
      <w:pPr>
        <w:pStyle w:val="Questionstyle"/>
        <w:numPr>
          <w:ilvl w:val="0"/>
          <w:numId w:val="0"/>
        </w:numPr>
        <w:spacing w:after="250" w:line="276" w:lineRule="auto"/>
        <w:ind w:left="720" w:hanging="360"/>
      </w:pPr>
      <w:r w:rsidRPr="00EC15D5">
        <w:rPr>
          <w:b/>
          <w:bCs/>
        </w:rPr>
        <w:t>CBA Q</w:t>
      </w:r>
      <w:r>
        <w:rPr>
          <w:b/>
          <w:bCs/>
        </w:rPr>
        <w:t>3</w:t>
      </w:r>
      <w:r>
        <w:t xml:space="preserve">: </w:t>
      </w:r>
      <w:r w:rsidRPr="00EC15D5">
        <w:t>Do you intend to apply for an exemption for positions resulting from transactions undertaken to fulfil mandatory liquidity provision? What percentage of your positions do these positions account for?</w:t>
      </w:r>
    </w:p>
    <w:p w14:paraId="785603E6" w14:textId="42E12AEC" w:rsidR="00EC15D5" w:rsidRPr="00EC15D5" w:rsidRDefault="00EC15D5" w:rsidP="00EC15D5">
      <w:pPr>
        <w:rPr>
          <w:rFonts w:ascii="Arial" w:hAnsi="Arial" w:cs="Arial"/>
        </w:rPr>
      </w:pPr>
      <w:r w:rsidRPr="00EC15D5">
        <w:rPr>
          <w:rFonts w:ascii="Arial" w:hAnsi="Arial" w:cs="Arial"/>
        </w:rPr>
        <w:t>&lt;ESMA_QUESTION_CD_</w:t>
      </w:r>
      <w:r>
        <w:rPr>
          <w:rFonts w:ascii="Arial" w:hAnsi="Arial" w:cs="Arial"/>
        </w:rPr>
        <w:t>23</w:t>
      </w:r>
      <w:r w:rsidRPr="00EC15D5">
        <w:rPr>
          <w:rFonts w:ascii="Arial" w:hAnsi="Arial" w:cs="Arial"/>
        </w:rPr>
        <w:t>&gt;</w:t>
      </w:r>
    </w:p>
    <w:p w14:paraId="16E096B4" w14:textId="77777777" w:rsidR="00EC15D5" w:rsidRPr="00EC15D5" w:rsidRDefault="00EC15D5" w:rsidP="00EC15D5">
      <w:pPr>
        <w:rPr>
          <w:rFonts w:ascii="Arial" w:hAnsi="Arial" w:cs="Arial"/>
        </w:rPr>
      </w:pPr>
      <w:permStart w:id="237008053" w:edGrp="everyone"/>
      <w:r w:rsidRPr="00EC15D5">
        <w:rPr>
          <w:rFonts w:ascii="Arial" w:hAnsi="Arial" w:cs="Arial"/>
        </w:rPr>
        <w:t>TYPE YOUR TEXT HERE</w:t>
      </w:r>
    </w:p>
    <w:permEnd w:id="237008053"/>
    <w:p w14:paraId="41022C84" w14:textId="379A19B7" w:rsidR="00EC15D5" w:rsidRPr="00EC15D5" w:rsidRDefault="00EC15D5" w:rsidP="00EC15D5">
      <w:pPr>
        <w:rPr>
          <w:rFonts w:ascii="Arial" w:hAnsi="Arial" w:cs="Arial"/>
        </w:rPr>
      </w:pPr>
      <w:r w:rsidRPr="00EC15D5">
        <w:rPr>
          <w:rFonts w:ascii="Arial" w:hAnsi="Arial" w:cs="Arial"/>
        </w:rPr>
        <w:t>&lt;ESMA_QUESTION_CD_</w:t>
      </w:r>
      <w:r>
        <w:rPr>
          <w:rFonts w:ascii="Arial" w:hAnsi="Arial" w:cs="Arial"/>
        </w:rPr>
        <w:t>23</w:t>
      </w:r>
      <w:r w:rsidRPr="00EC15D5">
        <w:rPr>
          <w:rFonts w:ascii="Arial" w:hAnsi="Arial" w:cs="Arial"/>
        </w:rPr>
        <w:t>&gt;</w:t>
      </w:r>
    </w:p>
    <w:p w14:paraId="47268C0B" w14:textId="7B8A9345" w:rsidR="00EC15D5" w:rsidRDefault="00EC15D5" w:rsidP="00EC15D5"/>
    <w:p w14:paraId="056A7946" w14:textId="6E9BBD5C" w:rsidR="00EC15D5" w:rsidRDefault="00833000" w:rsidP="00833000">
      <w:pPr>
        <w:pStyle w:val="Questionstyle"/>
        <w:numPr>
          <w:ilvl w:val="0"/>
          <w:numId w:val="0"/>
        </w:numPr>
        <w:spacing w:after="250" w:line="276" w:lineRule="auto"/>
        <w:ind w:left="360"/>
      </w:pPr>
      <w:r w:rsidRPr="00EC15D5">
        <w:rPr>
          <w:b/>
          <w:bCs/>
        </w:rPr>
        <w:t>CBA Q</w:t>
      </w:r>
      <w:r>
        <w:rPr>
          <w:b/>
          <w:bCs/>
        </w:rPr>
        <w:t>4</w:t>
      </w:r>
      <w:r w:rsidR="00EC15D5">
        <w:t xml:space="preserve">: </w:t>
      </w:r>
      <w:r w:rsidRPr="00833000">
        <w:t>Is there any specific provision in draft RTS 21a that you would expect to be a source of significant cost? If so, please elaborate.</w:t>
      </w:r>
    </w:p>
    <w:p w14:paraId="60BB1C2A" w14:textId="2768F55E" w:rsidR="00EC15D5" w:rsidRPr="00EC15D5" w:rsidRDefault="00EC15D5" w:rsidP="00EC15D5">
      <w:pPr>
        <w:rPr>
          <w:rFonts w:ascii="Arial" w:hAnsi="Arial" w:cs="Arial"/>
        </w:rPr>
      </w:pPr>
      <w:r w:rsidRPr="00EC15D5">
        <w:rPr>
          <w:rFonts w:ascii="Arial" w:hAnsi="Arial" w:cs="Arial"/>
        </w:rPr>
        <w:t>&lt;ESMA_QUESTION_CD_</w:t>
      </w:r>
      <w:r>
        <w:rPr>
          <w:rFonts w:ascii="Arial" w:hAnsi="Arial" w:cs="Arial"/>
        </w:rPr>
        <w:t>2</w:t>
      </w:r>
      <w:r w:rsidR="00833000">
        <w:rPr>
          <w:rFonts w:ascii="Arial" w:hAnsi="Arial" w:cs="Arial"/>
        </w:rPr>
        <w:t>4</w:t>
      </w:r>
      <w:r w:rsidRPr="00EC15D5">
        <w:rPr>
          <w:rFonts w:ascii="Arial" w:hAnsi="Arial" w:cs="Arial"/>
        </w:rPr>
        <w:t>&gt;</w:t>
      </w:r>
    </w:p>
    <w:p w14:paraId="053457C5" w14:textId="77777777" w:rsidR="00EC15D5" w:rsidRPr="00EC15D5" w:rsidRDefault="00EC15D5" w:rsidP="00EC15D5">
      <w:pPr>
        <w:rPr>
          <w:rFonts w:ascii="Arial" w:hAnsi="Arial" w:cs="Arial"/>
        </w:rPr>
      </w:pPr>
      <w:permStart w:id="91757252" w:edGrp="everyone"/>
      <w:r w:rsidRPr="00EC15D5">
        <w:rPr>
          <w:rFonts w:ascii="Arial" w:hAnsi="Arial" w:cs="Arial"/>
        </w:rPr>
        <w:t>TYPE YOUR TEXT HERE</w:t>
      </w:r>
    </w:p>
    <w:permEnd w:id="91757252"/>
    <w:p w14:paraId="4417D23E" w14:textId="27D6C419" w:rsidR="00EC15D5" w:rsidRPr="00EC15D5" w:rsidRDefault="00EC15D5" w:rsidP="00EC15D5">
      <w:pPr>
        <w:rPr>
          <w:rFonts w:ascii="Arial" w:hAnsi="Arial" w:cs="Arial"/>
        </w:rPr>
      </w:pPr>
      <w:r w:rsidRPr="00EC15D5">
        <w:rPr>
          <w:rFonts w:ascii="Arial" w:hAnsi="Arial" w:cs="Arial"/>
        </w:rPr>
        <w:t>&lt;ESMA_QUESTION_CD_</w:t>
      </w:r>
      <w:r>
        <w:rPr>
          <w:rFonts w:ascii="Arial" w:hAnsi="Arial" w:cs="Arial"/>
        </w:rPr>
        <w:t>2</w:t>
      </w:r>
      <w:r w:rsidR="00833000">
        <w:rPr>
          <w:rFonts w:ascii="Arial" w:hAnsi="Arial" w:cs="Arial"/>
        </w:rPr>
        <w:t>4</w:t>
      </w:r>
      <w:r w:rsidRPr="00EC15D5">
        <w:rPr>
          <w:rFonts w:ascii="Arial" w:hAnsi="Arial" w:cs="Arial"/>
        </w:rPr>
        <w:t>&gt;</w:t>
      </w:r>
    </w:p>
    <w:p w14:paraId="0E40BAAD" w14:textId="77777777" w:rsidR="00EC15D5" w:rsidRDefault="00EC15D5" w:rsidP="00EC15D5"/>
    <w:p w14:paraId="3629423B" w14:textId="1744D40F" w:rsidR="00EC15D5" w:rsidRDefault="00833000" w:rsidP="00833000">
      <w:pPr>
        <w:pStyle w:val="Questionstyle"/>
        <w:numPr>
          <w:ilvl w:val="0"/>
          <w:numId w:val="0"/>
        </w:numPr>
        <w:spacing w:after="250" w:line="276" w:lineRule="auto"/>
        <w:ind w:left="360"/>
      </w:pPr>
      <w:r w:rsidRPr="00EC15D5">
        <w:rPr>
          <w:b/>
          <w:bCs/>
        </w:rPr>
        <w:t>CBA Q</w:t>
      </w:r>
      <w:r>
        <w:rPr>
          <w:b/>
          <w:bCs/>
        </w:rPr>
        <w:t>5</w:t>
      </w:r>
      <w:r w:rsidR="00EC15D5">
        <w:t xml:space="preserve">: </w:t>
      </w:r>
      <w:r w:rsidRPr="00833000">
        <w:t>Taking into account the size of your firm, would you qualify overall compliance costs with draft RTS 21a as low, medium or high?</w:t>
      </w:r>
    </w:p>
    <w:p w14:paraId="67DEAFC4" w14:textId="78B6BB6E" w:rsidR="00EC15D5" w:rsidRPr="00EC15D5" w:rsidRDefault="00EC15D5" w:rsidP="00EC15D5">
      <w:pPr>
        <w:rPr>
          <w:rFonts w:ascii="Arial" w:hAnsi="Arial" w:cs="Arial"/>
        </w:rPr>
      </w:pPr>
      <w:r w:rsidRPr="00EC15D5">
        <w:rPr>
          <w:rFonts w:ascii="Arial" w:hAnsi="Arial" w:cs="Arial"/>
        </w:rPr>
        <w:t>&lt;ESMA_QUESTION_CD_</w:t>
      </w:r>
      <w:r>
        <w:rPr>
          <w:rFonts w:ascii="Arial" w:hAnsi="Arial" w:cs="Arial"/>
        </w:rPr>
        <w:t>2</w:t>
      </w:r>
      <w:r w:rsidR="00833000">
        <w:rPr>
          <w:rFonts w:ascii="Arial" w:hAnsi="Arial" w:cs="Arial"/>
        </w:rPr>
        <w:t>5</w:t>
      </w:r>
      <w:r w:rsidRPr="00EC15D5">
        <w:rPr>
          <w:rFonts w:ascii="Arial" w:hAnsi="Arial" w:cs="Arial"/>
        </w:rPr>
        <w:t>&gt;</w:t>
      </w:r>
    </w:p>
    <w:p w14:paraId="6509E657" w14:textId="77777777" w:rsidR="00EC15D5" w:rsidRPr="00EC15D5" w:rsidRDefault="00EC15D5" w:rsidP="00EC15D5">
      <w:pPr>
        <w:rPr>
          <w:rFonts w:ascii="Arial" w:hAnsi="Arial" w:cs="Arial"/>
        </w:rPr>
      </w:pPr>
      <w:permStart w:id="1524712210" w:edGrp="everyone"/>
      <w:r w:rsidRPr="00EC15D5">
        <w:rPr>
          <w:rFonts w:ascii="Arial" w:hAnsi="Arial" w:cs="Arial"/>
        </w:rPr>
        <w:t>TYPE YOUR TEXT HERE</w:t>
      </w:r>
    </w:p>
    <w:permEnd w:id="1524712210"/>
    <w:p w14:paraId="47D68646" w14:textId="0A7C7337" w:rsidR="00EC15D5" w:rsidRPr="00EC15D5" w:rsidRDefault="00EC15D5" w:rsidP="00EC15D5">
      <w:pPr>
        <w:rPr>
          <w:rFonts w:ascii="Arial" w:hAnsi="Arial" w:cs="Arial"/>
        </w:rPr>
      </w:pPr>
      <w:r w:rsidRPr="00EC15D5">
        <w:rPr>
          <w:rFonts w:ascii="Arial" w:hAnsi="Arial" w:cs="Arial"/>
        </w:rPr>
        <w:t>&lt;ESMA_QUESTION_CD_</w:t>
      </w:r>
      <w:r>
        <w:rPr>
          <w:rFonts w:ascii="Arial" w:hAnsi="Arial" w:cs="Arial"/>
        </w:rPr>
        <w:t>2</w:t>
      </w:r>
      <w:r w:rsidR="00833000">
        <w:rPr>
          <w:rFonts w:ascii="Arial" w:hAnsi="Arial" w:cs="Arial"/>
        </w:rPr>
        <w:t>5</w:t>
      </w:r>
      <w:r w:rsidRPr="00EC15D5">
        <w:rPr>
          <w:rFonts w:ascii="Arial" w:hAnsi="Arial" w:cs="Arial"/>
        </w:rPr>
        <w:t>&gt;</w:t>
      </w:r>
    </w:p>
    <w:p w14:paraId="1BDA3D00" w14:textId="7F8D5302" w:rsidR="00EC15D5" w:rsidRDefault="00EC15D5" w:rsidP="00EC15D5"/>
    <w:p w14:paraId="3DAF850B" w14:textId="2CA4D48C" w:rsidR="00EC15D5" w:rsidRDefault="00833000" w:rsidP="00833000">
      <w:pPr>
        <w:pStyle w:val="Questionstyle"/>
        <w:numPr>
          <w:ilvl w:val="0"/>
          <w:numId w:val="0"/>
        </w:numPr>
        <w:spacing w:after="250" w:line="276" w:lineRule="auto"/>
        <w:ind w:left="720" w:hanging="360"/>
      </w:pPr>
      <w:r w:rsidRPr="00EC15D5">
        <w:rPr>
          <w:b/>
          <w:bCs/>
        </w:rPr>
        <w:t>CBA Q</w:t>
      </w:r>
      <w:r>
        <w:rPr>
          <w:b/>
          <w:bCs/>
        </w:rPr>
        <w:t>6</w:t>
      </w:r>
      <w:r w:rsidR="00EC15D5">
        <w:t xml:space="preserve">: </w:t>
      </w:r>
      <w:r w:rsidRPr="00833000">
        <w:t>Is there any specific provision in the draft RTS on position management controls that you would expect to be a source of significant cost? If so, please elaborate.</w:t>
      </w:r>
    </w:p>
    <w:p w14:paraId="118FD0B0" w14:textId="7656DB19" w:rsidR="00EC15D5" w:rsidRPr="00EC15D5" w:rsidRDefault="00EC15D5" w:rsidP="00EC15D5">
      <w:pPr>
        <w:rPr>
          <w:rFonts w:ascii="Arial" w:hAnsi="Arial" w:cs="Arial"/>
        </w:rPr>
      </w:pPr>
      <w:r w:rsidRPr="00EC15D5">
        <w:rPr>
          <w:rFonts w:ascii="Arial" w:hAnsi="Arial" w:cs="Arial"/>
        </w:rPr>
        <w:t>&lt;ESMA_QUESTION_CD_</w:t>
      </w:r>
      <w:r>
        <w:rPr>
          <w:rFonts w:ascii="Arial" w:hAnsi="Arial" w:cs="Arial"/>
        </w:rPr>
        <w:t>2</w:t>
      </w:r>
      <w:r w:rsidR="00833000">
        <w:rPr>
          <w:rFonts w:ascii="Arial" w:hAnsi="Arial" w:cs="Arial"/>
        </w:rPr>
        <w:t>6</w:t>
      </w:r>
      <w:r w:rsidRPr="00EC15D5">
        <w:rPr>
          <w:rFonts w:ascii="Arial" w:hAnsi="Arial" w:cs="Arial"/>
        </w:rPr>
        <w:t>&gt;</w:t>
      </w:r>
    </w:p>
    <w:p w14:paraId="6313A49A" w14:textId="149CE8DC" w:rsidR="00F17BE6" w:rsidRDefault="00F17BE6" w:rsidP="00F17BE6">
      <w:pPr>
        <w:spacing w:after="120"/>
      </w:pPr>
      <w:permStart w:id="448079908" w:edGrp="everyone"/>
      <w:r>
        <w:t>The introduction of “persons with close links” and obligations for market surveillance units suggested in</w:t>
      </w:r>
      <w:r w:rsidR="00DA7748">
        <w:t xml:space="preserve"> </w:t>
      </w:r>
      <w:r>
        <w:t>Article 2 of the proposed RTS 21a would likely lead to significantly increased costs for trading venues</w:t>
      </w:r>
      <w:r w:rsidR="00DA7748">
        <w:t xml:space="preserve"> and</w:t>
      </w:r>
      <w:r>
        <w:t xml:space="preserve"> market participants.</w:t>
      </w:r>
    </w:p>
    <w:p w14:paraId="5545B3AC" w14:textId="1A1A7C6E" w:rsidR="00EC15D5" w:rsidRPr="00EC15D5" w:rsidRDefault="00F17BE6" w:rsidP="00F17BE6">
      <w:pPr>
        <w:rPr>
          <w:rFonts w:ascii="Arial" w:hAnsi="Arial" w:cs="Arial"/>
        </w:rPr>
      </w:pPr>
      <w:r>
        <w:t>We therefore recommend that ESMA amends the draft RTS according to our responses to Q16-Q18. Through these amendments one would avoid unnecessary enquires from trading venues to market participants. Yet trading venues will be able to operate efficient and effective position management controls. Should these obligations remain, the abovementioned stakeholders would likely be forced to increase their staffing to perform a task with no benefit for the market or relevant stakeholders.</w:t>
      </w:r>
    </w:p>
    <w:permEnd w:id="448079908"/>
    <w:p w14:paraId="6E0AAF1D" w14:textId="57F59FE5" w:rsidR="00EC15D5" w:rsidRPr="00EC15D5" w:rsidRDefault="00EC15D5" w:rsidP="00EC15D5">
      <w:pPr>
        <w:rPr>
          <w:rFonts w:ascii="Arial" w:hAnsi="Arial" w:cs="Arial"/>
        </w:rPr>
      </w:pPr>
      <w:r w:rsidRPr="00EC15D5">
        <w:rPr>
          <w:rFonts w:ascii="Arial" w:hAnsi="Arial" w:cs="Arial"/>
        </w:rPr>
        <w:t>&lt;ESMA_QUESTION_CD_</w:t>
      </w:r>
      <w:r>
        <w:rPr>
          <w:rFonts w:ascii="Arial" w:hAnsi="Arial" w:cs="Arial"/>
        </w:rPr>
        <w:t>2</w:t>
      </w:r>
      <w:r w:rsidR="00833000">
        <w:rPr>
          <w:rFonts w:ascii="Arial" w:hAnsi="Arial" w:cs="Arial"/>
        </w:rPr>
        <w:t>6</w:t>
      </w:r>
      <w:r w:rsidRPr="00EC15D5">
        <w:rPr>
          <w:rFonts w:ascii="Arial" w:hAnsi="Arial" w:cs="Arial"/>
        </w:rPr>
        <w:t>&gt;</w:t>
      </w:r>
    </w:p>
    <w:p w14:paraId="6BB66371" w14:textId="1437F4BC" w:rsidR="00EC15D5" w:rsidRDefault="00EC15D5" w:rsidP="00EC15D5"/>
    <w:p w14:paraId="75BC0E5D" w14:textId="109BB750" w:rsidR="00EC15D5" w:rsidRDefault="00833000" w:rsidP="00833000">
      <w:pPr>
        <w:pStyle w:val="Questionstyle"/>
        <w:numPr>
          <w:ilvl w:val="0"/>
          <w:numId w:val="0"/>
        </w:numPr>
        <w:spacing w:after="250" w:line="276" w:lineRule="auto"/>
        <w:ind w:left="720" w:hanging="360"/>
      </w:pPr>
      <w:r w:rsidRPr="00EC15D5">
        <w:rPr>
          <w:b/>
          <w:bCs/>
        </w:rPr>
        <w:t>CBA Q</w:t>
      </w:r>
      <w:r>
        <w:rPr>
          <w:b/>
          <w:bCs/>
        </w:rPr>
        <w:t>7</w:t>
      </w:r>
      <w:r w:rsidR="00EC15D5">
        <w:t xml:space="preserve">: </w:t>
      </w:r>
      <w:r w:rsidRPr="00833000">
        <w:t>Taking into account the size of your firm, would you qualify overall compliance costs with amended the draft RTS on position management controls as low, medium or high?</w:t>
      </w:r>
    </w:p>
    <w:p w14:paraId="4A7FEA57" w14:textId="02A17CA7" w:rsidR="00EC15D5" w:rsidRPr="00EC15D5" w:rsidRDefault="00EC15D5" w:rsidP="00EC15D5">
      <w:pPr>
        <w:rPr>
          <w:rFonts w:ascii="Arial" w:hAnsi="Arial" w:cs="Arial"/>
        </w:rPr>
      </w:pPr>
      <w:r w:rsidRPr="00EC15D5">
        <w:rPr>
          <w:rFonts w:ascii="Arial" w:hAnsi="Arial" w:cs="Arial"/>
        </w:rPr>
        <w:t>&lt;ESMA_QUESTION_CD_</w:t>
      </w:r>
      <w:r>
        <w:rPr>
          <w:rFonts w:ascii="Arial" w:hAnsi="Arial" w:cs="Arial"/>
        </w:rPr>
        <w:t>2</w:t>
      </w:r>
      <w:r w:rsidR="00833000">
        <w:rPr>
          <w:rFonts w:ascii="Arial" w:hAnsi="Arial" w:cs="Arial"/>
        </w:rPr>
        <w:t>7</w:t>
      </w:r>
      <w:r w:rsidRPr="00EC15D5">
        <w:rPr>
          <w:rFonts w:ascii="Arial" w:hAnsi="Arial" w:cs="Arial"/>
        </w:rPr>
        <w:t>&gt;</w:t>
      </w:r>
    </w:p>
    <w:p w14:paraId="284DDC74" w14:textId="77777777" w:rsidR="00EC15D5" w:rsidRPr="00EC15D5" w:rsidRDefault="00EC15D5" w:rsidP="00EC15D5">
      <w:pPr>
        <w:rPr>
          <w:rFonts w:ascii="Arial" w:hAnsi="Arial" w:cs="Arial"/>
        </w:rPr>
      </w:pPr>
      <w:permStart w:id="1125347083" w:edGrp="everyone"/>
      <w:r w:rsidRPr="00EC15D5">
        <w:rPr>
          <w:rFonts w:ascii="Arial" w:hAnsi="Arial" w:cs="Arial"/>
        </w:rPr>
        <w:t>TYPE YOUR TEXT HERE</w:t>
      </w:r>
    </w:p>
    <w:permEnd w:id="1125347083"/>
    <w:p w14:paraId="4E0F279B" w14:textId="5D0A1E83" w:rsidR="00EC15D5" w:rsidRPr="00EC15D5" w:rsidRDefault="00EC15D5" w:rsidP="00EC15D5">
      <w:pPr>
        <w:rPr>
          <w:rFonts w:ascii="Arial" w:hAnsi="Arial" w:cs="Arial"/>
        </w:rPr>
      </w:pPr>
      <w:r w:rsidRPr="00EC15D5">
        <w:rPr>
          <w:rFonts w:ascii="Arial" w:hAnsi="Arial" w:cs="Arial"/>
        </w:rPr>
        <w:t>&lt;ESMA_QUESTION_CD_</w:t>
      </w:r>
      <w:r>
        <w:rPr>
          <w:rFonts w:ascii="Arial" w:hAnsi="Arial" w:cs="Arial"/>
        </w:rPr>
        <w:t>2</w:t>
      </w:r>
      <w:r w:rsidR="00833000">
        <w:rPr>
          <w:rFonts w:ascii="Arial" w:hAnsi="Arial" w:cs="Arial"/>
        </w:rPr>
        <w:t>7</w:t>
      </w:r>
      <w:r w:rsidRPr="00EC15D5">
        <w:rPr>
          <w:rFonts w:ascii="Arial" w:hAnsi="Arial" w:cs="Arial"/>
        </w:rPr>
        <w:t>&gt;</w:t>
      </w:r>
    </w:p>
    <w:p w14:paraId="41B4893E" w14:textId="17897BA7" w:rsidR="00EC15D5" w:rsidRDefault="00EC15D5" w:rsidP="00EC15D5"/>
    <w:p w14:paraId="105968D9" w14:textId="77777777" w:rsidR="00EC15D5" w:rsidRDefault="00EC15D5" w:rsidP="00EC15D5"/>
    <w:p w14:paraId="522F804D" w14:textId="77777777" w:rsidR="00EC15D5" w:rsidRPr="00EC15D5" w:rsidRDefault="00EC15D5" w:rsidP="00EC15D5"/>
    <w:p w14:paraId="31F640C7" w14:textId="77777777" w:rsidR="002156A3" w:rsidRPr="00EC15D5" w:rsidRDefault="002156A3" w:rsidP="00EC15D5">
      <w:pPr>
        <w:pStyle w:val="Questionstyle"/>
        <w:numPr>
          <w:ilvl w:val="0"/>
          <w:numId w:val="0"/>
        </w:numPr>
        <w:spacing w:after="250" w:line="276" w:lineRule="auto"/>
        <w:ind w:left="720" w:hanging="360"/>
      </w:pPr>
    </w:p>
    <w:bookmarkEnd w:id="0"/>
    <w:p w14:paraId="0FF02D24" w14:textId="77777777" w:rsidR="002156A3" w:rsidRDefault="002156A3" w:rsidP="00C1698A">
      <w:pPr>
        <w:spacing w:line="276" w:lineRule="auto"/>
        <w:rPr>
          <w:rFonts w:asciiTheme="minorHAnsi" w:hAnsiTheme="minorHAnsi" w:cstheme="minorHAnsi"/>
          <w:b/>
          <w:sz w:val="28"/>
          <w:szCs w:val="28"/>
        </w:rPr>
      </w:pPr>
    </w:p>
    <w:sectPr w:rsidR="002156A3" w:rsidSect="00C85C8B">
      <w:headerReference w:type="default" r:id="rId22"/>
      <w:footerReference w:type="default" r:id="rId2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9ECFFC" w14:textId="77777777" w:rsidR="00282B3A" w:rsidRDefault="00282B3A" w:rsidP="007E7997">
      <w:r>
        <w:separator/>
      </w:r>
    </w:p>
  </w:endnote>
  <w:endnote w:type="continuationSeparator" w:id="0">
    <w:p w14:paraId="5955CBDE" w14:textId="77777777" w:rsidR="00282B3A" w:rsidRDefault="00282B3A" w:rsidP="007E7997">
      <w:r>
        <w:continuationSeparator/>
      </w:r>
    </w:p>
  </w:endnote>
  <w:endnote w:type="continuationNotice" w:id="1">
    <w:p w14:paraId="44C927FC" w14:textId="77777777" w:rsidR="00282B3A" w:rsidRDefault="00282B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3ED40" w14:textId="77777777" w:rsidR="006B1BD2" w:rsidRDefault="006B1B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F3915" w14:textId="10BE29B0"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5B467C">
      <w:rPr>
        <w:rFonts w:asciiTheme="majorHAnsi" w:hAnsiTheme="majorHAnsi"/>
        <w:color w:val="FFFFFF" w:themeColor="background1"/>
      </w:rPr>
      <w:t>1</w:t>
    </w:r>
    <w:r w:rsidR="006B391B">
      <w:rPr>
        <w:rFonts w:asciiTheme="majorHAnsi" w:hAnsiTheme="majorHAnsi"/>
        <w:color w:val="FFFFFF" w:themeColor="background1"/>
      </w:rPr>
      <w:t>1</w:t>
    </w:r>
    <w:r w:rsidR="00AB6157">
      <w:rPr>
        <w:rFonts w:asciiTheme="majorHAnsi" w:hAnsiTheme="majorHAnsi"/>
        <w:color w:val="FFFFFF" w:themeColor="background1"/>
      </w:rPr>
      <w:t xml:space="preserve"> </w:t>
    </w:r>
    <w:r w:rsidR="006B391B">
      <w:rPr>
        <w:rFonts w:asciiTheme="majorHAnsi" w:hAnsiTheme="majorHAnsi"/>
        <w:color w:val="FFFFFF" w:themeColor="background1"/>
      </w:rPr>
      <w:t>May</w:t>
    </w:r>
    <w:r w:rsidR="00AB6157">
      <w:rPr>
        <w:rFonts w:asciiTheme="majorHAnsi" w:hAnsiTheme="majorHAnsi"/>
        <w:color w:val="FFFFFF" w:themeColor="background1"/>
      </w:rPr>
      <w:t xml:space="preserve"> 20</w:t>
    </w:r>
    <w:r w:rsidR="006B391B">
      <w:rPr>
        <w:rFonts w:asciiTheme="majorHAnsi" w:hAnsiTheme="majorHAnsi"/>
        <w:color w:val="FFFFFF" w:themeColor="background1"/>
      </w:rPr>
      <w:t>21</w:t>
    </w:r>
    <w:r w:rsidR="00FF6930">
      <w:rPr>
        <w:rFonts w:asciiTheme="majorHAnsi" w:hAnsiTheme="majorHAnsi"/>
        <w:color w:val="FFFFFF" w:themeColor="background1"/>
      </w:rPr>
      <w:t xml:space="preserve"> </w:t>
    </w:r>
    <w:r w:rsidR="00FF6930" w:rsidRPr="005B467C">
      <w:rPr>
        <w:rFonts w:asciiTheme="majorHAnsi" w:hAnsiTheme="majorHAnsi"/>
        <w:color w:val="FFFFFF" w:themeColor="background1"/>
      </w:rPr>
      <w:t>ESMA</w:t>
    </w:r>
    <w:r w:rsidR="006B391B">
      <w:rPr>
        <w:rFonts w:asciiTheme="majorHAnsi" w:hAnsiTheme="majorHAnsi"/>
        <w:color w:val="FFFFFF" w:themeColor="background1"/>
      </w:rPr>
      <w:t xml:space="preserve"> | </w:t>
    </w:r>
    <w:hyperlink r:id="rId1" w:tgtFrame="_blank" w:history="1">
      <w:r w:rsidR="006B391B" w:rsidRPr="002702C7">
        <w:rPr>
          <w:rFonts w:asciiTheme="majorHAnsi" w:hAnsiTheme="majorHAnsi"/>
          <w:color w:val="FFFFFF" w:themeColor="background1"/>
        </w:rPr>
        <w:t>ESMA</w:t>
      </w:r>
      <w:r w:rsidR="006B391B">
        <w:rPr>
          <w:rFonts w:asciiTheme="majorHAnsi" w:hAnsiTheme="majorHAnsi"/>
          <w:color w:val="FFFFFF" w:themeColor="background1"/>
        </w:rPr>
        <w:t>70</w:t>
      </w:r>
    </w:hyperlink>
    <w:r w:rsidR="006B391B">
      <w:rPr>
        <w:rFonts w:asciiTheme="majorHAnsi" w:hAnsiTheme="majorHAnsi"/>
        <w:color w:val="FFFFFF" w:themeColor="background1"/>
      </w:rPr>
      <w:t>-156-4067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D6FF1E" w14:textId="77777777" w:rsidR="00282B3A" w:rsidRDefault="00282B3A" w:rsidP="007E7997">
      <w:r>
        <w:separator/>
      </w:r>
    </w:p>
  </w:footnote>
  <w:footnote w:type="continuationSeparator" w:id="0">
    <w:p w14:paraId="56A380DB" w14:textId="77777777" w:rsidR="00282B3A" w:rsidRDefault="00282B3A" w:rsidP="007E7997">
      <w:r>
        <w:continuationSeparator/>
      </w:r>
    </w:p>
  </w:footnote>
  <w:footnote w:type="continuationNotice" w:id="1">
    <w:p w14:paraId="7CCF86EA" w14:textId="77777777" w:rsidR="00282B3A" w:rsidRDefault="00282B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81C69" w14:textId="77777777" w:rsidR="006B1BD2" w:rsidRDefault="006B1B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956F7" w14:textId="77777777" w:rsidR="00E36813" w:rsidRDefault="00E36813">
    <w:pPr>
      <w:pStyle w:val="Header"/>
    </w:pPr>
  </w:p>
  <w:p w14:paraId="59FA3C9D" w14:textId="77777777" w:rsidR="00E36813" w:rsidRDefault="00E368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91035" w14:textId="77777777" w:rsidR="00E36813" w:rsidRDefault="00E36813">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62336"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98370" id="Line 16"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5EAB6EC5" w14:textId="1E4219F2"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7216"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5"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BB40CE"/>
    <w:multiLevelType w:val="hybridMultilevel"/>
    <w:tmpl w:val="F3861644"/>
    <w:lvl w:ilvl="0" w:tplc="AF1AE856">
      <w:numFmt w:val="bullet"/>
      <w:lvlText w:val="-"/>
      <w:lvlJc w:val="left"/>
      <w:pPr>
        <w:ind w:left="720" w:hanging="360"/>
      </w:pPr>
      <w:rPr>
        <w:rFonts w:ascii="Trebuchet MS" w:eastAsia="Trebuchet MS" w:hAnsi="Trebuchet M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A52232B"/>
    <w:multiLevelType w:val="hybridMultilevel"/>
    <w:tmpl w:val="BA944B8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2"/>
  </w:num>
  <w:num w:numId="3">
    <w:abstractNumId w:val="20"/>
  </w:num>
  <w:num w:numId="4">
    <w:abstractNumId w:val="3"/>
  </w:num>
  <w:num w:numId="5">
    <w:abstractNumId w:val="12"/>
  </w:num>
  <w:num w:numId="6">
    <w:abstractNumId w:val="22"/>
  </w:num>
  <w:num w:numId="7">
    <w:abstractNumId w:val="11"/>
  </w:num>
  <w:num w:numId="8">
    <w:abstractNumId w:val="4"/>
  </w:num>
  <w:num w:numId="9">
    <w:abstractNumId w:val="8"/>
  </w:num>
  <w:num w:numId="10">
    <w:abstractNumId w:val="6"/>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17"/>
  </w:num>
  <w:num w:numId="16">
    <w:abstractNumId w:val="21"/>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22"/>
  </w:num>
  <w:num w:numId="20">
    <w:abstractNumId w:val="10"/>
  </w:num>
  <w:num w:numId="21">
    <w:abstractNumId w:val="19"/>
  </w:num>
  <w:num w:numId="22">
    <w:abstractNumId w:val="13"/>
  </w:num>
  <w:num w:numId="23">
    <w:abstractNumId w:val="16"/>
  </w:num>
  <w:num w:numId="24">
    <w:abstractNumId w:val="0"/>
  </w:num>
  <w:num w:numId="25">
    <w:abstractNumId w:val="15"/>
  </w:num>
  <w:num w:numId="26">
    <w:abstractNumId w:val="14"/>
  </w:num>
  <w:num w:numId="27">
    <w:abstractNumId w:val="9"/>
  </w:num>
  <w:num w:numId="28">
    <w:abstractNumId w:val="1"/>
  </w:num>
  <w:num w:numId="29">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qMSn174yPGdF0fTsKoESCCeXSm1qSIFoCvEVL6ZmW+DaJbh6rrpnvsGUVjLF37zBw/A0o7r28KzOkCibZRNcCQ==" w:salt="5nK5aPihRfzKiJhhkvExQg=="/>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8C8"/>
    <w:rsid w:val="00036C09"/>
    <w:rsid w:val="000372BF"/>
    <w:rsid w:val="00040A52"/>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0635"/>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1C3"/>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3C4B"/>
    <w:rsid w:val="003545A6"/>
    <w:rsid w:val="00356C60"/>
    <w:rsid w:val="003578D1"/>
    <w:rsid w:val="00363639"/>
    <w:rsid w:val="00366D42"/>
    <w:rsid w:val="0036748C"/>
    <w:rsid w:val="00372615"/>
    <w:rsid w:val="00372EA3"/>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50B7"/>
    <w:rsid w:val="00497FEA"/>
    <w:rsid w:val="004A75F5"/>
    <w:rsid w:val="004B07B2"/>
    <w:rsid w:val="004B0955"/>
    <w:rsid w:val="004B143D"/>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145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1BD2"/>
    <w:rsid w:val="006B2C57"/>
    <w:rsid w:val="006B391B"/>
    <w:rsid w:val="006B79E0"/>
    <w:rsid w:val="006C0B2D"/>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3000"/>
    <w:rsid w:val="00835805"/>
    <w:rsid w:val="0083595F"/>
    <w:rsid w:val="008372B6"/>
    <w:rsid w:val="00843A1A"/>
    <w:rsid w:val="00844F57"/>
    <w:rsid w:val="00846433"/>
    <w:rsid w:val="008472C2"/>
    <w:rsid w:val="00850B43"/>
    <w:rsid w:val="008510D9"/>
    <w:rsid w:val="00851EE3"/>
    <w:rsid w:val="00853121"/>
    <w:rsid w:val="008555E4"/>
    <w:rsid w:val="0086412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1993"/>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0DD2"/>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239"/>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A7748"/>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15D5"/>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17BE6"/>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4EDE"/>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qFormat/>
    <w:rsid w:val="00FA2400"/>
    <w:rPr>
      <w:sz w:val="16"/>
      <w:szCs w:val="16"/>
    </w:rPr>
  </w:style>
  <w:style w:type="paragraph" w:styleId="CommentText">
    <w:name w:val="annotation text"/>
    <w:basedOn w:val="Normal"/>
    <w:link w:val="CommentTextChar"/>
    <w:uiPriority w:val="99"/>
    <w:unhideWhenUsed/>
    <w:qFormat/>
    <w:rsid w:val="00FA2400"/>
    <w:rPr>
      <w:sz w:val="20"/>
    </w:rPr>
  </w:style>
  <w:style w:type="character" w:customStyle="1" w:styleId="CommentTextChar">
    <w:name w:val="Comment Text Char"/>
    <w:basedOn w:val="DefaultParagraphFont"/>
    <w:link w:val="CommentText"/>
    <w:uiPriority w:val="99"/>
    <w:qFormat/>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qFormat/>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yperlink" Target="http://www.esma.europa.eu/legal-notic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0fbe147-bbda-4e53-b6b1-7e8bbff3fe19">ESMA70-156-4577</_dlc_DocId>
    <TaxCatchAll xmlns="20fbe147-bbda-4e53-b6b1-7e8bbff3fe19">
      <Value>48</Value>
      <Value>5</Value>
      <Value>14</Value>
      <Value>12</Value>
      <Value>384</Value>
    </TaxCatchAll>
    <_dlc_DocIdUrl xmlns="20fbe147-bbda-4e53-b6b1-7e8bbff3fe19">
      <Url>https://sherpa.esma.europa.eu/sites/MKT/SMK/_layouts/15/DocIdRedir.aspx?ID=ESMA70-156-4577</Url>
      <Description>ESMA70-156-4577</Description>
    </_dlc_DocIdUrl>
    <Year xmlns="20fbe147-bbda-4e53-b6b1-7e8bbff3fe19">2020</Year>
    <MeetingDate xmlns="20fbe147-bbda-4e53-b6b1-7e8bbff3fe19" xsi:nil="true"/>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Commodity</TermName>
          <TermId xmlns="http://schemas.microsoft.com/office/infopath/2007/PartnerControls">729cc5dc-fc40-4e6f-89b7-0bed773f437e</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Commodity - Amendment RTS 21</TermName>
          <TermId xmlns="http://schemas.microsoft.com/office/infopath/2007/PartnerControls">57d21c49-400b-4151-a958-bb4978c24367</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eed0a0b2ea6941718a34434e243f3d8f>
  </documentManagement>
</p:properties>
</file>

<file path=customXml/item3.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60d58daf62131746c3ac1b9b4e2bb79e">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784e366caaeed31c75d3039e996262f4"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14;#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2.xml><?xml version="1.0" encoding="utf-8"?>
<ds:datastoreItem xmlns:ds="http://schemas.openxmlformats.org/officeDocument/2006/customXml" ds:itemID="{8337F5EE-E87B-49CE-96B5-F95CE63A0DF2}">
  <ds:schemaRefs>
    <ds:schemaRef ds:uri="http://purl.org/dc/terms/"/>
    <ds:schemaRef ds:uri="20fbe147-bbda-4e53-b6b1-7e8bbff3fe1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4"/>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A66DDF4-AF59-4802-B20A-1D51C1856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5.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39</TotalTime>
  <Pages>12</Pages>
  <Words>2618</Words>
  <Characters>13879</Characters>
  <Application>Microsoft Office Word</Application>
  <DocSecurity>8</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16465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Maciej Luczak</cp:lastModifiedBy>
  <cp:revision>8</cp:revision>
  <cp:lastPrinted>2017-07-24T14:47:00Z</cp:lastPrinted>
  <dcterms:created xsi:type="dcterms:W3CDTF">2021-07-06T13:15:00Z</dcterms:created>
  <dcterms:modified xsi:type="dcterms:W3CDTF">2021-07-14T09:49:00Z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0x01010001BD15C3986B91498E0AE644B715B9EE010D00757D222C6B0DA241B5F74437644107D4</vt:lpwstr>
  </property>
  <property fmtid="{D5CDD505-2E9C-101B-9397-08002B2CF9AE}" pid="5" name="_dlc_DocIdItemGuid">
    <vt:lpwstr>5b95199f-719f-4c46-9786-4f9cd391e66a</vt:lpwstr>
  </property>
  <property fmtid="{D5CDD505-2E9C-101B-9397-08002B2CF9AE}" pid="6" name="DocumentType">
    <vt:lpwstr>12;#Report|78753201-1e9e-4a21-a088-6ff602b5c999</vt:lpwstr>
  </property>
  <property fmtid="{D5CDD505-2E9C-101B-9397-08002B2CF9AE}" pid="7" name="Topic">
    <vt:lpwstr>48;#Commodity|729cc5dc-fc40-4e6f-89b7-0bed773f437e</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5;#Secondary Markets|64c18f63-8e0f-46d8-84d6-b5a5f7a39938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384;#Commodity - Amendment RTS 21|57d21c49-400b-4151-a958-bb4978c24367</vt:lpwstr>
  </property>
  <property fmtid="{D5CDD505-2E9C-101B-9397-08002B2CF9AE}" pid="18" name="TeamTopic">
    <vt:lpwstr>87;#Other Work|f1a52b52-917d-42ef-9667-945839604bb2</vt:lpwstr>
  </property>
</Properties>
</file>