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rPr>
        <w:id w:val="-973058580"/>
        <w:docPartObj>
          <w:docPartGallery w:val="Cover Pages"/>
          <w:docPartUnique/>
        </w:docPartObj>
      </w:sdtPr>
      <w:sdtEndPr>
        <w:rPr>
          <w:highlight w:val="yellow"/>
        </w:r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3CDBB7D7"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 xml:space="preserve">Response Form to the </w:t>
                </w:r>
                <w:r w:rsidR="008B2AF1">
                  <w:rPr>
                    <w:rFonts w:asciiTheme="minorHAnsi" w:hAnsiTheme="minorHAnsi" w:cstheme="minorHAnsi"/>
                    <w:sz w:val="48"/>
                    <w:szCs w:val="48"/>
                  </w:rPr>
                  <w:t xml:space="preserve">Consultation Paper </w:t>
                </w:r>
              </w:p>
            </w:tc>
          </w:tr>
          <w:tr w:rsidR="00AB6157" w:rsidRPr="00B8572C" w14:paraId="76D253F5" w14:textId="77777777" w:rsidTr="00D13661">
            <w:trPr>
              <w:trHeight w:hRule="exact" w:val="747"/>
            </w:trPr>
            <w:tc>
              <w:tcPr>
                <w:tcW w:w="10490" w:type="dxa"/>
                <w:tcMar>
                  <w:top w:w="142" w:type="dxa"/>
                </w:tcMar>
              </w:tcPr>
              <w:p w14:paraId="788743E8" w14:textId="77777777" w:rsidR="006B391B" w:rsidRPr="002C0C94" w:rsidRDefault="006B391B" w:rsidP="006B391B">
                <w:pPr>
                  <w:rPr>
                    <w:rFonts w:asciiTheme="majorHAnsi" w:eastAsiaTheme="majorEastAsia" w:hAnsiTheme="majorHAnsi" w:cs="Arial"/>
                    <w:b/>
                    <w:sz w:val="28"/>
                    <w:szCs w:val="28"/>
                  </w:rPr>
                </w:pPr>
                <w:r w:rsidRPr="002C0C94">
                  <w:rPr>
                    <w:rFonts w:asciiTheme="majorHAnsi" w:eastAsiaTheme="majorEastAsia" w:hAnsiTheme="majorHAnsi" w:cs="Arial"/>
                    <w:b/>
                    <w:sz w:val="28"/>
                    <w:szCs w:val="28"/>
                  </w:rPr>
                  <w:t xml:space="preserve">Technical standards </w:t>
                </w:r>
                <w:r>
                  <w:rPr>
                    <w:rFonts w:asciiTheme="majorHAnsi" w:eastAsiaTheme="majorEastAsia" w:hAnsiTheme="majorHAnsi" w:cs="Arial"/>
                    <w:b/>
                    <w:sz w:val="28"/>
                    <w:szCs w:val="28"/>
                  </w:rPr>
                  <w:t>for</w:t>
                </w:r>
                <w:r w:rsidRPr="002C0C94">
                  <w:rPr>
                    <w:rFonts w:asciiTheme="majorHAnsi" w:eastAsiaTheme="majorEastAsia" w:hAnsiTheme="majorHAnsi" w:cs="Arial"/>
                    <w:b/>
                    <w:sz w:val="28"/>
                    <w:szCs w:val="28"/>
                  </w:rPr>
                  <w:t xml:space="preserve"> commodity derivatives </w:t>
                </w:r>
              </w:p>
              <w:p w14:paraId="26CF3934" w14:textId="4E35944E" w:rsidR="00AB6157" w:rsidRPr="00B8572C" w:rsidRDefault="00AB6157" w:rsidP="001F23C9">
                <w:pPr>
                  <w:pStyle w:val="Heading2"/>
                  <w:numPr>
                    <w:ilvl w:val="0"/>
                    <w:numId w:val="0"/>
                  </w:numPr>
                  <w:spacing w:before="0"/>
                </w:pPr>
              </w:p>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12"/>
              <w:footerReference w:type="default" r:id="rId13"/>
              <w:headerReference w:type="first" r:id="rId14"/>
              <w:footerReference w:type="first" r:id="rId15"/>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46CF9AD5" w14:textId="0973BF25"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invites comments on all matters in this </w:t>
          </w:r>
          <w:r w:rsidR="001F23C9">
            <w:rPr>
              <w:rFonts w:asciiTheme="minorHAnsi" w:eastAsiaTheme="minorEastAsia" w:hAnsiTheme="minorHAnsi" w:cstheme="minorBidi"/>
              <w:sz w:val="22"/>
              <w:szCs w:val="20"/>
              <w:lang w:eastAsia="en-US"/>
            </w:rPr>
            <w:t xml:space="preserve">consultation </w:t>
          </w:r>
          <w:r w:rsidRPr="00AB6157">
            <w:rPr>
              <w:rFonts w:asciiTheme="minorHAnsi" w:eastAsiaTheme="minorEastAsia" w:hAnsiTheme="minorHAnsi" w:cstheme="minorBidi"/>
              <w:sz w:val="22"/>
              <w:szCs w:val="20"/>
              <w:lang w:eastAsia="en-US"/>
            </w:rPr>
            <w:t xml:space="preserve">paper and </w:t>
          </w:r>
          <w:r w:rsidRPr="001F23C9">
            <w:rPr>
              <w:rFonts w:asciiTheme="minorHAnsi" w:eastAsiaTheme="minorEastAsia" w:hAnsiTheme="minorHAnsi" w:cstheme="minorBidi"/>
              <w:sz w:val="22"/>
              <w:szCs w:val="20"/>
              <w:u w:val="dottedHeavy" w:color="BF8F00" w:themeColor="accent4" w:themeShade="BF"/>
              <w:lang w:eastAsia="en-US"/>
            </w:rPr>
            <w:t>in particular on</w:t>
          </w:r>
          <w:r w:rsidRPr="00AB6157">
            <w:rPr>
              <w:rFonts w:asciiTheme="minorHAnsi" w:eastAsiaTheme="minorEastAsia" w:hAnsiTheme="minorHAnsi" w:cstheme="minorBidi"/>
              <w:sz w:val="22"/>
              <w:szCs w:val="20"/>
              <w:lang w:eastAsia="en-US"/>
            </w:rPr>
            <w:t xml:space="preserve"> the specific questions summarised in Annex </w:t>
          </w:r>
          <w:r w:rsidR="00220938" w:rsidRPr="00220938">
            <w:rPr>
              <w:rFonts w:asciiTheme="minorHAnsi" w:eastAsiaTheme="minorEastAsia" w:hAnsiTheme="minorHAnsi" w:cstheme="minorBidi"/>
              <w:sz w:val="22"/>
              <w:szCs w:val="20"/>
              <w:lang w:eastAsia="en-US"/>
            </w:rPr>
            <w:t>I</w:t>
          </w:r>
          <w:r w:rsidRPr="00AB6157">
            <w:rPr>
              <w:rFonts w:asciiTheme="minorHAnsi" w:eastAsiaTheme="minorEastAsia" w:hAnsiTheme="minorHAnsi" w:cstheme="minorBidi"/>
              <w:sz w:val="22"/>
              <w:szCs w:val="20"/>
              <w:lang w:eastAsia="en-US"/>
            </w:rPr>
            <w:t>. Comments are most helpful if they:</w:t>
          </w:r>
        </w:p>
        <w:p w14:paraId="2573C72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respond to the question stated;</w:t>
          </w:r>
        </w:p>
        <w:p w14:paraId="65ACF578"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indicate the specific question to which the comment relates;</w:t>
          </w:r>
        </w:p>
        <w:p w14:paraId="3751DA8E"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contain a clear rationale; and</w:t>
          </w:r>
        </w:p>
        <w:p w14:paraId="5A3A4AE2" w14:textId="77777777" w:rsidR="00AB6157" w:rsidRPr="00AB6157" w:rsidRDefault="00AB6157" w:rsidP="00AB6157">
          <w:pPr>
            <w:numPr>
              <w:ilvl w:val="0"/>
              <w:numId w:val="15"/>
            </w:num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describe any alternatives ESMA should consider.</w:t>
          </w:r>
        </w:p>
        <w:p w14:paraId="09579D04" w14:textId="2AD13BF0"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ESMA will consider all comments received by </w:t>
          </w:r>
          <w:r w:rsidR="004B143D" w:rsidRPr="004B143D">
            <w:rPr>
              <w:rFonts w:asciiTheme="minorHAnsi" w:eastAsiaTheme="minorEastAsia" w:hAnsiTheme="minorHAnsi" w:cstheme="minorBidi"/>
              <w:b/>
              <w:sz w:val="22"/>
              <w:szCs w:val="20"/>
              <w:lang w:eastAsia="en-US"/>
            </w:rPr>
            <w:t>23</w:t>
          </w:r>
          <w:r w:rsidR="006B391B" w:rsidRPr="004B143D">
            <w:rPr>
              <w:rFonts w:asciiTheme="minorHAnsi" w:eastAsiaTheme="minorEastAsia" w:hAnsiTheme="minorHAnsi" w:cstheme="minorBidi"/>
              <w:b/>
              <w:sz w:val="22"/>
              <w:szCs w:val="20"/>
              <w:lang w:eastAsia="en-US"/>
            </w:rPr>
            <w:t xml:space="preserve"> </w:t>
          </w:r>
          <w:r w:rsidR="004B143D" w:rsidRPr="004B143D">
            <w:rPr>
              <w:rFonts w:asciiTheme="minorHAnsi" w:eastAsiaTheme="minorEastAsia" w:hAnsiTheme="minorHAnsi" w:cstheme="minorBidi"/>
              <w:b/>
              <w:sz w:val="22"/>
              <w:szCs w:val="20"/>
              <w:lang w:eastAsia="en-US"/>
            </w:rPr>
            <w:t>July</w:t>
          </w:r>
          <w:r w:rsidR="006B391B" w:rsidRPr="004B143D">
            <w:rPr>
              <w:rFonts w:asciiTheme="minorHAnsi" w:eastAsiaTheme="minorEastAsia" w:hAnsiTheme="minorHAnsi" w:cstheme="minorBidi"/>
              <w:b/>
              <w:sz w:val="22"/>
              <w:szCs w:val="20"/>
              <w:lang w:eastAsia="en-US"/>
            </w:rPr>
            <w:t xml:space="preserve"> 2021</w:t>
          </w:r>
          <w:r w:rsidRPr="004B143D">
            <w:rPr>
              <w:rFonts w:asciiTheme="minorHAnsi" w:eastAsiaTheme="minorEastAsia" w:hAnsiTheme="minorHAnsi" w:cstheme="minorBidi"/>
              <w:b/>
              <w:sz w:val="22"/>
              <w:szCs w:val="20"/>
              <w:lang w:eastAsia="en-US"/>
            </w:rPr>
            <w:t>.</w:t>
          </w:r>
          <w:r w:rsidRPr="00AB6157">
            <w:rPr>
              <w:rFonts w:asciiTheme="minorHAnsi" w:eastAsiaTheme="minorEastAsia" w:hAnsiTheme="minorHAnsi" w:cstheme="minorBidi"/>
              <w:b/>
              <w:sz w:val="22"/>
              <w:szCs w:val="20"/>
              <w:lang w:eastAsia="en-US"/>
            </w:rPr>
            <w:t xml:space="preserve"> </w:t>
          </w:r>
        </w:p>
        <w:p w14:paraId="6ABAAC1F" w14:textId="50B9A93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should be submitted online at </w:t>
          </w:r>
          <w:hyperlink r:id="rId16"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E7297E">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Insert your responses to the questions in the Consultation Paper in the present response form. </w:t>
          </w:r>
        </w:p>
        <w:p w14:paraId="3B16398E" w14:textId="0ABA1563"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Please do not remove t</w:t>
          </w:r>
          <w:r>
            <w:rPr>
              <w:rFonts w:eastAsiaTheme="minorEastAsia" w:cstheme="minorBidi"/>
              <w:szCs w:val="20"/>
              <w:lang w:eastAsia="en-US"/>
            </w:rPr>
            <w:t>ags of the type &lt;ESMA_QUESTION_</w:t>
          </w:r>
          <w:r w:rsidR="006B391B">
            <w:rPr>
              <w:rFonts w:eastAsiaTheme="minorEastAsia" w:cstheme="minorBidi"/>
              <w:szCs w:val="20"/>
              <w:lang w:eastAsia="en-US"/>
            </w:rPr>
            <w:t>CD</w:t>
          </w:r>
          <w:r w:rsidRPr="00C85C8B">
            <w:rPr>
              <w:rFonts w:eastAsiaTheme="minorEastAsia" w:cstheme="minorBidi"/>
              <w:szCs w:val="20"/>
              <w:lang w:eastAsia="en-US"/>
            </w:rPr>
            <w:t>_1&gt;. Your response to each question has to be framed by the two tags corresponding to the question.</w:t>
          </w:r>
        </w:p>
        <w:p w14:paraId="5CC57030" w14:textId="7777777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If you do not wish to respond to a given question, please do not delete it but simply leave the text “TYPE YOUR TEXT HERE” between the tags.</w:t>
          </w:r>
        </w:p>
        <w:p w14:paraId="1876A4C8" w14:textId="5AA40AF7"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 xml:space="preserve">When you have drafted your response, name your response form according to </w:t>
          </w:r>
          <w:r>
            <w:rPr>
              <w:rFonts w:eastAsiaTheme="minorEastAsia" w:cstheme="minorBidi"/>
              <w:szCs w:val="20"/>
              <w:lang w:eastAsia="en-US"/>
            </w:rPr>
            <w:t>the following convention: ESMA_</w:t>
          </w:r>
          <w:r w:rsidR="001F23C9">
            <w:rPr>
              <w:rFonts w:eastAsiaTheme="minorEastAsia" w:cstheme="minorBidi"/>
              <w:szCs w:val="20"/>
              <w:lang w:eastAsia="en-US"/>
            </w:rPr>
            <w:t>PFG</w:t>
          </w:r>
          <w:r w:rsidRPr="00C85C8B">
            <w:rPr>
              <w:rFonts w:eastAsiaTheme="minorEastAsia" w:cstheme="minorBidi"/>
              <w:szCs w:val="20"/>
              <w:lang w:eastAsia="en-US"/>
            </w:rPr>
            <w:t>_nameofrespondent_RESPONSEFORM. For example, for a respondent named ABCD, the response</w:t>
          </w:r>
          <w:r>
            <w:rPr>
              <w:rFonts w:eastAsiaTheme="minorEastAsia" w:cstheme="minorBidi"/>
              <w:szCs w:val="20"/>
              <w:lang w:eastAsia="en-US"/>
            </w:rPr>
            <w:t xml:space="preserve"> form would be entitled ESMA_</w:t>
          </w:r>
          <w:r w:rsidR="001F23C9">
            <w:rPr>
              <w:rFonts w:eastAsiaTheme="minorEastAsia" w:cstheme="minorBidi"/>
              <w:szCs w:val="20"/>
              <w:lang w:eastAsia="en-US"/>
            </w:rPr>
            <w:t>PFG</w:t>
          </w:r>
          <w:r w:rsidRPr="00C85C8B">
            <w:rPr>
              <w:rFonts w:eastAsiaTheme="minorEastAsia" w:cstheme="minorBidi"/>
              <w:szCs w:val="20"/>
              <w:lang w:eastAsia="en-US"/>
            </w:rPr>
            <w:t>_ABCD_RESPONSEFORM.</w:t>
          </w:r>
        </w:p>
        <w:p w14:paraId="1A9C59D6" w14:textId="34F7EAAE" w:rsidR="00C85C8B" w:rsidRPr="00C85C8B" w:rsidRDefault="00C85C8B" w:rsidP="00C85C8B">
          <w:pPr>
            <w:pStyle w:val="ListParagraph"/>
            <w:numPr>
              <w:ilvl w:val="0"/>
              <w:numId w:val="12"/>
            </w:numPr>
            <w:spacing w:after="250" w:line="276" w:lineRule="auto"/>
            <w:rPr>
              <w:rFonts w:eastAsiaTheme="minorEastAsia" w:cstheme="minorBidi"/>
              <w:szCs w:val="20"/>
              <w:lang w:eastAsia="en-US"/>
            </w:rPr>
          </w:pPr>
          <w:r w:rsidRPr="00C85C8B">
            <w:rPr>
              <w:rFonts w:eastAsiaTheme="minorEastAsia" w:cstheme="minorBidi"/>
              <w:szCs w:val="20"/>
              <w:lang w:eastAsia="en-US"/>
            </w:rPr>
            <w:t>Upload the form containing your responses, in Word format, to ESMA’s website (</w:t>
          </w:r>
          <w:hyperlink r:id="rId17" w:history="1">
            <w:r w:rsidRPr="00C85C8B">
              <w:rPr>
                <w:rFonts w:eastAsiaTheme="minorEastAsia" w:cstheme="minorBidi"/>
                <w:szCs w:val="20"/>
                <w:lang w:eastAsia="en-US"/>
              </w:rPr>
              <w:t>www.esma.europa.eu</w:t>
            </w:r>
          </w:hyperlink>
          <w:r w:rsidRPr="00C85C8B">
            <w:rPr>
              <w:rFonts w:eastAsiaTheme="minorEastAsia" w:cstheme="minorBidi"/>
              <w:szCs w:val="20"/>
              <w:lang w:eastAsia="en-US"/>
            </w:rPr>
            <w:t xml:space="preserve"> under the heading “Your input – Open consultations” </w:t>
          </w:r>
          <w:r w:rsidRPr="00C85C8B">
            <w:rPr>
              <w:rFonts w:eastAsiaTheme="minorEastAsia"/>
              <w:lang w:eastAsia="en-US"/>
            </w:rPr>
            <w:sym w:font="Wingdings" w:char="F0E0"/>
          </w:r>
          <w:r w:rsidRPr="00C85C8B">
            <w:rPr>
              <w:rFonts w:eastAsiaTheme="minorEastAsia" w:cstheme="minorBidi"/>
              <w:szCs w:val="20"/>
              <w:lang w:eastAsia="en-US"/>
            </w:rPr>
            <w:t xml:space="preserve"> “Consultation on </w:t>
          </w:r>
          <w:r w:rsidR="00AB6157">
            <w:rPr>
              <w:rFonts w:eastAsiaTheme="minorEastAsia" w:cstheme="minorBidi"/>
              <w:szCs w:val="20"/>
              <w:lang w:eastAsia="en-US"/>
            </w:rPr>
            <w:t>Position limits and position management in commodities derivatives</w:t>
          </w:r>
          <w:r w:rsidRPr="00C85C8B">
            <w:rPr>
              <w:rFonts w:eastAsiaTheme="minorEastAsia" w:cstheme="minorBidi"/>
              <w:szCs w:val="20"/>
              <w:lang w:eastAsia="en-US"/>
            </w:rPr>
            <w:t>”).</w:t>
          </w:r>
        </w:p>
        <w:p w14:paraId="078FF80C" w14:textId="145F522B" w:rsidR="00C85C8B" w:rsidRDefault="00C85C8B" w:rsidP="00AF2EF7">
          <w:pPr>
            <w:spacing w:after="250" w:line="276" w:lineRule="auto"/>
            <w:jc w:val="both"/>
            <w:rPr>
              <w:rFonts w:asciiTheme="minorHAnsi" w:eastAsiaTheme="minorEastAsia" w:hAnsiTheme="minorHAnsi" w:cstheme="minorBidi"/>
              <w:sz w:val="22"/>
              <w:szCs w:val="20"/>
              <w:lang w:eastAsia="en-US"/>
            </w:rPr>
          </w:pPr>
        </w:p>
        <w:p w14:paraId="27DFECB3" w14:textId="3EF3C58E" w:rsidR="00A02199" w:rsidRDefault="00A02199" w:rsidP="00AF2EF7">
          <w:pPr>
            <w:spacing w:after="250" w:line="276" w:lineRule="auto"/>
            <w:jc w:val="both"/>
            <w:rPr>
              <w:rFonts w:asciiTheme="minorHAnsi" w:eastAsiaTheme="minorEastAsia" w:hAnsiTheme="minorHAnsi" w:cstheme="minorBidi"/>
              <w:sz w:val="22"/>
              <w:szCs w:val="20"/>
              <w:lang w:eastAsia="en-US"/>
            </w:rPr>
          </w:pPr>
        </w:p>
        <w:p w14:paraId="28EEA743" w14:textId="77777777" w:rsidR="00A02199" w:rsidRPr="00C1698A" w:rsidRDefault="00A02199" w:rsidP="00AF2EF7">
          <w:pPr>
            <w:spacing w:after="250" w:line="276" w:lineRule="auto"/>
            <w:jc w:val="both"/>
            <w:rPr>
              <w:rFonts w:asciiTheme="minorHAnsi" w:eastAsiaTheme="minorEastAsia" w:hAnsiTheme="minorHAnsi" w:cstheme="minorBidi"/>
              <w:sz w:val="22"/>
              <w:szCs w:val="20"/>
              <w:lang w:eastAsia="en-US"/>
            </w:rPr>
          </w:pP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lastRenderedPageBreak/>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All contributions received will be published following the close of the consultation, unless you request otherwise. Please clearly and prominently indicate in your submission any part you do not wish to be publically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1D46B82F"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8"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9"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p w14:paraId="7C02CD7B" w14:textId="77777777" w:rsidR="00AF2EF7" w:rsidRPr="00B8572C" w:rsidRDefault="00AF2EF7" w:rsidP="00AF2EF7">
          <w:pPr>
            <w:spacing w:after="250" w:line="276" w:lineRule="auto"/>
            <w:jc w:val="both"/>
            <w:rPr>
              <w:rFonts w:asciiTheme="minorHAnsi" w:eastAsiaTheme="minorEastAsia" w:hAnsiTheme="minorHAnsi" w:cstheme="minorBidi"/>
              <w:sz w:val="22"/>
              <w:szCs w:val="20"/>
              <w:lang w:eastAsia="en-US"/>
            </w:rPr>
          </w:pPr>
          <w:r w:rsidRPr="00B8572C">
            <w:rPr>
              <w:rFonts w:asciiTheme="minorHAnsi" w:eastAsiaTheme="minorEastAsia" w:hAnsiTheme="minorHAnsi" w:cstheme="minorBidi"/>
              <w:b/>
              <w:sz w:val="22"/>
              <w:szCs w:val="20"/>
              <w:lang w:eastAsia="en-US"/>
            </w:rPr>
            <w:t>Who should read this paper</w:t>
          </w:r>
        </w:p>
        <w:p w14:paraId="14912E5E" w14:textId="5245D1E2" w:rsidR="00AF2EF7" w:rsidRPr="00B8572C" w:rsidRDefault="001F23C9" w:rsidP="001F23C9">
          <w:pPr>
            <w:spacing w:after="250" w:line="276" w:lineRule="auto"/>
            <w:jc w:val="both"/>
            <w:rPr>
              <w:rFonts w:asciiTheme="minorHAnsi" w:hAnsiTheme="minorHAnsi" w:cstheme="minorHAnsi"/>
            </w:rPr>
          </w:pPr>
          <w:r w:rsidRPr="001F23C9">
            <w:rPr>
              <w:rFonts w:ascii="Arial" w:hAnsi="Arial" w:cs="Arial"/>
              <w:sz w:val="22"/>
              <w:szCs w:val="22"/>
              <w:lang w:eastAsia="it-IT"/>
            </w:rPr>
            <w:t>This document will be of interest to asset managers managing retail funds and their trade associations, as well as institutional and retail investors investing into such funds and their associations.</w:t>
          </w:r>
        </w:p>
      </w:sdtContent>
    </w:sdt>
    <w:p w14:paraId="20AC791C" w14:textId="77777777" w:rsidR="00AF2EF7" w:rsidRPr="00B8572C" w:rsidRDefault="00AF2EF7" w:rsidP="00AF2EF7">
      <w:pPr>
        <w:spacing w:after="120" w:line="276" w:lineRule="auto"/>
        <w:rPr>
          <w:rFonts w:asciiTheme="minorHAnsi" w:hAnsiTheme="minorHAnsi" w:cstheme="minorHAnsi"/>
        </w:rPr>
      </w:pPr>
    </w:p>
    <w:p w14:paraId="13AEDA0D" w14:textId="77777777" w:rsidR="00AF2EF7" w:rsidRPr="00B8572C" w:rsidRDefault="00AF2EF7" w:rsidP="00AF2EF7">
      <w:pPr>
        <w:spacing w:after="120" w:line="276" w:lineRule="auto"/>
        <w:rPr>
          <w:rFonts w:asciiTheme="minorHAnsi" w:hAnsiTheme="minorHAnsi" w:cstheme="minorHAnsi"/>
        </w:rPr>
      </w:pPr>
    </w:p>
    <w:p w14:paraId="4F317815" w14:textId="669653C1" w:rsidR="00AF2EF7" w:rsidRPr="00C1698A" w:rsidRDefault="00AF2EF7" w:rsidP="00C1698A">
      <w:pPr>
        <w:pStyle w:val="Heading1"/>
        <w:numPr>
          <w:ilvl w:val="0"/>
          <w:numId w:val="0"/>
        </w:numPr>
        <w:spacing w:line="276" w:lineRule="auto"/>
        <w:rPr>
          <w:rFonts w:asciiTheme="minorHAnsi" w:hAnsiTheme="minorHAnsi" w:cstheme="minorHAnsi"/>
          <w:sz w:val="24"/>
          <w:szCs w:val="24"/>
        </w:rPr>
      </w:pPr>
      <w:r w:rsidRPr="00B8572C">
        <w:rPr>
          <w:rFonts w:asciiTheme="minorHAnsi" w:hAnsiTheme="minorHAnsi" w:cstheme="minorHAnsi"/>
          <w:sz w:val="24"/>
          <w:szCs w:val="24"/>
        </w:rPr>
        <w:br w:type="page"/>
      </w:r>
    </w:p>
    <w:p w14:paraId="54809E84" w14:textId="38073B1E" w:rsidR="00C85C8B" w:rsidRDefault="00C85C8B" w:rsidP="00C1698A">
      <w:pPr>
        <w:spacing w:line="276" w:lineRule="auto"/>
        <w:rPr>
          <w:rFonts w:asciiTheme="minorHAnsi" w:hAnsiTheme="minorHAnsi" w:cstheme="minorHAnsi"/>
          <w:b/>
          <w:sz w:val="28"/>
          <w:szCs w:val="28"/>
        </w:rPr>
      </w:pPr>
      <w:bookmarkStart w:id="0" w:name="_Toc515564428"/>
    </w:p>
    <w:p w14:paraId="0873C4E5" w14:textId="49BAD52B" w:rsidR="00C85C8B" w:rsidRDefault="00C85C8B" w:rsidP="00C1698A">
      <w:pPr>
        <w:spacing w:line="276" w:lineRule="auto"/>
        <w:rPr>
          <w:rFonts w:asciiTheme="minorHAnsi" w:hAnsiTheme="minorHAnsi" w:cstheme="minorHAnsi"/>
          <w:b/>
          <w:sz w:val="28"/>
          <w:szCs w:val="28"/>
        </w:rPr>
      </w:pPr>
    </w:p>
    <w:p w14:paraId="1F90B8D3" w14:textId="77777777" w:rsidR="00C85C8B" w:rsidRDefault="00C85C8B" w:rsidP="00C1698A">
      <w:pPr>
        <w:spacing w:line="276" w:lineRule="auto"/>
        <w:rPr>
          <w:rFonts w:asciiTheme="minorHAnsi" w:hAnsiTheme="minorHAnsi" w:cstheme="minorHAnsi"/>
          <w:b/>
          <w:sz w:val="28"/>
          <w:szCs w:val="28"/>
        </w:rPr>
      </w:pPr>
    </w:p>
    <w:p w14:paraId="622C18E8" w14:textId="77777777" w:rsidR="00C85C8B" w:rsidRPr="00C85C8B" w:rsidRDefault="00C85C8B"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85C8B" w:rsidRPr="00C85C8B" w14:paraId="63AA68E2" w14:textId="77777777" w:rsidTr="00B76FB7">
        <w:tc>
          <w:tcPr>
            <w:tcW w:w="3929" w:type="dxa"/>
            <w:shd w:val="clear" w:color="auto" w:fill="auto"/>
          </w:tcPr>
          <w:p w14:paraId="50C47271" w14:textId="77777777" w:rsidR="00C85C8B" w:rsidRPr="00C85C8B" w:rsidRDefault="00C85C8B" w:rsidP="00C85C8B">
            <w:pPr>
              <w:rPr>
                <w:rFonts w:ascii="Arial" w:hAnsi="Arial" w:cs="Arial"/>
                <w:sz w:val="22"/>
                <w:lang w:eastAsia="de-DE"/>
              </w:rPr>
            </w:pPr>
            <w:permStart w:id="108885406" w:edGrp="everyone" w:colFirst="1" w:colLast="1"/>
            <w:r w:rsidRPr="00C85C8B">
              <w:rPr>
                <w:rFonts w:ascii="Arial" w:hAnsi="Arial" w:cs="Arial"/>
                <w:sz w:val="22"/>
                <w:lang w:eastAsia="de-DE"/>
              </w:rPr>
              <w:t>Name of the company / organisation</w:t>
            </w:r>
          </w:p>
        </w:tc>
        <w:sdt>
          <w:sdtPr>
            <w:rPr>
              <w:rFonts w:ascii="Arial" w:hAnsi="Arial" w:cs="Arial"/>
              <w:color w:val="808080"/>
              <w:sz w:val="20"/>
              <w:lang w:eastAsia="de-DE"/>
            </w:rPr>
            <w:id w:val="-1905066999"/>
            <w:text/>
          </w:sdtPr>
          <w:sdtEndPr/>
          <w:sdtContent>
            <w:tc>
              <w:tcPr>
                <w:tcW w:w="5595" w:type="dxa"/>
                <w:shd w:val="clear" w:color="auto" w:fill="auto"/>
              </w:tcPr>
              <w:p w14:paraId="1B67440D" w14:textId="327C98E6" w:rsidR="00C85C8B" w:rsidRPr="00C85C8B" w:rsidRDefault="000D515A" w:rsidP="00C85C8B">
                <w:pPr>
                  <w:rPr>
                    <w:rFonts w:ascii="Arial" w:hAnsi="Arial" w:cs="Arial"/>
                    <w:color w:val="808080"/>
                    <w:sz w:val="20"/>
                    <w:lang w:eastAsia="de-DE"/>
                  </w:rPr>
                </w:pPr>
                <w:r>
                  <w:rPr>
                    <w:rFonts w:ascii="Arial" w:hAnsi="Arial" w:cs="Arial"/>
                    <w:color w:val="808080"/>
                    <w:sz w:val="20"/>
                    <w:lang w:eastAsia="de-DE"/>
                  </w:rPr>
                  <w:t>EUROPEX, Association of European Energy Exchanges</w:t>
                </w:r>
              </w:p>
            </w:tc>
          </w:sdtContent>
        </w:sdt>
      </w:tr>
      <w:tr w:rsidR="00C85C8B" w:rsidRPr="00C85C8B" w14:paraId="216F3E57" w14:textId="77777777" w:rsidTr="00B76FB7">
        <w:tc>
          <w:tcPr>
            <w:tcW w:w="3929" w:type="dxa"/>
            <w:shd w:val="clear" w:color="auto" w:fill="auto"/>
          </w:tcPr>
          <w:p w14:paraId="1B868EDB" w14:textId="77777777" w:rsidR="00C85C8B" w:rsidRPr="00C85C8B" w:rsidRDefault="00C85C8B" w:rsidP="00C85C8B">
            <w:pPr>
              <w:rPr>
                <w:rFonts w:ascii="Arial" w:hAnsi="Arial" w:cs="Arial"/>
                <w:sz w:val="22"/>
                <w:lang w:eastAsia="de-DE"/>
              </w:rPr>
            </w:pPr>
            <w:permStart w:id="11734600" w:edGrp="everyone" w:colFirst="1" w:colLast="1"/>
            <w:permEnd w:id="108885406"/>
            <w:r w:rsidRPr="00C85C8B">
              <w:rPr>
                <w:rFonts w:ascii="Arial" w:hAnsi="Arial" w:cs="Arial"/>
                <w:sz w:val="22"/>
                <w:lang w:eastAsia="de-DE"/>
              </w:rPr>
              <w:t>Activity</w:t>
            </w:r>
          </w:p>
        </w:tc>
        <w:tc>
          <w:tcPr>
            <w:tcW w:w="5595" w:type="dxa"/>
            <w:shd w:val="clear" w:color="auto" w:fill="auto"/>
          </w:tcPr>
          <w:p w14:paraId="1423187D" w14:textId="06191302" w:rsidR="00C85C8B" w:rsidRPr="00C85C8B" w:rsidRDefault="00681115" w:rsidP="00C85C8B">
            <w:pPr>
              <w:rPr>
                <w:rFonts w:ascii="Arial" w:hAnsi="Arial" w:cs="Arial"/>
                <w:sz w:val="20"/>
                <w:lang w:eastAsia="de-DE"/>
              </w:rPr>
            </w:pPr>
            <w:sdt>
              <w:sdtPr>
                <w:rPr>
                  <w:rFonts w:ascii="Arial" w:hAnsi="Arial" w:cs="Arial"/>
                  <w:sz w:val="20"/>
                  <w:lang w:eastAsia="de-DE"/>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0D515A">
                  <w:rPr>
                    <w:rFonts w:ascii="Arial" w:hAnsi="Arial" w:cs="Arial"/>
                    <w:sz w:val="20"/>
                    <w:lang w:eastAsia="de-DE"/>
                  </w:rPr>
                  <w:t>Regulated markets/Exchanges/Trading Systems</w:t>
                </w:r>
              </w:sdtContent>
            </w:sdt>
          </w:p>
        </w:tc>
      </w:tr>
      <w:tr w:rsidR="00C85C8B" w:rsidRPr="00C85C8B" w14:paraId="0D216581" w14:textId="77777777" w:rsidTr="00B76FB7">
        <w:tc>
          <w:tcPr>
            <w:tcW w:w="3929" w:type="dxa"/>
            <w:shd w:val="clear" w:color="auto" w:fill="auto"/>
          </w:tcPr>
          <w:p w14:paraId="43B75BA8" w14:textId="77777777" w:rsidR="00C85C8B" w:rsidRPr="00C85C8B" w:rsidRDefault="00C85C8B" w:rsidP="00C85C8B">
            <w:pPr>
              <w:rPr>
                <w:rFonts w:ascii="Arial" w:hAnsi="Arial" w:cs="Arial"/>
                <w:sz w:val="22"/>
                <w:lang w:eastAsia="de-DE"/>
              </w:rPr>
            </w:pPr>
            <w:permStart w:id="310511986" w:edGrp="everyone" w:colFirst="1" w:colLast="1"/>
            <w:permEnd w:id="11734600"/>
            <w:r w:rsidRPr="00C85C8B">
              <w:rPr>
                <w:rFonts w:ascii="Arial" w:hAnsi="Arial" w:cs="Arial"/>
                <w:sz w:val="22"/>
                <w:lang w:eastAsia="de-DE"/>
              </w:rPr>
              <w:t>Are you representing an association?</w:t>
            </w:r>
          </w:p>
        </w:tc>
        <w:sdt>
          <w:sdtPr>
            <w:rPr>
              <w:rFonts w:ascii="Arial" w:hAnsi="Arial" w:cs="Arial"/>
              <w:sz w:val="20"/>
              <w:lang w:eastAsia="de-DE"/>
            </w:rPr>
            <w:id w:val="-242871467"/>
            <w14:checkbox>
              <w14:checked w14:val="1"/>
              <w14:checkedState w14:val="2612" w14:font="MS Gothic"/>
              <w14:uncheckedState w14:val="2610" w14:font="MS Gothic"/>
            </w14:checkbox>
          </w:sdtPr>
          <w:sdtEndPr/>
          <w:sdtContent>
            <w:tc>
              <w:tcPr>
                <w:tcW w:w="5595" w:type="dxa"/>
                <w:shd w:val="clear" w:color="auto" w:fill="auto"/>
              </w:tcPr>
              <w:p w14:paraId="6C4423E1" w14:textId="0AED8B5D" w:rsidR="00C85C8B" w:rsidRPr="00C85C8B" w:rsidRDefault="000D515A" w:rsidP="00C85C8B">
                <w:pPr>
                  <w:rPr>
                    <w:rFonts w:ascii="Arial" w:hAnsi="Arial" w:cs="Arial"/>
                    <w:sz w:val="20"/>
                    <w:lang w:eastAsia="de-DE"/>
                  </w:rPr>
                </w:pPr>
                <w:r>
                  <w:rPr>
                    <w:rFonts w:ascii="MS Gothic" w:eastAsia="MS Gothic" w:hAnsi="MS Gothic" w:cs="Arial" w:hint="eastAsia"/>
                    <w:sz w:val="20"/>
                    <w:lang w:eastAsia="de-DE"/>
                  </w:rPr>
                  <w:t>☒</w:t>
                </w:r>
              </w:p>
            </w:tc>
          </w:sdtContent>
        </w:sdt>
      </w:tr>
      <w:tr w:rsidR="00C85C8B" w:rsidRPr="00C85C8B" w14:paraId="41DA9EA6" w14:textId="77777777" w:rsidTr="00B76FB7">
        <w:tc>
          <w:tcPr>
            <w:tcW w:w="3929" w:type="dxa"/>
            <w:shd w:val="clear" w:color="auto" w:fill="auto"/>
          </w:tcPr>
          <w:p w14:paraId="553FB597" w14:textId="77777777" w:rsidR="00C85C8B" w:rsidRPr="00C85C8B" w:rsidRDefault="00C85C8B" w:rsidP="00C85C8B">
            <w:pPr>
              <w:rPr>
                <w:rFonts w:ascii="Arial" w:hAnsi="Arial" w:cs="Arial"/>
                <w:sz w:val="22"/>
                <w:lang w:eastAsia="de-DE"/>
              </w:rPr>
            </w:pPr>
            <w:permStart w:id="1269442871" w:edGrp="everyone" w:colFirst="1" w:colLast="1"/>
            <w:permEnd w:id="310511986"/>
            <w:r w:rsidRPr="00C85C8B">
              <w:rPr>
                <w:rFonts w:ascii="Arial" w:hAnsi="Arial" w:cs="Arial"/>
                <w:sz w:val="22"/>
                <w:lang w:eastAsia="de-DE"/>
              </w:rPr>
              <w:t>Country/Region</w:t>
            </w:r>
          </w:p>
        </w:tc>
        <w:sdt>
          <w:sdtPr>
            <w:rPr>
              <w:rFonts w:ascii="Arial" w:hAnsi="Arial" w:cs="Arial"/>
              <w:sz w:val="20"/>
              <w:lang w:eastAsia="de-DE"/>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082656BF" w14:textId="2BF2E13D" w:rsidR="00C85C8B" w:rsidRPr="00C85C8B" w:rsidRDefault="000D515A" w:rsidP="00C85C8B">
                <w:pPr>
                  <w:rPr>
                    <w:rFonts w:ascii="Arial" w:hAnsi="Arial" w:cs="Arial"/>
                    <w:sz w:val="20"/>
                    <w:lang w:eastAsia="de-DE"/>
                  </w:rPr>
                </w:pPr>
                <w:r>
                  <w:rPr>
                    <w:rFonts w:ascii="Arial" w:hAnsi="Arial" w:cs="Arial"/>
                    <w:sz w:val="20"/>
                    <w:lang w:eastAsia="de-DE"/>
                  </w:rPr>
                  <w:t>Belgium</w:t>
                </w:r>
              </w:p>
            </w:tc>
          </w:sdtContent>
        </w:sdt>
      </w:tr>
      <w:permEnd w:id="1269442871"/>
    </w:tbl>
    <w:p w14:paraId="7B052828"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FE28F47"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019F5D4E" w14:textId="77777777" w:rsidR="00C85C8B" w:rsidRPr="00C85C8B" w:rsidRDefault="00C85C8B" w:rsidP="00C85C8B">
      <w:pPr>
        <w:spacing w:after="120" w:line="264" w:lineRule="auto"/>
        <w:jc w:val="both"/>
        <w:rPr>
          <w:rFonts w:asciiTheme="minorHAnsi" w:eastAsiaTheme="minorEastAsia" w:hAnsiTheme="minorHAnsi" w:cstheme="minorBidi"/>
          <w:sz w:val="22"/>
          <w:szCs w:val="20"/>
          <w:lang w:eastAsia="en-US"/>
        </w:rPr>
      </w:pPr>
    </w:p>
    <w:p w14:paraId="59CB29E3" w14:textId="77777777" w:rsidR="00C85C8B" w:rsidRPr="00C85C8B" w:rsidRDefault="00C85C8B" w:rsidP="00C85C8B">
      <w:pPr>
        <w:keepNext/>
        <w:keepLines/>
        <w:spacing w:before="320" w:after="250" w:line="276" w:lineRule="auto"/>
        <w:ind w:left="431" w:hanging="431"/>
        <w:jc w:val="both"/>
        <w:outlineLvl w:val="0"/>
        <w:rPr>
          <w:rFonts w:asciiTheme="majorHAnsi" w:eastAsiaTheme="majorEastAsia" w:hAnsiTheme="majorHAnsi" w:cstheme="majorBidi"/>
          <w:b/>
          <w:sz w:val="32"/>
          <w:szCs w:val="32"/>
          <w:lang w:eastAsia="en-US"/>
        </w:rPr>
      </w:pPr>
      <w:r w:rsidRPr="00C85C8B">
        <w:rPr>
          <w:rFonts w:asciiTheme="majorHAnsi" w:eastAsiaTheme="majorEastAsia" w:hAnsiTheme="majorHAnsi" w:cstheme="majorBidi"/>
          <w:b/>
          <w:sz w:val="32"/>
          <w:szCs w:val="32"/>
          <w:lang w:eastAsia="en-US"/>
        </w:rPr>
        <w:t>Introduction</w:t>
      </w:r>
    </w:p>
    <w:p w14:paraId="6212DE47" w14:textId="77777777" w:rsidR="00C85C8B" w:rsidRPr="00C85C8B" w:rsidRDefault="00C85C8B" w:rsidP="00C85C8B">
      <w:pPr>
        <w:spacing w:after="250" w:line="276" w:lineRule="auto"/>
        <w:jc w:val="both"/>
        <w:rPr>
          <w:rFonts w:asciiTheme="minorHAnsi" w:eastAsiaTheme="minorEastAsia" w:hAnsiTheme="minorHAnsi" w:cstheme="minorBidi"/>
          <w:b/>
          <w:bCs/>
          <w:i/>
          <w:iCs/>
          <w:sz w:val="22"/>
          <w:szCs w:val="20"/>
          <w:lang w:eastAsia="en-US"/>
        </w:rPr>
      </w:pPr>
      <w:r w:rsidRPr="00C85C8B">
        <w:rPr>
          <w:rFonts w:asciiTheme="minorHAnsi" w:eastAsiaTheme="minorEastAsia" w:hAnsiTheme="minorHAnsi" w:cstheme="minorBidi"/>
          <w:b/>
          <w:bCs/>
          <w:i/>
          <w:iCs/>
          <w:sz w:val="22"/>
          <w:szCs w:val="20"/>
          <w:lang w:eastAsia="en-US"/>
        </w:rPr>
        <w:t>Please make your introductory comments below, if any</w:t>
      </w:r>
    </w:p>
    <w:p w14:paraId="08E635EB" w14:textId="1BEA8881"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&lt;ESMA_COMMENT_</w:t>
      </w:r>
      <w:r w:rsidR="006B391B">
        <w:rPr>
          <w:rFonts w:asciiTheme="minorHAnsi" w:eastAsiaTheme="minorEastAsia" w:hAnsiTheme="minorHAnsi" w:cstheme="minorBidi"/>
          <w:sz w:val="22"/>
          <w:szCs w:val="20"/>
          <w:lang w:eastAsia="en-US"/>
        </w:rPr>
        <w:t>CD</w:t>
      </w:r>
      <w:r w:rsidRPr="00C85C8B">
        <w:rPr>
          <w:rFonts w:asciiTheme="minorHAnsi" w:eastAsiaTheme="minorEastAsia" w:hAnsiTheme="minorHAnsi" w:cstheme="minorBidi"/>
          <w:sz w:val="22"/>
          <w:szCs w:val="20"/>
          <w:lang w:eastAsia="en-US"/>
        </w:rPr>
        <w:t>_</w:t>
      </w:r>
      <w:r w:rsidR="00D378C9">
        <w:rPr>
          <w:rFonts w:asciiTheme="minorHAnsi" w:eastAsiaTheme="minorEastAsia" w:hAnsiTheme="minorHAnsi" w:cstheme="minorBidi"/>
          <w:sz w:val="22"/>
          <w:szCs w:val="20"/>
          <w:lang w:eastAsia="en-US"/>
        </w:rPr>
        <w:t>0</w:t>
      </w:r>
      <w:r w:rsidR="006B391B">
        <w:rPr>
          <w:rFonts w:asciiTheme="minorHAnsi" w:eastAsiaTheme="minorEastAsia" w:hAnsiTheme="minorHAnsi" w:cstheme="minorBidi"/>
          <w:sz w:val="22"/>
          <w:szCs w:val="20"/>
          <w:lang w:eastAsia="en-US"/>
        </w:rPr>
        <w:t>0</w:t>
      </w:r>
      <w:r w:rsidRPr="00C85C8B">
        <w:rPr>
          <w:rFonts w:asciiTheme="minorHAnsi" w:eastAsiaTheme="minorEastAsia" w:hAnsiTheme="minorHAnsi" w:cstheme="minorBidi"/>
          <w:sz w:val="22"/>
          <w:szCs w:val="20"/>
          <w:lang w:eastAsia="en-US"/>
        </w:rPr>
        <w:t>&gt;</w:t>
      </w:r>
    </w:p>
    <w:p w14:paraId="156E9546" w14:textId="77777777" w:rsidR="000D515A" w:rsidRPr="009B1DFF" w:rsidRDefault="000D515A" w:rsidP="000D515A">
      <w:pPr>
        <w:shd w:val="clear" w:color="auto" w:fill="E7E6E6" w:themeFill="background2"/>
        <w:rPr>
          <w:b/>
          <w:bCs/>
        </w:rPr>
      </w:pPr>
      <w:permStart w:id="885457707" w:edGrp="everyone"/>
      <w:r w:rsidRPr="009B1DFF">
        <w:rPr>
          <w:b/>
          <w:bCs/>
        </w:rPr>
        <w:t>Introductory remarks</w:t>
      </w:r>
    </w:p>
    <w:p w14:paraId="4E616649" w14:textId="77777777" w:rsidR="000D515A" w:rsidRPr="009B1DFF" w:rsidRDefault="000D515A" w:rsidP="000D515A">
      <w:pPr>
        <w:shd w:val="clear" w:color="auto" w:fill="E7E6E6" w:themeFill="background2"/>
      </w:pPr>
    </w:p>
    <w:p w14:paraId="099DDFC8" w14:textId="77777777" w:rsidR="000D515A" w:rsidRPr="009B1DFF" w:rsidRDefault="000D515A" w:rsidP="000D515A">
      <w:pPr>
        <w:shd w:val="clear" w:color="auto" w:fill="E7E6E6" w:themeFill="background2"/>
        <w:jc w:val="both"/>
      </w:pPr>
      <w:r w:rsidRPr="009B1DFF">
        <w:t xml:space="preserve">We welcome the opportunity to provide feedback to ESMA’s draft proposals for the review of RTS 21 and ITS 4 as well as the proposal for </w:t>
      </w:r>
      <w:r>
        <w:t xml:space="preserve">new </w:t>
      </w:r>
      <w:r w:rsidRPr="009B1DFF">
        <w:t xml:space="preserve">technical standards for position management controls. Europex’ members have gained extensive experience with the </w:t>
      </w:r>
      <w:r>
        <w:t xml:space="preserve">implementation of the </w:t>
      </w:r>
      <w:r w:rsidRPr="009B1DFF">
        <w:t xml:space="preserve">MiFID II position </w:t>
      </w:r>
      <w:proofErr w:type="spellStart"/>
      <w:r w:rsidRPr="009B1DFF">
        <w:t>lim</w:t>
      </w:r>
      <w:proofErr w:type="spellEnd"/>
      <w:r w:rsidRPr="0070238E">
        <w:rPr>
          <w:lang w:val="en-US"/>
        </w:rPr>
        <w:t>it</w:t>
      </w:r>
      <w:r>
        <w:rPr>
          <w:lang w:val="en-US"/>
        </w:rPr>
        <w:t>s</w:t>
      </w:r>
      <w:r w:rsidRPr="0070238E">
        <w:rPr>
          <w:lang w:val="en-US"/>
        </w:rPr>
        <w:t xml:space="preserve"> </w:t>
      </w:r>
      <w:r w:rsidRPr="009B1DFF">
        <w:t>regime and position management</w:t>
      </w:r>
      <w:r>
        <w:t xml:space="preserve"> provisions.  We </w:t>
      </w:r>
      <w:r w:rsidRPr="009B1DFF">
        <w:t xml:space="preserve">are </w:t>
      </w:r>
      <w:r>
        <w:t xml:space="preserve">therefore </w:t>
      </w:r>
      <w:r w:rsidRPr="009B1DFF">
        <w:t xml:space="preserve">grateful to be given the opportunity to share some of </w:t>
      </w:r>
      <w:r>
        <w:t>these</w:t>
      </w:r>
      <w:r w:rsidRPr="009B1DFF">
        <w:t xml:space="preserve"> </w:t>
      </w:r>
      <w:r>
        <w:t>insights</w:t>
      </w:r>
      <w:r w:rsidRPr="009B1DFF">
        <w:t xml:space="preserve"> to help further improve the generally positive proposals by ESMA.</w:t>
      </w:r>
      <w:r>
        <w:t xml:space="preserve"> </w:t>
      </w:r>
    </w:p>
    <w:p w14:paraId="089EA64B" w14:textId="77777777" w:rsidR="000D515A" w:rsidRPr="009B1DFF" w:rsidRDefault="000D515A" w:rsidP="000D515A">
      <w:pPr>
        <w:shd w:val="clear" w:color="auto" w:fill="E7E6E6" w:themeFill="background2"/>
        <w:jc w:val="both"/>
      </w:pPr>
    </w:p>
    <w:p w14:paraId="495E4C49" w14:textId="77777777" w:rsidR="000D515A" w:rsidRPr="009B1DFF" w:rsidRDefault="000D515A" w:rsidP="000D515A">
      <w:pPr>
        <w:shd w:val="clear" w:color="auto" w:fill="E7E6E6" w:themeFill="background2"/>
        <w:jc w:val="both"/>
        <w:rPr>
          <w:b/>
          <w:bCs/>
        </w:rPr>
      </w:pPr>
      <w:r w:rsidRPr="009B1DFF">
        <w:rPr>
          <w:b/>
          <w:bCs/>
        </w:rPr>
        <w:t>Re. RTS 21a.</w:t>
      </w:r>
    </w:p>
    <w:p w14:paraId="41A15979" w14:textId="77777777" w:rsidR="000D515A" w:rsidRPr="009B1DFF" w:rsidRDefault="000D515A" w:rsidP="000D515A">
      <w:pPr>
        <w:shd w:val="clear" w:color="auto" w:fill="E7E6E6" w:themeFill="background2"/>
        <w:jc w:val="both"/>
      </w:pPr>
    </w:p>
    <w:p w14:paraId="65F23F56" w14:textId="77777777" w:rsidR="000D515A" w:rsidRPr="009B1DFF" w:rsidRDefault="000D515A" w:rsidP="000D515A">
      <w:pPr>
        <w:shd w:val="clear" w:color="auto" w:fill="E7E6E6" w:themeFill="background2"/>
        <w:jc w:val="both"/>
      </w:pPr>
      <w:r>
        <w:t>Overall, w</w:t>
      </w:r>
      <w:r w:rsidRPr="009B1DFF">
        <w:t xml:space="preserve">e are supportive of the suggested changes and believe they will significantly improve the current position </w:t>
      </w:r>
      <w:r w:rsidRPr="0070238E">
        <w:rPr>
          <w:lang w:val="en-US"/>
        </w:rPr>
        <w:t>limit</w:t>
      </w:r>
      <w:r>
        <w:rPr>
          <w:lang w:val="en-US"/>
        </w:rPr>
        <w:t>s</w:t>
      </w:r>
      <w:r w:rsidRPr="0070238E">
        <w:rPr>
          <w:lang w:val="en-US"/>
        </w:rPr>
        <w:t xml:space="preserve"> regime </w:t>
      </w:r>
      <w:r w:rsidRPr="009B1DFF">
        <w:t xml:space="preserve">for those contracts still subject to it. Particularly for new and less liquid contracts, we believe that the proposals will substantially improve the </w:t>
      </w:r>
      <w:r w:rsidRPr="00274ABD">
        <w:rPr>
          <w:i/>
          <w:iCs/>
        </w:rPr>
        <w:t>status quo</w:t>
      </w:r>
      <w:r w:rsidRPr="009B1DFF">
        <w:t>.</w:t>
      </w:r>
    </w:p>
    <w:p w14:paraId="1974B1EB" w14:textId="77777777" w:rsidR="000D515A" w:rsidRPr="009B1DFF" w:rsidRDefault="000D515A" w:rsidP="000D515A">
      <w:pPr>
        <w:shd w:val="clear" w:color="auto" w:fill="E7E6E6" w:themeFill="background2"/>
        <w:jc w:val="both"/>
      </w:pPr>
    </w:p>
    <w:p w14:paraId="2CDA3886" w14:textId="77777777" w:rsidR="000D515A" w:rsidRPr="009B1DFF" w:rsidRDefault="000D515A" w:rsidP="000D515A">
      <w:pPr>
        <w:shd w:val="clear" w:color="auto" w:fill="E7E6E6" w:themeFill="background2"/>
        <w:jc w:val="both"/>
      </w:pPr>
      <w:r>
        <w:t>However, t</w:t>
      </w:r>
      <w:r w:rsidRPr="009B1DFF">
        <w:t xml:space="preserve">here are two </w:t>
      </w:r>
      <w:r>
        <w:t>proposals that have raised serious concerns. Both relate</w:t>
      </w:r>
      <w:r w:rsidRPr="009B1DFF">
        <w:t xml:space="preserve"> to the case where deliverable supply is substantially higher than open interest:</w:t>
      </w:r>
    </w:p>
    <w:p w14:paraId="4AB73057" w14:textId="77777777" w:rsidR="000D515A" w:rsidRPr="009B1DFF" w:rsidRDefault="000D515A" w:rsidP="000D515A">
      <w:pPr>
        <w:shd w:val="clear" w:color="auto" w:fill="E7E6E6" w:themeFill="background2"/>
        <w:jc w:val="both"/>
      </w:pPr>
    </w:p>
    <w:p w14:paraId="70C65444" w14:textId="77777777" w:rsidR="000D515A" w:rsidRDefault="000D515A" w:rsidP="000D515A">
      <w:pPr>
        <w:shd w:val="clear" w:color="auto" w:fill="E7E6E6" w:themeFill="background2"/>
        <w:jc w:val="both"/>
      </w:pPr>
      <w:r w:rsidRPr="009B1DFF">
        <w:t>1) We strongly disagree with ESMA’s proposal to set the baseline for the spot month position limit based on 25% of open interest instead of</w:t>
      </w:r>
      <w:r>
        <w:t xml:space="preserve"> on 25% of</w:t>
      </w:r>
      <w:r w:rsidRPr="009B1DFF">
        <w:t xml:space="preserve"> deliverable supply. (See </w:t>
      </w:r>
      <w:r>
        <w:t xml:space="preserve">our response to </w:t>
      </w:r>
      <w:r w:rsidRPr="009B1DFF">
        <w:t>Question 9 for further details.)</w:t>
      </w:r>
    </w:p>
    <w:p w14:paraId="039BACAB" w14:textId="77777777" w:rsidR="000D515A" w:rsidRPr="009B1DFF" w:rsidRDefault="000D515A" w:rsidP="000D515A">
      <w:pPr>
        <w:shd w:val="clear" w:color="auto" w:fill="E7E6E6" w:themeFill="background2"/>
        <w:jc w:val="both"/>
      </w:pPr>
    </w:p>
    <w:p w14:paraId="063BC842" w14:textId="77777777" w:rsidR="000D515A" w:rsidRPr="009B1DFF" w:rsidRDefault="000D515A" w:rsidP="000D515A">
      <w:pPr>
        <w:shd w:val="clear" w:color="auto" w:fill="E7E6E6" w:themeFill="background2"/>
        <w:jc w:val="both"/>
      </w:pPr>
      <w:r w:rsidRPr="009B1DFF">
        <w:t>2) We disagree with ESMA’s proposal to adjust the spot month</w:t>
      </w:r>
      <w:r>
        <w:t xml:space="preserve"> position</w:t>
      </w:r>
      <w:r w:rsidRPr="009B1DFF">
        <w:t xml:space="preserve"> limit downwards. (See </w:t>
      </w:r>
      <w:r>
        <w:t xml:space="preserve">our response to </w:t>
      </w:r>
      <w:r w:rsidRPr="009B1DFF">
        <w:t>Question 13 for further details.)</w:t>
      </w:r>
    </w:p>
    <w:p w14:paraId="3E7E3EEE" w14:textId="77777777" w:rsidR="000D515A" w:rsidRPr="009B1DFF" w:rsidRDefault="000D515A" w:rsidP="000D515A">
      <w:pPr>
        <w:shd w:val="clear" w:color="auto" w:fill="E7E6E6" w:themeFill="background2"/>
        <w:jc w:val="both"/>
      </w:pPr>
    </w:p>
    <w:p w14:paraId="0C40F7B9" w14:textId="77777777" w:rsidR="000D515A" w:rsidRPr="009B1DFF" w:rsidRDefault="000D515A" w:rsidP="000D515A">
      <w:pPr>
        <w:shd w:val="clear" w:color="auto" w:fill="E7E6E6" w:themeFill="background2"/>
        <w:jc w:val="both"/>
      </w:pPr>
      <w:r w:rsidRPr="009B1DFF">
        <w:lastRenderedPageBreak/>
        <w:t xml:space="preserve">Both proposals seem to suggest that position limits should be tightened if deliverable supply is substantially higher than open interest. However, such a situation is inherent to markets </w:t>
      </w:r>
      <w:r>
        <w:t>where</w:t>
      </w:r>
      <w:r w:rsidRPr="009B1DFF">
        <w:t xml:space="preserve"> exchange-trading remains underdeveloped (</w:t>
      </w:r>
      <w:proofErr w:type="gramStart"/>
      <w:r w:rsidRPr="009B1DFF">
        <w:t>i.e.</w:t>
      </w:r>
      <w:proofErr w:type="gramEnd"/>
      <w:r w:rsidRPr="009B1DFF">
        <w:t xml:space="preserve"> most commodity derivative markets in Europe) or when the majority of trading takes place on other venues. </w:t>
      </w:r>
      <w:r>
        <w:t>T</w:t>
      </w:r>
      <w:r w:rsidRPr="009B1DFF">
        <w:t xml:space="preserve">here is no increased risk of market manipulation which would justify a tightening of the limit. Moreover, the proposals would again hamper </w:t>
      </w:r>
      <w:r>
        <w:t xml:space="preserve">the further development of </w:t>
      </w:r>
      <w:r w:rsidRPr="009B1DFF">
        <w:t>such illiquid markets. Please see our responses to Questions 9 and 13 for a detailed explanation.</w:t>
      </w:r>
    </w:p>
    <w:p w14:paraId="336C1DB8" w14:textId="77777777" w:rsidR="000D515A" w:rsidRPr="009B1DFF" w:rsidRDefault="000D515A" w:rsidP="000D515A">
      <w:pPr>
        <w:shd w:val="clear" w:color="auto" w:fill="E7E6E6" w:themeFill="background2"/>
        <w:jc w:val="both"/>
      </w:pPr>
    </w:p>
    <w:p w14:paraId="55BCE772" w14:textId="77777777" w:rsidR="000D515A" w:rsidRPr="009B1DFF" w:rsidRDefault="000D515A" w:rsidP="000D515A">
      <w:pPr>
        <w:shd w:val="clear" w:color="auto" w:fill="E7E6E6" w:themeFill="background2"/>
        <w:jc w:val="both"/>
      </w:pPr>
      <w:r w:rsidRPr="009B1DFF">
        <w:t xml:space="preserve">We are particularly supportive of the new </w:t>
      </w:r>
      <w:r w:rsidRPr="009B1DFF">
        <w:rPr>
          <w:i/>
          <w:iCs/>
        </w:rPr>
        <w:t>de minimis</w:t>
      </w:r>
      <w:r w:rsidRPr="009B1DFF">
        <w:t xml:space="preserve"> regime for agricultural contracts, now referring to contracts below 20,000 lots of open interest (and receiving a 10,000 lots threshold). We believe this proposal is essential to allow for less liquid contracts to develop. </w:t>
      </w:r>
    </w:p>
    <w:p w14:paraId="4B07E4D1" w14:textId="77777777" w:rsidR="000D515A" w:rsidRPr="009B1DFF" w:rsidRDefault="000D515A" w:rsidP="000D515A">
      <w:pPr>
        <w:shd w:val="clear" w:color="auto" w:fill="E7E6E6" w:themeFill="background2"/>
        <w:jc w:val="both"/>
      </w:pPr>
    </w:p>
    <w:p w14:paraId="08E20F0E" w14:textId="77777777" w:rsidR="000D515A" w:rsidRPr="009B1DFF" w:rsidRDefault="000D515A" w:rsidP="000D515A">
      <w:pPr>
        <w:shd w:val="clear" w:color="auto" w:fill="E7E6E6" w:themeFill="background2"/>
        <w:jc w:val="both"/>
        <w:rPr>
          <w:b/>
          <w:bCs/>
        </w:rPr>
      </w:pPr>
      <w:r w:rsidRPr="009B1DFF">
        <w:rPr>
          <w:b/>
          <w:bCs/>
        </w:rPr>
        <w:t>Re. ITS4</w:t>
      </w:r>
    </w:p>
    <w:p w14:paraId="6368397E" w14:textId="77777777" w:rsidR="000D515A" w:rsidRPr="009B1DFF" w:rsidRDefault="000D515A" w:rsidP="000D515A">
      <w:pPr>
        <w:shd w:val="clear" w:color="auto" w:fill="E7E6E6" w:themeFill="background2"/>
        <w:jc w:val="both"/>
      </w:pPr>
    </w:p>
    <w:p w14:paraId="30727376" w14:textId="77777777" w:rsidR="000D515A" w:rsidRPr="009B1DFF" w:rsidRDefault="000D515A" w:rsidP="000D515A">
      <w:pPr>
        <w:shd w:val="clear" w:color="auto" w:fill="E7E6E6" w:themeFill="background2"/>
        <w:jc w:val="both"/>
      </w:pPr>
      <w:r w:rsidRPr="009B1DFF">
        <w:t>We support all ESMA proposals.</w:t>
      </w:r>
    </w:p>
    <w:p w14:paraId="31C443CB" w14:textId="77777777" w:rsidR="000D515A" w:rsidRPr="009B1DFF" w:rsidRDefault="000D515A" w:rsidP="000D515A">
      <w:pPr>
        <w:shd w:val="clear" w:color="auto" w:fill="E7E6E6" w:themeFill="background2"/>
        <w:jc w:val="both"/>
      </w:pPr>
    </w:p>
    <w:p w14:paraId="516998FD" w14:textId="77777777" w:rsidR="000D515A" w:rsidRPr="009B1DFF" w:rsidRDefault="000D515A" w:rsidP="000D515A">
      <w:pPr>
        <w:shd w:val="clear" w:color="auto" w:fill="E7E6E6" w:themeFill="background2"/>
        <w:jc w:val="both"/>
        <w:rPr>
          <w:b/>
          <w:bCs/>
        </w:rPr>
      </w:pPr>
      <w:r w:rsidRPr="009B1DFF">
        <w:rPr>
          <w:b/>
          <w:bCs/>
        </w:rPr>
        <w:t>Re. PMCs</w:t>
      </w:r>
    </w:p>
    <w:p w14:paraId="5B1EFE5F" w14:textId="77777777" w:rsidR="000D515A" w:rsidRPr="009B1DFF" w:rsidRDefault="000D515A" w:rsidP="000D515A">
      <w:pPr>
        <w:shd w:val="clear" w:color="auto" w:fill="E7E6E6" w:themeFill="background2"/>
        <w:jc w:val="both"/>
      </w:pPr>
    </w:p>
    <w:p w14:paraId="4F1161E5" w14:textId="7939510F" w:rsidR="000D515A" w:rsidRDefault="000D515A" w:rsidP="000D515A">
      <w:pPr>
        <w:shd w:val="clear" w:color="auto" w:fill="E7E6E6" w:themeFill="background2"/>
        <w:jc w:val="both"/>
        <w:rPr>
          <w:i/>
          <w:iCs/>
        </w:rPr>
      </w:pPr>
      <w:r w:rsidRPr="009B1DFF">
        <w:rPr>
          <w:i/>
          <w:iCs/>
        </w:rPr>
        <w:t>About the objective to specify position management controls</w:t>
      </w:r>
    </w:p>
    <w:p w14:paraId="26E7AADB" w14:textId="0E879363" w:rsidR="000D515A" w:rsidRDefault="000D515A" w:rsidP="000D515A">
      <w:pPr>
        <w:shd w:val="clear" w:color="auto" w:fill="E7E6E6" w:themeFill="background2"/>
        <w:jc w:val="both"/>
        <w:rPr>
          <w:i/>
          <w:iCs/>
        </w:rPr>
      </w:pPr>
    </w:p>
    <w:p w14:paraId="20D47A3B" w14:textId="77777777" w:rsidR="000D515A" w:rsidRPr="009B1DFF" w:rsidRDefault="000D515A" w:rsidP="000D515A">
      <w:pPr>
        <w:shd w:val="clear" w:color="auto" w:fill="E7E6E6" w:themeFill="background2"/>
        <w:jc w:val="both"/>
      </w:pPr>
      <w:r w:rsidRPr="009B1DFF">
        <w:t xml:space="preserve">Regarding position management controls, we acknowledge ESMA’s objective to </w:t>
      </w:r>
      <w:r>
        <w:t>reduce</w:t>
      </w:r>
      <w:r w:rsidRPr="009B1DFF">
        <w:t xml:space="preserve"> the </w:t>
      </w:r>
      <w:r w:rsidRPr="00702FE4">
        <w:rPr>
          <w:lang w:val="en-US"/>
        </w:rPr>
        <w:t xml:space="preserve">possible differences </w:t>
      </w:r>
      <w:r>
        <w:rPr>
          <w:lang w:val="en-US"/>
        </w:rPr>
        <w:t>in the way</w:t>
      </w:r>
      <w:r w:rsidRPr="009B1DFF">
        <w:t xml:space="preserve"> positions are managed by trading venues and increase their harmonisation. </w:t>
      </w:r>
      <w:r>
        <w:t>Against this background</w:t>
      </w:r>
      <w:r w:rsidRPr="009B1DFF">
        <w:t xml:space="preserve">, we </w:t>
      </w:r>
      <w:r>
        <w:t>have</w:t>
      </w:r>
      <w:r w:rsidRPr="009B1DFF">
        <w:t xml:space="preserve"> note</w:t>
      </w:r>
      <w:r>
        <w:t>d</w:t>
      </w:r>
      <w:r w:rsidRPr="009B1DFF">
        <w:t xml:space="preserve"> that ESMA’s analysis does not </w:t>
      </w:r>
      <w:r>
        <w:t xml:space="preserve">primarily </w:t>
      </w:r>
      <w:r w:rsidRPr="009B1DFF">
        <w:t xml:space="preserve">cover the position management controls implemented by EU commodity derivative trading venues but </w:t>
      </w:r>
      <w:r>
        <w:t>rather those</w:t>
      </w:r>
      <w:r w:rsidRPr="009B1DFF">
        <w:t xml:space="preserve"> implemented by non-EU venues.</w:t>
      </w:r>
      <w:r w:rsidRPr="00C16F9B" w:rsidDel="00C16F9B">
        <w:t xml:space="preserve"> </w:t>
      </w:r>
    </w:p>
    <w:p w14:paraId="1261FCE8" w14:textId="77777777" w:rsidR="000D515A" w:rsidRPr="009B1DFF" w:rsidRDefault="000D515A" w:rsidP="000D515A">
      <w:pPr>
        <w:shd w:val="clear" w:color="auto" w:fill="E7E6E6" w:themeFill="background2"/>
        <w:jc w:val="both"/>
      </w:pPr>
    </w:p>
    <w:p w14:paraId="54301118" w14:textId="77777777" w:rsidR="000D515A" w:rsidRPr="009B1DFF" w:rsidRDefault="000D515A" w:rsidP="000D515A">
      <w:pPr>
        <w:shd w:val="clear" w:color="auto" w:fill="E7E6E6" w:themeFill="background2"/>
        <w:jc w:val="both"/>
        <w:rPr>
          <w:i/>
          <w:iCs/>
        </w:rPr>
      </w:pPr>
      <w:r w:rsidRPr="009B1DFF">
        <w:rPr>
          <w:i/>
          <w:iCs/>
        </w:rPr>
        <w:t>How did EU venues implement MiFID II PMCs?</w:t>
      </w:r>
    </w:p>
    <w:p w14:paraId="530CA421" w14:textId="77777777" w:rsidR="000D515A" w:rsidRPr="009B1DFF" w:rsidRDefault="000D515A" w:rsidP="000D515A">
      <w:pPr>
        <w:shd w:val="clear" w:color="auto" w:fill="E7E6E6" w:themeFill="background2"/>
        <w:jc w:val="both"/>
      </w:pPr>
    </w:p>
    <w:p w14:paraId="27015ABC" w14:textId="77777777" w:rsidR="000D515A" w:rsidRPr="009B1DFF" w:rsidRDefault="000D515A" w:rsidP="000D515A">
      <w:pPr>
        <w:shd w:val="clear" w:color="auto" w:fill="E7E6E6" w:themeFill="background2"/>
        <w:jc w:val="both"/>
      </w:pPr>
      <w:r w:rsidRPr="009B1DFF">
        <w:t>Generally, Europex members have considered the position management controls in MiFID II Art. 57 par</w:t>
      </w:r>
      <w:r>
        <w:t>a</w:t>
      </w:r>
      <w:r w:rsidRPr="009B1DFF">
        <w:t>. 8 as powers to monitor positions, request more information about th</w:t>
      </w:r>
      <w:r>
        <w:t>e</w:t>
      </w:r>
      <w:r w:rsidRPr="009B1DFF">
        <w:t xml:space="preserve">se positions and, if needed, intervene by requiring </w:t>
      </w:r>
      <w:r>
        <w:t>a</w:t>
      </w:r>
      <w:r w:rsidRPr="009B1DFF">
        <w:t xml:space="preserve"> reduc</w:t>
      </w:r>
      <w:r>
        <w:t>tion of</w:t>
      </w:r>
      <w:r w:rsidRPr="009B1DFF">
        <w:t xml:space="preserve"> the respective position and/or bring</w:t>
      </w:r>
      <w:r>
        <w:t>ing</w:t>
      </w:r>
      <w:r w:rsidRPr="009B1DFF">
        <w:t xml:space="preserve"> liquidity back into the market. </w:t>
      </w:r>
      <w:r>
        <w:t>If it had not already been the case, t</w:t>
      </w:r>
      <w:r w:rsidRPr="009B1DFF">
        <w:t xml:space="preserve">he powers have typically been implemented via </w:t>
      </w:r>
      <w:r>
        <w:t>our</w:t>
      </w:r>
      <w:r w:rsidRPr="009B1DFF">
        <w:t xml:space="preserve"> members’ rulebooks and </w:t>
      </w:r>
      <w:r>
        <w:t xml:space="preserve">are </w:t>
      </w:r>
      <w:r w:rsidRPr="009B1DFF">
        <w:t xml:space="preserve">operated by the respective Market Surveillance </w:t>
      </w:r>
      <w:r>
        <w:t>D</w:t>
      </w:r>
      <w:r w:rsidRPr="009B1DFF">
        <w:t xml:space="preserve">epartments. </w:t>
      </w:r>
    </w:p>
    <w:p w14:paraId="7A02A27A" w14:textId="77777777" w:rsidR="000D515A" w:rsidRPr="009B1DFF" w:rsidRDefault="000D515A" w:rsidP="000D515A">
      <w:pPr>
        <w:shd w:val="clear" w:color="auto" w:fill="E7E6E6" w:themeFill="background2"/>
        <w:jc w:val="both"/>
      </w:pPr>
    </w:p>
    <w:p w14:paraId="52202DC3" w14:textId="77777777" w:rsidR="000D515A" w:rsidRDefault="000D515A" w:rsidP="000D515A">
      <w:pPr>
        <w:shd w:val="clear" w:color="auto" w:fill="E7E6E6" w:themeFill="background2"/>
        <w:jc w:val="both"/>
      </w:pPr>
      <w:r w:rsidRPr="009B1DFF">
        <w:t xml:space="preserve">As a reminder, </w:t>
      </w:r>
      <w:r>
        <w:t xml:space="preserve">trading venues monitor and investigate positions via, for example, the use of information requests. However, information about </w:t>
      </w:r>
      <w:r w:rsidRPr="009B1DFF">
        <w:t xml:space="preserve">positions alone </w:t>
      </w:r>
      <w:r w:rsidRPr="00024442">
        <w:t xml:space="preserve">generally </w:t>
      </w:r>
      <w:r w:rsidRPr="009B1DFF">
        <w:t>do</w:t>
      </w:r>
      <w:r>
        <w:t>es</w:t>
      </w:r>
      <w:r w:rsidRPr="009B1DFF">
        <w:t xml:space="preserve"> not </w:t>
      </w:r>
      <w:r w:rsidRPr="0015614E">
        <w:t xml:space="preserve">give </w:t>
      </w:r>
      <w:r>
        <w:t xml:space="preserve">sufficient </w:t>
      </w:r>
      <w:r w:rsidRPr="009B1DFF">
        <w:t xml:space="preserve">indication </w:t>
      </w:r>
      <w:r>
        <w:t>about possible</w:t>
      </w:r>
      <w:r w:rsidRPr="009B1DFF">
        <w:t xml:space="preserve"> market manipulation</w:t>
      </w:r>
      <w:r w:rsidRPr="0015614E">
        <w:t xml:space="preserve">. </w:t>
      </w:r>
      <w:bookmarkStart w:id="1" w:name="_Hlk77104257"/>
      <w:r w:rsidRPr="00977616">
        <w:t xml:space="preserve">The </w:t>
      </w:r>
      <w:r w:rsidRPr="0015614E">
        <w:t xml:space="preserve">detection and prevention of market abuse is primarily </w:t>
      </w:r>
      <w:r w:rsidRPr="009B1DFF">
        <w:t xml:space="preserve">based on the </w:t>
      </w:r>
      <w:r>
        <w:t xml:space="preserve">constant </w:t>
      </w:r>
      <w:r w:rsidRPr="009B1DFF">
        <w:t>monitoring of trading behaviour (</w:t>
      </w:r>
      <w:proofErr w:type="gramStart"/>
      <w:r w:rsidRPr="009B1DFF">
        <w:t>i.e.</w:t>
      </w:r>
      <w:proofErr w:type="gramEnd"/>
      <w:r w:rsidRPr="009B1DFF">
        <w:t xml:space="preserve"> orders and trades)</w:t>
      </w:r>
      <w:r>
        <w:t xml:space="preserve"> i</w:t>
      </w:r>
      <w:bookmarkEnd w:id="1"/>
      <w:r>
        <w:t>n a specific market</w:t>
      </w:r>
      <w:r w:rsidRPr="009B1DFF">
        <w:t xml:space="preserve">. </w:t>
      </w:r>
      <w:r>
        <w:t xml:space="preserve"> </w:t>
      </w:r>
    </w:p>
    <w:p w14:paraId="37886D07" w14:textId="77777777" w:rsidR="000D515A" w:rsidRPr="009B1DFF" w:rsidRDefault="000D515A" w:rsidP="000D515A">
      <w:pPr>
        <w:shd w:val="clear" w:color="auto" w:fill="E7E6E6" w:themeFill="background2"/>
        <w:jc w:val="both"/>
      </w:pPr>
    </w:p>
    <w:p w14:paraId="07CB818F" w14:textId="77777777" w:rsidR="000D515A" w:rsidRDefault="000D515A" w:rsidP="000D515A">
      <w:pPr>
        <w:shd w:val="clear" w:color="auto" w:fill="E7E6E6" w:themeFill="background2"/>
        <w:jc w:val="both"/>
      </w:pPr>
      <w:r w:rsidRPr="009B1DFF">
        <w:t xml:space="preserve">The same is </w:t>
      </w:r>
      <w:r>
        <w:t>true</w:t>
      </w:r>
      <w:r w:rsidRPr="009B1DFF">
        <w:t xml:space="preserve"> for orderly pricing and settlement: </w:t>
      </w:r>
      <w:r>
        <w:t>n</w:t>
      </w:r>
      <w:r w:rsidRPr="009B1DFF">
        <w:t xml:space="preserve">ot open positions but trading activities affect orderly pricing and settlement. </w:t>
      </w:r>
      <w:r>
        <w:t>In particular,</w:t>
      </w:r>
      <w:r w:rsidRPr="009B1DFF">
        <w:t xml:space="preserve"> the settlement price is based on order prices, trade prices or fair values and is entirely independent of </w:t>
      </w:r>
      <w:r>
        <w:t>the</w:t>
      </w:r>
      <w:r w:rsidRPr="009B1DFF">
        <w:t xml:space="preserve"> positions</w:t>
      </w:r>
      <w:r>
        <w:t xml:space="preserve"> of market participants</w:t>
      </w:r>
      <w:r w:rsidRPr="009B1DFF">
        <w:t xml:space="preserve">. Hence, orderly pricing and settlement </w:t>
      </w:r>
      <w:r>
        <w:t>are</w:t>
      </w:r>
      <w:r w:rsidRPr="009B1DFF">
        <w:t xml:space="preserve"> primarily ensured through the surveillance of orders, </w:t>
      </w:r>
      <w:proofErr w:type="gramStart"/>
      <w:r w:rsidRPr="009B1DFF">
        <w:t>trades</w:t>
      </w:r>
      <w:proofErr w:type="gramEnd"/>
      <w:r w:rsidRPr="009B1DFF">
        <w:t xml:space="preserve"> and the prices thereof.</w:t>
      </w:r>
    </w:p>
    <w:p w14:paraId="25360086" w14:textId="77777777" w:rsidR="000D515A" w:rsidRPr="0015614E" w:rsidRDefault="000D515A" w:rsidP="000D515A">
      <w:pPr>
        <w:shd w:val="clear" w:color="auto" w:fill="E7E6E6" w:themeFill="background2"/>
        <w:jc w:val="both"/>
      </w:pPr>
    </w:p>
    <w:p w14:paraId="23BEE9A7" w14:textId="77777777" w:rsidR="000D515A" w:rsidRDefault="000D515A" w:rsidP="000D515A">
      <w:pPr>
        <w:shd w:val="clear" w:color="auto" w:fill="E7E6E6" w:themeFill="background2"/>
        <w:jc w:val="both"/>
      </w:pPr>
      <w:bookmarkStart w:id="2" w:name="_Hlk76468160"/>
      <w:r>
        <w:lastRenderedPageBreak/>
        <w:t xml:space="preserve">These practices are in line with the </w:t>
      </w:r>
      <w:r w:rsidRPr="003E7CBC">
        <w:t xml:space="preserve">existing regulatory frameworks set out in the </w:t>
      </w:r>
      <w:r>
        <w:t xml:space="preserve">EU </w:t>
      </w:r>
      <w:r w:rsidRPr="003E7CBC">
        <w:t xml:space="preserve">Market Abuse Regulation (MAR) and the </w:t>
      </w:r>
      <w:r>
        <w:t xml:space="preserve">EU </w:t>
      </w:r>
      <w:r w:rsidRPr="003E7CBC">
        <w:t xml:space="preserve">Regulation on Energy </w:t>
      </w:r>
      <w:r>
        <w:t xml:space="preserve">Wholesale </w:t>
      </w:r>
      <w:r w:rsidRPr="003E7CBC">
        <w:t>Market Integrity and Transparency (REMIT).</w:t>
      </w:r>
      <w:r>
        <w:t xml:space="preserve"> </w:t>
      </w:r>
    </w:p>
    <w:p w14:paraId="6E165E64" w14:textId="77777777" w:rsidR="000D515A" w:rsidRPr="0015614E" w:rsidRDefault="000D515A" w:rsidP="000D515A">
      <w:pPr>
        <w:shd w:val="clear" w:color="auto" w:fill="E7E6E6" w:themeFill="background2"/>
        <w:jc w:val="both"/>
      </w:pPr>
    </w:p>
    <w:p w14:paraId="6B302167" w14:textId="77777777" w:rsidR="000D515A" w:rsidRDefault="000D515A" w:rsidP="000D515A">
      <w:pPr>
        <w:shd w:val="clear" w:color="auto" w:fill="E7E6E6" w:themeFill="background2"/>
        <w:jc w:val="both"/>
        <w:rPr>
          <w:i/>
          <w:iCs/>
        </w:rPr>
      </w:pPr>
      <w:r w:rsidRPr="007A6CEF">
        <w:rPr>
          <w:i/>
          <w:iCs/>
        </w:rPr>
        <w:t>ESMA’s proposal on PMCs</w:t>
      </w:r>
    </w:p>
    <w:p w14:paraId="307E6F05" w14:textId="77777777" w:rsidR="000D515A" w:rsidRPr="007A6CEF" w:rsidRDefault="000D515A" w:rsidP="000D515A">
      <w:pPr>
        <w:shd w:val="clear" w:color="auto" w:fill="E7E6E6" w:themeFill="background2"/>
        <w:jc w:val="both"/>
        <w:rPr>
          <w:i/>
          <w:iCs/>
        </w:rPr>
      </w:pPr>
    </w:p>
    <w:p w14:paraId="7D75DD5E" w14:textId="77777777" w:rsidR="000D515A" w:rsidRPr="009B1DFF" w:rsidRDefault="000D515A" w:rsidP="000D515A">
      <w:pPr>
        <w:shd w:val="clear" w:color="auto" w:fill="E7E6E6" w:themeFill="background2"/>
        <w:jc w:val="both"/>
      </w:pPr>
      <w:r>
        <w:t xml:space="preserve">As mentioned above, </w:t>
      </w:r>
      <w:r w:rsidRPr="009B1DFF">
        <w:t xml:space="preserve">Europex members have implemented </w:t>
      </w:r>
      <w:r>
        <w:t xml:space="preserve">position management </w:t>
      </w:r>
      <w:r w:rsidRPr="009B1DFF">
        <w:t>controls as part of</w:t>
      </w:r>
      <w:r>
        <w:t xml:space="preserve"> wider, </w:t>
      </w:r>
      <w:r w:rsidRPr="009B1DFF">
        <w:t>sophisticated market surveillance arrangements which have proven to be effective in preventing market manipulation and ensuring orderly pricing and settlement.</w:t>
      </w:r>
    </w:p>
    <w:bookmarkEnd w:id="2"/>
    <w:p w14:paraId="2DBA5516" w14:textId="77777777" w:rsidR="000D515A" w:rsidRPr="009B1DFF" w:rsidRDefault="000D515A" w:rsidP="000D515A">
      <w:pPr>
        <w:shd w:val="clear" w:color="auto" w:fill="E7E6E6" w:themeFill="background2"/>
        <w:jc w:val="both"/>
      </w:pPr>
    </w:p>
    <w:p w14:paraId="605F033C" w14:textId="77777777" w:rsidR="000D515A" w:rsidRPr="009B1DFF" w:rsidRDefault="000D515A" w:rsidP="000D515A">
      <w:pPr>
        <w:shd w:val="clear" w:color="auto" w:fill="E7E6E6" w:themeFill="background2"/>
        <w:jc w:val="both"/>
      </w:pPr>
      <w:r w:rsidRPr="000E5913">
        <w:t xml:space="preserve">If ESMA </w:t>
      </w:r>
      <w:r>
        <w:t>were</w:t>
      </w:r>
      <w:r w:rsidRPr="000E5913">
        <w:t xml:space="preserve"> to maintain its proposal to require trading venues to set accountability levels in addition to the existing regulatory frameworks for the prevention of market abuse (</w:t>
      </w:r>
      <w:proofErr w:type="gramStart"/>
      <w:r w:rsidRPr="000E5913">
        <w:t>e.g.</w:t>
      </w:r>
      <w:proofErr w:type="gramEnd"/>
      <w:r w:rsidRPr="000E5913">
        <w:t xml:space="preserve"> MAR and REMIT), we believe that ESMA should at least introduce the necessary discretion for </w:t>
      </w:r>
      <w:r w:rsidRPr="009B1DFF">
        <w:t>trading venue</w:t>
      </w:r>
      <w:r>
        <w:t>s</w:t>
      </w:r>
      <w:r w:rsidRPr="009B1DFF">
        <w:t xml:space="preserve"> to set </w:t>
      </w:r>
      <w:r>
        <w:t>these</w:t>
      </w:r>
      <w:r w:rsidRPr="009B1DFF">
        <w:t xml:space="preserve"> accountability levels</w:t>
      </w:r>
      <w:r>
        <w:t xml:space="preserve"> as they deem appropriate. If not,</w:t>
      </w:r>
      <w:r w:rsidRPr="0049640A">
        <w:t xml:space="preserve"> the </w:t>
      </w:r>
      <w:r>
        <w:t>accountability levels</w:t>
      </w:r>
      <w:r w:rsidRPr="0049640A">
        <w:t xml:space="preserve"> are likely to put a </w:t>
      </w:r>
      <w:r>
        <w:t>disproportionate</w:t>
      </w:r>
      <w:r w:rsidRPr="0049640A">
        <w:t xml:space="preserve"> compliance burden on both the exchanges’ market surveillance departments and trading participants’ compliance departments.</w:t>
      </w:r>
      <w:r w:rsidRPr="009B1DFF">
        <w:t xml:space="preserve"> </w:t>
      </w:r>
    </w:p>
    <w:p w14:paraId="380BF142" w14:textId="77777777" w:rsidR="000D515A" w:rsidRPr="009B1DFF" w:rsidRDefault="000D515A" w:rsidP="000D515A">
      <w:pPr>
        <w:shd w:val="clear" w:color="auto" w:fill="E7E6E6" w:themeFill="background2"/>
        <w:jc w:val="both"/>
      </w:pPr>
    </w:p>
    <w:p w14:paraId="5709CEF2" w14:textId="77777777" w:rsidR="000D515A" w:rsidRPr="009B1DFF" w:rsidRDefault="000D515A" w:rsidP="000D515A">
      <w:pPr>
        <w:shd w:val="clear" w:color="auto" w:fill="E7E6E6" w:themeFill="background2"/>
        <w:jc w:val="both"/>
      </w:pPr>
      <w:r w:rsidRPr="009B1DFF">
        <w:t xml:space="preserve">Trading venues are best placed to conduct these tasks as position management regimes need to be </w:t>
      </w:r>
      <w:r>
        <w:t>carefully</w:t>
      </w:r>
      <w:r w:rsidRPr="009B1DFF">
        <w:t xml:space="preserve"> calibrated and tailored to the </w:t>
      </w:r>
      <w:r w:rsidRPr="003B6D5D">
        <w:t xml:space="preserve">individual </w:t>
      </w:r>
      <w:r w:rsidRPr="009B1DFF">
        <w:t>circumstances of each trading venue</w:t>
      </w:r>
      <w:r>
        <w:t>,</w:t>
      </w:r>
      <w:r>
        <w:t xml:space="preserve"> </w:t>
      </w:r>
      <w:r>
        <w:t xml:space="preserve">including </w:t>
      </w:r>
      <w:r w:rsidRPr="009B1DFF">
        <w:t xml:space="preserve">the nature of its membership </w:t>
      </w:r>
      <w:r>
        <w:t>as well as</w:t>
      </w:r>
      <w:r w:rsidRPr="009B1DFF">
        <w:t xml:space="preserve"> the characteristics and underlying markets of </w:t>
      </w:r>
      <w:r>
        <w:t xml:space="preserve">the </w:t>
      </w:r>
      <w:r w:rsidRPr="009B1DFF">
        <w:t xml:space="preserve">contracts it </w:t>
      </w:r>
      <w:r>
        <w:t>offers for</w:t>
      </w:r>
      <w:r w:rsidRPr="009B1DFF">
        <w:t xml:space="preserve"> trading. There is no ‘one size fits all’ position management regime</w:t>
      </w:r>
      <w:r>
        <w:t xml:space="preserve"> that would be suitable for all trading venues</w:t>
      </w:r>
      <w:r w:rsidRPr="009B1DFF">
        <w:t xml:space="preserve">. </w:t>
      </w:r>
    </w:p>
    <w:p w14:paraId="2E55116D" w14:textId="77777777" w:rsidR="000D515A" w:rsidRPr="009B1DFF" w:rsidRDefault="000D515A" w:rsidP="000D515A">
      <w:pPr>
        <w:shd w:val="clear" w:color="auto" w:fill="E7E6E6" w:themeFill="background2"/>
        <w:jc w:val="both"/>
      </w:pPr>
    </w:p>
    <w:p w14:paraId="108A5193" w14:textId="77777777" w:rsidR="000D515A" w:rsidRPr="009B1DFF" w:rsidRDefault="000D515A" w:rsidP="000D515A">
      <w:pPr>
        <w:shd w:val="clear" w:color="auto" w:fill="E7E6E6" w:themeFill="background2"/>
        <w:jc w:val="both"/>
      </w:pPr>
      <w:r w:rsidRPr="009B1DFF">
        <w:t xml:space="preserve">The recent amendments </w:t>
      </w:r>
      <w:r>
        <w:t>introduced by the</w:t>
      </w:r>
      <w:r w:rsidRPr="009B1DFF">
        <w:t xml:space="preserve"> MiFID II Quick Fix acknowledge this by </w:t>
      </w:r>
      <w:r>
        <w:t xml:space="preserve">taking a venue-centred approach for the </w:t>
      </w:r>
      <w:r w:rsidRPr="009B1DFF">
        <w:t>design of position management controls, granting trading venues additional powers to</w:t>
      </w:r>
      <w:r>
        <w:t>,</w:t>
      </w:r>
      <w:r w:rsidRPr="009B1DFF">
        <w:t xml:space="preserve"> among others</w:t>
      </w:r>
      <w:r>
        <w:t>,</w:t>
      </w:r>
      <w:r w:rsidRPr="009B1DFF">
        <w:t xml:space="preserve"> obtain information from market participants and, where appropriate, from other </w:t>
      </w:r>
      <w:r>
        <w:t xml:space="preserve">trading </w:t>
      </w:r>
      <w:r w:rsidRPr="009B1DFF">
        <w:t xml:space="preserve">venues. These powers can be used by trading venues as part of their position management controls in the context of a trading venue’s broader market surveillance responsibility to guarantee fair and orderly </w:t>
      </w:r>
      <w:r>
        <w:t>trading</w:t>
      </w:r>
      <w:r w:rsidRPr="009B1DFF">
        <w:t>. The</w:t>
      </w:r>
      <w:r>
        <w:t xml:space="preserve"> recent Quick Fix</w:t>
      </w:r>
      <w:r w:rsidRPr="009B1DFF">
        <w:t xml:space="preserve"> amendments to MiFID II also </w:t>
      </w:r>
      <w:r>
        <w:t>give a mandate</w:t>
      </w:r>
      <w:r w:rsidRPr="009B1DFF">
        <w:t xml:space="preserve"> </w:t>
      </w:r>
      <w:r>
        <w:t>to</w:t>
      </w:r>
      <w:r w:rsidRPr="009B1DFF">
        <w:t xml:space="preserve"> ESMA to develop draft regulatory technical standards to </w:t>
      </w:r>
      <w:r>
        <w:t xml:space="preserve">further </w:t>
      </w:r>
      <w:r w:rsidRPr="009B1DFF">
        <w:t>specify the position management controls</w:t>
      </w:r>
      <w:r>
        <w:t>.</w:t>
      </w:r>
      <w:r w:rsidRPr="009B1DFF">
        <w:t xml:space="preserve"> </w:t>
      </w:r>
      <w:r>
        <w:t xml:space="preserve">This mandate clearly stipulates that </w:t>
      </w:r>
      <w:r w:rsidRPr="009B1DFF">
        <w:t xml:space="preserve">the characteristics of the </w:t>
      </w:r>
      <w:r w:rsidRPr="00742A92">
        <w:rPr>
          <w:lang w:val="en-US"/>
        </w:rPr>
        <w:t>trading venues concerned</w:t>
      </w:r>
      <w:r w:rsidRPr="00C62F61">
        <w:t xml:space="preserve"> </w:t>
      </w:r>
      <w:r>
        <w:t xml:space="preserve">need to be </w:t>
      </w:r>
      <w:proofErr w:type="gramStart"/>
      <w:r>
        <w:t xml:space="preserve">taken </w:t>
      </w:r>
      <w:r w:rsidRPr="00AB43BA">
        <w:t>into account</w:t>
      </w:r>
      <w:proofErr w:type="gramEnd"/>
      <w:r w:rsidRPr="009B1DFF">
        <w:t>.</w:t>
      </w:r>
    </w:p>
    <w:p w14:paraId="2568391D" w14:textId="77777777" w:rsidR="000D515A" w:rsidRPr="009B1DFF" w:rsidRDefault="000D515A" w:rsidP="000D515A">
      <w:pPr>
        <w:shd w:val="clear" w:color="auto" w:fill="E7E6E6" w:themeFill="background2"/>
        <w:jc w:val="both"/>
      </w:pPr>
    </w:p>
    <w:p w14:paraId="2A63D6AB" w14:textId="77777777" w:rsidR="000D515A" w:rsidRPr="009B1DFF" w:rsidRDefault="000D515A" w:rsidP="000D515A">
      <w:pPr>
        <w:shd w:val="clear" w:color="auto" w:fill="E7E6E6" w:themeFill="background2"/>
        <w:jc w:val="both"/>
      </w:pPr>
      <w:r>
        <w:t>With a view to the present draft proposals</w:t>
      </w:r>
      <w:r w:rsidRPr="009B1DFF">
        <w:t>, we are concerned that</w:t>
      </w:r>
      <w:r>
        <w:t xml:space="preserve"> </w:t>
      </w:r>
      <w:r w:rsidRPr="009B1DFF">
        <w:t xml:space="preserve">the position management controls proposed by ESMA reflect a </w:t>
      </w:r>
      <w:r>
        <w:t xml:space="preserve">prescriptive </w:t>
      </w:r>
      <w:r w:rsidRPr="009B1DFF">
        <w:t xml:space="preserve">requirement </w:t>
      </w:r>
      <w:r>
        <w:t xml:space="preserve">rather </w:t>
      </w:r>
      <w:r w:rsidRPr="009B1DFF">
        <w:t xml:space="preserve">than a </w:t>
      </w:r>
      <w:r>
        <w:t xml:space="preserve">useful, tailormade </w:t>
      </w:r>
      <w:r w:rsidRPr="009B1DFF">
        <w:t>power for trading venues</w:t>
      </w:r>
      <w:r>
        <w:t xml:space="preserve"> for market surveillance purposes</w:t>
      </w:r>
      <w:r w:rsidRPr="009B1DFF">
        <w:t xml:space="preserve">, as intended by the Level 1 text. </w:t>
      </w:r>
    </w:p>
    <w:p w14:paraId="532F1C63" w14:textId="77777777" w:rsidR="000D515A" w:rsidRPr="009B1DFF" w:rsidRDefault="000D515A" w:rsidP="000D515A">
      <w:pPr>
        <w:shd w:val="clear" w:color="auto" w:fill="E7E6E6" w:themeFill="background2"/>
        <w:jc w:val="both"/>
      </w:pPr>
    </w:p>
    <w:p w14:paraId="5160D9A1" w14:textId="77777777" w:rsidR="000D515A" w:rsidRPr="009B1DFF" w:rsidRDefault="000D515A" w:rsidP="000D515A">
      <w:pPr>
        <w:shd w:val="clear" w:color="auto" w:fill="E7E6E6" w:themeFill="background2"/>
        <w:jc w:val="both"/>
      </w:pPr>
      <w:r w:rsidRPr="009B1DFF">
        <w:t xml:space="preserve">In Article 2 (1) of the new draft RTS on position management controls, ESMA </w:t>
      </w:r>
      <w:r>
        <w:t>proposes</w:t>
      </w:r>
      <w:r w:rsidRPr="009B1DFF">
        <w:t xml:space="preserve"> the obligation for trading venues to set accountability levels</w:t>
      </w:r>
      <w:r w:rsidRPr="0082495A">
        <w:t xml:space="preserve">. </w:t>
      </w:r>
      <w:r w:rsidRPr="009B1DFF">
        <w:t>In the following paragraph</w:t>
      </w:r>
      <w:r>
        <w:t>,</w:t>
      </w:r>
      <w:r w:rsidRPr="009B1DFF">
        <w:t xml:space="preserve"> Article 2</w:t>
      </w:r>
      <w:r>
        <w:t xml:space="preserve"> </w:t>
      </w:r>
      <w:r w:rsidRPr="009B1DFF">
        <w:t xml:space="preserve">(2), ESMA subsequently </w:t>
      </w:r>
      <w:r>
        <w:t>suggests requiring</w:t>
      </w:r>
      <w:r w:rsidRPr="009B1DFF">
        <w:t xml:space="preserve"> </w:t>
      </w:r>
      <w:r>
        <w:t xml:space="preserve">trading </w:t>
      </w:r>
      <w:r w:rsidRPr="009B1DFF">
        <w:t xml:space="preserve">venues to request additional information from persons </w:t>
      </w:r>
      <w:r>
        <w:t>regarding</w:t>
      </w:r>
      <w:r w:rsidRPr="009B1DFF">
        <w:t xml:space="preserve"> the nature and purpose of the position each time an accountability level is breached. Article 2(3) of the draft RTS </w:t>
      </w:r>
      <w:r>
        <w:t xml:space="preserve">would </w:t>
      </w:r>
      <w:r w:rsidRPr="009B1DFF">
        <w:t xml:space="preserve">also require a trading venue to exercise its power to request a substantial amount of information </w:t>
      </w:r>
      <w:r w:rsidRPr="00120B73">
        <w:t>with every breach of an accountability level</w:t>
      </w:r>
      <w:r>
        <w:t>.</w:t>
      </w:r>
      <w:r w:rsidRPr="0034331D">
        <w:t xml:space="preserve"> </w:t>
      </w:r>
      <w:r>
        <w:t xml:space="preserve">This would </w:t>
      </w:r>
      <w:r w:rsidRPr="009B1DFF">
        <w:t>includ</w:t>
      </w:r>
      <w:r>
        <w:t>e</w:t>
      </w:r>
      <w:r w:rsidRPr="009B1DFF">
        <w:t xml:space="preserve"> all relevant documentation from persons about the size and purpose of a position or exposure </w:t>
      </w:r>
      <w:proofErr w:type="gramStart"/>
      <w:r w:rsidRPr="009B1DFF">
        <w:t>entered into</w:t>
      </w:r>
      <w:proofErr w:type="gramEnd"/>
      <w:r w:rsidRPr="009B1DFF">
        <w:t xml:space="preserve">, information about beneficial or underlying owners, any concert arrangements and any related assets or liabilities in the underlying market. </w:t>
      </w:r>
    </w:p>
    <w:p w14:paraId="0B89E343" w14:textId="77777777" w:rsidR="000D515A" w:rsidRPr="009B1DFF" w:rsidRDefault="000D515A" w:rsidP="000D515A">
      <w:pPr>
        <w:shd w:val="clear" w:color="auto" w:fill="E7E6E6" w:themeFill="background2"/>
        <w:jc w:val="both"/>
      </w:pPr>
    </w:p>
    <w:p w14:paraId="43E038C9" w14:textId="77777777" w:rsidR="000D515A" w:rsidRDefault="000D515A" w:rsidP="000D515A">
      <w:pPr>
        <w:shd w:val="clear" w:color="auto" w:fill="E7E6E6" w:themeFill="background2"/>
      </w:pPr>
      <w:r>
        <w:t>The suggested</w:t>
      </w:r>
      <w:r w:rsidRPr="009B1DFF">
        <w:t xml:space="preserve"> highly prescriptive process for the implementation of position management controls </w:t>
      </w:r>
      <w:r>
        <w:t xml:space="preserve">would </w:t>
      </w:r>
      <w:r w:rsidRPr="009B1DFF">
        <w:t>leave little room for discretion</w:t>
      </w:r>
      <w:r>
        <w:t xml:space="preserve"> for trading venues</w:t>
      </w:r>
      <w:r w:rsidRPr="009B1DFF">
        <w:t xml:space="preserve">. </w:t>
      </w:r>
      <w:r w:rsidRPr="0082495A">
        <w:rPr>
          <w:lang w:val="en-US"/>
        </w:rPr>
        <w:t xml:space="preserve">Market surveillance </w:t>
      </w:r>
      <w:r w:rsidRPr="0082495A">
        <w:rPr>
          <w:lang w:val="en-US"/>
        </w:rPr>
        <w:lastRenderedPageBreak/>
        <w:t xml:space="preserve">activities are </w:t>
      </w:r>
      <w:r>
        <w:rPr>
          <w:lang w:val="en-US"/>
        </w:rPr>
        <w:t>separate</w:t>
      </w:r>
      <w:r w:rsidRPr="0082495A">
        <w:rPr>
          <w:lang w:val="en-US"/>
        </w:rPr>
        <w:t xml:space="preserve"> from automated surveillance processes and alerts, practices largely based </w:t>
      </w:r>
      <w:r w:rsidRPr="009B1DFF">
        <w:t xml:space="preserve">on a trading venue’s </w:t>
      </w:r>
      <w:r>
        <w:t xml:space="preserve">in-depth understanding of the market as well as detailed </w:t>
      </w:r>
      <w:r w:rsidRPr="009B1DFF">
        <w:t xml:space="preserve">knowledge about its </w:t>
      </w:r>
      <w:r>
        <w:t>members</w:t>
      </w:r>
      <w:r w:rsidRPr="009B1DFF">
        <w:t xml:space="preserve"> and their trading strategies.</w:t>
      </w:r>
      <w:r>
        <w:t xml:space="preserve"> The existing processes already include information requests whenever there is a suspicion of market abuse or fear of price distortion.</w:t>
      </w:r>
      <w:r w:rsidRPr="009B1DFF">
        <w:t xml:space="preserve"> </w:t>
      </w:r>
      <w:r>
        <w:t>I</w:t>
      </w:r>
      <w:r w:rsidRPr="00D62268">
        <w:t>mposing</w:t>
      </w:r>
      <w:r>
        <w:t xml:space="preserve"> mandatory</w:t>
      </w:r>
      <w:r w:rsidRPr="00D62268">
        <w:t xml:space="preserve"> additional requests </w:t>
      </w:r>
      <w:r>
        <w:t>due to</w:t>
      </w:r>
      <w:r w:rsidRPr="00D62268">
        <w:t xml:space="preserve"> a breach of accountability levels</w:t>
      </w:r>
      <w:r>
        <w:t xml:space="preserve"> alone will not increase the effectiveness of position management controls</w:t>
      </w:r>
      <w:r w:rsidRPr="00D62268">
        <w:t xml:space="preserve">. </w:t>
      </w:r>
      <w:r>
        <w:t xml:space="preserve">Implementing the suggested prescriptive process would </w:t>
      </w:r>
      <w:r w:rsidRPr="009B1DFF">
        <w:t>requir</w:t>
      </w:r>
      <w:r>
        <w:t>e</w:t>
      </w:r>
      <w:r w:rsidRPr="009B1DFF">
        <w:t xml:space="preserve"> significant resources from market surveillance </w:t>
      </w:r>
      <w:proofErr w:type="gramStart"/>
      <w:r w:rsidRPr="009B1DFF">
        <w:t>departments</w:t>
      </w:r>
      <w:r>
        <w:t>,</w:t>
      </w:r>
      <w:r w:rsidRPr="009B1DFF">
        <w:t xml:space="preserve"> </w:t>
      </w:r>
      <w:r>
        <w:t>yet</w:t>
      </w:r>
      <w:proofErr w:type="gramEnd"/>
      <w:r>
        <w:t xml:space="preserve"> is very unlikely to</w:t>
      </w:r>
      <w:r w:rsidRPr="009B1DFF">
        <w:t xml:space="preserve"> result in any additional findings as the existing market knowledge and experience could easily </w:t>
      </w:r>
      <w:r>
        <w:t>distinguish between</w:t>
      </w:r>
      <w:r w:rsidRPr="009B1DFF">
        <w:t xml:space="preserve"> cases of market manipulation and cases of unsuspicious standard market practice.</w:t>
      </w:r>
    </w:p>
    <w:p w14:paraId="0BEF60BF" w14:textId="77777777" w:rsidR="000D515A" w:rsidRDefault="000D515A" w:rsidP="000D515A">
      <w:pPr>
        <w:shd w:val="clear" w:color="auto" w:fill="E7E6E6" w:themeFill="background2"/>
      </w:pPr>
    </w:p>
    <w:p w14:paraId="21B5B3E1" w14:textId="77777777" w:rsidR="000D515A" w:rsidRPr="009B1DFF" w:rsidRDefault="000D515A" w:rsidP="000D515A">
      <w:pPr>
        <w:shd w:val="clear" w:color="auto" w:fill="E7E6E6" w:themeFill="background2"/>
      </w:pPr>
      <w:r w:rsidRPr="00AD59E5">
        <w:rPr>
          <w:lang w:val="en-US"/>
        </w:rPr>
        <w:t xml:space="preserve">For example, it may be appropriate for a firm to breach accountability levels on a frequent basis </w:t>
      </w:r>
      <w:r>
        <w:rPr>
          <w:lang w:val="en-US"/>
        </w:rPr>
        <w:t>if</w:t>
      </w:r>
      <w:r w:rsidRPr="00AD59E5">
        <w:rPr>
          <w:lang w:val="en-US"/>
        </w:rPr>
        <w:t xml:space="preserve"> the firm in question has </w:t>
      </w:r>
      <w:r>
        <w:rPr>
          <w:lang w:val="en-US"/>
        </w:rPr>
        <w:t xml:space="preserve">a </w:t>
      </w:r>
      <w:r w:rsidRPr="00AD59E5">
        <w:rPr>
          <w:lang w:val="en-US"/>
        </w:rPr>
        <w:t xml:space="preserve">naturally large position </w:t>
      </w:r>
      <w:proofErr w:type="gramStart"/>
      <w:r w:rsidRPr="00AD59E5">
        <w:rPr>
          <w:lang w:val="en-US"/>
        </w:rPr>
        <w:t>in a given</w:t>
      </w:r>
      <w:proofErr w:type="gramEnd"/>
      <w:r w:rsidRPr="00AD59E5">
        <w:rPr>
          <w:lang w:val="en-US"/>
        </w:rPr>
        <w:t xml:space="preserve"> market due to </w:t>
      </w:r>
      <w:r>
        <w:rPr>
          <w:lang w:val="en-US"/>
        </w:rPr>
        <w:t>its</w:t>
      </w:r>
      <w:r w:rsidRPr="00AD59E5">
        <w:rPr>
          <w:lang w:val="en-US"/>
        </w:rPr>
        <w:t xml:space="preserve"> physical exposure in that market. </w:t>
      </w:r>
      <w:r w:rsidRPr="009B1DFF">
        <w:t>Mandatory information requests and investigations each</w:t>
      </w:r>
      <w:r>
        <w:t xml:space="preserve"> </w:t>
      </w:r>
      <w:r w:rsidRPr="009B1DFF">
        <w:t xml:space="preserve">time a breach occurs could considerably burden both the firm and the exchange’s market surveillance department when both are already familiar with the reason for the firm’s breach of accountability levels. The </w:t>
      </w:r>
      <w:r>
        <w:t xml:space="preserve">clearly defined </w:t>
      </w:r>
      <w:r w:rsidRPr="009B1DFF">
        <w:t xml:space="preserve">relationship between the firm and the </w:t>
      </w:r>
      <w:r>
        <w:t>trading venue</w:t>
      </w:r>
      <w:r w:rsidRPr="009B1DFF">
        <w:t xml:space="preserve">, as well as the expertise of the trading venue in </w:t>
      </w:r>
      <w:r>
        <w:t xml:space="preserve">operating </w:t>
      </w:r>
      <w:r w:rsidRPr="009B1DFF">
        <w:t>the market</w:t>
      </w:r>
      <w:r>
        <w:t>,</w:t>
      </w:r>
      <w:r w:rsidRPr="009B1DFF">
        <w:t xml:space="preserve"> </w:t>
      </w:r>
      <w:r>
        <w:t xml:space="preserve">justifies leaving </w:t>
      </w:r>
      <w:r w:rsidRPr="009B1DFF">
        <w:t>more discretion to the trading venue</w:t>
      </w:r>
      <w:r>
        <w:t xml:space="preserve">, improving compliance efficiency. </w:t>
      </w:r>
    </w:p>
    <w:p w14:paraId="52C2870B" w14:textId="77777777" w:rsidR="000D515A" w:rsidRPr="009B1DFF" w:rsidRDefault="000D515A" w:rsidP="000D515A">
      <w:pPr>
        <w:shd w:val="clear" w:color="auto" w:fill="E7E6E6" w:themeFill="background2"/>
        <w:jc w:val="both"/>
      </w:pPr>
    </w:p>
    <w:p w14:paraId="0BC395B4" w14:textId="77777777" w:rsidR="000D515A" w:rsidRPr="009B1DFF" w:rsidRDefault="000D515A" w:rsidP="000D515A">
      <w:pPr>
        <w:shd w:val="clear" w:color="auto" w:fill="E7E6E6" w:themeFill="background2"/>
      </w:pPr>
      <w:r w:rsidRPr="009B1DFF">
        <w:t xml:space="preserve">While we appreciate that the ESMA proposal </w:t>
      </w:r>
      <w:r w:rsidRPr="00AD59E5">
        <w:rPr>
          <w:lang w:val="en-US"/>
        </w:rPr>
        <w:t>take</w:t>
      </w:r>
      <w:r>
        <w:rPr>
          <w:lang w:val="en-US"/>
        </w:rPr>
        <w:t>s</w:t>
      </w:r>
      <w:r w:rsidRPr="00AD59E5">
        <w:rPr>
          <w:lang w:val="en-US"/>
        </w:rPr>
        <w:t xml:space="preserve"> inspiration from the </w:t>
      </w:r>
      <w:r w:rsidRPr="009B1DFF">
        <w:t xml:space="preserve">CFTC rules, we </w:t>
      </w:r>
      <w:r>
        <w:t>deem it</w:t>
      </w:r>
      <w:r w:rsidRPr="009B1DFF">
        <w:t xml:space="preserve"> essential to also consider the level of discretion trading venues receive under the CFTC rules.</w:t>
      </w:r>
      <w:r>
        <w:t xml:space="preserve"> </w:t>
      </w:r>
      <w:r w:rsidRPr="009B1DFF">
        <w:t>In the context of accountability levels, the CFTC does not</w:t>
      </w:r>
      <w:r>
        <w:t xml:space="preserve"> obligate</w:t>
      </w:r>
      <w:r w:rsidRPr="009B1DFF">
        <w:t xml:space="preserve"> </w:t>
      </w:r>
      <w:r w:rsidRPr="00AD59E5">
        <w:rPr>
          <w:lang w:val="en-US"/>
        </w:rPr>
        <w:t xml:space="preserve">exchanges but </w:t>
      </w:r>
      <w:proofErr w:type="spellStart"/>
      <w:r w:rsidRPr="00AD59E5">
        <w:rPr>
          <w:lang w:val="en-US"/>
        </w:rPr>
        <w:t>authori</w:t>
      </w:r>
      <w:r>
        <w:rPr>
          <w:lang w:val="en-US"/>
        </w:rPr>
        <w:t>s</w:t>
      </w:r>
      <w:r w:rsidRPr="00AD59E5">
        <w:rPr>
          <w:lang w:val="en-US"/>
        </w:rPr>
        <w:t>es</w:t>
      </w:r>
      <w:proofErr w:type="spellEnd"/>
      <w:r w:rsidRPr="00AD59E5">
        <w:rPr>
          <w:lang w:val="en-US"/>
        </w:rPr>
        <w:t xml:space="preserve"> </w:t>
      </w:r>
      <w:r>
        <w:t>them</w:t>
      </w:r>
      <w:r w:rsidRPr="009B1DFF">
        <w:t xml:space="preserve"> to set accountability levels. Depending on the product, this can be </w:t>
      </w:r>
      <w:r w:rsidRPr="00AD59E5">
        <w:rPr>
          <w:lang w:val="en-US"/>
        </w:rPr>
        <w:t xml:space="preserve">done during the spot </w:t>
      </w:r>
      <w:r w:rsidRPr="009B1DFF">
        <w:t xml:space="preserve">month and/or non-spot months, each time </w:t>
      </w:r>
      <w:r>
        <w:t>subject to</w:t>
      </w:r>
      <w:r w:rsidRPr="009B1DFF">
        <w:t xml:space="preserve"> whether the respective trading venue deems it “necessary and appropriate”.</w:t>
      </w:r>
      <w:r>
        <w:t xml:space="preserve"> </w:t>
      </w:r>
      <w:r w:rsidRPr="009B1DFF">
        <w:t>In line with the CFTC rules, we believe that trading venues are best placed to determine:</w:t>
      </w:r>
    </w:p>
    <w:p w14:paraId="6952D2A9" w14:textId="77777777" w:rsidR="000D515A" w:rsidRPr="009B1DFF" w:rsidRDefault="000D515A" w:rsidP="000D515A">
      <w:pPr>
        <w:shd w:val="clear" w:color="auto" w:fill="E7E6E6" w:themeFill="background2"/>
        <w:jc w:val="both"/>
      </w:pPr>
    </w:p>
    <w:p w14:paraId="2968870C" w14:textId="77777777" w:rsidR="000D515A" w:rsidRPr="009B1DFF" w:rsidRDefault="000D515A" w:rsidP="000D515A">
      <w:pPr>
        <w:shd w:val="clear" w:color="auto" w:fill="E7E6E6" w:themeFill="background2"/>
        <w:jc w:val="both"/>
        <w:rPr>
          <w:b/>
          <w:bCs/>
        </w:rPr>
      </w:pPr>
      <w:r w:rsidRPr="009B1DFF">
        <w:rPr>
          <w:b/>
          <w:bCs/>
        </w:rPr>
        <w:t xml:space="preserve">1) </w:t>
      </w:r>
      <w:r>
        <w:rPr>
          <w:b/>
          <w:bCs/>
        </w:rPr>
        <w:t>For</w:t>
      </w:r>
      <w:r w:rsidRPr="009B1DFF">
        <w:rPr>
          <w:b/>
          <w:bCs/>
        </w:rPr>
        <w:t xml:space="preserve"> which contracts accountability levels should be set.</w:t>
      </w:r>
    </w:p>
    <w:p w14:paraId="2A118F2F" w14:textId="77777777" w:rsidR="000D515A" w:rsidRPr="009B1DFF" w:rsidRDefault="000D515A" w:rsidP="000D515A">
      <w:pPr>
        <w:shd w:val="clear" w:color="auto" w:fill="E7E6E6" w:themeFill="background2"/>
        <w:jc w:val="both"/>
      </w:pPr>
    </w:p>
    <w:p w14:paraId="7EAEBDE9" w14:textId="77777777" w:rsidR="000D515A" w:rsidRPr="009B1DFF" w:rsidRDefault="000D515A" w:rsidP="000D515A">
      <w:pPr>
        <w:shd w:val="clear" w:color="auto" w:fill="E7E6E6" w:themeFill="background2"/>
        <w:jc w:val="both"/>
      </w:pPr>
      <w:r w:rsidRPr="00AD59E5">
        <w:t xml:space="preserve">We believe that the trading venue should have full discretion to determine </w:t>
      </w:r>
      <w:r>
        <w:t>for</w:t>
      </w:r>
      <w:r w:rsidRPr="00AD59E5">
        <w:t xml:space="preserve"> which contracts accountability levels should be set. This is because the market surveillance departments of trading venues are best placed to determine which asset classes and products could be prone to market manipulation and which ones are not.</w:t>
      </w:r>
    </w:p>
    <w:p w14:paraId="10B88A8F" w14:textId="77777777" w:rsidR="000D515A" w:rsidRPr="009B1DFF" w:rsidRDefault="000D515A" w:rsidP="000D515A">
      <w:pPr>
        <w:shd w:val="clear" w:color="auto" w:fill="E7E6E6" w:themeFill="background2"/>
        <w:jc w:val="both"/>
      </w:pPr>
    </w:p>
    <w:p w14:paraId="12A84D9E" w14:textId="77777777" w:rsidR="000D515A" w:rsidRPr="009B1DFF" w:rsidRDefault="000D515A" w:rsidP="000D515A">
      <w:pPr>
        <w:shd w:val="clear" w:color="auto" w:fill="E7E6E6" w:themeFill="background2"/>
        <w:jc w:val="both"/>
        <w:rPr>
          <w:b/>
          <w:bCs/>
        </w:rPr>
      </w:pPr>
      <w:r w:rsidRPr="009B1DFF">
        <w:rPr>
          <w:b/>
          <w:bCs/>
        </w:rPr>
        <w:t xml:space="preserve">2) </w:t>
      </w:r>
      <w:r>
        <w:rPr>
          <w:b/>
          <w:bCs/>
        </w:rPr>
        <w:t>For w</w:t>
      </w:r>
      <w:r w:rsidRPr="009B1DFF">
        <w:rPr>
          <w:b/>
          <w:bCs/>
        </w:rPr>
        <w:t xml:space="preserve">hich timeframe accountability levels are actively monitored. </w:t>
      </w:r>
    </w:p>
    <w:p w14:paraId="5DB66CAE" w14:textId="77777777" w:rsidR="000D515A" w:rsidRPr="009B1DFF" w:rsidRDefault="000D515A" w:rsidP="000D515A">
      <w:pPr>
        <w:shd w:val="clear" w:color="auto" w:fill="E7E6E6" w:themeFill="background2"/>
        <w:jc w:val="both"/>
      </w:pPr>
    </w:p>
    <w:p w14:paraId="3A743796" w14:textId="77777777" w:rsidR="000D515A" w:rsidRPr="009B1DFF" w:rsidRDefault="000D515A" w:rsidP="000D515A">
      <w:pPr>
        <w:shd w:val="clear" w:color="auto" w:fill="E7E6E6" w:themeFill="background2"/>
      </w:pPr>
      <w:r w:rsidRPr="009B1DFF">
        <w:t>For some contracts</w:t>
      </w:r>
      <w:r>
        <w:t>,</w:t>
      </w:r>
      <w:r w:rsidRPr="009B1DFF">
        <w:t xml:space="preserve"> </w:t>
      </w:r>
      <w:r w:rsidRPr="00AD59E5">
        <w:rPr>
          <w:lang w:val="en-US"/>
        </w:rPr>
        <w:t xml:space="preserve">it might be sufficient to only set accountability levels on the spot month contracts or even </w:t>
      </w:r>
      <w:r>
        <w:t xml:space="preserve">only </w:t>
      </w:r>
      <w:r w:rsidRPr="009B1DFF">
        <w:t xml:space="preserve">a few days before expiry. </w:t>
      </w:r>
    </w:p>
    <w:p w14:paraId="1785504F" w14:textId="77777777" w:rsidR="000D515A" w:rsidRPr="009B1DFF" w:rsidRDefault="000D515A" w:rsidP="000D515A">
      <w:pPr>
        <w:shd w:val="clear" w:color="auto" w:fill="E7E6E6" w:themeFill="background2"/>
        <w:jc w:val="both"/>
      </w:pPr>
    </w:p>
    <w:p w14:paraId="70669FDE" w14:textId="77777777" w:rsidR="000D515A" w:rsidRPr="009B1DFF" w:rsidRDefault="000D515A" w:rsidP="000D515A">
      <w:pPr>
        <w:shd w:val="clear" w:color="auto" w:fill="E7E6E6" w:themeFill="background2"/>
        <w:jc w:val="both"/>
        <w:rPr>
          <w:b/>
          <w:bCs/>
        </w:rPr>
      </w:pPr>
      <w:r w:rsidRPr="009B1DFF">
        <w:rPr>
          <w:b/>
          <w:bCs/>
        </w:rPr>
        <w:t xml:space="preserve">3) Whether a breach of the set accountability level </w:t>
      </w:r>
      <w:r>
        <w:rPr>
          <w:b/>
          <w:bCs/>
        </w:rPr>
        <w:t>creates</w:t>
      </w:r>
      <w:r w:rsidRPr="009B1DFF">
        <w:rPr>
          <w:b/>
          <w:bCs/>
        </w:rPr>
        <w:t xml:space="preserve"> a concern and hence an information request should be triggered. </w:t>
      </w:r>
    </w:p>
    <w:p w14:paraId="2C0FF831" w14:textId="77777777" w:rsidR="000D515A" w:rsidRPr="009B1DFF" w:rsidRDefault="000D515A" w:rsidP="000D515A">
      <w:pPr>
        <w:shd w:val="clear" w:color="auto" w:fill="E7E6E6" w:themeFill="background2"/>
        <w:jc w:val="both"/>
      </w:pPr>
    </w:p>
    <w:p w14:paraId="7BB1430B" w14:textId="77777777" w:rsidR="000D515A" w:rsidRPr="009B1DFF" w:rsidRDefault="000D515A" w:rsidP="000D515A">
      <w:pPr>
        <w:shd w:val="clear" w:color="auto" w:fill="E7E6E6" w:themeFill="background2"/>
        <w:jc w:val="both"/>
      </w:pPr>
      <w:r w:rsidRPr="009B1DFF">
        <w:t xml:space="preserve">As mentioned </w:t>
      </w:r>
      <w:r>
        <w:t>earlier</w:t>
      </w:r>
      <w:r w:rsidRPr="009B1DFF">
        <w:t xml:space="preserve">, to prevent a </w:t>
      </w:r>
      <w:r>
        <w:t>disproportionate</w:t>
      </w:r>
      <w:r w:rsidRPr="009B1DFF">
        <w:t xml:space="preserve"> burden on both the exchange</w:t>
      </w:r>
      <w:r>
        <w:t>’</w:t>
      </w:r>
      <w:r w:rsidRPr="009B1DFF">
        <w:t xml:space="preserve">s market surveillance department as well as the </w:t>
      </w:r>
      <w:r>
        <w:t>market participant’s</w:t>
      </w:r>
      <w:r w:rsidRPr="009B1DFF">
        <w:t xml:space="preserve"> compliance department, i</w:t>
      </w:r>
      <w:r>
        <w:t>f</w:t>
      </w:r>
      <w:r w:rsidRPr="009B1DFF">
        <w:t xml:space="preserve"> a trading participant exceeds the accountability levels, the trading venue should be able to determine whether an information request is needed, and if so, which information is required.</w:t>
      </w:r>
    </w:p>
    <w:p w14:paraId="5A65F5A1" w14:textId="77777777" w:rsidR="000D515A" w:rsidRPr="009B1DFF" w:rsidRDefault="000D515A" w:rsidP="000D515A">
      <w:pPr>
        <w:shd w:val="clear" w:color="auto" w:fill="E7E6E6" w:themeFill="background2"/>
        <w:jc w:val="both"/>
      </w:pPr>
    </w:p>
    <w:p w14:paraId="148D0C6A" w14:textId="77777777" w:rsidR="000D515A" w:rsidRDefault="000D515A" w:rsidP="000D515A">
      <w:pPr>
        <w:shd w:val="clear" w:color="auto" w:fill="E7E6E6" w:themeFill="background2"/>
        <w:jc w:val="both"/>
      </w:pPr>
      <w:r w:rsidRPr="009B1DFF">
        <w:lastRenderedPageBreak/>
        <w:t xml:space="preserve">If ESMA </w:t>
      </w:r>
      <w:r>
        <w:t>were to maintain</w:t>
      </w:r>
      <w:r w:rsidRPr="009B1DFF">
        <w:t xml:space="preserve"> its proposal to require trading venues to set accountability levels, we believe that ESMA should at least introduce the necessary discretion in paragraph</w:t>
      </w:r>
      <w:r>
        <w:t>s</w:t>
      </w:r>
      <w:r w:rsidRPr="009B1DFF">
        <w:t xml:space="preserve"> 1, 2 and 3 </w:t>
      </w:r>
      <w:bookmarkStart w:id="3" w:name="_Hlk76458192"/>
      <w:r w:rsidRPr="009B1DFF">
        <w:t>and the second part of paragraph 4 of Article 2</w:t>
      </w:r>
      <w:r>
        <w:t xml:space="preserve"> </w:t>
      </w:r>
      <w:bookmarkEnd w:id="3"/>
      <w:r>
        <w:t>of the draft RTS</w:t>
      </w:r>
      <w:r w:rsidRPr="009B1DFF">
        <w:t xml:space="preserve">, by replacing the words “shall” by “may”. </w:t>
      </w:r>
    </w:p>
    <w:p w14:paraId="0221F9B5" w14:textId="77777777" w:rsidR="000D515A" w:rsidRDefault="000D515A" w:rsidP="000D515A">
      <w:pPr>
        <w:shd w:val="clear" w:color="auto" w:fill="E7E6E6" w:themeFill="background2"/>
        <w:jc w:val="both"/>
      </w:pPr>
    </w:p>
    <w:p w14:paraId="63C44F96" w14:textId="77777777" w:rsidR="000D515A" w:rsidRPr="009B1DFF" w:rsidRDefault="000D515A" w:rsidP="000D515A">
      <w:pPr>
        <w:shd w:val="clear" w:color="auto" w:fill="E7E6E6" w:themeFill="background2"/>
        <w:jc w:val="both"/>
      </w:pPr>
      <w:r w:rsidRPr="009B1DFF">
        <w:t xml:space="preserve">The </w:t>
      </w:r>
      <w:r>
        <w:t xml:space="preserve">amended </w:t>
      </w:r>
      <w:r w:rsidRPr="009B1DFF">
        <w:t>Article</w:t>
      </w:r>
      <w:r>
        <w:t xml:space="preserve"> 2</w:t>
      </w:r>
      <w:r w:rsidRPr="009B1DFF">
        <w:t xml:space="preserve"> would then look as follows:</w:t>
      </w:r>
    </w:p>
    <w:p w14:paraId="7D2E28BF" w14:textId="77777777" w:rsidR="000D515A" w:rsidRPr="009B1DFF" w:rsidRDefault="000D515A" w:rsidP="000D515A">
      <w:pPr>
        <w:shd w:val="clear" w:color="auto" w:fill="E7E6E6" w:themeFill="background2"/>
        <w:jc w:val="both"/>
      </w:pPr>
    </w:p>
    <w:p w14:paraId="6EDE1FDE" w14:textId="3F444C15" w:rsidR="000D515A" w:rsidRDefault="000D515A" w:rsidP="000D515A">
      <w:pPr>
        <w:shd w:val="clear" w:color="auto" w:fill="E7E6E6" w:themeFill="background2"/>
        <w:jc w:val="both"/>
        <w:rPr>
          <w:i/>
          <w:iCs/>
        </w:rPr>
      </w:pPr>
      <w:r w:rsidRPr="00977616">
        <w:rPr>
          <w:i/>
          <w:iCs/>
        </w:rPr>
        <w:t xml:space="preserve">1. As part of their position management controls, trading venues trading commodity derivatives </w:t>
      </w:r>
      <w:proofErr w:type="gramStart"/>
      <w:r w:rsidRPr="00977616">
        <w:rPr>
          <w:b/>
          <w:bCs/>
          <w:i/>
          <w:iCs/>
        </w:rPr>
        <w:t>may</w:t>
      </w:r>
      <w:r w:rsidRPr="00702FE4">
        <w:rPr>
          <w:i/>
          <w:iCs/>
        </w:rPr>
        <w:t xml:space="preserve"> </w:t>
      </w:r>
      <w:r w:rsidRPr="00702FE4">
        <w:rPr>
          <w:i/>
          <w:iCs/>
          <w:strike/>
        </w:rPr>
        <w:t>shall</w:t>
      </w:r>
      <w:proofErr w:type="gramEnd"/>
      <w:r w:rsidRPr="00702FE4">
        <w:rPr>
          <w:i/>
          <w:iCs/>
        </w:rPr>
        <w:t xml:space="preserve"> set accountability levels in the spot month as defined in Article 2(3) of Commission Delegated Regulation [RTS 21a] and in the other months as defined in Article 2(4) of Commission Delegated Regulation [RTS 21a]</w:t>
      </w:r>
      <w:r w:rsidRPr="004F5DF5">
        <w:rPr>
          <w:i/>
          <w:iCs/>
          <w:strike/>
        </w:rPr>
        <w:t xml:space="preserve"> </w:t>
      </w:r>
      <w:r>
        <w:rPr>
          <w:i/>
          <w:iCs/>
          <w:strike/>
        </w:rPr>
        <w:t xml:space="preserve">at least </w:t>
      </w:r>
      <w:r w:rsidRPr="00627017">
        <w:rPr>
          <w:i/>
          <w:iCs/>
          <w:strike/>
        </w:rPr>
        <w:t>for the physically settled commodity d</w:t>
      </w:r>
      <w:r w:rsidRPr="00977616">
        <w:rPr>
          <w:i/>
          <w:iCs/>
          <w:strike/>
        </w:rPr>
        <w:t>erivatives made available for trading.</w:t>
      </w:r>
      <w:r w:rsidRPr="00977616">
        <w:rPr>
          <w:i/>
          <w:iCs/>
        </w:rPr>
        <w:t xml:space="preserve"> </w:t>
      </w:r>
    </w:p>
    <w:p w14:paraId="3A279EB1" w14:textId="77777777" w:rsidR="000D515A" w:rsidRPr="00977616" w:rsidRDefault="000D515A" w:rsidP="000D515A">
      <w:pPr>
        <w:shd w:val="clear" w:color="auto" w:fill="E7E6E6" w:themeFill="background2"/>
        <w:jc w:val="both"/>
        <w:rPr>
          <w:i/>
          <w:iCs/>
        </w:rPr>
      </w:pPr>
    </w:p>
    <w:p w14:paraId="018EB8F1" w14:textId="77777777" w:rsidR="000D515A" w:rsidRDefault="000D515A" w:rsidP="000D515A">
      <w:pPr>
        <w:shd w:val="clear" w:color="auto" w:fill="E7E6E6" w:themeFill="background2"/>
        <w:jc w:val="both"/>
        <w:rPr>
          <w:i/>
          <w:iCs/>
        </w:rPr>
      </w:pPr>
      <w:r w:rsidRPr="00977616">
        <w:rPr>
          <w:i/>
          <w:iCs/>
        </w:rPr>
        <w:t xml:space="preserve">2. For the purpose of paragraph 1, an accountability level is the level of the net position held in a commodity derivative by persons with close links that, when exceeded, </w:t>
      </w:r>
      <w:proofErr w:type="gramStart"/>
      <w:r w:rsidRPr="00977616">
        <w:rPr>
          <w:i/>
          <w:iCs/>
          <w:strike/>
        </w:rPr>
        <w:t>shall</w:t>
      </w:r>
      <w:r w:rsidRPr="00977616">
        <w:rPr>
          <w:i/>
          <w:iCs/>
        </w:rPr>
        <w:t xml:space="preserve"> </w:t>
      </w:r>
      <w:r w:rsidRPr="00977616">
        <w:rPr>
          <w:b/>
          <w:bCs/>
          <w:i/>
          <w:iCs/>
        </w:rPr>
        <w:t>may</w:t>
      </w:r>
      <w:proofErr w:type="gramEnd"/>
      <w:r w:rsidRPr="00977616">
        <w:rPr>
          <w:i/>
          <w:iCs/>
        </w:rPr>
        <w:t xml:space="preserve"> trigger an additional information request by the trading venue. as to the nature and purpose of the position </w:t>
      </w:r>
    </w:p>
    <w:p w14:paraId="5B59B504" w14:textId="77777777" w:rsidR="000D515A" w:rsidRPr="00977616" w:rsidRDefault="000D515A" w:rsidP="000D515A">
      <w:pPr>
        <w:shd w:val="clear" w:color="auto" w:fill="E7E6E6" w:themeFill="background2"/>
        <w:jc w:val="both"/>
        <w:rPr>
          <w:i/>
          <w:iCs/>
        </w:rPr>
      </w:pPr>
    </w:p>
    <w:p w14:paraId="1B822E87" w14:textId="77777777" w:rsidR="000D515A" w:rsidRPr="00977616" w:rsidRDefault="000D515A" w:rsidP="000D515A">
      <w:pPr>
        <w:shd w:val="clear" w:color="auto" w:fill="E7E6E6" w:themeFill="background2"/>
        <w:jc w:val="both"/>
        <w:rPr>
          <w:i/>
          <w:iCs/>
        </w:rPr>
      </w:pPr>
    </w:p>
    <w:p w14:paraId="6C3FA856" w14:textId="77777777" w:rsidR="000D515A" w:rsidRPr="00977616" w:rsidRDefault="000D515A" w:rsidP="000D515A">
      <w:pPr>
        <w:shd w:val="clear" w:color="auto" w:fill="E7E6E6" w:themeFill="background2"/>
        <w:jc w:val="both"/>
        <w:rPr>
          <w:i/>
          <w:iCs/>
        </w:rPr>
      </w:pPr>
      <w:r w:rsidRPr="00977616">
        <w:rPr>
          <w:i/>
          <w:iCs/>
        </w:rPr>
        <w:t xml:space="preserve">3. When a net position held by persons with close links in a commodity derivative referred to in paragraph 1 exceeds the accountability level set for the spot month or for the other months in accordance with paragraph 1, the trading venue </w:t>
      </w:r>
      <w:r w:rsidRPr="00977616">
        <w:rPr>
          <w:i/>
          <w:iCs/>
          <w:strike/>
        </w:rPr>
        <w:t>shall</w:t>
      </w:r>
      <w:r w:rsidRPr="00977616">
        <w:rPr>
          <w:i/>
          <w:iCs/>
        </w:rPr>
        <w:t xml:space="preserve"> </w:t>
      </w:r>
      <w:r w:rsidRPr="00977616">
        <w:rPr>
          <w:b/>
          <w:bCs/>
          <w:i/>
          <w:iCs/>
        </w:rPr>
        <w:t>may</w:t>
      </w:r>
      <w:r w:rsidRPr="00977616">
        <w:rPr>
          <w:i/>
          <w:iCs/>
        </w:rPr>
        <w:t xml:space="preserve"> exercise the power set out in point (b) of the first subparagraph of Article 57(8) of Directive 2014/65/EU to obtain any additional information as to the nature and purpose of the position held in that commodity derivative. </w:t>
      </w:r>
    </w:p>
    <w:p w14:paraId="6129ED64" w14:textId="77777777" w:rsidR="000D515A" w:rsidRPr="00977616" w:rsidRDefault="000D515A" w:rsidP="000D515A">
      <w:pPr>
        <w:shd w:val="clear" w:color="auto" w:fill="E7E6E6" w:themeFill="background2"/>
        <w:jc w:val="both"/>
        <w:rPr>
          <w:i/>
          <w:iCs/>
        </w:rPr>
      </w:pPr>
    </w:p>
    <w:p w14:paraId="208502CD" w14:textId="77777777" w:rsidR="000D515A" w:rsidRPr="009B1DFF" w:rsidRDefault="000D515A" w:rsidP="000D515A">
      <w:pPr>
        <w:shd w:val="clear" w:color="auto" w:fill="E7E6E6" w:themeFill="background2"/>
        <w:jc w:val="both"/>
        <w:rPr>
          <w:i/>
          <w:iCs/>
        </w:rPr>
      </w:pPr>
      <w:r w:rsidRPr="00977616">
        <w:rPr>
          <w:i/>
          <w:iCs/>
        </w:rPr>
        <w:t xml:space="preserve">4. The trading venue shall assess the information provided and, where appropriate, </w:t>
      </w:r>
      <w:r w:rsidRPr="00977616">
        <w:rPr>
          <w:b/>
          <w:bCs/>
          <w:i/>
          <w:iCs/>
        </w:rPr>
        <w:t>may</w:t>
      </w:r>
      <w:r w:rsidRPr="00977616">
        <w:rPr>
          <w:i/>
          <w:iCs/>
        </w:rPr>
        <w:t xml:space="preserve"> exercise the powers set out in points (c) and (d) of the first subparagraphs Article 57(8) of Directive 2014/65/EU.</w:t>
      </w:r>
    </w:p>
    <w:p w14:paraId="29C93469" w14:textId="77777777" w:rsidR="000D515A" w:rsidRPr="009B1DFF" w:rsidRDefault="000D515A" w:rsidP="000D515A">
      <w:pPr>
        <w:shd w:val="clear" w:color="auto" w:fill="E7E6E6" w:themeFill="background2"/>
        <w:jc w:val="both"/>
      </w:pPr>
    </w:p>
    <w:p w14:paraId="26EC73FE" w14:textId="77777777" w:rsidR="000D515A" w:rsidRPr="009B1DFF" w:rsidRDefault="000D515A" w:rsidP="000D515A">
      <w:pPr>
        <w:shd w:val="clear" w:color="auto" w:fill="E7E6E6" w:themeFill="background2"/>
        <w:jc w:val="both"/>
      </w:pPr>
      <w:r w:rsidRPr="009B1DFF">
        <w:t xml:space="preserve">We are also of the opinion that further detailing the design of position management controls beyond what has already been put forward in the draft RTS would not be in line with the intent of the co-legislators. In paragraph 120 of the consultation paper </w:t>
      </w:r>
      <w:r w:rsidRPr="00AC5487">
        <w:t>(p</w:t>
      </w:r>
      <w:r>
        <w:t>.</w:t>
      </w:r>
      <w:r w:rsidRPr="00AC5487">
        <w:t xml:space="preserve"> 32.)</w:t>
      </w:r>
      <w:r>
        <w:t>,</w:t>
      </w:r>
      <w:r w:rsidRPr="00AC5487">
        <w:t xml:space="preserve"> </w:t>
      </w:r>
      <w:r w:rsidRPr="009B1DFF">
        <w:t xml:space="preserve">ESMA states that it is </w:t>
      </w:r>
      <w:r>
        <w:t>“</w:t>
      </w:r>
      <w:r w:rsidRPr="009B1DFF">
        <w:t xml:space="preserve">minded </w:t>
      </w:r>
      <w:proofErr w:type="gramStart"/>
      <w:r>
        <w:t>to keep</w:t>
      </w:r>
      <w:proofErr w:type="gramEnd"/>
      <w:r w:rsidRPr="009B1DFF">
        <w:t xml:space="preserve"> an open approach to the methodology to be used by trading venues</w:t>
      </w:r>
      <w:r>
        <w:t>”</w:t>
      </w:r>
      <w:r w:rsidRPr="009B1DFF">
        <w:t xml:space="preserve"> to set accountability levels. However, in the same paragraph</w:t>
      </w:r>
      <w:r>
        <w:t>,</w:t>
      </w:r>
      <w:r w:rsidRPr="009B1DFF">
        <w:t xml:space="preserve"> ESMA notes that there would be value in developing further guidance on the methodology, as this would contribute to a harmoni</w:t>
      </w:r>
      <w:r>
        <w:t>s</w:t>
      </w:r>
      <w:r w:rsidRPr="009B1DFF">
        <w:t>ed approach and level playing field across trading venues.</w:t>
      </w:r>
    </w:p>
    <w:p w14:paraId="582A9490" w14:textId="77777777" w:rsidR="000D515A" w:rsidRPr="009B1DFF" w:rsidRDefault="000D515A" w:rsidP="000D515A">
      <w:pPr>
        <w:shd w:val="clear" w:color="auto" w:fill="E7E6E6" w:themeFill="background2"/>
        <w:jc w:val="both"/>
      </w:pPr>
    </w:p>
    <w:p w14:paraId="7492487A" w14:textId="77777777" w:rsidR="000D515A" w:rsidRPr="009B1DFF" w:rsidRDefault="000D515A" w:rsidP="000D515A">
      <w:pPr>
        <w:shd w:val="clear" w:color="auto" w:fill="E7E6E6" w:themeFill="background2"/>
        <w:jc w:val="both"/>
      </w:pPr>
      <w:r w:rsidRPr="009B1DFF">
        <w:t>A harmoni</w:t>
      </w:r>
      <w:r>
        <w:t>s</w:t>
      </w:r>
      <w:r w:rsidRPr="009B1DFF">
        <w:t>ed methodology for setting accountability levels by means of ESMA guidance is unlikely to provide for sufficient granularity to be suitable for the broad variety of products trading venues offer for trading</w:t>
      </w:r>
      <w:r>
        <w:t>.</w:t>
      </w:r>
      <w:r w:rsidRPr="009B1DFF">
        <w:t xml:space="preserve"> Ill-calibrated accountability levels could trigger frequent unnecessary alerts, </w:t>
      </w:r>
      <w:r>
        <w:t xml:space="preserve">thereby </w:t>
      </w:r>
      <w:r w:rsidRPr="009B1DFF">
        <w:t xml:space="preserve">burdening market surveillance and compliance staff with numerous information requests and investigations, </w:t>
      </w:r>
      <w:r>
        <w:t xml:space="preserve">eventually </w:t>
      </w:r>
      <w:r w:rsidRPr="009B1DFF">
        <w:t xml:space="preserve">distracting them from their core </w:t>
      </w:r>
      <w:r>
        <w:t>mission</w:t>
      </w:r>
      <w:r w:rsidRPr="009B1DFF">
        <w:t xml:space="preserve"> of safeguarding fair and orderly markets.</w:t>
      </w:r>
    </w:p>
    <w:p w14:paraId="2AF36D4D" w14:textId="77777777" w:rsidR="000D515A" w:rsidRPr="009B1DFF" w:rsidRDefault="000D515A" w:rsidP="000D515A">
      <w:pPr>
        <w:shd w:val="clear" w:color="auto" w:fill="E7E6E6" w:themeFill="background2"/>
        <w:jc w:val="both"/>
      </w:pPr>
    </w:p>
    <w:p w14:paraId="022E013B" w14:textId="330F2723" w:rsidR="000D515A" w:rsidRPr="00D23D59" w:rsidRDefault="000D515A" w:rsidP="000D515A">
      <w:pPr>
        <w:shd w:val="clear" w:color="auto" w:fill="E7E6E6" w:themeFill="background2"/>
        <w:jc w:val="both"/>
      </w:pPr>
      <w:r w:rsidRPr="009B1DFF">
        <w:t>Moreover, we are firmly of the view that trading venues do not compete by lowering standards for market surveillance practices</w:t>
      </w:r>
      <w:r>
        <w:t>,</w:t>
      </w:r>
      <w:r w:rsidRPr="009B1DFF">
        <w:t xml:space="preserve"> </w:t>
      </w:r>
      <w:r>
        <w:t>n</w:t>
      </w:r>
      <w:r w:rsidRPr="009B1DFF">
        <w:t xml:space="preserve">or could </w:t>
      </w:r>
      <w:r>
        <w:t xml:space="preserve">they </w:t>
      </w:r>
      <w:r w:rsidRPr="009B1DFF">
        <w:t xml:space="preserve">obtain any competitive advantage by not implementing an adequate methodology for setting accountability levels. </w:t>
      </w:r>
      <w:r>
        <w:t>T</w:t>
      </w:r>
      <w:r w:rsidRPr="009B1DFF">
        <w:t xml:space="preserve">he opposite is true. Strong market surveillance practices that ensure the integrity of the market bring confidence to market participants and </w:t>
      </w:r>
      <w:r>
        <w:t>make trading venues</w:t>
      </w:r>
      <w:r w:rsidRPr="009B1DFF">
        <w:t xml:space="preserve"> more attractive.</w:t>
      </w:r>
    </w:p>
    <w:permEnd w:id="885457707"/>
    <w:p w14:paraId="15D00E65" w14:textId="0F837A3C"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lastRenderedPageBreak/>
        <w:t>&lt;ESMA_COMMENT_</w:t>
      </w:r>
      <w:r w:rsidR="006B391B">
        <w:rPr>
          <w:rFonts w:asciiTheme="minorHAnsi" w:eastAsiaTheme="minorEastAsia" w:hAnsiTheme="minorHAnsi" w:cs="Arial"/>
          <w:sz w:val="22"/>
          <w:szCs w:val="20"/>
          <w:lang w:eastAsia="en-US"/>
        </w:rPr>
        <w:t>CD</w:t>
      </w:r>
      <w:r w:rsidRPr="00C85C8B">
        <w:rPr>
          <w:rFonts w:asciiTheme="minorHAnsi" w:eastAsiaTheme="minorEastAsia" w:hAnsiTheme="minorHAnsi" w:cstheme="minorBidi"/>
          <w:sz w:val="22"/>
          <w:szCs w:val="20"/>
          <w:lang w:eastAsia="en-US"/>
        </w:rPr>
        <w:t>_</w:t>
      </w:r>
      <w:r w:rsidR="00D378C9">
        <w:rPr>
          <w:rFonts w:asciiTheme="minorHAnsi" w:eastAsiaTheme="minorEastAsia" w:hAnsiTheme="minorHAnsi" w:cstheme="minorBidi"/>
          <w:sz w:val="22"/>
          <w:szCs w:val="20"/>
          <w:lang w:eastAsia="en-US"/>
        </w:rPr>
        <w:t>0</w:t>
      </w:r>
      <w:r w:rsidR="006B391B">
        <w:rPr>
          <w:rFonts w:asciiTheme="minorHAnsi" w:eastAsiaTheme="minorEastAsia" w:hAnsiTheme="minorHAnsi" w:cstheme="minorBidi"/>
          <w:sz w:val="22"/>
          <w:szCs w:val="20"/>
          <w:lang w:eastAsia="en-US"/>
        </w:rPr>
        <w:t>0</w:t>
      </w:r>
      <w:r w:rsidRPr="00C85C8B">
        <w:rPr>
          <w:rFonts w:asciiTheme="minorHAnsi" w:eastAsiaTheme="minorEastAsia" w:hAnsiTheme="minorHAnsi" w:cstheme="minorBidi"/>
          <w:sz w:val="22"/>
          <w:szCs w:val="20"/>
          <w:lang w:eastAsia="en-US"/>
        </w:rPr>
        <w:t>&gt;</w:t>
      </w:r>
    </w:p>
    <w:p w14:paraId="58C2F704" w14:textId="77777777" w:rsidR="00C85C8B" w:rsidRDefault="00C85C8B" w:rsidP="00C1698A">
      <w:pPr>
        <w:spacing w:line="276" w:lineRule="auto"/>
        <w:rPr>
          <w:rFonts w:asciiTheme="minorHAnsi" w:hAnsiTheme="minorHAnsi" w:cstheme="minorHAnsi"/>
          <w:b/>
          <w:sz w:val="28"/>
          <w:szCs w:val="28"/>
        </w:rPr>
      </w:pPr>
    </w:p>
    <w:p w14:paraId="4218CA54" w14:textId="77777777" w:rsidR="00C85C8B" w:rsidRDefault="00C85C8B" w:rsidP="00C1698A">
      <w:pPr>
        <w:spacing w:line="276" w:lineRule="auto"/>
        <w:rPr>
          <w:rFonts w:asciiTheme="minorHAnsi" w:hAnsiTheme="minorHAnsi" w:cstheme="minorHAnsi"/>
          <w:b/>
          <w:sz w:val="28"/>
          <w:szCs w:val="28"/>
        </w:rPr>
      </w:pPr>
    </w:p>
    <w:p w14:paraId="0CE5A6A7" w14:textId="77777777" w:rsidR="00C85C8B" w:rsidRDefault="00C85C8B" w:rsidP="00C1698A">
      <w:pPr>
        <w:spacing w:line="276" w:lineRule="auto"/>
        <w:rPr>
          <w:rFonts w:asciiTheme="minorHAnsi" w:hAnsiTheme="minorHAnsi" w:cstheme="minorHAnsi"/>
          <w:b/>
          <w:sz w:val="28"/>
          <w:szCs w:val="28"/>
        </w:rPr>
      </w:pPr>
    </w:p>
    <w:p w14:paraId="0D73DA59" w14:textId="77777777" w:rsidR="00C85C8B" w:rsidRDefault="00C85C8B" w:rsidP="00C1698A">
      <w:pPr>
        <w:spacing w:line="276" w:lineRule="auto"/>
        <w:rPr>
          <w:rFonts w:asciiTheme="minorHAnsi" w:hAnsiTheme="minorHAnsi" w:cstheme="minorHAnsi"/>
          <w:b/>
          <w:sz w:val="28"/>
          <w:szCs w:val="28"/>
        </w:rPr>
      </w:pPr>
    </w:p>
    <w:p w14:paraId="0C037628" w14:textId="77777777" w:rsidR="00C85C8B" w:rsidRDefault="00C85C8B" w:rsidP="00C1698A">
      <w:pPr>
        <w:spacing w:line="276" w:lineRule="auto"/>
        <w:rPr>
          <w:rFonts w:asciiTheme="minorHAnsi" w:hAnsiTheme="minorHAnsi" w:cstheme="minorHAnsi"/>
          <w:b/>
          <w:sz w:val="28"/>
          <w:szCs w:val="28"/>
        </w:rPr>
      </w:pPr>
    </w:p>
    <w:p w14:paraId="1D0DAFF5" w14:textId="77777777" w:rsidR="00C85C8B" w:rsidRDefault="00C85C8B">
      <w:pPr>
        <w:spacing w:after="120" w:line="264" w:lineRule="auto"/>
        <w:rPr>
          <w:rFonts w:asciiTheme="minorHAnsi" w:hAnsiTheme="minorHAnsi" w:cstheme="minorHAnsi"/>
          <w:b/>
          <w:sz w:val="28"/>
          <w:szCs w:val="28"/>
        </w:rPr>
      </w:pPr>
      <w:r>
        <w:rPr>
          <w:rFonts w:asciiTheme="minorHAnsi" w:hAnsiTheme="minorHAnsi" w:cstheme="minorHAnsi"/>
          <w:b/>
          <w:sz w:val="28"/>
          <w:szCs w:val="28"/>
        </w:rPr>
        <w:br w:type="page"/>
      </w:r>
    </w:p>
    <w:p w14:paraId="005F1C41" w14:textId="21C1F329" w:rsidR="00C1698A" w:rsidRDefault="00C1698A" w:rsidP="00C1698A">
      <w:pPr>
        <w:spacing w:line="276" w:lineRule="auto"/>
        <w:rPr>
          <w:rFonts w:asciiTheme="minorHAnsi" w:hAnsiTheme="minorHAnsi" w:cstheme="minorHAnsi"/>
          <w:b/>
          <w:sz w:val="28"/>
          <w:szCs w:val="28"/>
        </w:rPr>
      </w:pPr>
      <w:r w:rsidRPr="00C1698A">
        <w:rPr>
          <w:rFonts w:asciiTheme="minorHAnsi" w:hAnsiTheme="minorHAnsi" w:cstheme="minorHAnsi"/>
          <w:b/>
          <w:sz w:val="28"/>
          <w:szCs w:val="28"/>
        </w:rPr>
        <w:lastRenderedPageBreak/>
        <w:t xml:space="preserve">Questions </w:t>
      </w:r>
    </w:p>
    <w:p w14:paraId="289A1E31" w14:textId="6515C9EB" w:rsidR="00AB6157" w:rsidRDefault="00AB6157" w:rsidP="00C1698A">
      <w:pPr>
        <w:spacing w:line="276" w:lineRule="auto"/>
        <w:rPr>
          <w:rFonts w:asciiTheme="minorHAnsi" w:hAnsiTheme="minorHAnsi" w:cstheme="minorHAnsi"/>
          <w:b/>
          <w:sz w:val="28"/>
          <w:szCs w:val="28"/>
        </w:rPr>
      </w:pPr>
    </w:p>
    <w:p w14:paraId="0449067B" w14:textId="662BB4B0" w:rsidR="001F23C9" w:rsidRDefault="001F23C9" w:rsidP="001F23C9">
      <w:pPr>
        <w:pStyle w:val="Questionstyle"/>
        <w:numPr>
          <w:ilvl w:val="0"/>
          <w:numId w:val="9"/>
        </w:numPr>
        <w:spacing w:after="250" w:line="276" w:lineRule="auto"/>
      </w:pPr>
      <w:r>
        <w:t xml:space="preserve">: </w:t>
      </w:r>
      <w:r w:rsidR="006B391B" w:rsidRPr="006B391B">
        <w:t>Do you agree with ESMA’s proposal regarding the impact of the new hedging exemption on the aggregation of positions? If not, please elaborate.</w:t>
      </w:r>
    </w:p>
    <w:p w14:paraId="008A4A78" w14:textId="5B7F499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1&gt;</w:t>
      </w:r>
    </w:p>
    <w:p w14:paraId="52EFC3E4" w14:textId="77777777" w:rsidR="00B76BDE" w:rsidRDefault="00D23D59" w:rsidP="001F23C9">
      <w:pPr>
        <w:rPr>
          <w:rFonts w:ascii="Calibri" w:hAnsi="Calibri"/>
          <w:sz w:val="22"/>
          <w:szCs w:val="22"/>
        </w:rPr>
      </w:pPr>
      <w:permStart w:id="87702194" w:edGrp="everyone"/>
      <w:r w:rsidRPr="00977616">
        <w:rPr>
          <w:rFonts w:ascii="Calibri" w:hAnsi="Calibri"/>
          <w:sz w:val="22"/>
          <w:szCs w:val="22"/>
        </w:rPr>
        <w:t>Yes, we</w:t>
      </w:r>
      <w:r w:rsidRPr="00702FE4">
        <w:rPr>
          <w:rFonts w:ascii="Calibri" w:hAnsi="Calibri"/>
          <w:sz w:val="22"/>
          <w:szCs w:val="22"/>
        </w:rPr>
        <w:t xml:space="preserve"> agree with ESMA’s proposal and consider it to be in line with the intention of the co-legislators. Replicating the arrangements for qualifying positions for the hedging exemption currently in place for </w:t>
      </w:r>
      <w:r>
        <w:rPr>
          <w:rFonts w:ascii="Calibri" w:hAnsi="Calibri"/>
          <w:sz w:val="22"/>
          <w:szCs w:val="22"/>
        </w:rPr>
        <w:t>Non-Financial Entities</w:t>
      </w:r>
      <w:r w:rsidRPr="00702FE4">
        <w:rPr>
          <w:rFonts w:ascii="Calibri" w:hAnsi="Calibri"/>
          <w:sz w:val="22"/>
          <w:szCs w:val="22"/>
        </w:rPr>
        <w:t xml:space="preserve"> ensures consistency between the various exemptions and allows them to be used by financial entities in a non-discriminatory manner. </w:t>
      </w:r>
      <w:r>
        <w:rPr>
          <w:rFonts w:ascii="Calibri" w:hAnsi="Calibri"/>
          <w:sz w:val="22"/>
          <w:szCs w:val="22"/>
        </w:rPr>
        <w:t>W</w:t>
      </w:r>
      <w:r w:rsidRPr="00702FE4">
        <w:rPr>
          <w:rFonts w:ascii="Calibri" w:hAnsi="Calibri"/>
          <w:sz w:val="22"/>
          <w:szCs w:val="22"/>
        </w:rPr>
        <w:t>e support the proposal.</w:t>
      </w:r>
      <w:r w:rsidRPr="009B1DFF">
        <w:rPr>
          <w:rFonts w:ascii="Calibri" w:hAnsi="Calibri"/>
          <w:sz w:val="22"/>
          <w:szCs w:val="22"/>
        </w:rPr>
        <w:t>]</w:t>
      </w:r>
    </w:p>
    <w:permEnd w:id="87702194"/>
    <w:p w14:paraId="3E4B5260" w14:textId="70FA71E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1&gt;</w:t>
      </w:r>
    </w:p>
    <w:p w14:paraId="6AA41074" w14:textId="77777777" w:rsidR="001F23C9" w:rsidRDefault="001F23C9" w:rsidP="001F23C9">
      <w:pPr>
        <w:rPr>
          <w:rFonts w:ascii="Arial" w:hAnsi="Arial" w:cs="Arial"/>
        </w:rPr>
      </w:pPr>
    </w:p>
    <w:p w14:paraId="33181B57" w14:textId="57D6D58C" w:rsidR="001F23C9" w:rsidRDefault="001F23C9" w:rsidP="001F23C9">
      <w:pPr>
        <w:pStyle w:val="Questionstyle"/>
        <w:numPr>
          <w:ilvl w:val="0"/>
          <w:numId w:val="9"/>
        </w:numPr>
        <w:spacing w:after="250" w:line="276" w:lineRule="auto"/>
      </w:pPr>
      <w:r>
        <w:t xml:space="preserve">: </w:t>
      </w:r>
      <w:r w:rsidR="006B391B" w:rsidRPr="006B391B">
        <w:t>Do you agree with ESMA’s proposal for positions qualifying as risk-reducing? If not, please elaborate and provide an alternative proposal.</w:t>
      </w:r>
    </w:p>
    <w:p w14:paraId="3EDDB358" w14:textId="7238A1B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2&gt;</w:t>
      </w:r>
    </w:p>
    <w:p w14:paraId="15743080" w14:textId="77777777" w:rsidR="00B76BDE" w:rsidRDefault="00B76BDE" w:rsidP="001F23C9">
      <w:pPr>
        <w:rPr>
          <w:rFonts w:ascii="Calibri" w:hAnsi="Calibri"/>
          <w:sz w:val="22"/>
          <w:szCs w:val="22"/>
        </w:rPr>
      </w:pPr>
      <w:permStart w:id="1839020708" w:edGrp="everyone"/>
      <w:r w:rsidRPr="00977616">
        <w:rPr>
          <w:rFonts w:ascii="Calibri" w:hAnsi="Calibri"/>
          <w:sz w:val="22"/>
          <w:szCs w:val="22"/>
        </w:rPr>
        <w:t>Yes, we support the proposal.</w:t>
      </w:r>
      <w:r w:rsidRPr="00702FE4">
        <w:t xml:space="preserve"> </w:t>
      </w:r>
      <w:r w:rsidRPr="00702FE4">
        <w:rPr>
          <w:rFonts w:ascii="Calibri" w:hAnsi="Calibri"/>
          <w:sz w:val="22"/>
          <w:szCs w:val="22"/>
        </w:rPr>
        <w:t>We believe it is helpful to have an identical approach for classifying transactions as risk reducing for all positions held by</w:t>
      </w:r>
      <w:r>
        <w:rPr>
          <w:rFonts w:ascii="Calibri" w:hAnsi="Calibri"/>
          <w:sz w:val="22"/>
          <w:szCs w:val="22"/>
        </w:rPr>
        <w:t xml:space="preserve"> financial entities</w:t>
      </w:r>
      <w:r w:rsidRPr="00702FE4">
        <w:rPr>
          <w:rFonts w:ascii="Calibri" w:hAnsi="Calibri"/>
          <w:sz w:val="22"/>
          <w:szCs w:val="22"/>
        </w:rPr>
        <w:t xml:space="preserve"> and </w:t>
      </w:r>
      <w:r>
        <w:rPr>
          <w:rFonts w:ascii="Calibri" w:hAnsi="Calibri"/>
          <w:sz w:val="22"/>
          <w:szCs w:val="22"/>
        </w:rPr>
        <w:t>non-financial entities</w:t>
      </w:r>
      <w:r w:rsidRPr="00702FE4">
        <w:rPr>
          <w:rFonts w:ascii="Calibri" w:hAnsi="Calibri"/>
          <w:sz w:val="22"/>
          <w:szCs w:val="22"/>
        </w:rPr>
        <w:t xml:space="preserve"> that qualify for a </w:t>
      </w:r>
      <w:r w:rsidRPr="004F5DF5">
        <w:rPr>
          <w:rFonts w:ascii="Calibri" w:hAnsi="Calibri"/>
          <w:sz w:val="22"/>
          <w:szCs w:val="22"/>
        </w:rPr>
        <w:t>hedging exemption under the MiFID II position limit</w:t>
      </w:r>
      <w:r w:rsidRPr="00977616">
        <w:rPr>
          <w:rFonts w:ascii="Calibri" w:hAnsi="Calibri"/>
          <w:sz w:val="22"/>
          <w:szCs w:val="22"/>
        </w:rPr>
        <w:t xml:space="preserve"> regime.</w:t>
      </w:r>
      <w:r w:rsidRPr="009B1DFF">
        <w:rPr>
          <w:rFonts w:ascii="Calibri" w:hAnsi="Calibri"/>
          <w:sz w:val="22"/>
          <w:szCs w:val="22"/>
        </w:rPr>
        <w:t>]</w:t>
      </w:r>
    </w:p>
    <w:permEnd w:id="1839020708"/>
    <w:p w14:paraId="66FEC911" w14:textId="533AE51B"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2&gt;</w:t>
      </w:r>
    </w:p>
    <w:p w14:paraId="57748A42" w14:textId="77777777" w:rsidR="001F23C9" w:rsidRDefault="001F23C9" w:rsidP="001F23C9">
      <w:pPr>
        <w:rPr>
          <w:rFonts w:ascii="Arial" w:hAnsi="Arial" w:cs="Arial"/>
        </w:rPr>
      </w:pPr>
    </w:p>
    <w:p w14:paraId="2CE8F433" w14:textId="7DCDEC99"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the application procedure for financial entities?? If not, please elaborate and provide an alternative proposal.</w:t>
      </w:r>
    </w:p>
    <w:p w14:paraId="7FED036B" w14:textId="0F36C64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03</w:t>
      </w:r>
      <w:r>
        <w:rPr>
          <w:rFonts w:ascii="Arial" w:hAnsi="Arial" w:cs="Arial"/>
        </w:rPr>
        <w:t>&gt;</w:t>
      </w:r>
    </w:p>
    <w:p w14:paraId="42A9173B" w14:textId="06409A05" w:rsidR="001F23C9" w:rsidRDefault="00B76BDE" w:rsidP="001F23C9">
      <w:pPr>
        <w:rPr>
          <w:rFonts w:ascii="Arial" w:hAnsi="Arial" w:cs="Arial"/>
        </w:rPr>
      </w:pPr>
      <w:permStart w:id="1383364894" w:edGrp="everyone"/>
      <w:r w:rsidRPr="00977616">
        <w:rPr>
          <w:rFonts w:ascii="Calibri" w:hAnsi="Calibri"/>
          <w:sz w:val="22"/>
          <w:szCs w:val="22"/>
        </w:rPr>
        <w:t>Yes, we support the proposal.</w:t>
      </w:r>
      <w:r w:rsidRPr="00702FE4">
        <w:t xml:space="preserve"> </w:t>
      </w:r>
      <w:r w:rsidRPr="00702FE4">
        <w:rPr>
          <w:rFonts w:ascii="Calibri" w:hAnsi="Calibri"/>
          <w:sz w:val="22"/>
          <w:szCs w:val="22"/>
        </w:rPr>
        <w:t xml:space="preserve">The application procedure adopted for </w:t>
      </w:r>
      <w:r>
        <w:rPr>
          <w:rFonts w:ascii="Calibri" w:hAnsi="Calibri"/>
          <w:sz w:val="22"/>
          <w:szCs w:val="22"/>
        </w:rPr>
        <w:t>non-financial entities</w:t>
      </w:r>
      <w:r w:rsidRPr="00702FE4">
        <w:rPr>
          <w:rFonts w:ascii="Calibri" w:hAnsi="Calibri"/>
          <w:sz w:val="22"/>
          <w:szCs w:val="22"/>
        </w:rPr>
        <w:t xml:space="preserve"> should be copied for financial entities where possible. An identical application procedure provides for the equal treatment of </w:t>
      </w:r>
      <w:r w:rsidRPr="004F5DF5">
        <w:rPr>
          <w:rFonts w:ascii="Calibri" w:hAnsi="Calibri"/>
          <w:sz w:val="22"/>
          <w:szCs w:val="22"/>
        </w:rPr>
        <w:t>the various market participants when applying for a hedging exemption and there are no apparent reasons for any differentiation.</w:t>
      </w:r>
    </w:p>
    <w:permEnd w:id="1383364894"/>
    <w:p w14:paraId="6BED19E8" w14:textId="588EA1A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3&gt;</w:t>
      </w:r>
    </w:p>
    <w:p w14:paraId="0207D391" w14:textId="77777777" w:rsidR="001F23C9" w:rsidRDefault="001F23C9" w:rsidP="001F23C9">
      <w:pPr>
        <w:rPr>
          <w:rFonts w:ascii="Arial" w:hAnsi="Arial" w:cs="Arial"/>
        </w:rPr>
      </w:pPr>
    </w:p>
    <w:p w14:paraId="014C25F1" w14:textId="377335BC"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the application procedure for mandatory liquidity provision exemption? If not, please elaborate and provide an alternative proposal.</w:t>
      </w:r>
    </w:p>
    <w:p w14:paraId="61582DDF" w14:textId="3D8685D1"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4&gt;</w:t>
      </w:r>
    </w:p>
    <w:p w14:paraId="74B57946" w14:textId="77777777" w:rsidR="00B76BDE" w:rsidRDefault="00B76BDE" w:rsidP="001F23C9">
      <w:pPr>
        <w:rPr>
          <w:rFonts w:ascii="Calibri" w:hAnsi="Calibri"/>
          <w:color w:val="000000" w:themeColor="text1"/>
          <w:sz w:val="22"/>
          <w:szCs w:val="22"/>
        </w:rPr>
      </w:pPr>
      <w:permStart w:id="1723492748" w:edGrp="everyone"/>
      <w:r w:rsidRPr="009B1DFF">
        <w:rPr>
          <w:rFonts w:ascii="Calibri" w:hAnsi="Calibri"/>
          <w:color w:val="000000" w:themeColor="text1"/>
          <w:sz w:val="22"/>
          <w:szCs w:val="22"/>
        </w:rPr>
        <w:t xml:space="preserve">Yes, we </w:t>
      </w:r>
      <w:r>
        <w:rPr>
          <w:rFonts w:ascii="Calibri" w:hAnsi="Calibri"/>
          <w:color w:val="000000" w:themeColor="text1"/>
          <w:sz w:val="22"/>
          <w:szCs w:val="22"/>
        </w:rPr>
        <w:t xml:space="preserve">agree and </w:t>
      </w:r>
      <w:r w:rsidRPr="009B1DFF">
        <w:rPr>
          <w:rFonts w:ascii="Calibri" w:hAnsi="Calibri"/>
          <w:color w:val="000000" w:themeColor="text1"/>
          <w:sz w:val="22"/>
          <w:szCs w:val="22"/>
        </w:rPr>
        <w:t>support the proposal.]</w:t>
      </w:r>
    </w:p>
    <w:permEnd w:id="1723492748"/>
    <w:p w14:paraId="768D899B" w14:textId="6AAC729A"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4&gt;</w:t>
      </w:r>
    </w:p>
    <w:p w14:paraId="2EE4F6D2" w14:textId="77777777" w:rsidR="001F23C9" w:rsidRDefault="001F23C9" w:rsidP="001F23C9">
      <w:pPr>
        <w:rPr>
          <w:rFonts w:ascii="Arial" w:hAnsi="Arial" w:cs="Arial"/>
        </w:rPr>
      </w:pPr>
    </w:p>
    <w:p w14:paraId="20DDA557" w14:textId="092F6A6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on qualifying positions? If not, please elaborate and provide an alternative proposal.</w:t>
      </w:r>
    </w:p>
    <w:p w14:paraId="721CC648" w14:textId="671569F2"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5&gt;</w:t>
      </w:r>
    </w:p>
    <w:p w14:paraId="5764EAF2" w14:textId="77777777" w:rsidR="00B76BDE" w:rsidRDefault="00B76BDE" w:rsidP="001F23C9">
      <w:pPr>
        <w:rPr>
          <w:rFonts w:ascii="Calibri" w:hAnsi="Calibri"/>
          <w:sz w:val="22"/>
          <w:szCs w:val="22"/>
        </w:rPr>
      </w:pPr>
      <w:permStart w:id="377302903" w:edGrp="everyone"/>
      <w:r w:rsidRPr="00977616">
        <w:rPr>
          <w:rFonts w:ascii="Calibri" w:hAnsi="Calibri"/>
          <w:sz w:val="22"/>
          <w:szCs w:val="22"/>
        </w:rPr>
        <w:t xml:space="preserve">Yes, we </w:t>
      </w:r>
      <w:r>
        <w:rPr>
          <w:rFonts w:ascii="Calibri" w:hAnsi="Calibri"/>
          <w:sz w:val="22"/>
          <w:szCs w:val="22"/>
        </w:rPr>
        <w:t xml:space="preserve">agree and </w:t>
      </w:r>
      <w:r w:rsidRPr="00977616">
        <w:rPr>
          <w:rFonts w:ascii="Calibri" w:hAnsi="Calibri"/>
          <w:sz w:val="22"/>
          <w:szCs w:val="22"/>
        </w:rPr>
        <w:t>support the proposal.</w:t>
      </w:r>
    </w:p>
    <w:permEnd w:id="377302903"/>
    <w:p w14:paraId="08615720" w14:textId="1C572CF8"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5&gt;</w:t>
      </w:r>
    </w:p>
    <w:p w14:paraId="19581B61" w14:textId="77777777" w:rsidR="001F23C9" w:rsidRDefault="001F23C9" w:rsidP="001F23C9">
      <w:pPr>
        <w:rPr>
          <w:rFonts w:ascii="Arial" w:hAnsi="Arial" w:cs="Arial"/>
        </w:rPr>
      </w:pPr>
    </w:p>
    <w:p w14:paraId="641F06EB" w14:textId="62863B24"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proposed definition of financial entities? If not, please elaborate.</w:t>
      </w:r>
    </w:p>
    <w:p w14:paraId="1559456F" w14:textId="6EE870CE" w:rsidR="001F23C9" w:rsidRDefault="001F23C9" w:rsidP="001F23C9">
      <w:pPr>
        <w:rPr>
          <w:rFonts w:ascii="Arial" w:hAnsi="Arial" w:cs="Arial"/>
        </w:rPr>
      </w:pPr>
      <w:r>
        <w:rPr>
          <w:rFonts w:ascii="Arial" w:hAnsi="Arial" w:cs="Arial"/>
        </w:rPr>
        <w:lastRenderedPageBreak/>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6&gt;</w:t>
      </w:r>
    </w:p>
    <w:p w14:paraId="7C5825A6" w14:textId="77777777" w:rsidR="00B76BDE" w:rsidRDefault="00B76BDE" w:rsidP="001F23C9">
      <w:pPr>
        <w:rPr>
          <w:rFonts w:ascii="Calibri" w:hAnsi="Calibri"/>
          <w:color w:val="000000" w:themeColor="text1"/>
          <w:sz w:val="22"/>
          <w:szCs w:val="22"/>
        </w:rPr>
      </w:pPr>
      <w:permStart w:id="1290170203" w:edGrp="everyone"/>
      <w:r w:rsidRPr="009B1DFF">
        <w:rPr>
          <w:rFonts w:ascii="Calibri" w:hAnsi="Calibri"/>
          <w:color w:val="000000" w:themeColor="text1"/>
          <w:sz w:val="22"/>
          <w:szCs w:val="22"/>
        </w:rPr>
        <w:t xml:space="preserve">Yes, we </w:t>
      </w:r>
      <w:r>
        <w:rPr>
          <w:rFonts w:ascii="Calibri" w:hAnsi="Calibri"/>
          <w:color w:val="000000" w:themeColor="text1"/>
          <w:sz w:val="22"/>
          <w:szCs w:val="22"/>
        </w:rPr>
        <w:t xml:space="preserve">agree and </w:t>
      </w:r>
      <w:r w:rsidRPr="009B1DFF">
        <w:rPr>
          <w:rFonts w:ascii="Calibri" w:hAnsi="Calibri"/>
          <w:color w:val="000000" w:themeColor="text1"/>
          <w:sz w:val="22"/>
          <w:szCs w:val="22"/>
        </w:rPr>
        <w:t>support the proposal.</w:t>
      </w:r>
    </w:p>
    <w:permEnd w:id="1290170203"/>
    <w:p w14:paraId="74B06132" w14:textId="741C4A37"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6&gt;</w:t>
      </w:r>
    </w:p>
    <w:p w14:paraId="2D8DA87C" w14:textId="77777777" w:rsidR="001F23C9" w:rsidRDefault="001F23C9" w:rsidP="001F23C9">
      <w:pPr>
        <w:rPr>
          <w:rFonts w:ascii="Arial" w:hAnsi="Arial" w:cs="Arial"/>
        </w:rPr>
      </w:pPr>
    </w:p>
    <w:p w14:paraId="2E85777D" w14:textId="34F39C40" w:rsidR="001F23C9" w:rsidRPr="00175CFB" w:rsidRDefault="001F23C9" w:rsidP="001F23C9">
      <w:pPr>
        <w:pStyle w:val="Questionstyle"/>
        <w:numPr>
          <w:ilvl w:val="0"/>
          <w:numId w:val="9"/>
        </w:numPr>
        <w:spacing w:after="250" w:line="276" w:lineRule="auto"/>
      </w:pPr>
      <w:r>
        <w:t xml:space="preserve">: </w:t>
      </w:r>
      <w:r w:rsidR="006B391B" w:rsidRPr="006B391B">
        <w:t>Do you agree with ESMA’s proposal regarding the aggregation and netting of positions in a commodity derivative? If not, please elaborate and provide an alternative proposal where available.</w:t>
      </w:r>
    </w:p>
    <w:p w14:paraId="5145B31A" w14:textId="1FDF315A"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7&gt;</w:t>
      </w:r>
    </w:p>
    <w:p w14:paraId="29717EC5" w14:textId="77777777" w:rsidR="0069152E" w:rsidRPr="00733560" w:rsidRDefault="0069152E" w:rsidP="0069152E">
      <w:pPr>
        <w:shd w:val="clear" w:color="auto" w:fill="F2F2F2" w:themeFill="background1" w:themeFillShade="F2"/>
        <w:ind w:left="360" w:hanging="360"/>
        <w:rPr>
          <w:rFonts w:ascii="Calibri" w:hAnsi="Calibri"/>
          <w:color w:val="000000" w:themeColor="text1"/>
          <w:sz w:val="22"/>
          <w:szCs w:val="22"/>
        </w:rPr>
      </w:pPr>
      <w:permStart w:id="463824392" w:edGrp="everyone"/>
      <w:r w:rsidRPr="00733560">
        <w:rPr>
          <w:rFonts w:ascii="Calibri" w:hAnsi="Calibri"/>
          <w:color w:val="000000" w:themeColor="text1"/>
          <w:sz w:val="22"/>
          <w:szCs w:val="22"/>
        </w:rPr>
        <w:t>1. We support ESMA’s proposal to delete the reference to “the same commodity derivative”.</w:t>
      </w:r>
    </w:p>
    <w:p w14:paraId="45402F06" w14:textId="77777777" w:rsidR="0069152E" w:rsidRDefault="0069152E" w:rsidP="0069152E">
      <w:pPr>
        <w:pStyle w:val="ListParagraph"/>
        <w:numPr>
          <w:ilvl w:val="0"/>
          <w:numId w:val="0"/>
        </w:numPr>
        <w:shd w:val="clear" w:color="auto" w:fill="F2F2F2" w:themeFill="background1" w:themeFillShade="F2"/>
        <w:ind w:left="-59"/>
        <w:rPr>
          <w:rFonts w:ascii="Calibri" w:hAnsi="Calibri"/>
        </w:rPr>
      </w:pPr>
      <w:r>
        <w:rPr>
          <w:rFonts w:ascii="Calibri" w:hAnsi="Calibri"/>
        </w:rPr>
        <w:tab/>
      </w:r>
    </w:p>
    <w:p w14:paraId="2EF822B7" w14:textId="77777777" w:rsidR="0069152E" w:rsidRDefault="0069152E" w:rsidP="0069152E">
      <w:pPr>
        <w:pStyle w:val="ListParagraph"/>
        <w:numPr>
          <w:ilvl w:val="0"/>
          <w:numId w:val="0"/>
        </w:numPr>
        <w:shd w:val="clear" w:color="auto" w:fill="F2F2F2" w:themeFill="background1" w:themeFillShade="F2"/>
        <w:ind w:left="-59"/>
        <w:rPr>
          <w:rFonts w:ascii="Calibri" w:hAnsi="Calibri"/>
        </w:rPr>
      </w:pPr>
      <w:r w:rsidRPr="009B1DFF">
        <w:rPr>
          <w:rFonts w:ascii="Calibri" w:hAnsi="Calibri"/>
        </w:rPr>
        <w:t>2</w:t>
      </w:r>
      <w:bookmarkStart w:id="4" w:name="_Hlk74577449"/>
      <w:r w:rsidRPr="009B1DFF">
        <w:rPr>
          <w:rFonts w:ascii="Calibri" w:hAnsi="Calibri"/>
        </w:rPr>
        <w:t xml:space="preserve">. We do not believe “spread contracts” require a special treatment under the position limit regime. </w:t>
      </w:r>
      <w:r w:rsidRPr="00882C3C">
        <w:rPr>
          <w:rFonts w:ascii="Calibri" w:hAnsi="Calibri"/>
        </w:rPr>
        <w:t xml:space="preserve">When spread trading is </w:t>
      </w:r>
      <w:r w:rsidRPr="009B1DFF">
        <w:rPr>
          <w:rFonts w:ascii="Calibri" w:hAnsi="Calibri"/>
        </w:rPr>
        <w:t>merely a trading strategy</w:t>
      </w:r>
      <w:r>
        <w:rPr>
          <w:rFonts w:ascii="Calibri" w:hAnsi="Calibri"/>
        </w:rPr>
        <w:t>,</w:t>
      </w:r>
      <w:r w:rsidRPr="009B1DFF">
        <w:rPr>
          <w:rFonts w:ascii="Calibri" w:hAnsi="Calibri"/>
        </w:rPr>
        <w:t xml:space="preserve"> two combined orders in at least two different contracts (for example t</w:t>
      </w:r>
      <w:r>
        <w:rPr>
          <w:rFonts w:ascii="Calibri" w:hAnsi="Calibri"/>
        </w:rPr>
        <w:t>w</w:t>
      </w:r>
      <w:r w:rsidRPr="009B1DFF">
        <w:rPr>
          <w:rFonts w:ascii="Calibri" w:hAnsi="Calibri"/>
        </w:rPr>
        <w:t>o different maturities) are executed simultaneously. Both of those legs count towards the position limits of the respective outright futures contracts.</w:t>
      </w:r>
      <w:bookmarkEnd w:id="4"/>
      <w:r w:rsidRPr="00E3038F">
        <w:t xml:space="preserve"> </w:t>
      </w:r>
      <w:r w:rsidRPr="0069152E">
        <w:rPr>
          <w:rFonts w:ascii="Calibri" w:hAnsi="Calibri"/>
        </w:rPr>
        <w:t xml:space="preserve">Europex notes that in the event a trading venue admits to trading a differential contract whose contract terms reflect the economics of two separate outright markets, a separate position limit is also not required. Instead, the position in the differential contract can be deconstructed into equivalent long and short positions and aggregated with any positions of the respective outright markets reflecting the economics of the differential.   </w:t>
      </w:r>
    </w:p>
    <w:p w14:paraId="5F39E76E" w14:textId="77777777" w:rsidR="0069152E" w:rsidRDefault="0069152E" w:rsidP="0069152E">
      <w:pPr>
        <w:pStyle w:val="ListParagraph"/>
        <w:numPr>
          <w:ilvl w:val="0"/>
          <w:numId w:val="0"/>
        </w:numPr>
        <w:shd w:val="clear" w:color="auto" w:fill="F2F2F2" w:themeFill="background1" w:themeFillShade="F2"/>
        <w:ind w:left="-59"/>
        <w:rPr>
          <w:rFonts w:ascii="Calibri" w:hAnsi="Calibri"/>
        </w:rPr>
      </w:pPr>
    </w:p>
    <w:p w14:paraId="4DF1A97C" w14:textId="005886D9" w:rsidR="0069152E" w:rsidRDefault="0069152E" w:rsidP="0069152E">
      <w:pPr>
        <w:pStyle w:val="ListParagraph"/>
        <w:numPr>
          <w:ilvl w:val="0"/>
          <w:numId w:val="0"/>
        </w:numPr>
        <w:shd w:val="clear" w:color="auto" w:fill="F2F2F2" w:themeFill="background1" w:themeFillShade="F2"/>
        <w:ind w:left="-59"/>
        <w:rPr>
          <w:rFonts w:ascii="Calibri" w:hAnsi="Calibri"/>
        </w:rPr>
      </w:pPr>
      <w:r w:rsidRPr="0069152E">
        <w:rPr>
          <w:rFonts w:ascii="Calibri" w:hAnsi="Calibri"/>
        </w:rPr>
        <w:t>3. We agree with the proposal to aggregate the positions of commodity derivatives that are based on the same underlying and share almost the same specifications as the principal or main commodity derivative traded on the same trading venue, such as "minis" and "</w:t>
      </w:r>
      <w:proofErr w:type="spellStart"/>
      <w:r w:rsidRPr="0069152E">
        <w:rPr>
          <w:rFonts w:ascii="Calibri" w:hAnsi="Calibri"/>
        </w:rPr>
        <w:t>balmos</w:t>
      </w:r>
      <w:proofErr w:type="spellEnd"/>
      <w:r w:rsidRPr="009B1DFF">
        <w:rPr>
          <w:rFonts w:ascii="Calibri" w:hAnsi="Calibri"/>
        </w:rPr>
        <w:t>".</w:t>
      </w:r>
    </w:p>
    <w:permEnd w:id="463824392"/>
    <w:p w14:paraId="3F2567A8" w14:textId="4A58DBB6"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7&gt;</w:t>
      </w:r>
    </w:p>
    <w:p w14:paraId="19066DFA" w14:textId="77777777" w:rsidR="001F23C9" w:rsidRDefault="001F23C9" w:rsidP="001F23C9">
      <w:pPr>
        <w:rPr>
          <w:rFonts w:ascii="Arial" w:hAnsi="Arial" w:cs="Arial"/>
        </w:rPr>
      </w:pPr>
    </w:p>
    <w:p w14:paraId="26B5D069" w14:textId="5F98A79A" w:rsidR="001F23C9" w:rsidRPr="00175CFB" w:rsidRDefault="001F23C9" w:rsidP="001F23C9">
      <w:pPr>
        <w:pStyle w:val="Questionstyle"/>
        <w:numPr>
          <w:ilvl w:val="0"/>
          <w:numId w:val="9"/>
        </w:numPr>
        <w:spacing w:after="250" w:line="276" w:lineRule="auto"/>
      </w:pPr>
      <w:r>
        <w:t xml:space="preserve">: </w:t>
      </w:r>
      <w:r w:rsidR="006B391B" w:rsidRPr="006B391B">
        <w:t>Do you agree with ESMA’s proposal for significant volumes? If not, please elaborate.</w:t>
      </w:r>
    </w:p>
    <w:p w14:paraId="280915A7" w14:textId="7E73B0F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8&gt;</w:t>
      </w:r>
    </w:p>
    <w:p w14:paraId="0B3FD8BC" w14:textId="77777777" w:rsidR="0069152E" w:rsidRDefault="0069152E" w:rsidP="001F23C9">
      <w:pPr>
        <w:rPr>
          <w:rFonts w:ascii="Arial" w:hAnsi="Arial" w:cs="Arial"/>
        </w:rPr>
      </w:pPr>
      <w:permStart w:id="71388718" w:edGrp="everyone"/>
      <w:r w:rsidRPr="009B1DFF">
        <w:rPr>
          <w:rFonts w:ascii="Calibri" w:hAnsi="Calibri"/>
          <w:sz w:val="22"/>
          <w:szCs w:val="22"/>
        </w:rPr>
        <w:t xml:space="preserve">Yes, we </w:t>
      </w:r>
      <w:r>
        <w:rPr>
          <w:rFonts w:ascii="Calibri" w:hAnsi="Calibri"/>
          <w:sz w:val="22"/>
          <w:szCs w:val="22"/>
        </w:rPr>
        <w:t xml:space="preserve">agree and </w:t>
      </w:r>
      <w:r w:rsidRPr="009B1DFF">
        <w:rPr>
          <w:rFonts w:ascii="Calibri" w:hAnsi="Calibri"/>
          <w:sz w:val="22"/>
          <w:szCs w:val="22"/>
        </w:rPr>
        <w:t>support the proposal</w:t>
      </w:r>
      <w:r>
        <w:rPr>
          <w:rFonts w:ascii="Arial" w:hAnsi="Arial" w:cs="Arial"/>
        </w:rPr>
        <w:t xml:space="preserve"> </w:t>
      </w:r>
    </w:p>
    <w:permEnd w:id="71388718"/>
    <w:p w14:paraId="611C3F91" w14:textId="08DFC2C6"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8&gt;</w:t>
      </w:r>
    </w:p>
    <w:p w14:paraId="13BF8D66" w14:textId="77777777" w:rsidR="001F23C9" w:rsidRDefault="001F23C9" w:rsidP="001F23C9">
      <w:pPr>
        <w:rPr>
          <w:rFonts w:ascii="Arial" w:hAnsi="Arial" w:cs="Arial"/>
        </w:rPr>
      </w:pPr>
    </w:p>
    <w:p w14:paraId="36A02EDD" w14:textId="6925CDC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 If not, please elaborate and provide an alternative proposal where available.</w:t>
      </w:r>
      <w:r w:rsidRPr="000F104A">
        <w:t xml:space="preserve"> </w:t>
      </w:r>
    </w:p>
    <w:p w14:paraId="3A329F97" w14:textId="29544F9C"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9&gt;</w:t>
      </w:r>
    </w:p>
    <w:p w14:paraId="79E21484" w14:textId="77777777" w:rsidR="00092093" w:rsidRPr="009B1DFF" w:rsidRDefault="00092093" w:rsidP="00F64E30">
      <w:pPr>
        <w:shd w:val="clear" w:color="auto" w:fill="F2F2F2" w:themeFill="background1" w:themeFillShade="F2"/>
        <w:jc w:val="both"/>
        <w:rPr>
          <w:rFonts w:ascii="Calibri" w:hAnsi="Calibri"/>
          <w:sz w:val="22"/>
          <w:szCs w:val="22"/>
        </w:rPr>
      </w:pPr>
      <w:permStart w:id="819753946" w:edGrp="everyone"/>
      <w:r w:rsidRPr="009B1DFF">
        <w:rPr>
          <w:rFonts w:ascii="Calibri" w:hAnsi="Calibri"/>
          <w:sz w:val="22"/>
          <w:szCs w:val="22"/>
        </w:rPr>
        <w:t xml:space="preserve">We are seriously concerned about the negative effects of such a proposal and question the reasoning behind it. </w:t>
      </w:r>
    </w:p>
    <w:p w14:paraId="713A04A9" w14:textId="77777777" w:rsidR="00092093" w:rsidRPr="009B1DFF" w:rsidRDefault="00092093" w:rsidP="00F64E30">
      <w:pPr>
        <w:shd w:val="clear" w:color="auto" w:fill="F2F2F2" w:themeFill="background1" w:themeFillShade="F2"/>
        <w:jc w:val="both"/>
        <w:rPr>
          <w:rFonts w:ascii="Calibri" w:hAnsi="Calibri"/>
          <w:sz w:val="22"/>
          <w:szCs w:val="22"/>
        </w:rPr>
      </w:pPr>
    </w:p>
    <w:p w14:paraId="59D1B936" w14:textId="77777777" w:rsidR="00092093" w:rsidRPr="009B1DFF" w:rsidRDefault="00092093" w:rsidP="00F64E30">
      <w:pPr>
        <w:shd w:val="clear" w:color="auto" w:fill="F2F2F2" w:themeFill="background1" w:themeFillShade="F2"/>
        <w:jc w:val="both"/>
        <w:rPr>
          <w:rFonts w:ascii="Calibri" w:hAnsi="Calibri"/>
          <w:sz w:val="22"/>
          <w:szCs w:val="22"/>
        </w:rPr>
      </w:pPr>
      <w:r>
        <w:rPr>
          <w:rFonts w:ascii="Calibri" w:hAnsi="Calibri"/>
          <w:sz w:val="22"/>
          <w:szCs w:val="22"/>
        </w:rPr>
        <w:t>A</w:t>
      </w:r>
      <w:r w:rsidRPr="009B1DFF">
        <w:rPr>
          <w:rFonts w:ascii="Calibri" w:hAnsi="Calibri"/>
          <w:sz w:val="22"/>
          <w:szCs w:val="22"/>
        </w:rPr>
        <w:t xml:space="preserve"> position holder’s ability to squeeze or corner a market</w:t>
      </w:r>
      <w:r>
        <w:rPr>
          <w:rFonts w:ascii="Calibri" w:hAnsi="Calibri"/>
          <w:sz w:val="22"/>
          <w:szCs w:val="22"/>
        </w:rPr>
        <w:t xml:space="preserve"> is entirely dependent on the deliverable supply</w:t>
      </w:r>
      <w:r w:rsidRPr="009B1DFF">
        <w:rPr>
          <w:rFonts w:ascii="Calibri" w:hAnsi="Calibri"/>
          <w:sz w:val="22"/>
          <w:szCs w:val="22"/>
        </w:rPr>
        <w:t xml:space="preserve">. </w:t>
      </w:r>
      <w:r>
        <w:rPr>
          <w:rFonts w:ascii="Calibri" w:hAnsi="Calibri"/>
          <w:sz w:val="22"/>
          <w:szCs w:val="22"/>
        </w:rPr>
        <w:t>Where</w:t>
      </w:r>
      <w:r w:rsidRPr="009B1DFF">
        <w:rPr>
          <w:rFonts w:ascii="Calibri" w:hAnsi="Calibri"/>
          <w:sz w:val="22"/>
          <w:szCs w:val="22"/>
        </w:rPr>
        <w:t xml:space="preserve"> deliverable supply is high </w:t>
      </w:r>
      <w:r>
        <w:rPr>
          <w:rFonts w:ascii="Calibri" w:hAnsi="Calibri"/>
          <w:sz w:val="22"/>
          <w:szCs w:val="22"/>
        </w:rPr>
        <w:t>in comparison</w:t>
      </w:r>
      <w:r w:rsidRPr="009B1DFF">
        <w:rPr>
          <w:rFonts w:ascii="Calibri" w:hAnsi="Calibri"/>
          <w:sz w:val="22"/>
          <w:szCs w:val="22"/>
        </w:rPr>
        <w:t xml:space="preserve"> to the respective position a person holds, </w:t>
      </w:r>
      <w:r>
        <w:rPr>
          <w:rFonts w:ascii="Calibri" w:hAnsi="Calibri"/>
          <w:sz w:val="22"/>
          <w:szCs w:val="22"/>
        </w:rPr>
        <w:t xml:space="preserve">this person </w:t>
      </w:r>
      <w:r w:rsidRPr="009B1DFF">
        <w:rPr>
          <w:rFonts w:ascii="Calibri" w:hAnsi="Calibri"/>
          <w:sz w:val="22"/>
          <w:szCs w:val="22"/>
        </w:rPr>
        <w:t xml:space="preserve">has little power to </w:t>
      </w:r>
      <w:r>
        <w:rPr>
          <w:rFonts w:ascii="Calibri" w:hAnsi="Calibri"/>
          <w:sz w:val="22"/>
          <w:szCs w:val="22"/>
        </w:rPr>
        <w:t xml:space="preserve">squeeze or </w:t>
      </w:r>
      <w:r w:rsidRPr="009B1DFF">
        <w:rPr>
          <w:rFonts w:ascii="Calibri" w:hAnsi="Calibri"/>
          <w:sz w:val="22"/>
          <w:szCs w:val="22"/>
        </w:rPr>
        <w:t xml:space="preserve">corner a market. This is because other position holders </w:t>
      </w:r>
      <w:r>
        <w:rPr>
          <w:rFonts w:ascii="Calibri" w:hAnsi="Calibri"/>
          <w:sz w:val="22"/>
          <w:szCs w:val="22"/>
        </w:rPr>
        <w:t>can easily</w:t>
      </w:r>
      <w:r w:rsidRPr="009B1DFF">
        <w:rPr>
          <w:rFonts w:ascii="Calibri" w:hAnsi="Calibri"/>
          <w:sz w:val="22"/>
          <w:szCs w:val="22"/>
        </w:rPr>
        <w:t xml:space="preserve"> clos</w:t>
      </w:r>
      <w:r>
        <w:rPr>
          <w:rFonts w:ascii="Calibri" w:hAnsi="Calibri"/>
          <w:sz w:val="22"/>
          <w:szCs w:val="22"/>
        </w:rPr>
        <w:t>e</w:t>
      </w:r>
      <w:r w:rsidRPr="009B1DFF">
        <w:rPr>
          <w:rFonts w:ascii="Calibri" w:hAnsi="Calibri"/>
          <w:sz w:val="22"/>
          <w:szCs w:val="22"/>
        </w:rPr>
        <w:t xml:space="preserve"> out their positions.</w:t>
      </w:r>
    </w:p>
    <w:p w14:paraId="5DBB2328" w14:textId="77777777" w:rsidR="00092093" w:rsidRPr="009B1DFF" w:rsidRDefault="00092093" w:rsidP="00F64E30">
      <w:pPr>
        <w:shd w:val="clear" w:color="auto" w:fill="F2F2F2" w:themeFill="background1" w:themeFillShade="F2"/>
        <w:jc w:val="both"/>
        <w:rPr>
          <w:rFonts w:ascii="Calibri" w:hAnsi="Calibri"/>
          <w:sz w:val="22"/>
          <w:szCs w:val="22"/>
        </w:rPr>
      </w:pPr>
    </w:p>
    <w:p w14:paraId="6F40ADDD" w14:textId="77777777" w:rsidR="00092093" w:rsidRPr="009B1DFF" w:rsidRDefault="00092093" w:rsidP="00F64E30">
      <w:pPr>
        <w:shd w:val="clear" w:color="auto" w:fill="F2F2F2" w:themeFill="background1" w:themeFillShade="F2"/>
        <w:jc w:val="both"/>
        <w:rPr>
          <w:rFonts w:ascii="Calibri" w:hAnsi="Calibri"/>
          <w:sz w:val="22"/>
          <w:szCs w:val="22"/>
        </w:rPr>
      </w:pPr>
      <w:r w:rsidRPr="009B1DFF">
        <w:rPr>
          <w:rFonts w:ascii="Calibri" w:hAnsi="Calibri"/>
          <w:sz w:val="22"/>
          <w:szCs w:val="22"/>
        </w:rPr>
        <w:t>As many exchange-traded commodity derivative</w:t>
      </w:r>
      <w:r>
        <w:rPr>
          <w:rFonts w:ascii="Calibri" w:hAnsi="Calibri"/>
          <w:sz w:val="22"/>
          <w:szCs w:val="22"/>
        </w:rPr>
        <w:t>s</w:t>
      </w:r>
      <w:r w:rsidRPr="009B1DFF">
        <w:rPr>
          <w:rFonts w:ascii="Calibri" w:hAnsi="Calibri"/>
          <w:sz w:val="22"/>
          <w:szCs w:val="22"/>
        </w:rPr>
        <w:t xml:space="preserve"> markets in Europe are still relatively illiquid compared to the total available </w:t>
      </w:r>
      <w:r w:rsidRPr="00D8342B">
        <w:rPr>
          <w:rFonts w:ascii="Calibri" w:hAnsi="Calibri"/>
          <w:sz w:val="22"/>
          <w:szCs w:val="22"/>
          <w:lang w:val="en-US"/>
        </w:rPr>
        <w:t>commodity, it is a direct consequence that the deliverable supply would be substantially higher than the open interest</w:t>
      </w:r>
      <w:r w:rsidRPr="009B1DFF">
        <w:rPr>
          <w:rFonts w:ascii="Calibri" w:hAnsi="Calibri"/>
          <w:sz w:val="22"/>
          <w:szCs w:val="22"/>
        </w:rPr>
        <w:t>. Setting the baseline for the spot month limit a</w:t>
      </w:r>
      <w:r>
        <w:rPr>
          <w:rFonts w:ascii="Calibri" w:hAnsi="Calibri"/>
          <w:sz w:val="22"/>
          <w:szCs w:val="22"/>
        </w:rPr>
        <w:t>t</w:t>
      </w:r>
      <w:r w:rsidRPr="009B1DFF">
        <w:rPr>
          <w:rFonts w:ascii="Calibri" w:hAnsi="Calibri"/>
          <w:sz w:val="22"/>
          <w:szCs w:val="22"/>
        </w:rPr>
        <w:t xml:space="preserve"> 25% of open interest in these cases would have no economic </w:t>
      </w:r>
      <w:r>
        <w:rPr>
          <w:rFonts w:ascii="Calibri" w:hAnsi="Calibri"/>
          <w:sz w:val="22"/>
          <w:szCs w:val="22"/>
        </w:rPr>
        <w:t>basis</w:t>
      </w:r>
      <w:r w:rsidRPr="009B1DFF">
        <w:rPr>
          <w:rFonts w:ascii="Calibri" w:hAnsi="Calibri"/>
          <w:sz w:val="22"/>
          <w:szCs w:val="22"/>
        </w:rPr>
        <w:t xml:space="preserve"> and would be unjustified for two reasons</w:t>
      </w:r>
      <w:r>
        <w:rPr>
          <w:rFonts w:ascii="Calibri" w:hAnsi="Calibri"/>
          <w:sz w:val="22"/>
          <w:szCs w:val="22"/>
        </w:rPr>
        <w:t>:</w:t>
      </w:r>
    </w:p>
    <w:p w14:paraId="1F5AEC8D" w14:textId="77777777" w:rsidR="00092093" w:rsidRPr="009B1DFF" w:rsidRDefault="00092093" w:rsidP="00F64E30">
      <w:pPr>
        <w:shd w:val="clear" w:color="auto" w:fill="F2F2F2" w:themeFill="background1" w:themeFillShade="F2"/>
        <w:jc w:val="both"/>
        <w:rPr>
          <w:rFonts w:ascii="Calibri" w:hAnsi="Calibri"/>
          <w:sz w:val="22"/>
          <w:szCs w:val="22"/>
        </w:rPr>
      </w:pPr>
    </w:p>
    <w:p w14:paraId="7E319B09" w14:textId="77777777" w:rsidR="00092093" w:rsidRPr="009B1DFF" w:rsidRDefault="00092093" w:rsidP="00F64E30">
      <w:pPr>
        <w:shd w:val="clear" w:color="auto" w:fill="F2F2F2" w:themeFill="background1" w:themeFillShade="F2"/>
        <w:jc w:val="both"/>
        <w:rPr>
          <w:rFonts w:ascii="Calibri" w:hAnsi="Calibri"/>
          <w:sz w:val="22"/>
          <w:szCs w:val="22"/>
        </w:rPr>
      </w:pPr>
      <w:r w:rsidRPr="009B1DFF">
        <w:rPr>
          <w:rFonts w:ascii="Calibri" w:hAnsi="Calibri"/>
          <w:sz w:val="22"/>
          <w:szCs w:val="22"/>
        </w:rPr>
        <w:lastRenderedPageBreak/>
        <w:t>1) A substantially higher deliverable supply does not mean that the market is more prone to market cornering. On the contrary, in these cases a substantially higher share of the trading is taking place outside the respective derivative contract, either on other trading venues or, more likely, outside the regulated environment</w:t>
      </w:r>
      <w:r w:rsidRPr="00D8342B">
        <w:rPr>
          <w:rFonts w:ascii="Calibri" w:hAnsi="Calibri"/>
          <w:sz w:val="22"/>
          <w:szCs w:val="22"/>
        </w:rPr>
        <w:t xml:space="preserve">. </w:t>
      </w:r>
      <w:r w:rsidRPr="009B1DFF">
        <w:rPr>
          <w:rFonts w:ascii="Calibri" w:hAnsi="Calibri"/>
          <w:sz w:val="22"/>
          <w:szCs w:val="22"/>
        </w:rPr>
        <w:t xml:space="preserve">It would thus be close to impossible to squeeze a contract of which the open interest reflects only a small share of the overall market. More logical would be the opposite reasoning, </w:t>
      </w:r>
      <w:proofErr w:type="gramStart"/>
      <w:r w:rsidRPr="009B1DFF">
        <w:rPr>
          <w:rFonts w:ascii="Calibri" w:hAnsi="Calibri"/>
          <w:sz w:val="22"/>
          <w:szCs w:val="22"/>
        </w:rPr>
        <w:t>i.e.</w:t>
      </w:r>
      <w:proofErr w:type="gramEnd"/>
      <w:r w:rsidRPr="009B1DFF">
        <w:rPr>
          <w:rFonts w:ascii="Calibri" w:hAnsi="Calibri"/>
          <w:sz w:val="22"/>
          <w:szCs w:val="22"/>
        </w:rPr>
        <w:t xml:space="preserve"> in case that deliverable supply is substantially higher than open interest, an upwards review of the </w:t>
      </w:r>
      <w:r w:rsidRPr="00594C24">
        <w:rPr>
          <w:rFonts w:ascii="Calibri" w:hAnsi="Calibri"/>
          <w:sz w:val="22"/>
          <w:szCs w:val="22"/>
        </w:rPr>
        <w:t xml:space="preserve">position limit </w:t>
      </w:r>
      <w:r>
        <w:rPr>
          <w:rFonts w:ascii="Calibri" w:hAnsi="Calibri"/>
          <w:sz w:val="22"/>
          <w:szCs w:val="22"/>
        </w:rPr>
        <w:t xml:space="preserve">of the </w:t>
      </w:r>
      <w:r w:rsidRPr="009B1DFF">
        <w:rPr>
          <w:rFonts w:ascii="Calibri" w:hAnsi="Calibri"/>
          <w:sz w:val="22"/>
          <w:szCs w:val="22"/>
        </w:rPr>
        <w:t xml:space="preserve">other month contract </w:t>
      </w:r>
      <w:r>
        <w:rPr>
          <w:rFonts w:ascii="Calibri" w:hAnsi="Calibri"/>
          <w:sz w:val="22"/>
          <w:szCs w:val="22"/>
        </w:rPr>
        <w:t>would be</w:t>
      </w:r>
      <w:r w:rsidRPr="009B1DFF">
        <w:rPr>
          <w:rFonts w:ascii="Calibri" w:hAnsi="Calibri"/>
          <w:sz w:val="22"/>
          <w:szCs w:val="22"/>
        </w:rPr>
        <w:t xml:space="preserve"> needed. See also our response to Q13</w:t>
      </w:r>
      <w:r>
        <w:rPr>
          <w:rFonts w:ascii="Calibri" w:hAnsi="Calibri"/>
          <w:sz w:val="22"/>
          <w:szCs w:val="22"/>
        </w:rPr>
        <w:t xml:space="preserve"> for further details</w:t>
      </w:r>
      <w:r w:rsidRPr="009B1DFF">
        <w:rPr>
          <w:rFonts w:ascii="Calibri" w:hAnsi="Calibri"/>
          <w:sz w:val="22"/>
          <w:szCs w:val="22"/>
        </w:rPr>
        <w:t>.</w:t>
      </w:r>
    </w:p>
    <w:p w14:paraId="5015A2DA" w14:textId="77777777" w:rsidR="00092093" w:rsidRPr="009B1DFF" w:rsidRDefault="00092093" w:rsidP="00F64E30">
      <w:pPr>
        <w:shd w:val="clear" w:color="auto" w:fill="F2F2F2" w:themeFill="background1" w:themeFillShade="F2"/>
        <w:jc w:val="both"/>
        <w:rPr>
          <w:rFonts w:ascii="Calibri" w:hAnsi="Calibri"/>
          <w:sz w:val="22"/>
          <w:szCs w:val="22"/>
        </w:rPr>
      </w:pPr>
    </w:p>
    <w:p w14:paraId="69156553" w14:textId="77777777" w:rsidR="00092093" w:rsidRPr="009B1DFF" w:rsidRDefault="00092093" w:rsidP="00F64E30">
      <w:pPr>
        <w:shd w:val="clear" w:color="auto" w:fill="F2F2F2" w:themeFill="background1" w:themeFillShade="F2"/>
        <w:jc w:val="both"/>
        <w:rPr>
          <w:rFonts w:ascii="Calibri" w:hAnsi="Calibri"/>
          <w:sz w:val="22"/>
          <w:szCs w:val="22"/>
        </w:rPr>
      </w:pPr>
      <w:r w:rsidRPr="009B1DFF">
        <w:rPr>
          <w:rFonts w:ascii="Calibri" w:hAnsi="Calibri"/>
          <w:sz w:val="22"/>
          <w:szCs w:val="22"/>
        </w:rPr>
        <w:t xml:space="preserve">2) It would </w:t>
      </w:r>
      <w:r>
        <w:rPr>
          <w:rFonts w:ascii="Calibri" w:hAnsi="Calibri"/>
          <w:sz w:val="22"/>
          <w:szCs w:val="22"/>
        </w:rPr>
        <w:t>penalise</w:t>
      </w:r>
      <w:r w:rsidRPr="009B1DFF">
        <w:rPr>
          <w:rFonts w:ascii="Calibri" w:hAnsi="Calibri"/>
          <w:sz w:val="22"/>
          <w:szCs w:val="22"/>
        </w:rPr>
        <w:t xml:space="preserve"> the spot month contract for the lack of development of the exchange-traded commodity market </w:t>
      </w:r>
      <w:proofErr w:type="gramStart"/>
      <w:r w:rsidRPr="009B1DFF">
        <w:rPr>
          <w:rFonts w:ascii="Calibri" w:hAnsi="Calibri"/>
          <w:sz w:val="22"/>
          <w:szCs w:val="22"/>
        </w:rPr>
        <w:t>or</w:t>
      </w:r>
      <w:r>
        <w:rPr>
          <w:rFonts w:ascii="Calibri" w:hAnsi="Calibri"/>
          <w:sz w:val="22"/>
          <w:szCs w:val="22"/>
        </w:rPr>
        <w:t>,</w:t>
      </w:r>
      <w:r w:rsidRPr="009B1DFF">
        <w:rPr>
          <w:rFonts w:ascii="Calibri" w:hAnsi="Calibri"/>
          <w:sz w:val="22"/>
          <w:szCs w:val="22"/>
        </w:rPr>
        <w:t xml:space="preserve"> </w:t>
      </w:r>
      <w:r w:rsidRPr="00F44423">
        <w:rPr>
          <w:rFonts w:ascii="Calibri" w:hAnsi="Calibri"/>
          <w:sz w:val="22"/>
          <w:szCs w:val="22"/>
        </w:rPr>
        <w:t>in case</w:t>
      </w:r>
      <w:proofErr w:type="gramEnd"/>
      <w:r w:rsidRPr="00F44423">
        <w:rPr>
          <w:rFonts w:ascii="Calibri" w:hAnsi="Calibri"/>
          <w:sz w:val="22"/>
          <w:szCs w:val="22"/>
        </w:rPr>
        <w:t xml:space="preserve"> trading is already taking place at </w:t>
      </w:r>
      <w:r>
        <w:rPr>
          <w:rFonts w:ascii="Calibri" w:hAnsi="Calibri"/>
          <w:sz w:val="22"/>
          <w:szCs w:val="22"/>
        </w:rPr>
        <w:t xml:space="preserve">a </w:t>
      </w:r>
      <w:r w:rsidRPr="00F44423">
        <w:rPr>
          <w:rFonts w:ascii="Calibri" w:hAnsi="Calibri"/>
          <w:sz w:val="22"/>
          <w:szCs w:val="22"/>
        </w:rPr>
        <w:t>competing regulated market</w:t>
      </w:r>
      <w:r>
        <w:rPr>
          <w:rFonts w:ascii="Calibri" w:hAnsi="Calibri"/>
          <w:sz w:val="22"/>
          <w:szCs w:val="22"/>
        </w:rPr>
        <w:t>, hamper the development of a</w:t>
      </w:r>
      <w:r w:rsidRPr="009B1DFF">
        <w:rPr>
          <w:rFonts w:ascii="Calibri" w:hAnsi="Calibri"/>
          <w:sz w:val="22"/>
          <w:szCs w:val="22"/>
        </w:rPr>
        <w:t xml:space="preserve"> </w:t>
      </w:r>
      <w:r>
        <w:rPr>
          <w:rFonts w:ascii="Calibri" w:hAnsi="Calibri"/>
          <w:sz w:val="22"/>
          <w:szCs w:val="22"/>
        </w:rPr>
        <w:t>newly introduced</w:t>
      </w:r>
      <w:r w:rsidRPr="009B1DFF">
        <w:rPr>
          <w:rFonts w:ascii="Calibri" w:hAnsi="Calibri"/>
          <w:sz w:val="22"/>
          <w:szCs w:val="22"/>
        </w:rPr>
        <w:t xml:space="preserve"> </w:t>
      </w:r>
      <w:r>
        <w:rPr>
          <w:rFonts w:ascii="Calibri" w:hAnsi="Calibri"/>
          <w:sz w:val="22"/>
          <w:szCs w:val="22"/>
        </w:rPr>
        <w:t xml:space="preserve">on-exchange </w:t>
      </w:r>
      <w:r w:rsidRPr="009B1DFF">
        <w:rPr>
          <w:rFonts w:ascii="Calibri" w:hAnsi="Calibri"/>
          <w:sz w:val="22"/>
          <w:szCs w:val="22"/>
        </w:rPr>
        <w:t xml:space="preserve">contract. As a situation in which deliverable supply is substantially higher than open interest reflects a market </w:t>
      </w:r>
      <w:r>
        <w:rPr>
          <w:rFonts w:ascii="Calibri" w:hAnsi="Calibri"/>
          <w:sz w:val="22"/>
          <w:szCs w:val="22"/>
        </w:rPr>
        <w:t>with</w:t>
      </w:r>
      <w:r w:rsidRPr="009B1DFF">
        <w:rPr>
          <w:rFonts w:ascii="Calibri" w:hAnsi="Calibri"/>
          <w:sz w:val="22"/>
          <w:szCs w:val="22"/>
        </w:rPr>
        <w:t xml:space="preserve"> </w:t>
      </w:r>
      <w:r>
        <w:rPr>
          <w:rFonts w:ascii="Calibri" w:hAnsi="Calibri"/>
          <w:sz w:val="22"/>
          <w:szCs w:val="22"/>
        </w:rPr>
        <w:t xml:space="preserve">substantial </w:t>
      </w:r>
      <w:r w:rsidRPr="009B1DFF">
        <w:rPr>
          <w:rFonts w:ascii="Calibri" w:hAnsi="Calibri"/>
          <w:sz w:val="22"/>
          <w:szCs w:val="22"/>
        </w:rPr>
        <w:t xml:space="preserve">growth potential, a limit based on open interest is destined to restrict further growth in the respective contract </w:t>
      </w:r>
      <w:r>
        <w:rPr>
          <w:rFonts w:ascii="Calibri" w:hAnsi="Calibri"/>
          <w:sz w:val="22"/>
          <w:szCs w:val="22"/>
        </w:rPr>
        <w:t>and</w:t>
      </w:r>
      <w:r w:rsidRPr="009B1DFF">
        <w:rPr>
          <w:rFonts w:ascii="Calibri" w:hAnsi="Calibri"/>
          <w:sz w:val="22"/>
          <w:szCs w:val="22"/>
        </w:rPr>
        <w:t xml:space="preserve"> discourag</w:t>
      </w:r>
      <w:r>
        <w:rPr>
          <w:rFonts w:ascii="Calibri" w:hAnsi="Calibri"/>
          <w:sz w:val="22"/>
          <w:szCs w:val="22"/>
        </w:rPr>
        <w:t>es</w:t>
      </w:r>
      <w:r w:rsidRPr="009B1DFF">
        <w:rPr>
          <w:rFonts w:ascii="Calibri" w:hAnsi="Calibri"/>
          <w:sz w:val="22"/>
          <w:szCs w:val="22"/>
        </w:rPr>
        <w:t xml:space="preserve"> further </w:t>
      </w:r>
      <w:r>
        <w:rPr>
          <w:rFonts w:ascii="Calibri" w:hAnsi="Calibri"/>
          <w:sz w:val="22"/>
          <w:szCs w:val="22"/>
        </w:rPr>
        <w:t xml:space="preserve">off-exchange </w:t>
      </w:r>
      <w:r w:rsidRPr="009B1DFF">
        <w:rPr>
          <w:rFonts w:ascii="Calibri" w:hAnsi="Calibri"/>
          <w:sz w:val="22"/>
          <w:szCs w:val="22"/>
        </w:rPr>
        <w:t xml:space="preserve">trading to move </w:t>
      </w:r>
      <w:r>
        <w:rPr>
          <w:rFonts w:ascii="Calibri" w:hAnsi="Calibri"/>
          <w:sz w:val="22"/>
          <w:szCs w:val="22"/>
        </w:rPr>
        <w:t>on</w:t>
      </w:r>
      <w:r w:rsidRPr="009B1DFF">
        <w:rPr>
          <w:rFonts w:ascii="Calibri" w:hAnsi="Calibri"/>
          <w:sz w:val="22"/>
          <w:szCs w:val="22"/>
        </w:rPr>
        <w:t>to regulated markets.</w:t>
      </w:r>
    </w:p>
    <w:p w14:paraId="74DD2313" w14:textId="77777777" w:rsidR="00092093" w:rsidRPr="009B1DFF" w:rsidRDefault="00092093" w:rsidP="00F64E30">
      <w:pPr>
        <w:shd w:val="clear" w:color="auto" w:fill="F2F2F2" w:themeFill="background1" w:themeFillShade="F2"/>
        <w:jc w:val="both"/>
        <w:rPr>
          <w:rFonts w:ascii="Calibri" w:hAnsi="Calibri"/>
          <w:sz w:val="22"/>
          <w:szCs w:val="22"/>
        </w:rPr>
      </w:pPr>
    </w:p>
    <w:p w14:paraId="5223C6A5" w14:textId="77777777" w:rsidR="00931889" w:rsidRDefault="00092093" w:rsidP="001F23C9">
      <w:pPr>
        <w:rPr>
          <w:rFonts w:ascii="Calibri" w:hAnsi="Calibri"/>
          <w:sz w:val="22"/>
          <w:szCs w:val="22"/>
        </w:rPr>
      </w:pPr>
      <w:r w:rsidRPr="009B1DFF">
        <w:rPr>
          <w:rFonts w:ascii="Calibri" w:hAnsi="Calibri"/>
          <w:sz w:val="22"/>
          <w:szCs w:val="22"/>
        </w:rPr>
        <w:t>We therefore strongly recommend omitting the proposal to add “</w:t>
      </w:r>
      <w:r w:rsidRPr="009B1DFF">
        <w:rPr>
          <w:rFonts w:ascii="Calibri" w:hAnsi="Calibri"/>
          <w:i/>
          <w:iCs/>
          <w:sz w:val="22"/>
          <w:szCs w:val="22"/>
        </w:rPr>
        <w:t>Where the deliverable supply is substantially higher than the total open interest, competent authorities shall determine the baseline figure for the spot month limit by calculating 25% of the open interest in that commodity derivative</w:t>
      </w:r>
      <w:r w:rsidRPr="009B1DFF">
        <w:rPr>
          <w:rFonts w:ascii="Calibri" w:hAnsi="Calibri"/>
          <w:sz w:val="22"/>
          <w:szCs w:val="22"/>
        </w:rPr>
        <w:t xml:space="preserve">.” to Article 11 par. 1 and par. 4 and </w:t>
      </w:r>
      <w:r>
        <w:rPr>
          <w:rFonts w:ascii="Calibri" w:hAnsi="Calibri"/>
          <w:sz w:val="22"/>
          <w:szCs w:val="22"/>
        </w:rPr>
        <w:t xml:space="preserve">suggest </w:t>
      </w:r>
      <w:r w:rsidRPr="009B1DFF">
        <w:rPr>
          <w:rFonts w:ascii="Calibri" w:hAnsi="Calibri"/>
          <w:sz w:val="22"/>
          <w:szCs w:val="22"/>
        </w:rPr>
        <w:t>maintain</w:t>
      </w:r>
      <w:r>
        <w:rPr>
          <w:rFonts w:ascii="Calibri" w:hAnsi="Calibri"/>
          <w:sz w:val="22"/>
          <w:szCs w:val="22"/>
        </w:rPr>
        <w:t>ing</w:t>
      </w:r>
      <w:r w:rsidRPr="009B1DFF">
        <w:rPr>
          <w:rFonts w:ascii="Calibri" w:hAnsi="Calibri"/>
          <w:sz w:val="22"/>
          <w:szCs w:val="22"/>
        </w:rPr>
        <w:t xml:space="preserve"> the current regime.</w:t>
      </w:r>
    </w:p>
    <w:permEnd w:id="819753946"/>
    <w:p w14:paraId="6AB0A535" w14:textId="7C11CE4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w:t>
      </w:r>
      <w:r w:rsidR="006B391B">
        <w:rPr>
          <w:rFonts w:ascii="Arial" w:hAnsi="Arial" w:cs="Arial"/>
        </w:rPr>
        <w:t>0</w:t>
      </w:r>
      <w:r>
        <w:rPr>
          <w:rFonts w:ascii="Arial" w:hAnsi="Arial" w:cs="Arial"/>
        </w:rPr>
        <w:t>9&gt;</w:t>
      </w:r>
    </w:p>
    <w:p w14:paraId="15BEDAE4" w14:textId="77777777" w:rsidR="001F23C9" w:rsidRDefault="001F23C9" w:rsidP="001F23C9">
      <w:pPr>
        <w:rPr>
          <w:rFonts w:ascii="Arial" w:hAnsi="Arial" w:cs="Arial"/>
        </w:rPr>
      </w:pPr>
    </w:p>
    <w:p w14:paraId="55E0213D" w14:textId="6D383982" w:rsidR="001F23C9" w:rsidRPr="00175CFB" w:rsidRDefault="006B391B" w:rsidP="001F23C9">
      <w:pPr>
        <w:pStyle w:val="Questionstyle"/>
        <w:numPr>
          <w:ilvl w:val="0"/>
          <w:numId w:val="9"/>
        </w:numPr>
        <w:spacing w:after="250" w:line="276" w:lineRule="auto"/>
      </w:pPr>
      <w:r>
        <w:t xml:space="preserve">: </w:t>
      </w:r>
      <w:r w:rsidRPr="006B391B">
        <w:t>Do you agree with ESMA’s proposal? If not, please elaborate.</w:t>
      </w:r>
    </w:p>
    <w:p w14:paraId="1267F4C9" w14:textId="33C2A90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_10&gt;</w:t>
      </w:r>
    </w:p>
    <w:p w14:paraId="2015C3C6" w14:textId="5F912A7B" w:rsidR="00931889" w:rsidRPr="00733560" w:rsidRDefault="00931889" w:rsidP="00931889">
      <w:pPr>
        <w:shd w:val="clear" w:color="auto" w:fill="F2F2F2" w:themeFill="background1" w:themeFillShade="F2"/>
        <w:rPr>
          <w:rFonts w:ascii="Calibri" w:hAnsi="Calibri"/>
          <w:sz w:val="22"/>
          <w:szCs w:val="22"/>
        </w:rPr>
      </w:pPr>
      <w:permStart w:id="89662115" w:edGrp="everyone"/>
      <w:r w:rsidRPr="00733560">
        <w:rPr>
          <w:rFonts w:ascii="Calibri" w:hAnsi="Calibri"/>
          <w:sz w:val="22"/>
          <w:szCs w:val="22"/>
        </w:rPr>
        <w:t>While we understand this approach would be a feasible way forward for gas and electricity contracts, we would like to caution that the same approach might not be appropriate for other asset classes. For example, like many other commodity markets, agriculture markets follow seasonal patterns. As there are years of high-yields and years of low-yields, a two-year reference period is advisable.</w:t>
      </w:r>
    </w:p>
    <w:p w14:paraId="5F179B74" w14:textId="77777777" w:rsidR="00931889" w:rsidRPr="00931889" w:rsidRDefault="00931889" w:rsidP="00931889">
      <w:pPr>
        <w:shd w:val="clear" w:color="auto" w:fill="F2F2F2" w:themeFill="background1" w:themeFillShade="F2"/>
        <w:rPr>
          <w:rFonts w:ascii="Calibri" w:hAnsi="Calibri"/>
        </w:rPr>
      </w:pPr>
    </w:p>
    <w:p w14:paraId="36B21EEA" w14:textId="77777777" w:rsidR="00931889" w:rsidRDefault="00931889" w:rsidP="001F23C9">
      <w:pPr>
        <w:rPr>
          <w:rFonts w:ascii="Calibri" w:hAnsi="Calibri"/>
          <w:sz w:val="22"/>
          <w:szCs w:val="22"/>
        </w:rPr>
      </w:pPr>
      <w:r w:rsidRPr="009B1DFF">
        <w:rPr>
          <w:rFonts w:ascii="Calibri" w:hAnsi="Calibri"/>
          <w:sz w:val="22"/>
          <w:szCs w:val="22"/>
        </w:rPr>
        <w:t xml:space="preserve">We therefore strongly recommend </w:t>
      </w:r>
      <w:r>
        <w:rPr>
          <w:rFonts w:ascii="Calibri" w:hAnsi="Calibri"/>
          <w:sz w:val="22"/>
          <w:szCs w:val="22"/>
        </w:rPr>
        <w:t>taking</w:t>
      </w:r>
      <w:r w:rsidRPr="009B1DFF">
        <w:rPr>
          <w:rFonts w:ascii="Calibri" w:hAnsi="Calibri"/>
          <w:sz w:val="22"/>
          <w:szCs w:val="22"/>
        </w:rPr>
        <w:t xml:space="preserve"> the same approach as proposed for determining the open interest figure in Article 14 of </w:t>
      </w:r>
      <w:r>
        <w:rPr>
          <w:rFonts w:ascii="Calibri" w:hAnsi="Calibri"/>
          <w:sz w:val="22"/>
          <w:szCs w:val="22"/>
        </w:rPr>
        <w:t xml:space="preserve">the </w:t>
      </w:r>
      <w:r w:rsidRPr="009B1DFF">
        <w:rPr>
          <w:rFonts w:ascii="Calibri" w:hAnsi="Calibri"/>
          <w:sz w:val="22"/>
          <w:szCs w:val="22"/>
        </w:rPr>
        <w:t xml:space="preserve">draft RTS 21a, </w:t>
      </w:r>
      <w:proofErr w:type="gramStart"/>
      <w:r w:rsidRPr="009B1DFF">
        <w:rPr>
          <w:rFonts w:ascii="Calibri" w:hAnsi="Calibri"/>
          <w:sz w:val="22"/>
          <w:szCs w:val="22"/>
        </w:rPr>
        <w:t>i.e.</w:t>
      </w:r>
      <w:proofErr w:type="gramEnd"/>
      <w:r w:rsidRPr="009B1DFF">
        <w:rPr>
          <w:rFonts w:ascii="Calibri" w:hAnsi="Calibri"/>
          <w:sz w:val="22"/>
          <w:szCs w:val="22"/>
        </w:rPr>
        <w:t xml:space="preserve"> the NCA calculates deliverable supply "over a representative period of time" which would depend on the characteristics of the commodity derivative.</w:t>
      </w:r>
    </w:p>
    <w:permEnd w:id="89662115"/>
    <w:p w14:paraId="11F34AF4" w14:textId="41500A90"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_10&gt;</w:t>
      </w:r>
    </w:p>
    <w:p w14:paraId="3D8F21C5" w14:textId="77777777" w:rsidR="001F23C9" w:rsidRDefault="001F23C9" w:rsidP="001F23C9">
      <w:pPr>
        <w:rPr>
          <w:rFonts w:ascii="Arial" w:hAnsi="Arial" w:cs="Arial"/>
        </w:rPr>
      </w:pPr>
    </w:p>
    <w:p w14:paraId="370F6612" w14:textId="3EA30A61" w:rsidR="001F23C9" w:rsidRPr="00175CFB" w:rsidRDefault="001F23C9" w:rsidP="001F23C9">
      <w:pPr>
        <w:pStyle w:val="Questionstyle"/>
        <w:numPr>
          <w:ilvl w:val="0"/>
          <w:numId w:val="9"/>
        </w:numPr>
        <w:spacing w:after="250" w:line="276" w:lineRule="auto"/>
      </w:pPr>
      <w:r>
        <w:t>:</w:t>
      </w:r>
      <w:r w:rsidRPr="000F104A">
        <w:t xml:space="preserve"> </w:t>
      </w:r>
      <w:r w:rsidR="006B391B" w:rsidRPr="006B391B">
        <w:t>Do you agree with ESMA’s proposals regarding Article 14 of RTS 21a? If not, please elaborate and provide alternative proposals.</w:t>
      </w:r>
    </w:p>
    <w:p w14:paraId="64CBA2C5" w14:textId="41E6770F"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_11&gt;</w:t>
      </w:r>
    </w:p>
    <w:p w14:paraId="6AFCA5E1" w14:textId="77777777" w:rsidR="00435269" w:rsidRDefault="00435269" w:rsidP="00F64E30">
      <w:pPr>
        <w:pStyle w:val="NormalWeb"/>
        <w:shd w:val="clear" w:color="auto" w:fill="F2F2F2" w:themeFill="background1" w:themeFillShade="F2"/>
        <w:jc w:val="both"/>
        <w:rPr>
          <w:rFonts w:ascii="Calibri" w:hAnsi="Calibri"/>
          <w:sz w:val="22"/>
          <w:szCs w:val="22"/>
        </w:rPr>
      </w:pPr>
      <w:permStart w:id="1905472427" w:edGrp="everyone"/>
      <w:r w:rsidRPr="009B1DFF">
        <w:rPr>
          <w:rFonts w:ascii="Calibri" w:hAnsi="Calibri"/>
          <w:sz w:val="22"/>
          <w:szCs w:val="22"/>
        </w:rPr>
        <w:t xml:space="preserve">We support the ESMA proposal to calculate open interest on a net basis, based on position reporting data. </w:t>
      </w:r>
    </w:p>
    <w:p w14:paraId="7974A424" w14:textId="77777777" w:rsidR="00435269" w:rsidRDefault="00435269" w:rsidP="00F64E30">
      <w:pPr>
        <w:pStyle w:val="NormalWeb"/>
        <w:shd w:val="clear" w:color="auto" w:fill="F2F2F2" w:themeFill="background1" w:themeFillShade="F2"/>
        <w:jc w:val="both"/>
        <w:rPr>
          <w:rFonts w:ascii="Calibri" w:hAnsi="Calibri"/>
          <w:sz w:val="22"/>
          <w:szCs w:val="22"/>
        </w:rPr>
      </w:pPr>
      <w:r>
        <w:rPr>
          <w:rFonts w:ascii="Calibri" w:hAnsi="Calibri"/>
          <w:sz w:val="22"/>
          <w:szCs w:val="22"/>
        </w:rPr>
        <w:t>On a related note, although not explicitly asked about, we believe that in Article 14 para 1 it should indeed be clear that in the case of two critical contracts that are based on the same underlying and that share the same characteristics “</w:t>
      </w:r>
      <w:r w:rsidRPr="000E5913">
        <w:rPr>
          <w:rFonts w:ascii="Calibri" w:hAnsi="Calibri"/>
          <w:i/>
          <w:iCs/>
          <w:sz w:val="22"/>
          <w:szCs w:val="22"/>
        </w:rPr>
        <w:t xml:space="preserve">Competent authorities shall calculate the net open interest in a commodity derivative by aggregating the number of lots of that commodity derivative that are outstanding </w:t>
      </w:r>
      <w:r w:rsidRPr="000E5913">
        <w:rPr>
          <w:rFonts w:ascii="Calibri" w:hAnsi="Calibri"/>
          <w:b/>
          <w:bCs/>
          <w:i/>
          <w:iCs/>
          <w:sz w:val="22"/>
          <w:szCs w:val="22"/>
          <w:u w:val="single"/>
        </w:rPr>
        <w:t>on trading venues</w:t>
      </w:r>
      <w:r w:rsidRPr="000E5913">
        <w:rPr>
          <w:rFonts w:ascii="Calibri" w:hAnsi="Calibri"/>
          <w:i/>
          <w:iCs/>
          <w:sz w:val="22"/>
          <w:szCs w:val="22"/>
        </w:rPr>
        <w:t xml:space="preserve"> …</w:t>
      </w:r>
      <w:r>
        <w:rPr>
          <w:rFonts w:ascii="Calibri" w:hAnsi="Calibri"/>
          <w:sz w:val="22"/>
          <w:szCs w:val="22"/>
        </w:rPr>
        <w:t>”.</w:t>
      </w:r>
      <w:r w:rsidRPr="000E5913">
        <w:t xml:space="preserve"> </w:t>
      </w:r>
      <w:r>
        <w:rPr>
          <w:rFonts w:ascii="Calibri" w:hAnsi="Calibri"/>
          <w:sz w:val="22"/>
          <w:szCs w:val="22"/>
        </w:rPr>
        <w:t>I</w:t>
      </w:r>
      <w:r w:rsidRPr="000E5913">
        <w:rPr>
          <w:rFonts w:ascii="Calibri" w:hAnsi="Calibri"/>
          <w:sz w:val="22"/>
          <w:szCs w:val="22"/>
        </w:rPr>
        <w:t>n the case of two critical contracts that are based on the same underlying and that share the same characteristics</w:t>
      </w:r>
      <w:r>
        <w:rPr>
          <w:rFonts w:ascii="Calibri" w:hAnsi="Calibri"/>
          <w:sz w:val="22"/>
          <w:szCs w:val="22"/>
        </w:rPr>
        <w:t xml:space="preserve">, the single other month position limit that the </w:t>
      </w:r>
      <w:r>
        <w:rPr>
          <w:rFonts w:ascii="Calibri" w:hAnsi="Calibri"/>
          <w:sz w:val="22"/>
          <w:szCs w:val="22"/>
        </w:rPr>
        <w:lastRenderedPageBreak/>
        <w:t>competent authority will be responsible for according to MiFID II Art. 57 para 6 should indeed refer to the open interest of both venues.</w:t>
      </w:r>
    </w:p>
    <w:p w14:paraId="0AC9FF94" w14:textId="77777777" w:rsidR="00435269" w:rsidRPr="009B1DFF" w:rsidRDefault="00435269" w:rsidP="00F64E30">
      <w:pPr>
        <w:pStyle w:val="NormalWeb"/>
        <w:shd w:val="clear" w:color="auto" w:fill="F2F2F2" w:themeFill="background1" w:themeFillShade="F2"/>
        <w:jc w:val="both"/>
        <w:rPr>
          <w:rFonts w:ascii="Calibri" w:hAnsi="Calibri"/>
          <w:sz w:val="22"/>
          <w:szCs w:val="22"/>
        </w:rPr>
      </w:pPr>
      <w:r w:rsidRPr="009B1DFF">
        <w:rPr>
          <w:rFonts w:ascii="Calibri" w:hAnsi="Calibri"/>
          <w:sz w:val="22"/>
          <w:szCs w:val="22"/>
        </w:rPr>
        <w:t>We strongly support the proposal to calculate open interest "over a representative period of time" which would depend on the characteristics of the commodity derivative. This flexibility will help set the appropriate basis for determining a position limit. However, when it comes to Art</w:t>
      </w:r>
      <w:r>
        <w:rPr>
          <w:rFonts w:ascii="Calibri" w:hAnsi="Calibri"/>
          <w:sz w:val="22"/>
          <w:szCs w:val="22"/>
        </w:rPr>
        <w:t>.</w:t>
      </w:r>
      <w:r w:rsidRPr="009B1DFF">
        <w:rPr>
          <w:rFonts w:ascii="Calibri" w:hAnsi="Calibri"/>
          <w:sz w:val="22"/>
          <w:szCs w:val="22"/>
        </w:rPr>
        <w:t xml:space="preserve"> 14 par</w:t>
      </w:r>
      <w:r>
        <w:rPr>
          <w:rFonts w:ascii="Calibri" w:hAnsi="Calibri"/>
          <w:sz w:val="22"/>
          <w:szCs w:val="22"/>
        </w:rPr>
        <w:t>a.</w:t>
      </w:r>
      <w:r w:rsidRPr="009B1DFF">
        <w:rPr>
          <w:rFonts w:ascii="Calibri" w:hAnsi="Calibri"/>
          <w:sz w:val="22"/>
          <w:szCs w:val="22"/>
        </w:rPr>
        <w:t xml:space="preserve"> 2</w:t>
      </w:r>
      <w:r>
        <w:rPr>
          <w:rFonts w:ascii="Calibri" w:hAnsi="Calibri"/>
          <w:sz w:val="22"/>
          <w:szCs w:val="22"/>
        </w:rPr>
        <w:t>,</w:t>
      </w:r>
      <w:r w:rsidRPr="009B1DFF">
        <w:rPr>
          <w:rFonts w:ascii="Calibri" w:hAnsi="Calibri"/>
          <w:sz w:val="22"/>
          <w:szCs w:val="22"/>
        </w:rPr>
        <w:t xml:space="preserve"> we believe the same flexibility is needed in special circumstances, such as trading moving from one venue to another due to a merger or from one contract to another due to an index transfer. As a matter of fact, it is </w:t>
      </w:r>
      <w:r>
        <w:rPr>
          <w:rFonts w:ascii="Calibri" w:hAnsi="Calibri"/>
          <w:sz w:val="22"/>
          <w:szCs w:val="22"/>
        </w:rPr>
        <w:t>notably</w:t>
      </w:r>
      <w:r w:rsidRPr="009B1DFF">
        <w:rPr>
          <w:rFonts w:ascii="Calibri" w:hAnsi="Calibri"/>
          <w:sz w:val="22"/>
          <w:szCs w:val="22"/>
        </w:rPr>
        <w:t xml:space="preserve"> in these special circumstances </w:t>
      </w:r>
      <w:r>
        <w:rPr>
          <w:rFonts w:ascii="Calibri" w:hAnsi="Calibri"/>
          <w:sz w:val="22"/>
          <w:szCs w:val="22"/>
        </w:rPr>
        <w:t>that sufficient</w:t>
      </w:r>
      <w:r w:rsidRPr="009B1DFF">
        <w:rPr>
          <w:rFonts w:ascii="Calibri" w:hAnsi="Calibri"/>
          <w:sz w:val="22"/>
          <w:szCs w:val="22"/>
        </w:rPr>
        <w:t xml:space="preserve"> flexibility should </w:t>
      </w:r>
      <w:r>
        <w:rPr>
          <w:rFonts w:ascii="Calibri" w:hAnsi="Calibri"/>
          <w:sz w:val="22"/>
          <w:szCs w:val="22"/>
        </w:rPr>
        <w:t>be granted</w:t>
      </w:r>
      <w:r w:rsidRPr="009B1DFF">
        <w:rPr>
          <w:rFonts w:ascii="Calibri" w:hAnsi="Calibri"/>
          <w:sz w:val="22"/>
          <w:szCs w:val="22"/>
        </w:rPr>
        <w:t xml:space="preserve"> for NCAs to determine a suitable </w:t>
      </w:r>
      <w:r>
        <w:rPr>
          <w:rFonts w:ascii="Calibri" w:hAnsi="Calibri"/>
          <w:sz w:val="22"/>
          <w:szCs w:val="22"/>
        </w:rPr>
        <w:t>and forward-looking “representative period of time”</w:t>
      </w:r>
      <w:r w:rsidRPr="009B1DFF">
        <w:rPr>
          <w:rFonts w:ascii="Calibri" w:hAnsi="Calibri"/>
          <w:sz w:val="22"/>
          <w:szCs w:val="22"/>
        </w:rPr>
        <w:t>.</w:t>
      </w:r>
    </w:p>
    <w:p w14:paraId="025E860B" w14:textId="77777777" w:rsidR="00435269" w:rsidRPr="009B1DFF" w:rsidRDefault="00435269" w:rsidP="00F64E30">
      <w:pPr>
        <w:pStyle w:val="NormalWeb"/>
        <w:shd w:val="clear" w:color="auto" w:fill="F2F2F2" w:themeFill="background1" w:themeFillShade="F2"/>
        <w:jc w:val="both"/>
        <w:rPr>
          <w:rFonts w:ascii="Calibri" w:hAnsi="Calibri"/>
          <w:sz w:val="22"/>
          <w:szCs w:val="22"/>
        </w:rPr>
      </w:pPr>
      <w:r w:rsidRPr="009B1DFF">
        <w:rPr>
          <w:rFonts w:ascii="Calibri" w:hAnsi="Calibri"/>
          <w:sz w:val="22"/>
          <w:szCs w:val="22"/>
        </w:rPr>
        <w:t xml:space="preserve">Moreover, we </w:t>
      </w:r>
      <w:r>
        <w:rPr>
          <w:rFonts w:ascii="Calibri" w:hAnsi="Calibri"/>
          <w:sz w:val="22"/>
          <w:szCs w:val="22"/>
        </w:rPr>
        <w:t>consider</w:t>
      </w:r>
      <w:r w:rsidRPr="009B1DFF">
        <w:rPr>
          <w:rFonts w:ascii="Calibri" w:hAnsi="Calibri"/>
          <w:sz w:val="22"/>
          <w:szCs w:val="22"/>
        </w:rPr>
        <w:t xml:space="preserve"> that the current description to capture special circumstances </w:t>
      </w:r>
      <w:r>
        <w:rPr>
          <w:rFonts w:ascii="Calibri" w:hAnsi="Calibri"/>
          <w:sz w:val="22"/>
          <w:szCs w:val="22"/>
        </w:rPr>
        <w:t>is too narrow</w:t>
      </w:r>
      <w:r w:rsidRPr="009B1DFF">
        <w:rPr>
          <w:rFonts w:ascii="Calibri" w:hAnsi="Calibri"/>
          <w:sz w:val="22"/>
          <w:szCs w:val="22"/>
        </w:rPr>
        <w:t xml:space="preserve">. For example, the </w:t>
      </w:r>
      <w:r>
        <w:rPr>
          <w:rFonts w:ascii="Calibri" w:hAnsi="Calibri"/>
          <w:sz w:val="22"/>
          <w:szCs w:val="22"/>
        </w:rPr>
        <w:t xml:space="preserve">upcoming </w:t>
      </w:r>
      <w:r w:rsidRPr="009B1DFF">
        <w:rPr>
          <w:rFonts w:ascii="Calibri" w:hAnsi="Calibri"/>
          <w:sz w:val="22"/>
          <w:szCs w:val="22"/>
        </w:rPr>
        <w:t xml:space="preserve">German gas market merger is an event beyond the control of the trading venues, which leads to trading being transferred from two commodity derivatives to </w:t>
      </w:r>
      <w:r>
        <w:rPr>
          <w:rFonts w:ascii="Calibri" w:hAnsi="Calibri"/>
          <w:sz w:val="22"/>
          <w:szCs w:val="22"/>
        </w:rPr>
        <w:t>one</w:t>
      </w:r>
      <w:r w:rsidRPr="009B1DFF">
        <w:rPr>
          <w:rFonts w:ascii="Calibri" w:hAnsi="Calibri"/>
          <w:sz w:val="22"/>
          <w:szCs w:val="22"/>
        </w:rPr>
        <w:t xml:space="preserve"> commodity derivative newly admitted to trading on the same trading venue. </w:t>
      </w:r>
    </w:p>
    <w:p w14:paraId="7F490D17" w14:textId="77777777" w:rsidR="00435269" w:rsidRPr="009B1DFF" w:rsidRDefault="00435269" w:rsidP="00F64E30">
      <w:pPr>
        <w:pStyle w:val="NormalWeb"/>
        <w:shd w:val="clear" w:color="auto" w:fill="F2F2F2" w:themeFill="background1" w:themeFillShade="F2"/>
        <w:jc w:val="both"/>
        <w:rPr>
          <w:rFonts w:ascii="Calibri" w:hAnsi="Calibri"/>
          <w:sz w:val="22"/>
          <w:szCs w:val="22"/>
        </w:rPr>
      </w:pPr>
      <w:r w:rsidRPr="009B1DFF">
        <w:rPr>
          <w:rFonts w:ascii="Calibri" w:hAnsi="Calibri"/>
          <w:sz w:val="22"/>
          <w:szCs w:val="22"/>
        </w:rPr>
        <w:t xml:space="preserve">We therefore recommend that </w:t>
      </w:r>
      <w:r>
        <w:rPr>
          <w:rFonts w:ascii="Calibri" w:hAnsi="Calibri"/>
          <w:sz w:val="22"/>
          <w:szCs w:val="22"/>
        </w:rPr>
        <w:t>Art.</w:t>
      </w:r>
      <w:r w:rsidRPr="009B1DFF">
        <w:rPr>
          <w:rFonts w:ascii="Calibri" w:hAnsi="Calibri"/>
          <w:sz w:val="22"/>
          <w:szCs w:val="22"/>
        </w:rPr>
        <w:t xml:space="preserve"> 14 par. 2 is amended as follows: </w:t>
      </w:r>
    </w:p>
    <w:p w14:paraId="7C23D2D4" w14:textId="055C1A76" w:rsidR="00666615" w:rsidRDefault="00435269" w:rsidP="001F23C9">
      <w:pPr>
        <w:rPr>
          <w:rFonts w:ascii="Calibri" w:hAnsi="Calibri"/>
          <w:i/>
          <w:iCs/>
          <w:sz w:val="22"/>
          <w:szCs w:val="22"/>
        </w:rPr>
      </w:pPr>
      <w:r w:rsidRPr="009B1DFF">
        <w:rPr>
          <w:rFonts w:ascii="Calibri" w:hAnsi="Calibri"/>
          <w:i/>
          <w:iCs/>
          <w:sz w:val="22"/>
          <w:szCs w:val="22"/>
        </w:rPr>
        <w:t>“By way of derogation to paragraph 1, when trading in a commodity derivative is transferred from one</w:t>
      </w:r>
      <w:r w:rsidRPr="009B1DFF">
        <w:rPr>
          <w:rFonts w:ascii="Calibri" w:hAnsi="Calibri"/>
          <w:b/>
          <w:bCs/>
          <w:i/>
          <w:iCs/>
          <w:sz w:val="22"/>
          <w:szCs w:val="22"/>
        </w:rPr>
        <w:t xml:space="preserve"> or more</w:t>
      </w:r>
      <w:r w:rsidRPr="009B1DFF">
        <w:rPr>
          <w:rFonts w:ascii="Calibri" w:hAnsi="Calibri"/>
          <w:i/>
          <w:iCs/>
          <w:sz w:val="22"/>
          <w:szCs w:val="22"/>
        </w:rPr>
        <w:t xml:space="preserve"> EU or third country trading venue</w:t>
      </w:r>
      <w:r w:rsidRPr="009B1DFF">
        <w:rPr>
          <w:rFonts w:ascii="Calibri" w:hAnsi="Calibri"/>
          <w:b/>
          <w:bCs/>
          <w:i/>
          <w:iCs/>
          <w:sz w:val="22"/>
          <w:szCs w:val="22"/>
        </w:rPr>
        <w:t>s</w:t>
      </w:r>
      <w:r w:rsidRPr="009B1DFF">
        <w:rPr>
          <w:rFonts w:ascii="Calibri" w:hAnsi="Calibri"/>
          <w:i/>
          <w:iCs/>
          <w:sz w:val="22"/>
          <w:szCs w:val="22"/>
        </w:rPr>
        <w:t xml:space="preserve"> to an EU trading venue following </w:t>
      </w:r>
      <w:r w:rsidRPr="009B1DFF">
        <w:rPr>
          <w:rFonts w:ascii="Calibri" w:hAnsi="Calibri"/>
          <w:b/>
          <w:bCs/>
          <w:i/>
          <w:iCs/>
          <w:sz w:val="22"/>
          <w:szCs w:val="22"/>
        </w:rPr>
        <w:t xml:space="preserve">for example </w:t>
      </w:r>
      <w:r w:rsidRPr="009B1DFF">
        <w:rPr>
          <w:rFonts w:ascii="Calibri" w:hAnsi="Calibri"/>
          <w:i/>
          <w:iCs/>
          <w:sz w:val="22"/>
          <w:szCs w:val="22"/>
        </w:rPr>
        <w:t>a merger</w:t>
      </w:r>
      <w:r w:rsidRPr="009B1DFF">
        <w:rPr>
          <w:rFonts w:ascii="Calibri" w:hAnsi="Calibri"/>
          <w:b/>
          <w:bCs/>
          <w:i/>
          <w:iCs/>
          <w:sz w:val="22"/>
          <w:szCs w:val="22"/>
        </w:rPr>
        <w:t>, business transfer</w:t>
      </w:r>
      <w:r w:rsidRPr="009B1DFF">
        <w:rPr>
          <w:rFonts w:ascii="Calibri" w:hAnsi="Calibri"/>
          <w:i/>
          <w:iCs/>
          <w:sz w:val="22"/>
          <w:szCs w:val="22"/>
        </w:rPr>
        <w:t xml:space="preserve"> or other corporate event or from one or more existing commodity derivatives </w:t>
      </w:r>
      <w:r w:rsidRPr="009B1DFF">
        <w:rPr>
          <w:rFonts w:ascii="Calibri" w:hAnsi="Calibri"/>
          <w:b/>
          <w:bCs/>
          <w:i/>
          <w:iCs/>
          <w:sz w:val="22"/>
          <w:szCs w:val="22"/>
        </w:rPr>
        <w:t>to one or more commodity derivatives</w:t>
      </w:r>
      <w:r w:rsidRPr="009B1DFF">
        <w:rPr>
          <w:rFonts w:ascii="Calibri" w:hAnsi="Calibri"/>
          <w:i/>
          <w:iCs/>
          <w:sz w:val="22"/>
          <w:szCs w:val="22"/>
        </w:rPr>
        <w:t xml:space="preserve"> newly admitted to trading on the same trading venue </w:t>
      </w:r>
      <w:r w:rsidRPr="009B1DFF">
        <w:rPr>
          <w:rFonts w:ascii="Calibri" w:hAnsi="Calibri"/>
          <w:b/>
          <w:bCs/>
          <w:i/>
          <w:iCs/>
          <w:sz w:val="22"/>
          <w:szCs w:val="22"/>
        </w:rPr>
        <w:t>or in any other circumstances comparable to the before described events</w:t>
      </w:r>
      <w:r w:rsidRPr="009B1DFF">
        <w:rPr>
          <w:rFonts w:ascii="Calibri" w:hAnsi="Calibri"/>
          <w:i/>
          <w:iCs/>
          <w:sz w:val="22"/>
          <w:szCs w:val="22"/>
        </w:rPr>
        <w:t>, the competent authority shall calculate the open interest in that commodity derivative by taking into account the open interest on the former venue</w:t>
      </w:r>
      <w:r w:rsidRPr="009B1DFF">
        <w:rPr>
          <w:rFonts w:ascii="Calibri" w:hAnsi="Calibri"/>
          <w:b/>
          <w:bCs/>
          <w:i/>
          <w:iCs/>
          <w:sz w:val="22"/>
          <w:szCs w:val="22"/>
        </w:rPr>
        <w:t>s</w:t>
      </w:r>
      <w:r w:rsidRPr="009B1DFF">
        <w:rPr>
          <w:rFonts w:ascii="Calibri" w:hAnsi="Calibri"/>
          <w:i/>
          <w:iCs/>
          <w:sz w:val="22"/>
          <w:szCs w:val="22"/>
        </w:rPr>
        <w:t xml:space="preserve"> or in the former</w:t>
      </w:r>
      <w:r w:rsidRPr="009B1DFF">
        <w:rPr>
          <w:rFonts w:ascii="Calibri" w:hAnsi="Calibri"/>
          <w:b/>
          <w:bCs/>
          <w:i/>
          <w:iCs/>
          <w:sz w:val="22"/>
          <w:szCs w:val="22"/>
        </w:rPr>
        <w:t xml:space="preserve"> </w:t>
      </w:r>
      <w:r w:rsidRPr="009B1DFF">
        <w:rPr>
          <w:rFonts w:ascii="Calibri" w:hAnsi="Calibri"/>
          <w:i/>
          <w:iCs/>
          <w:sz w:val="22"/>
          <w:szCs w:val="22"/>
        </w:rPr>
        <w:t xml:space="preserve">commodity derivatives </w:t>
      </w:r>
      <w:r w:rsidRPr="009B1DFF">
        <w:rPr>
          <w:rFonts w:ascii="Calibri" w:hAnsi="Calibri"/>
          <w:b/>
          <w:bCs/>
          <w:i/>
          <w:iCs/>
          <w:strike/>
          <w:sz w:val="22"/>
          <w:szCs w:val="22"/>
        </w:rPr>
        <w:t>for a six-month period</w:t>
      </w:r>
      <w:r w:rsidRPr="009B1DFF">
        <w:rPr>
          <w:rFonts w:ascii="Calibri" w:hAnsi="Calibri"/>
          <w:i/>
          <w:iCs/>
          <w:sz w:val="22"/>
          <w:szCs w:val="22"/>
        </w:rPr>
        <w:t>. The competent authority shall then calculate the open interest in accordance with paragraph</w:t>
      </w:r>
      <w:r w:rsidR="00666615">
        <w:rPr>
          <w:rFonts w:ascii="Calibri" w:hAnsi="Calibri"/>
          <w:i/>
          <w:iCs/>
          <w:sz w:val="22"/>
          <w:szCs w:val="22"/>
        </w:rPr>
        <w:t xml:space="preserve"> </w:t>
      </w:r>
      <w:r w:rsidRPr="009B1DFF">
        <w:rPr>
          <w:rFonts w:ascii="Calibri" w:hAnsi="Calibri"/>
          <w:i/>
          <w:iCs/>
          <w:sz w:val="22"/>
          <w:szCs w:val="22"/>
        </w:rPr>
        <w:t>1</w:t>
      </w:r>
      <w:r w:rsidR="00666615">
        <w:rPr>
          <w:rFonts w:ascii="Calibri" w:hAnsi="Calibri"/>
          <w:i/>
          <w:iCs/>
          <w:sz w:val="22"/>
          <w:szCs w:val="22"/>
        </w:rPr>
        <w:t>.</w:t>
      </w:r>
    </w:p>
    <w:permEnd w:id="1905472427"/>
    <w:p w14:paraId="1CD7B3CA" w14:textId="049C52DE"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_11&gt;</w:t>
      </w:r>
    </w:p>
    <w:p w14:paraId="1A191E48" w14:textId="77777777" w:rsidR="001F23C9" w:rsidRDefault="001F23C9" w:rsidP="001F23C9">
      <w:pPr>
        <w:rPr>
          <w:rFonts w:ascii="Arial" w:hAnsi="Arial" w:cs="Arial"/>
        </w:rPr>
      </w:pPr>
    </w:p>
    <w:p w14:paraId="50AB7816" w14:textId="3BEB9D4E"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see merit in the new approach considered by ESMA for new and less liquid agricultural commodity derivatives? If not, please elaborate and provide an alternative proposal.</w:t>
      </w:r>
    </w:p>
    <w:p w14:paraId="5D2ACC37" w14:textId="43C95BBB"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_12&gt;</w:t>
      </w:r>
    </w:p>
    <w:p w14:paraId="3D73C79F" w14:textId="77777777" w:rsidR="00666615" w:rsidRDefault="00666615" w:rsidP="001F23C9">
      <w:pPr>
        <w:rPr>
          <w:rFonts w:ascii="Calibri" w:hAnsi="Calibri"/>
          <w:sz w:val="22"/>
          <w:szCs w:val="22"/>
        </w:rPr>
      </w:pPr>
      <w:permStart w:id="436235028" w:edGrp="everyone"/>
      <w:r>
        <w:rPr>
          <w:rFonts w:ascii="Calibri" w:hAnsi="Calibri"/>
          <w:sz w:val="22"/>
          <w:szCs w:val="22"/>
        </w:rPr>
        <w:t>Yes, we see merit in the new approach and</w:t>
      </w:r>
      <w:r w:rsidRPr="009B1DFF">
        <w:rPr>
          <w:rFonts w:ascii="Calibri" w:hAnsi="Calibri"/>
          <w:sz w:val="22"/>
          <w:szCs w:val="22"/>
        </w:rPr>
        <w:t xml:space="preserve"> strongly support the ESMA proposal. The </w:t>
      </w:r>
      <w:r>
        <w:rPr>
          <w:rFonts w:ascii="Calibri" w:hAnsi="Calibri"/>
          <w:sz w:val="22"/>
          <w:szCs w:val="22"/>
        </w:rPr>
        <w:t xml:space="preserve">suggested </w:t>
      </w:r>
      <w:r w:rsidRPr="009B1DFF">
        <w:rPr>
          <w:rFonts w:ascii="Calibri" w:hAnsi="Calibri"/>
          <w:sz w:val="22"/>
          <w:szCs w:val="22"/>
        </w:rPr>
        <w:t xml:space="preserve">approach </w:t>
      </w:r>
      <w:r>
        <w:rPr>
          <w:rFonts w:ascii="Calibri" w:hAnsi="Calibri"/>
          <w:sz w:val="22"/>
          <w:szCs w:val="22"/>
        </w:rPr>
        <w:t>constitutes</w:t>
      </w:r>
      <w:r w:rsidRPr="009B1DFF">
        <w:rPr>
          <w:rFonts w:ascii="Calibri" w:hAnsi="Calibri"/>
          <w:sz w:val="22"/>
          <w:szCs w:val="22"/>
        </w:rPr>
        <w:t xml:space="preserve"> a very suitable way forward for new and less liquid agricultural commodity derivatives, which </w:t>
      </w:r>
      <w:r>
        <w:rPr>
          <w:rFonts w:ascii="Calibri" w:hAnsi="Calibri"/>
          <w:sz w:val="22"/>
          <w:szCs w:val="22"/>
        </w:rPr>
        <w:t>have</w:t>
      </w:r>
      <w:r w:rsidRPr="009B1DFF">
        <w:rPr>
          <w:rFonts w:ascii="Calibri" w:hAnsi="Calibri"/>
          <w:sz w:val="22"/>
          <w:szCs w:val="22"/>
        </w:rPr>
        <w:t xml:space="preserve"> a </w:t>
      </w:r>
      <w:r>
        <w:rPr>
          <w:rFonts w:ascii="Calibri" w:hAnsi="Calibri"/>
          <w:sz w:val="22"/>
          <w:szCs w:val="22"/>
        </w:rPr>
        <w:t>significant</w:t>
      </w:r>
      <w:r w:rsidRPr="009B1DFF">
        <w:rPr>
          <w:rFonts w:ascii="Calibri" w:hAnsi="Calibri"/>
          <w:sz w:val="22"/>
          <w:szCs w:val="22"/>
        </w:rPr>
        <w:t xml:space="preserve"> growth potential in Europe. Whereas the previous </w:t>
      </w:r>
      <w:r w:rsidRPr="009B1DFF">
        <w:rPr>
          <w:rFonts w:ascii="Calibri" w:hAnsi="Calibri"/>
          <w:i/>
          <w:iCs/>
          <w:sz w:val="22"/>
          <w:szCs w:val="22"/>
        </w:rPr>
        <w:t>de minimis</w:t>
      </w:r>
      <w:r w:rsidRPr="009B1DFF">
        <w:rPr>
          <w:rFonts w:ascii="Calibri" w:hAnsi="Calibri"/>
          <w:sz w:val="22"/>
          <w:szCs w:val="22"/>
        </w:rPr>
        <w:t xml:space="preserve"> rule represented a very restrictive 25% baseline position limit when a growing contract neared 10,000 lots open interest, </w:t>
      </w:r>
      <w:r>
        <w:rPr>
          <w:rFonts w:ascii="Calibri" w:hAnsi="Calibri"/>
          <w:sz w:val="22"/>
          <w:szCs w:val="22"/>
        </w:rPr>
        <w:t>the new</w:t>
      </w:r>
      <w:r w:rsidRPr="009B1DFF">
        <w:rPr>
          <w:rFonts w:ascii="Calibri" w:hAnsi="Calibri"/>
          <w:sz w:val="22"/>
          <w:szCs w:val="22"/>
        </w:rPr>
        <w:t xml:space="preserve"> rule will reflect a 50% baseline which is </w:t>
      </w:r>
      <w:r>
        <w:rPr>
          <w:rFonts w:ascii="Calibri" w:hAnsi="Calibri"/>
          <w:sz w:val="22"/>
          <w:szCs w:val="22"/>
        </w:rPr>
        <w:t>considerably</w:t>
      </w:r>
      <w:r w:rsidRPr="009B1DFF">
        <w:rPr>
          <w:rFonts w:ascii="Calibri" w:hAnsi="Calibri"/>
          <w:sz w:val="22"/>
          <w:szCs w:val="22"/>
        </w:rPr>
        <w:t xml:space="preserve"> more suitable for such </w:t>
      </w:r>
      <w:r>
        <w:rPr>
          <w:rFonts w:ascii="Calibri" w:hAnsi="Calibri"/>
          <w:sz w:val="22"/>
          <w:szCs w:val="22"/>
        </w:rPr>
        <w:t xml:space="preserve">developing </w:t>
      </w:r>
      <w:r w:rsidRPr="009B1DFF">
        <w:rPr>
          <w:rFonts w:ascii="Calibri" w:hAnsi="Calibri"/>
          <w:sz w:val="22"/>
          <w:szCs w:val="22"/>
        </w:rPr>
        <w:t>contracts.</w:t>
      </w:r>
    </w:p>
    <w:permEnd w:id="436235028"/>
    <w:p w14:paraId="0A44451F" w14:textId="6CD4DEC9"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_12&gt;</w:t>
      </w:r>
    </w:p>
    <w:p w14:paraId="781C7FB0" w14:textId="77777777" w:rsidR="001F23C9" w:rsidRDefault="001F23C9" w:rsidP="001F23C9">
      <w:pPr>
        <w:rPr>
          <w:rFonts w:ascii="Arial" w:hAnsi="Arial" w:cs="Arial"/>
        </w:rPr>
      </w:pPr>
    </w:p>
    <w:p w14:paraId="785B8370" w14:textId="43FDA918" w:rsidR="001F23C9" w:rsidRPr="00175CFB" w:rsidRDefault="001F23C9" w:rsidP="001F23C9">
      <w:pPr>
        <w:pStyle w:val="Questionstyle"/>
        <w:numPr>
          <w:ilvl w:val="0"/>
          <w:numId w:val="9"/>
        </w:numPr>
        <w:spacing w:after="250" w:line="276" w:lineRule="auto"/>
      </w:pPr>
      <w:r>
        <w:t>:</w:t>
      </w:r>
      <w:r w:rsidRPr="00C64A98">
        <w:t xml:space="preserve"> </w:t>
      </w:r>
      <w:r w:rsidR="00EC15D5" w:rsidRPr="00EC15D5">
        <w:t>Do you agree with ESMA’s proposal regarding Article 19 of RTS 21a? If not, please elaborate.</w:t>
      </w:r>
    </w:p>
    <w:p w14:paraId="69CE4D4E" w14:textId="3314681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_13&gt;</w:t>
      </w:r>
    </w:p>
    <w:p w14:paraId="2C45F75A" w14:textId="77777777" w:rsidR="00666615" w:rsidRDefault="00666615" w:rsidP="00666615">
      <w:pPr>
        <w:shd w:val="clear" w:color="auto" w:fill="F2F2F2" w:themeFill="background1" w:themeFillShade="F2"/>
        <w:jc w:val="both"/>
        <w:rPr>
          <w:rFonts w:ascii="Calibri" w:hAnsi="Calibri" w:cs="Arial"/>
          <w:color w:val="000000" w:themeColor="text1"/>
          <w:sz w:val="22"/>
          <w:szCs w:val="22"/>
        </w:rPr>
      </w:pPr>
      <w:permStart w:id="1785143847" w:edGrp="everyone"/>
      <w:r>
        <w:rPr>
          <w:rFonts w:ascii="Calibri" w:hAnsi="Calibri" w:cs="Arial"/>
          <w:color w:val="000000" w:themeColor="text1"/>
          <w:sz w:val="22"/>
          <w:szCs w:val="22"/>
        </w:rPr>
        <w:t>We welcome</w:t>
      </w:r>
      <w:r w:rsidRPr="009B1DFF">
        <w:rPr>
          <w:rFonts w:ascii="Calibri" w:hAnsi="Calibri" w:cs="Arial"/>
          <w:color w:val="000000" w:themeColor="text1"/>
          <w:sz w:val="22"/>
          <w:szCs w:val="22"/>
        </w:rPr>
        <w:t xml:space="preserve"> that Art. 19 par. 3 clarifies that where the open interest is significantly lower than the deliverable supply, NCAs shall adjust the other months’ position limit upwards to avoid the risk of</w:t>
      </w:r>
      <w:r>
        <w:rPr>
          <w:rFonts w:ascii="Calibri" w:hAnsi="Calibri" w:cs="Arial"/>
          <w:color w:val="000000" w:themeColor="text1"/>
          <w:sz w:val="22"/>
          <w:szCs w:val="22"/>
        </w:rPr>
        <w:t xml:space="preserve"> </w:t>
      </w:r>
      <w:r w:rsidRPr="009B1DFF">
        <w:rPr>
          <w:rFonts w:ascii="Calibri" w:hAnsi="Calibri" w:cs="Arial"/>
          <w:color w:val="000000" w:themeColor="text1"/>
          <w:sz w:val="22"/>
          <w:szCs w:val="22"/>
        </w:rPr>
        <w:t xml:space="preserve">unduly constraining trading. However, as stated in our response to Q9, </w:t>
      </w:r>
      <w:r>
        <w:rPr>
          <w:rFonts w:ascii="Calibri" w:hAnsi="Calibri" w:cs="Arial"/>
          <w:color w:val="000000" w:themeColor="text1"/>
          <w:sz w:val="22"/>
          <w:szCs w:val="22"/>
        </w:rPr>
        <w:t>we consider it inappropriate</w:t>
      </w:r>
      <w:r w:rsidRPr="009B1DFF">
        <w:rPr>
          <w:rFonts w:ascii="Calibri" w:hAnsi="Calibri" w:cs="Arial"/>
          <w:color w:val="000000" w:themeColor="text1"/>
          <w:sz w:val="22"/>
          <w:szCs w:val="22"/>
        </w:rPr>
        <w:t xml:space="preserve"> to adjust the spot month position limit downwards in this case</w:t>
      </w:r>
      <w:r>
        <w:rPr>
          <w:rFonts w:ascii="Calibri" w:hAnsi="Calibri" w:cs="Arial"/>
          <w:color w:val="000000" w:themeColor="text1"/>
          <w:sz w:val="22"/>
          <w:szCs w:val="22"/>
        </w:rPr>
        <w:t>.</w:t>
      </w:r>
    </w:p>
    <w:p w14:paraId="132F07F2" w14:textId="77777777" w:rsidR="00666615" w:rsidRDefault="00666615" w:rsidP="00666615">
      <w:pPr>
        <w:shd w:val="clear" w:color="auto" w:fill="F2F2F2" w:themeFill="background1" w:themeFillShade="F2"/>
        <w:jc w:val="both"/>
        <w:rPr>
          <w:rFonts w:ascii="Calibri" w:hAnsi="Calibri" w:cs="Arial"/>
          <w:color w:val="000000" w:themeColor="text1"/>
          <w:sz w:val="22"/>
          <w:szCs w:val="22"/>
        </w:rPr>
      </w:pPr>
    </w:p>
    <w:p w14:paraId="0E509700" w14:textId="77777777" w:rsidR="00666615" w:rsidRDefault="00666615" w:rsidP="00666615">
      <w:pPr>
        <w:shd w:val="clear" w:color="auto" w:fill="F2F2F2" w:themeFill="background1" w:themeFillShade="F2"/>
        <w:jc w:val="both"/>
        <w:rPr>
          <w:rFonts w:ascii="Calibri" w:hAnsi="Calibri"/>
          <w:sz w:val="22"/>
          <w:szCs w:val="22"/>
        </w:rPr>
      </w:pPr>
      <w:r w:rsidRPr="009B1DFF">
        <w:rPr>
          <w:rFonts w:ascii="Calibri" w:hAnsi="Calibri" w:cs="Arial"/>
          <w:color w:val="000000" w:themeColor="text1"/>
          <w:sz w:val="22"/>
          <w:szCs w:val="22"/>
        </w:rPr>
        <w:lastRenderedPageBreak/>
        <w:t>As many-exchange traded commodity derivative markets in Europe are still relatively illiquid compared to the total available commodity, it is a direct consequence that in these cases the deliverable supply is substantially higher than the open interest. Adjusting the spot month position limit downwards is unjustified for two main reasons:</w:t>
      </w:r>
    </w:p>
    <w:p w14:paraId="44BD846F" w14:textId="77777777" w:rsidR="00666615" w:rsidRDefault="00666615" w:rsidP="00666615">
      <w:pPr>
        <w:shd w:val="clear" w:color="auto" w:fill="F2F2F2" w:themeFill="background1" w:themeFillShade="F2"/>
        <w:jc w:val="both"/>
        <w:rPr>
          <w:rFonts w:ascii="Calibri" w:hAnsi="Calibri"/>
          <w:sz w:val="22"/>
          <w:szCs w:val="22"/>
        </w:rPr>
      </w:pPr>
    </w:p>
    <w:p w14:paraId="358E8153" w14:textId="77777777" w:rsidR="00666615" w:rsidRPr="00420DC0" w:rsidRDefault="00666615" w:rsidP="00666615">
      <w:pPr>
        <w:shd w:val="clear" w:color="auto" w:fill="F2F2F2" w:themeFill="background1" w:themeFillShade="F2"/>
        <w:jc w:val="both"/>
        <w:rPr>
          <w:rFonts w:ascii="Calibri" w:hAnsi="Calibri"/>
          <w:sz w:val="22"/>
          <w:szCs w:val="22"/>
        </w:rPr>
      </w:pPr>
      <w:r w:rsidRPr="00420DC0">
        <w:rPr>
          <w:rFonts w:ascii="Calibri" w:hAnsi="Calibri"/>
          <w:sz w:val="22"/>
          <w:szCs w:val="22"/>
        </w:rPr>
        <w:t xml:space="preserve">1) A substantially higher deliverable supply does not mean that the market is more prone to market cornering. On the contrary, in these cases a substantially higher share of the trading is taking place outside the respective derivative contract, either on other trading venues or, more likely, outside the regulated environment. It would thus be close to impossible to squeeze a contract of which the open interest reflects only a small share of the overall market. </w:t>
      </w:r>
      <w:r>
        <w:rPr>
          <w:rFonts w:ascii="Calibri" w:hAnsi="Calibri"/>
          <w:sz w:val="22"/>
          <w:szCs w:val="22"/>
        </w:rPr>
        <w:t>T</w:t>
      </w:r>
      <w:r w:rsidRPr="00420DC0">
        <w:rPr>
          <w:rFonts w:ascii="Calibri" w:hAnsi="Calibri"/>
          <w:sz w:val="22"/>
          <w:szCs w:val="22"/>
        </w:rPr>
        <w:t>he opposite reasoning</w:t>
      </w:r>
      <w:r>
        <w:rPr>
          <w:rFonts w:ascii="Calibri" w:hAnsi="Calibri"/>
          <w:sz w:val="22"/>
          <w:szCs w:val="22"/>
        </w:rPr>
        <w:t xml:space="preserve"> would be more logical</w:t>
      </w:r>
      <w:r w:rsidRPr="00420DC0">
        <w:rPr>
          <w:rFonts w:ascii="Calibri" w:hAnsi="Calibri"/>
          <w:sz w:val="22"/>
          <w:szCs w:val="22"/>
        </w:rPr>
        <w:t xml:space="preserve">, </w:t>
      </w:r>
      <w:proofErr w:type="gramStart"/>
      <w:r w:rsidRPr="00420DC0">
        <w:rPr>
          <w:rFonts w:ascii="Calibri" w:hAnsi="Calibri"/>
          <w:sz w:val="22"/>
          <w:szCs w:val="22"/>
        </w:rPr>
        <w:t>i.e.</w:t>
      </w:r>
      <w:proofErr w:type="gramEnd"/>
      <w:r w:rsidRPr="00420DC0">
        <w:rPr>
          <w:rFonts w:ascii="Calibri" w:hAnsi="Calibri"/>
          <w:sz w:val="22"/>
          <w:szCs w:val="22"/>
        </w:rPr>
        <w:t xml:space="preserve"> in case that deliverable supply is substantially higher than open interest, an upwards review of the </w:t>
      </w:r>
      <w:r w:rsidRPr="00594C24">
        <w:rPr>
          <w:rFonts w:ascii="Calibri" w:hAnsi="Calibri"/>
          <w:sz w:val="22"/>
          <w:szCs w:val="22"/>
        </w:rPr>
        <w:t xml:space="preserve">position limit </w:t>
      </w:r>
      <w:r>
        <w:rPr>
          <w:rFonts w:ascii="Calibri" w:hAnsi="Calibri"/>
          <w:sz w:val="22"/>
          <w:szCs w:val="22"/>
        </w:rPr>
        <w:t xml:space="preserve">of the </w:t>
      </w:r>
      <w:r w:rsidRPr="00420DC0">
        <w:rPr>
          <w:rFonts w:ascii="Calibri" w:hAnsi="Calibri"/>
          <w:sz w:val="22"/>
          <w:szCs w:val="22"/>
        </w:rPr>
        <w:t xml:space="preserve">other month contract </w:t>
      </w:r>
      <w:r>
        <w:rPr>
          <w:rFonts w:ascii="Calibri" w:hAnsi="Calibri"/>
          <w:sz w:val="22"/>
          <w:szCs w:val="22"/>
        </w:rPr>
        <w:t>would be</w:t>
      </w:r>
      <w:r w:rsidRPr="00420DC0">
        <w:rPr>
          <w:rFonts w:ascii="Calibri" w:hAnsi="Calibri"/>
          <w:sz w:val="22"/>
          <w:szCs w:val="22"/>
        </w:rPr>
        <w:t xml:space="preserve"> needed.</w:t>
      </w:r>
    </w:p>
    <w:p w14:paraId="37040F51" w14:textId="77777777" w:rsidR="00666615" w:rsidRPr="00420DC0" w:rsidRDefault="00666615" w:rsidP="00666615">
      <w:pPr>
        <w:shd w:val="clear" w:color="auto" w:fill="F2F2F2" w:themeFill="background1" w:themeFillShade="F2"/>
        <w:jc w:val="both"/>
        <w:rPr>
          <w:rFonts w:ascii="Calibri" w:hAnsi="Calibri"/>
          <w:sz w:val="22"/>
          <w:szCs w:val="22"/>
        </w:rPr>
      </w:pPr>
    </w:p>
    <w:p w14:paraId="31CC58D0" w14:textId="77777777" w:rsidR="00666615" w:rsidRPr="00420DC0" w:rsidRDefault="00666615" w:rsidP="00666615">
      <w:pPr>
        <w:shd w:val="clear" w:color="auto" w:fill="F2F2F2" w:themeFill="background1" w:themeFillShade="F2"/>
        <w:jc w:val="both"/>
        <w:rPr>
          <w:rFonts w:ascii="Calibri" w:hAnsi="Calibri"/>
          <w:sz w:val="22"/>
          <w:szCs w:val="22"/>
        </w:rPr>
      </w:pPr>
      <w:r w:rsidRPr="00420DC0">
        <w:rPr>
          <w:rFonts w:ascii="Calibri" w:hAnsi="Calibri"/>
          <w:sz w:val="22"/>
          <w:szCs w:val="22"/>
        </w:rPr>
        <w:t xml:space="preserve">2) It would </w:t>
      </w:r>
      <w:r>
        <w:rPr>
          <w:rFonts w:ascii="Calibri" w:hAnsi="Calibri"/>
          <w:sz w:val="22"/>
          <w:szCs w:val="22"/>
        </w:rPr>
        <w:t>penalise</w:t>
      </w:r>
      <w:r w:rsidRPr="00420DC0">
        <w:rPr>
          <w:rFonts w:ascii="Calibri" w:hAnsi="Calibri"/>
          <w:sz w:val="22"/>
          <w:szCs w:val="22"/>
        </w:rPr>
        <w:t xml:space="preserve"> the spot month contract for the lack of development of the exchange-traded commodity market </w:t>
      </w:r>
      <w:proofErr w:type="gramStart"/>
      <w:r w:rsidRPr="00420DC0">
        <w:rPr>
          <w:rFonts w:ascii="Calibri" w:hAnsi="Calibri"/>
          <w:sz w:val="22"/>
          <w:szCs w:val="22"/>
        </w:rPr>
        <w:t>or</w:t>
      </w:r>
      <w:r>
        <w:rPr>
          <w:rFonts w:ascii="Calibri" w:hAnsi="Calibri"/>
          <w:sz w:val="22"/>
          <w:szCs w:val="22"/>
        </w:rPr>
        <w:t>,</w:t>
      </w:r>
      <w:r w:rsidRPr="00420DC0">
        <w:rPr>
          <w:rFonts w:ascii="Calibri" w:hAnsi="Calibri"/>
          <w:sz w:val="22"/>
          <w:szCs w:val="22"/>
        </w:rPr>
        <w:t xml:space="preserve"> </w:t>
      </w:r>
      <w:r w:rsidRPr="00F44423">
        <w:rPr>
          <w:rFonts w:ascii="Calibri" w:hAnsi="Calibri"/>
          <w:sz w:val="22"/>
          <w:szCs w:val="22"/>
        </w:rPr>
        <w:t>in case</w:t>
      </w:r>
      <w:proofErr w:type="gramEnd"/>
      <w:r w:rsidRPr="00F44423">
        <w:rPr>
          <w:rFonts w:ascii="Calibri" w:hAnsi="Calibri"/>
          <w:sz w:val="22"/>
          <w:szCs w:val="22"/>
        </w:rPr>
        <w:t xml:space="preserve"> trading is already taking place at </w:t>
      </w:r>
      <w:r>
        <w:rPr>
          <w:rFonts w:ascii="Calibri" w:hAnsi="Calibri"/>
          <w:sz w:val="22"/>
          <w:szCs w:val="22"/>
        </w:rPr>
        <w:t xml:space="preserve">a </w:t>
      </w:r>
      <w:r w:rsidRPr="00F44423">
        <w:rPr>
          <w:rFonts w:ascii="Calibri" w:hAnsi="Calibri"/>
          <w:sz w:val="22"/>
          <w:szCs w:val="22"/>
        </w:rPr>
        <w:t>competing regulated market</w:t>
      </w:r>
      <w:r>
        <w:rPr>
          <w:rFonts w:ascii="Calibri" w:hAnsi="Calibri"/>
          <w:sz w:val="22"/>
          <w:szCs w:val="22"/>
        </w:rPr>
        <w:t>, hamper the development of a</w:t>
      </w:r>
      <w:r w:rsidRPr="00420DC0">
        <w:rPr>
          <w:rFonts w:ascii="Calibri" w:hAnsi="Calibri"/>
          <w:sz w:val="22"/>
          <w:szCs w:val="22"/>
        </w:rPr>
        <w:t xml:space="preserve"> </w:t>
      </w:r>
      <w:r>
        <w:rPr>
          <w:rFonts w:ascii="Calibri" w:hAnsi="Calibri"/>
          <w:sz w:val="22"/>
          <w:szCs w:val="22"/>
        </w:rPr>
        <w:t>newly introduced</w:t>
      </w:r>
      <w:r w:rsidRPr="00420DC0">
        <w:rPr>
          <w:rFonts w:ascii="Calibri" w:hAnsi="Calibri"/>
          <w:sz w:val="22"/>
          <w:szCs w:val="22"/>
        </w:rPr>
        <w:t xml:space="preserve"> </w:t>
      </w:r>
      <w:r>
        <w:rPr>
          <w:rFonts w:ascii="Calibri" w:hAnsi="Calibri"/>
          <w:sz w:val="22"/>
          <w:szCs w:val="22"/>
        </w:rPr>
        <w:t xml:space="preserve">on-exchange </w:t>
      </w:r>
      <w:r w:rsidRPr="00420DC0">
        <w:rPr>
          <w:rFonts w:ascii="Calibri" w:hAnsi="Calibri"/>
          <w:sz w:val="22"/>
          <w:szCs w:val="22"/>
        </w:rPr>
        <w:t xml:space="preserve">contract. As a situation in which deliverable supply is substantially higher than open interest reflects a market </w:t>
      </w:r>
      <w:r>
        <w:rPr>
          <w:rFonts w:ascii="Calibri" w:hAnsi="Calibri"/>
          <w:sz w:val="22"/>
          <w:szCs w:val="22"/>
        </w:rPr>
        <w:t>with</w:t>
      </w:r>
      <w:r w:rsidRPr="00420DC0">
        <w:rPr>
          <w:rFonts w:ascii="Calibri" w:hAnsi="Calibri"/>
          <w:sz w:val="22"/>
          <w:szCs w:val="22"/>
        </w:rPr>
        <w:t xml:space="preserve"> a </w:t>
      </w:r>
      <w:r>
        <w:rPr>
          <w:rFonts w:ascii="Calibri" w:hAnsi="Calibri"/>
          <w:sz w:val="22"/>
          <w:szCs w:val="22"/>
        </w:rPr>
        <w:t>substantial</w:t>
      </w:r>
      <w:r w:rsidRPr="00420DC0">
        <w:rPr>
          <w:rFonts w:ascii="Calibri" w:hAnsi="Calibri"/>
          <w:sz w:val="22"/>
          <w:szCs w:val="22"/>
        </w:rPr>
        <w:t xml:space="preserve"> growth potential, a limit based on open interest is destined to restrict further growth in the respective contract </w:t>
      </w:r>
      <w:r>
        <w:rPr>
          <w:rFonts w:ascii="Calibri" w:hAnsi="Calibri"/>
          <w:sz w:val="22"/>
          <w:szCs w:val="22"/>
        </w:rPr>
        <w:t>and</w:t>
      </w:r>
      <w:r w:rsidRPr="00420DC0">
        <w:rPr>
          <w:rFonts w:ascii="Calibri" w:hAnsi="Calibri"/>
          <w:sz w:val="22"/>
          <w:szCs w:val="22"/>
        </w:rPr>
        <w:t xml:space="preserve"> discourag</w:t>
      </w:r>
      <w:r>
        <w:rPr>
          <w:rFonts w:ascii="Calibri" w:hAnsi="Calibri"/>
          <w:sz w:val="22"/>
          <w:szCs w:val="22"/>
        </w:rPr>
        <w:t>es</w:t>
      </w:r>
      <w:r w:rsidRPr="00420DC0">
        <w:rPr>
          <w:rFonts w:ascii="Calibri" w:hAnsi="Calibri"/>
          <w:sz w:val="22"/>
          <w:szCs w:val="22"/>
        </w:rPr>
        <w:t xml:space="preserve"> further </w:t>
      </w:r>
      <w:r>
        <w:rPr>
          <w:rFonts w:ascii="Calibri" w:hAnsi="Calibri"/>
          <w:sz w:val="22"/>
          <w:szCs w:val="22"/>
        </w:rPr>
        <w:t xml:space="preserve">off-exchange </w:t>
      </w:r>
      <w:r w:rsidRPr="00420DC0">
        <w:rPr>
          <w:rFonts w:ascii="Calibri" w:hAnsi="Calibri"/>
          <w:sz w:val="22"/>
          <w:szCs w:val="22"/>
        </w:rPr>
        <w:t xml:space="preserve">trading </w:t>
      </w:r>
      <w:r>
        <w:rPr>
          <w:rFonts w:ascii="Calibri" w:hAnsi="Calibri"/>
          <w:sz w:val="22"/>
          <w:szCs w:val="22"/>
        </w:rPr>
        <w:t>from</w:t>
      </w:r>
      <w:r w:rsidRPr="00420DC0">
        <w:rPr>
          <w:rFonts w:ascii="Calibri" w:hAnsi="Calibri"/>
          <w:sz w:val="22"/>
          <w:szCs w:val="22"/>
        </w:rPr>
        <w:t xml:space="preserve"> mov</w:t>
      </w:r>
      <w:r>
        <w:rPr>
          <w:rFonts w:ascii="Calibri" w:hAnsi="Calibri"/>
          <w:sz w:val="22"/>
          <w:szCs w:val="22"/>
        </w:rPr>
        <w:t>ing</w:t>
      </w:r>
      <w:r w:rsidRPr="00420DC0">
        <w:rPr>
          <w:rFonts w:ascii="Calibri" w:hAnsi="Calibri"/>
          <w:sz w:val="22"/>
          <w:szCs w:val="22"/>
        </w:rPr>
        <w:t xml:space="preserve"> </w:t>
      </w:r>
      <w:r>
        <w:rPr>
          <w:rFonts w:ascii="Calibri" w:hAnsi="Calibri"/>
          <w:sz w:val="22"/>
          <w:szCs w:val="22"/>
        </w:rPr>
        <w:t>on</w:t>
      </w:r>
      <w:r w:rsidRPr="00420DC0">
        <w:rPr>
          <w:rFonts w:ascii="Calibri" w:hAnsi="Calibri"/>
          <w:sz w:val="22"/>
          <w:szCs w:val="22"/>
        </w:rPr>
        <w:t>to regulated markets.</w:t>
      </w:r>
    </w:p>
    <w:p w14:paraId="0777FADC" w14:textId="77777777" w:rsidR="00666615" w:rsidRPr="009B1DFF" w:rsidRDefault="00666615" w:rsidP="00666615">
      <w:pPr>
        <w:pStyle w:val="NormalWeb"/>
        <w:shd w:val="clear" w:color="auto" w:fill="F2F2F2" w:themeFill="background1" w:themeFillShade="F2"/>
        <w:jc w:val="both"/>
        <w:rPr>
          <w:rFonts w:ascii="Calibri" w:hAnsi="Calibri" w:cs="Arial"/>
          <w:color w:val="000000" w:themeColor="text1"/>
          <w:sz w:val="22"/>
          <w:szCs w:val="22"/>
        </w:rPr>
      </w:pPr>
      <w:r w:rsidRPr="009B1DFF">
        <w:rPr>
          <w:rFonts w:ascii="Calibri" w:hAnsi="Calibri" w:cs="Arial"/>
          <w:color w:val="000000" w:themeColor="text1"/>
          <w:sz w:val="22"/>
          <w:szCs w:val="22"/>
        </w:rPr>
        <w:t xml:space="preserve">As the consultation paper reads that in this case “the spot month is deprived of any effect”, we would like to warn that the mere objective of a position limit cannot be </w:t>
      </w:r>
      <w:r>
        <w:rPr>
          <w:rFonts w:ascii="Calibri" w:hAnsi="Calibri" w:cs="Arial"/>
          <w:color w:val="000000" w:themeColor="text1"/>
          <w:sz w:val="22"/>
          <w:szCs w:val="22"/>
        </w:rPr>
        <w:t>to</w:t>
      </w:r>
      <w:r w:rsidRPr="009B1DFF">
        <w:rPr>
          <w:rFonts w:ascii="Calibri" w:hAnsi="Calibri" w:cs="Arial"/>
          <w:color w:val="000000" w:themeColor="text1"/>
          <w:sz w:val="22"/>
          <w:szCs w:val="22"/>
        </w:rPr>
        <w:t xml:space="preserve"> curb speculative trading. As a reminder, increased participation of speculators leads to better price discovery and less unwarranted price volatility. It is important to realise that although commodity futures markets are viewed as “hedging” markets, there is a vital role for speculators because there will not always be an even balance of short hedgers and long hedgers at any one time. Speculators are needed to balance the market. By taking on risk that other market participants wish to mitigate, they provide liquidity to the market and hence contribute to price discovery</w:t>
      </w:r>
      <w:r>
        <w:rPr>
          <w:rFonts w:ascii="Calibri" w:hAnsi="Calibri" w:cs="Arial"/>
          <w:color w:val="000000" w:themeColor="text1"/>
          <w:sz w:val="22"/>
          <w:szCs w:val="22"/>
        </w:rPr>
        <w:t xml:space="preserve"> and market efficiency</w:t>
      </w:r>
      <w:r w:rsidRPr="009B1DFF">
        <w:rPr>
          <w:rFonts w:ascii="Calibri" w:hAnsi="Calibri" w:cs="Arial"/>
          <w:color w:val="000000" w:themeColor="text1"/>
          <w:sz w:val="22"/>
          <w:szCs w:val="22"/>
        </w:rPr>
        <w:t>.</w:t>
      </w:r>
    </w:p>
    <w:p w14:paraId="20DF6E7D" w14:textId="77777777" w:rsidR="00666615" w:rsidRPr="009B1DFF" w:rsidRDefault="00666615" w:rsidP="00666615">
      <w:pPr>
        <w:pStyle w:val="NormalWeb"/>
        <w:shd w:val="clear" w:color="auto" w:fill="F2F2F2" w:themeFill="background1" w:themeFillShade="F2"/>
        <w:jc w:val="both"/>
        <w:rPr>
          <w:rFonts w:ascii="Calibri" w:hAnsi="Calibri" w:cs="Arial"/>
          <w:color w:val="000000" w:themeColor="text1"/>
          <w:sz w:val="22"/>
          <w:szCs w:val="22"/>
        </w:rPr>
      </w:pPr>
      <w:r w:rsidRPr="009B1DFF">
        <w:rPr>
          <w:rFonts w:ascii="Calibri" w:hAnsi="Calibri" w:cs="Arial"/>
          <w:color w:val="000000" w:themeColor="text1"/>
          <w:sz w:val="22"/>
          <w:szCs w:val="22"/>
        </w:rPr>
        <w:t xml:space="preserve">If spot month position limits of certain contracts are not breached, the immediate conclusion should not be that the spot month position limit is too high. But rather that there is sufficient deliverable supply to close out a position and hence no risk of market cornering. </w:t>
      </w:r>
    </w:p>
    <w:p w14:paraId="369E7D77" w14:textId="77777777" w:rsidR="00666615" w:rsidRPr="009B1DFF" w:rsidRDefault="00666615" w:rsidP="00666615">
      <w:pPr>
        <w:pStyle w:val="NormalWeb"/>
        <w:shd w:val="clear" w:color="auto" w:fill="F2F2F2" w:themeFill="background1" w:themeFillShade="F2"/>
        <w:jc w:val="both"/>
        <w:rPr>
          <w:rFonts w:ascii="Calibri" w:hAnsi="Calibri" w:cs="Arial"/>
          <w:color w:val="000000" w:themeColor="text1"/>
          <w:sz w:val="22"/>
          <w:szCs w:val="22"/>
        </w:rPr>
      </w:pPr>
      <w:r w:rsidRPr="009B1DFF">
        <w:rPr>
          <w:rFonts w:ascii="Calibri" w:hAnsi="Calibri" w:cs="Arial"/>
          <w:color w:val="000000" w:themeColor="text1"/>
          <w:sz w:val="22"/>
          <w:szCs w:val="22"/>
        </w:rPr>
        <w:t>As stated in our response to Q9 we believe that adjusting the spot month position limit downwards in this case is unjustified and risks forming an obstacle to further growth.</w:t>
      </w:r>
    </w:p>
    <w:p w14:paraId="2A789FA6" w14:textId="793FFFB7" w:rsidR="001F23C9" w:rsidRDefault="00666615" w:rsidP="00666615">
      <w:pPr>
        <w:rPr>
          <w:rFonts w:ascii="Arial" w:hAnsi="Arial" w:cs="Arial"/>
        </w:rPr>
      </w:pPr>
      <w:r w:rsidRPr="009B1DFF">
        <w:rPr>
          <w:rFonts w:ascii="Calibri" w:hAnsi="Calibri" w:cs="Arial"/>
          <w:color w:val="000000" w:themeColor="text1"/>
          <w:sz w:val="22"/>
          <w:szCs w:val="22"/>
        </w:rPr>
        <w:t>We therefore recommend amending Art</w:t>
      </w:r>
      <w:r>
        <w:rPr>
          <w:rFonts w:ascii="Calibri" w:hAnsi="Calibri" w:cs="Arial"/>
          <w:color w:val="000000" w:themeColor="text1"/>
          <w:sz w:val="22"/>
          <w:szCs w:val="22"/>
        </w:rPr>
        <w:t>.</w:t>
      </w:r>
      <w:r w:rsidRPr="009B1DFF">
        <w:rPr>
          <w:rFonts w:ascii="Calibri" w:hAnsi="Calibri" w:cs="Arial"/>
          <w:color w:val="000000" w:themeColor="text1"/>
          <w:sz w:val="22"/>
          <w:szCs w:val="22"/>
        </w:rPr>
        <w:t xml:space="preserve"> 19 par. 3 as follows:</w:t>
      </w:r>
      <w:r w:rsidRPr="00977616">
        <w:t xml:space="preserve"> </w:t>
      </w:r>
      <w:r w:rsidRPr="009B1DFF">
        <w:rPr>
          <w:rFonts w:ascii="Calibri" w:hAnsi="Calibri" w:cs="Arial"/>
          <w:i/>
          <w:iCs/>
          <w:color w:val="000000" w:themeColor="text1"/>
          <w:sz w:val="22"/>
          <w:szCs w:val="22"/>
        </w:rPr>
        <w:t xml:space="preserve">Where the open interest is significantly lower than the deliverable supply, competent authorities shall adjust the other months’ position limit upwards </w:t>
      </w:r>
      <w:r w:rsidRPr="009B1DFF">
        <w:rPr>
          <w:rFonts w:ascii="Calibri" w:hAnsi="Calibri" w:cs="Arial"/>
          <w:i/>
          <w:iCs/>
          <w:strike/>
          <w:color w:val="000000" w:themeColor="text1"/>
          <w:sz w:val="22"/>
          <w:szCs w:val="22"/>
        </w:rPr>
        <w:t>and the spot month position limit downwards</w:t>
      </w:r>
    </w:p>
    <w:permEnd w:id="1785143847"/>
    <w:p w14:paraId="709175DF" w14:textId="7FDEFD80"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_13&gt;</w:t>
      </w:r>
    </w:p>
    <w:p w14:paraId="1763F2A9" w14:textId="77777777" w:rsidR="001F23C9" w:rsidRDefault="001F23C9" w:rsidP="001F23C9">
      <w:pPr>
        <w:rPr>
          <w:rFonts w:ascii="Arial" w:hAnsi="Arial" w:cs="Arial"/>
        </w:rPr>
      </w:pPr>
    </w:p>
    <w:p w14:paraId="7061009A" w14:textId="6E769AB8"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Do you agree with ESMA’ proposal regarding the upward adjustment factor to be used in case of a small number of market participants or less than three investment firms acting as market makers? If not, please elaborate and provide an alternative proposal.</w:t>
      </w:r>
    </w:p>
    <w:p w14:paraId="54611186" w14:textId="08B7B3AF"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_14&gt;</w:t>
      </w:r>
    </w:p>
    <w:p w14:paraId="4FD27A0E" w14:textId="40C68846" w:rsidR="00666615" w:rsidRDefault="00666615" w:rsidP="001F23C9">
      <w:pPr>
        <w:rPr>
          <w:rFonts w:ascii="Arial" w:hAnsi="Arial" w:cs="Arial"/>
        </w:rPr>
      </w:pPr>
      <w:permStart w:id="1033585913" w:edGrp="everyone"/>
      <w:r>
        <w:rPr>
          <w:rFonts w:ascii="Calibri" w:hAnsi="Calibri"/>
          <w:sz w:val="22"/>
          <w:szCs w:val="22"/>
        </w:rPr>
        <w:t xml:space="preserve">Yes, we agree and </w:t>
      </w:r>
      <w:r w:rsidRPr="009B1DFF">
        <w:rPr>
          <w:rFonts w:ascii="Calibri" w:hAnsi="Calibri"/>
          <w:sz w:val="22"/>
          <w:szCs w:val="22"/>
        </w:rPr>
        <w:t>support ESMA’s proposal</w:t>
      </w:r>
      <w:r>
        <w:rPr>
          <w:rFonts w:ascii="Arial" w:hAnsi="Arial" w:cs="Arial"/>
        </w:rPr>
        <w:t>.</w:t>
      </w:r>
    </w:p>
    <w:permEnd w:id="1033585913"/>
    <w:p w14:paraId="74A6F289" w14:textId="4E13272B"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_14&gt;</w:t>
      </w:r>
    </w:p>
    <w:p w14:paraId="43B3593F" w14:textId="77777777" w:rsidR="001F23C9" w:rsidRDefault="001F23C9" w:rsidP="001F23C9">
      <w:pPr>
        <w:rPr>
          <w:rFonts w:ascii="Arial" w:hAnsi="Arial" w:cs="Arial"/>
        </w:rPr>
      </w:pPr>
    </w:p>
    <w:p w14:paraId="527399E1" w14:textId="546F740F" w:rsidR="001F23C9" w:rsidRPr="00175CFB" w:rsidRDefault="001F23C9" w:rsidP="001F23C9">
      <w:pPr>
        <w:pStyle w:val="Questionstyle"/>
        <w:numPr>
          <w:ilvl w:val="0"/>
          <w:numId w:val="9"/>
        </w:numPr>
        <w:spacing w:after="250" w:line="276" w:lineRule="auto"/>
      </w:pPr>
      <w:r>
        <w:lastRenderedPageBreak/>
        <w:t>:</w:t>
      </w:r>
      <w:r w:rsidRPr="000F104A">
        <w:t xml:space="preserve"> </w:t>
      </w:r>
      <w:r w:rsidR="00EC15D5" w:rsidRPr="00EC15D5">
        <w:t>Do you agree with ESMA’s proposed amendments to ITS 4? If not, please elaborate.</w:t>
      </w:r>
    </w:p>
    <w:p w14:paraId="37E33E55" w14:textId="6C39E03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_15&gt;</w:t>
      </w:r>
    </w:p>
    <w:p w14:paraId="0D00931E" w14:textId="77777777" w:rsidR="00666615" w:rsidRDefault="00666615" w:rsidP="001F23C9">
      <w:pPr>
        <w:rPr>
          <w:rFonts w:ascii="Calibri" w:hAnsi="Calibri" w:cs="Arial"/>
          <w:color w:val="002060"/>
          <w:sz w:val="22"/>
          <w:szCs w:val="22"/>
        </w:rPr>
      </w:pPr>
      <w:permStart w:id="360059141" w:edGrp="everyone"/>
      <w:r w:rsidRPr="009B1DFF">
        <w:rPr>
          <w:rFonts w:ascii="Calibri" w:hAnsi="Calibri" w:cs="Arial"/>
          <w:color w:val="002060"/>
          <w:sz w:val="22"/>
          <w:szCs w:val="22"/>
        </w:rPr>
        <w:t>Yes, we share the analysis regarding the hedging exemption and liquidity provision exemption. Only the legal reference (RTS 21 -&gt; RTS 21a) of the hedging field should be updated</w:t>
      </w:r>
      <w:r>
        <w:rPr>
          <w:rFonts w:ascii="Calibri" w:hAnsi="Calibri" w:cs="Arial"/>
          <w:color w:val="002060"/>
          <w:sz w:val="22"/>
          <w:szCs w:val="22"/>
        </w:rPr>
        <w:t>.</w:t>
      </w:r>
    </w:p>
    <w:permEnd w:id="360059141"/>
    <w:p w14:paraId="24463A6B" w14:textId="3FCBEAEE"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_15&gt;</w:t>
      </w:r>
    </w:p>
    <w:p w14:paraId="353BECC5" w14:textId="77777777" w:rsidR="001F23C9" w:rsidRDefault="001F23C9" w:rsidP="001F23C9">
      <w:pPr>
        <w:rPr>
          <w:rFonts w:ascii="Arial" w:hAnsi="Arial" w:cs="Arial"/>
        </w:rPr>
      </w:pPr>
    </w:p>
    <w:p w14:paraId="56F7097F" w14:textId="19394B90" w:rsidR="001F23C9" w:rsidRPr="00175CFB" w:rsidRDefault="001F23C9" w:rsidP="001F23C9">
      <w:pPr>
        <w:pStyle w:val="Questionstyle"/>
        <w:numPr>
          <w:ilvl w:val="0"/>
          <w:numId w:val="9"/>
        </w:numPr>
        <w:spacing w:after="250" w:line="276" w:lineRule="auto"/>
      </w:pPr>
      <w:r>
        <w:t xml:space="preserve">: </w:t>
      </w:r>
      <w:r w:rsidR="00EC15D5" w:rsidRPr="00EC15D5">
        <w:t>Do you agree with ESMA’s suggestion to introduce such ongoing position monitoring requirement in the draft RTS? If not, please elaborate.</w:t>
      </w:r>
    </w:p>
    <w:p w14:paraId="5E34355C" w14:textId="546C10C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_16&gt;</w:t>
      </w:r>
    </w:p>
    <w:p w14:paraId="36DC1BAE" w14:textId="77777777" w:rsidR="00666615" w:rsidRPr="009B1DFF" w:rsidRDefault="00666615" w:rsidP="00F64E30">
      <w:pPr>
        <w:pStyle w:val="NormalWeb"/>
        <w:shd w:val="clear" w:color="auto" w:fill="F2F2F2" w:themeFill="background1" w:themeFillShade="F2"/>
        <w:ind w:left="-59"/>
        <w:jc w:val="both"/>
        <w:rPr>
          <w:rFonts w:ascii="Calibri" w:hAnsi="Calibri" w:cs="Arial"/>
          <w:color w:val="000000" w:themeColor="text1"/>
          <w:sz w:val="22"/>
          <w:szCs w:val="22"/>
        </w:rPr>
      </w:pPr>
      <w:permStart w:id="1365146390" w:edGrp="everyone"/>
      <w:r>
        <w:rPr>
          <w:rFonts w:ascii="Calibri" w:hAnsi="Calibri" w:cs="Arial"/>
          <w:color w:val="000000" w:themeColor="text1"/>
          <w:sz w:val="22"/>
          <w:szCs w:val="22"/>
        </w:rPr>
        <w:t>Please also refer to the</w:t>
      </w:r>
      <w:r w:rsidRPr="009B1DFF">
        <w:rPr>
          <w:rFonts w:ascii="Calibri" w:hAnsi="Calibri" w:cs="Arial"/>
          <w:color w:val="000000" w:themeColor="text1"/>
          <w:sz w:val="22"/>
          <w:szCs w:val="22"/>
        </w:rPr>
        <w:t xml:space="preserve"> introductory statement </w:t>
      </w:r>
      <w:r>
        <w:rPr>
          <w:rFonts w:ascii="Calibri" w:hAnsi="Calibri" w:cs="Arial"/>
          <w:color w:val="000000" w:themeColor="text1"/>
          <w:sz w:val="22"/>
          <w:szCs w:val="22"/>
        </w:rPr>
        <w:t>of the present response</w:t>
      </w:r>
      <w:r w:rsidRPr="009B1DFF">
        <w:rPr>
          <w:rFonts w:ascii="Calibri" w:hAnsi="Calibri" w:cs="Arial"/>
          <w:color w:val="000000" w:themeColor="text1"/>
          <w:sz w:val="22"/>
          <w:szCs w:val="22"/>
        </w:rPr>
        <w:t xml:space="preserve">. </w:t>
      </w:r>
    </w:p>
    <w:p w14:paraId="351EB2C3" w14:textId="77777777" w:rsidR="00666615" w:rsidRPr="009B1DFF" w:rsidRDefault="00666615" w:rsidP="00F64E30">
      <w:pPr>
        <w:pStyle w:val="NormalWeb"/>
        <w:shd w:val="clear" w:color="auto" w:fill="F2F2F2" w:themeFill="background1" w:themeFillShade="F2"/>
        <w:ind w:left="-59"/>
        <w:jc w:val="both"/>
        <w:rPr>
          <w:rFonts w:ascii="Calibri" w:hAnsi="Calibri" w:cs="Arial"/>
          <w:color w:val="000000" w:themeColor="text1"/>
          <w:sz w:val="22"/>
          <w:szCs w:val="22"/>
        </w:rPr>
      </w:pPr>
      <w:r w:rsidRPr="009B1DFF">
        <w:rPr>
          <w:rFonts w:ascii="Calibri" w:hAnsi="Calibri" w:cs="Arial"/>
          <w:color w:val="000000" w:themeColor="text1"/>
          <w:sz w:val="22"/>
          <w:szCs w:val="22"/>
        </w:rPr>
        <w:t>We generally support the proposal for exchange</w:t>
      </w:r>
      <w:r>
        <w:rPr>
          <w:rFonts w:ascii="Calibri" w:hAnsi="Calibri" w:cs="Arial"/>
          <w:color w:val="000000" w:themeColor="text1"/>
          <w:sz w:val="22"/>
          <w:szCs w:val="22"/>
        </w:rPr>
        <w:t>s</w:t>
      </w:r>
      <w:r w:rsidRPr="009B1DFF">
        <w:rPr>
          <w:rFonts w:ascii="Calibri" w:hAnsi="Calibri" w:cs="Arial"/>
          <w:color w:val="000000" w:themeColor="text1"/>
          <w:sz w:val="22"/>
          <w:szCs w:val="22"/>
        </w:rPr>
        <w:t xml:space="preserve"> to have arrangements in place for the ongoing monitoring of positions held by the end position holder. However, there is one important caveat. The new ESMA draft RTS on position management controls expands the scope of this </w:t>
      </w:r>
      <w:r>
        <w:rPr>
          <w:rFonts w:ascii="Calibri" w:hAnsi="Calibri" w:cs="Arial"/>
          <w:color w:val="000000" w:themeColor="text1"/>
          <w:sz w:val="22"/>
          <w:szCs w:val="22"/>
        </w:rPr>
        <w:t>L</w:t>
      </w:r>
      <w:r w:rsidRPr="009B1DFF">
        <w:rPr>
          <w:rFonts w:ascii="Calibri" w:hAnsi="Calibri" w:cs="Arial"/>
          <w:color w:val="000000" w:themeColor="text1"/>
          <w:sz w:val="22"/>
          <w:szCs w:val="22"/>
        </w:rPr>
        <w:t>evel 1 arrangement by adding “persons with close links”, which effectively introduces a wider obligation whereby trading venues must also consider positions held by</w:t>
      </w:r>
      <w:r>
        <w:rPr>
          <w:rFonts w:ascii="Calibri" w:hAnsi="Calibri" w:cs="Arial"/>
          <w:color w:val="000000" w:themeColor="text1"/>
          <w:sz w:val="22"/>
          <w:szCs w:val="22"/>
        </w:rPr>
        <w:t>,</w:t>
      </w:r>
      <w:r w:rsidRPr="009B1DFF">
        <w:rPr>
          <w:rFonts w:ascii="Calibri" w:hAnsi="Calibri" w:cs="Arial"/>
          <w:color w:val="000000" w:themeColor="text1"/>
          <w:sz w:val="22"/>
          <w:szCs w:val="22"/>
        </w:rPr>
        <w:t xml:space="preserve"> for example</w:t>
      </w:r>
      <w:r>
        <w:rPr>
          <w:rFonts w:ascii="Calibri" w:hAnsi="Calibri" w:cs="Arial"/>
          <w:color w:val="000000" w:themeColor="text1"/>
          <w:sz w:val="22"/>
          <w:szCs w:val="22"/>
        </w:rPr>
        <w:t>,</w:t>
      </w:r>
      <w:r w:rsidRPr="009B1DFF">
        <w:rPr>
          <w:rFonts w:ascii="Calibri" w:hAnsi="Calibri" w:cs="Arial"/>
          <w:color w:val="000000" w:themeColor="text1"/>
          <w:sz w:val="22"/>
          <w:szCs w:val="22"/>
        </w:rPr>
        <w:t xml:space="preserve"> affiliates. </w:t>
      </w:r>
    </w:p>
    <w:p w14:paraId="75BCA06E" w14:textId="77777777" w:rsidR="00666615" w:rsidRPr="009B1DFF" w:rsidRDefault="00666615" w:rsidP="00F64E30">
      <w:pPr>
        <w:pStyle w:val="NormalWeb"/>
        <w:shd w:val="clear" w:color="auto" w:fill="F2F2F2" w:themeFill="background1" w:themeFillShade="F2"/>
        <w:ind w:left="-59"/>
        <w:jc w:val="both"/>
        <w:rPr>
          <w:rFonts w:ascii="Calibri" w:hAnsi="Calibri" w:cs="Arial"/>
          <w:color w:val="000000" w:themeColor="text1"/>
          <w:sz w:val="22"/>
          <w:szCs w:val="22"/>
        </w:rPr>
      </w:pPr>
      <w:r w:rsidRPr="009B1DFF">
        <w:rPr>
          <w:rFonts w:ascii="Calibri" w:hAnsi="Calibri" w:cs="Arial"/>
          <w:color w:val="000000" w:themeColor="text1"/>
          <w:sz w:val="22"/>
          <w:szCs w:val="22"/>
        </w:rPr>
        <w:t xml:space="preserve">We are concerned that introducing a foreign concept in the commodity derivatives section of MiFID II will distort the consistency between the various components of the requirements applicable to commodity derivatives markets, including the position limit regime, </w:t>
      </w:r>
      <w:r>
        <w:rPr>
          <w:rFonts w:ascii="Calibri" w:hAnsi="Calibri" w:cs="Arial"/>
          <w:color w:val="000000" w:themeColor="text1"/>
          <w:sz w:val="22"/>
          <w:szCs w:val="22"/>
        </w:rPr>
        <w:t xml:space="preserve">the </w:t>
      </w:r>
      <w:r w:rsidRPr="009B1DFF">
        <w:rPr>
          <w:rFonts w:ascii="Calibri" w:hAnsi="Calibri" w:cs="Arial"/>
          <w:color w:val="000000" w:themeColor="text1"/>
          <w:sz w:val="22"/>
          <w:szCs w:val="22"/>
        </w:rPr>
        <w:t>position reporting requirements and the position management controls.</w:t>
      </w:r>
    </w:p>
    <w:p w14:paraId="20E8F2EE" w14:textId="77777777" w:rsidR="00666615" w:rsidRDefault="00666615" w:rsidP="001F23C9">
      <w:pPr>
        <w:rPr>
          <w:rFonts w:ascii="Calibri" w:hAnsi="Calibri" w:cs="Arial"/>
          <w:color w:val="000000" w:themeColor="text1"/>
          <w:sz w:val="22"/>
          <w:szCs w:val="22"/>
        </w:rPr>
      </w:pPr>
      <w:r w:rsidRPr="009B1DFF">
        <w:rPr>
          <w:rFonts w:ascii="Calibri" w:hAnsi="Calibri" w:cs="Arial"/>
          <w:color w:val="000000" w:themeColor="text1"/>
          <w:sz w:val="22"/>
          <w:szCs w:val="22"/>
        </w:rPr>
        <w:t>Instead</w:t>
      </w:r>
      <w:r>
        <w:rPr>
          <w:rFonts w:ascii="Calibri" w:hAnsi="Calibri" w:cs="Arial"/>
          <w:color w:val="000000" w:themeColor="text1"/>
          <w:sz w:val="22"/>
          <w:szCs w:val="22"/>
        </w:rPr>
        <w:t>,</w:t>
      </w:r>
      <w:r w:rsidRPr="009B1DFF">
        <w:rPr>
          <w:rFonts w:ascii="Calibri" w:hAnsi="Calibri" w:cs="Arial"/>
          <w:color w:val="000000" w:themeColor="text1"/>
          <w:sz w:val="22"/>
          <w:szCs w:val="22"/>
        </w:rPr>
        <w:t xml:space="preserve"> the concept already present in the commodity derivatives section of MiFID II</w:t>
      </w:r>
      <w:r>
        <w:rPr>
          <w:rFonts w:ascii="Calibri" w:hAnsi="Calibri" w:cs="Arial"/>
          <w:color w:val="000000" w:themeColor="text1"/>
          <w:sz w:val="22"/>
          <w:szCs w:val="22"/>
        </w:rPr>
        <w:t xml:space="preserve"> should be used</w:t>
      </w:r>
      <w:r w:rsidRPr="009B1DFF">
        <w:rPr>
          <w:rFonts w:ascii="Calibri" w:hAnsi="Calibri" w:cs="Arial"/>
          <w:color w:val="000000" w:themeColor="text1"/>
          <w:sz w:val="22"/>
          <w:szCs w:val="22"/>
        </w:rPr>
        <w:t>. As part of their obligation under Art. 58 par. 3 market participants need to provide the trading venue with information about the position holder as well as its parent undertaking.</w:t>
      </w:r>
    </w:p>
    <w:permEnd w:id="1365146390"/>
    <w:p w14:paraId="78E3242B" w14:textId="756438EE"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_16&gt;</w:t>
      </w:r>
    </w:p>
    <w:p w14:paraId="3CEF756A" w14:textId="77777777" w:rsidR="001F23C9" w:rsidRDefault="001F23C9" w:rsidP="001F23C9">
      <w:pPr>
        <w:rPr>
          <w:rFonts w:ascii="Arial" w:hAnsi="Arial" w:cs="Arial"/>
        </w:rPr>
      </w:pPr>
    </w:p>
    <w:p w14:paraId="49783DA5" w14:textId="5F4873AE" w:rsidR="001F23C9" w:rsidRPr="00175CFB" w:rsidRDefault="001F23C9" w:rsidP="001F23C9">
      <w:pPr>
        <w:pStyle w:val="Questionstyle"/>
        <w:numPr>
          <w:ilvl w:val="0"/>
          <w:numId w:val="9"/>
        </w:numPr>
        <w:spacing w:after="250" w:line="276" w:lineRule="auto"/>
      </w:pPr>
      <w:r>
        <w:t>:</w:t>
      </w:r>
      <w:r w:rsidR="00EC15D5">
        <w:t xml:space="preserve"> </w:t>
      </w:r>
      <w:r w:rsidR="00EC15D5" w:rsidRPr="00EC15D5">
        <w:t>Do you agree with ESMA’s suggestion to introduce accountability levels as part of position management controls? Do you agree with ESMA’s assessment that accountability levels would be of particular relevance for physically settled commodity derivatives? If not, please elaborate and provide alternative proposals.</w:t>
      </w:r>
    </w:p>
    <w:p w14:paraId="24E1D07D" w14:textId="052BA2BD"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_17&gt;</w:t>
      </w:r>
    </w:p>
    <w:p w14:paraId="4285E4F8" w14:textId="77777777" w:rsidR="00666615" w:rsidRPr="009B1DFF" w:rsidRDefault="00666615" w:rsidP="00F64E30">
      <w:pPr>
        <w:pStyle w:val="NormalWeb"/>
        <w:shd w:val="clear" w:color="auto" w:fill="F2F2F2" w:themeFill="background1" w:themeFillShade="F2"/>
        <w:ind w:left="-59"/>
        <w:jc w:val="both"/>
        <w:rPr>
          <w:rFonts w:ascii="Calibri" w:hAnsi="Calibri" w:cs="Arial"/>
          <w:color w:val="000000" w:themeColor="text1"/>
          <w:sz w:val="22"/>
          <w:szCs w:val="22"/>
        </w:rPr>
      </w:pPr>
      <w:permStart w:id="1933463559" w:edGrp="everyone"/>
      <w:r>
        <w:rPr>
          <w:rFonts w:ascii="Calibri" w:hAnsi="Calibri" w:cs="Arial"/>
          <w:color w:val="000000" w:themeColor="text1"/>
          <w:sz w:val="22"/>
          <w:szCs w:val="22"/>
        </w:rPr>
        <w:t>Please also refer to the</w:t>
      </w:r>
      <w:r w:rsidRPr="00420DC0">
        <w:rPr>
          <w:rFonts w:ascii="Calibri" w:hAnsi="Calibri" w:cs="Arial"/>
          <w:color w:val="000000" w:themeColor="text1"/>
          <w:sz w:val="22"/>
          <w:szCs w:val="22"/>
        </w:rPr>
        <w:t xml:space="preserve"> introductory statement </w:t>
      </w:r>
      <w:r>
        <w:rPr>
          <w:rFonts w:ascii="Calibri" w:hAnsi="Calibri" w:cs="Arial"/>
          <w:color w:val="000000" w:themeColor="text1"/>
          <w:sz w:val="22"/>
          <w:szCs w:val="22"/>
        </w:rPr>
        <w:t>of the present response</w:t>
      </w:r>
      <w:r w:rsidRPr="00420DC0">
        <w:rPr>
          <w:rFonts w:ascii="Calibri" w:hAnsi="Calibri" w:cs="Arial"/>
          <w:color w:val="000000" w:themeColor="text1"/>
          <w:sz w:val="22"/>
          <w:szCs w:val="22"/>
        </w:rPr>
        <w:t>.</w:t>
      </w:r>
    </w:p>
    <w:p w14:paraId="25ADD5FD" w14:textId="77777777" w:rsidR="00666615" w:rsidRPr="00977616" w:rsidRDefault="00666615" w:rsidP="00F64E30">
      <w:pPr>
        <w:pStyle w:val="NormalWeb"/>
        <w:shd w:val="clear" w:color="auto" w:fill="F2F2F2" w:themeFill="background1" w:themeFillShade="F2"/>
        <w:ind w:left="-59"/>
        <w:jc w:val="both"/>
        <w:rPr>
          <w:rFonts w:ascii="Calibri" w:hAnsi="Calibri" w:cs="Arial"/>
          <w:color w:val="000000" w:themeColor="text1"/>
          <w:sz w:val="22"/>
          <w:szCs w:val="22"/>
        </w:rPr>
      </w:pPr>
      <w:bookmarkStart w:id="5" w:name="_Hlk76757489"/>
      <w:r w:rsidRPr="009B1DFF">
        <w:rPr>
          <w:rFonts w:ascii="Calibri" w:hAnsi="Calibri" w:cs="Arial"/>
          <w:color w:val="000000" w:themeColor="text1"/>
          <w:sz w:val="22"/>
          <w:szCs w:val="22"/>
        </w:rPr>
        <w:t xml:space="preserve">If ESMA </w:t>
      </w:r>
      <w:r>
        <w:rPr>
          <w:rFonts w:ascii="Calibri" w:hAnsi="Calibri" w:cs="Arial"/>
          <w:color w:val="000000" w:themeColor="text1"/>
          <w:sz w:val="22"/>
          <w:szCs w:val="22"/>
        </w:rPr>
        <w:t xml:space="preserve">were to </w:t>
      </w:r>
      <w:r w:rsidRPr="009B1DFF">
        <w:rPr>
          <w:rFonts w:ascii="Calibri" w:hAnsi="Calibri" w:cs="Arial"/>
          <w:color w:val="000000" w:themeColor="text1"/>
          <w:sz w:val="22"/>
          <w:szCs w:val="22"/>
        </w:rPr>
        <w:t xml:space="preserve">maintain its proposal to require trading venues to set accountability levels </w:t>
      </w:r>
      <w:r>
        <w:rPr>
          <w:rFonts w:ascii="Calibri" w:hAnsi="Calibri" w:cs="Arial"/>
          <w:color w:val="000000" w:themeColor="text1"/>
          <w:sz w:val="22"/>
          <w:szCs w:val="22"/>
        </w:rPr>
        <w:t>in addition to</w:t>
      </w:r>
      <w:r w:rsidRPr="009B1DFF">
        <w:rPr>
          <w:rFonts w:ascii="Calibri" w:hAnsi="Calibri" w:cs="Arial"/>
          <w:color w:val="000000" w:themeColor="text1"/>
          <w:sz w:val="22"/>
          <w:szCs w:val="22"/>
        </w:rPr>
        <w:t xml:space="preserve"> the existing regulatory frameworks </w:t>
      </w:r>
      <w:r>
        <w:rPr>
          <w:rFonts w:ascii="Calibri" w:hAnsi="Calibri" w:cs="Arial"/>
          <w:color w:val="000000" w:themeColor="text1"/>
          <w:sz w:val="22"/>
          <w:szCs w:val="22"/>
        </w:rPr>
        <w:t>for the</w:t>
      </w:r>
      <w:r w:rsidRPr="009B1DFF">
        <w:rPr>
          <w:rFonts w:ascii="Calibri" w:hAnsi="Calibri" w:cs="Arial"/>
          <w:color w:val="000000" w:themeColor="text1"/>
          <w:sz w:val="22"/>
          <w:szCs w:val="22"/>
        </w:rPr>
        <w:t xml:space="preserve"> </w:t>
      </w:r>
      <w:r>
        <w:rPr>
          <w:rFonts w:ascii="Calibri" w:hAnsi="Calibri" w:cs="Arial"/>
          <w:color w:val="000000" w:themeColor="text1"/>
          <w:sz w:val="22"/>
          <w:szCs w:val="22"/>
        </w:rPr>
        <w:t xml:space="preserve">prevention of </w:t>
      </w:r>
      <w:r w:rsidRPr="009B1DFF">
        <w:rPr>
          <w:rFonts w:ascii="Calibri" w:hAnsi="Calibri" w:cs="Arial"/>
          <w:color w:val="000000" w:themeColor="text1"/>
          <w:sz w:val="22"/>
          <w:szCs w:val="22"/>
        </w:rPr>
        <w:t>market abuse</w:t>
      </w:r>
      <w:r>
        <w:rPr>
          <w:rFonts w:ascii="Calibri" w:hAnsi="Calibri" w:cs="Arial"/>
          <w:color w:val="000000" w:themeColor="text1"/>
          <w:sz w:val="22"/>
          <w:szCs w:val="22"/>
        </w:rPr>
        <w:t xml:space="preserve"> (</w:t>
      </w:r>
      <w:proofErr w:type="gramStart"/>
      <w:r>
        <w:rPr>
          <w:rFonts w:ascii="Calibri" w:hAnsi="Calibri" w:cs="Arial"/>
          <w:color w:val="000000" w:themeColor="text1"/>
          <w:sz w:val="22"/>
          <w:szCs w:val="22"/>
        </w:rPr>
        <w:t>e.g.</w:t>
      </w:r>
      <w:proofErr w:type="gramEnd"/>
      <w:r>
        <w:rPr>
          <w:rFonts w:ascii="Calibri" w:hAnsi="Calibri" w:cs="Arial"/>
          <w:color w:val="000000" w:themeColor="text1"/>
          <w:sz w:val="22"/>
          <w:szCs w:val="22"/>
        </w:rPr>
        <w:t xml:space="preserve"> MAR and REMIT)</w:t>
      </w:r>
      <w:r w:rsidRPr="009B1DFF">
        <w:rPr>
          <w:rFonts w:ascii="Calibri" w:hAnsi="Calibri" w:cs="Arial"/>
          <w:color w:val="000000" w:themeColor="text1"/>
          <w:sz w:val="22"/>
          <w:szCs w:val="22"/>
        </w:rPr>
        <w:t xml:space="preserve">, we believe that ESMA should at least introduce the necessary discretion for exchanges </w:t>
      </w:r>
      <w:r w:rsidRPr="00977616">
        <w:rPr>
          <w:rFonts w:ascii="Calibri" w:hAnsi="Calibri" w:cs="Arial"/>
          <w:color w:val="000000" w:themeColor="text1"/>
          <w:sz w:val="22"/>
          <w:szCs w:val="22"/>
        </w:rPr>
        <w:t>to determine which contracts to set those accountability levels</w:t>
      </w:r>
      <w:r>
        <w:rPr>
          <w:rFonts w:ascii="Calibri" w:hAnsi="Calibri" w:cs="Arial"/>
          <w:color w:val="000000" w:themeColor="text1"/>
          <w:sz w:val="22"/>
          <w:szCs w:val="22"/>
        </w:rPr>
        <w:t xml:space="preserve"> for</w:t>
      </w:r>
      <w:r w:rsidRPr="00977616">
        <w:rPr>
          <w:rFonts w:ascii="Calibri" w:hAnsi="Calibri" w:cs="Arial"/>
          <w:color w:val="000000" w:themeColor="text1"/>
          <w:sz w:val="22"/>
          <w:szCs w:val="22"/>
        </w:rPr>
        <w:t xml:space="preserve">, </w:t>
      </w:r>
      <w:bookmarkEnd w:id="5"/>
      <w:r w:rsidRPr="004F5DF5">
        <w:rPr>
          <w:rFonts w:ascii="Calibri" w:hAnsi="Calibri" w:cs="Arial"/>
          <w:color w:val="000000" w:themeColor="text1"/>
          <w:sz w:val="22"/>
          <w:szCs w:val="22"/>
        </w:rPr>
        <w:t>which timeframe</w:t>
      </w:r>
      <w:r w:rsidRPr="00977616">
        <w:rPr>
          <w:rFonts w:ascii="Calibri" w:hAnsi="Calibri" w:cs="Arial"/>
          <w:color w:val="000000" w:themeColor="text1"/>
          <w:sz w:val="22"/>
          <w:szCs w:val="22"/>
        </w:rPr>
        <w:t xml:space="preserve"> and whether to request additional information if an accountability level is exceeded. If not, the position management controls are likely to put a </w:t>
      </w:r>
      <w:r>
        <w:rPr>
          <w:rFonts w:ascii="Calibri" w:hAnsi="Calibri" w:cs="Arial"/>
          <w:color w:val="000000" w:themeColor="text1"/>
          <w:sz w:val="22"/>
          <w:szCs w:val="22"/>
        </w:rPr>
        <w:t>disproportionate</w:t>
      </w:r>
      <w:r w:rsidRPr="00977616">
        <w:rPr>
          <w:rFonts w:ascii="Calibri" w:hAnsi="Calibri" w:cs="Arial"/>
          <w:color w:val="000000" w:themeColor="text1"/>
          <w:sz w:val="22"/>
          <w:szCs w:val="22"/>
        </w:rPr>
        <w:t xml:space="preserve"> compliance burden on both the exchanges’ market surveillance departments and trading participants’ compliance departments.</w:t>
      </w:r>
    </w:p>
    <w:p w14:paraId="18F700DC" w14:textId="77777777" w:rsidR="00666615" w:rsidRPr="00977616" w:rsidRDefault="00666615" w:rsidP="00F64E30">
      <w:pPr>
        <w:pStyle w:val="NormalWeb"/>
        <w:shd w:val="clear" w:color="auto" w:fill="F2F2F2" w:themeFill="background1" w:themeFillShade="F2"/>
        <w:ind w:left="-59"/>
        <w:jc w:val="both"/>
        <w:rPr>
          <w:rFonts w:ascii="Calibri" w:hAnsi="Calibri" w:cs="Arial"/>
          <w:color w:val="000000" w:themeColor="text1"/>
          <w:sz w:val="22"/>
          <w:szCs w:val="22"/>
        </w:rPr>
      </w:pPr>
      <w:bookmarkStart w:id="6" w:name="_Hlk77105448"/>
      <w:r w:rsidRPr="00977616">
        <w:rPr>
          <w:rFonts w:ascii="Calibri" w:hAnsi="Calibri" w:cs="Arial"/>
          <w:color w:val="000000" w:themeColor="text1"/>
          <w:sz w:val="22"/>
          <w:szCs w:val="22"/>
        </w:rPr>
        <w:t>It is evident that financially</w:t>
      </w:r>
      <w:r>
        <w:rPr>
          <w:rFonts w:ascii="Calibri" w:hAnsi="Calibri" w:cs="Arial"/>
          <w:color w:val="000000" w:themeColor="text1"/>
          <w:sz w:val="22"/>
          <w:szCs w:val="22"/>
        </w:rPr>
        <w:t xml:space="preserve"> </w:t>
      </w:r>
      <w:r w:rsidRPr="00977616">
        <w:rPr>
          <w:rFonts w:ascii="Calibri" w:hAnsi="Calibri" w:cs="Arial"/>
          <w:color w:val="000000" w:themeColor="text1"/>
          <w:sz w:val="22"/>
          <w:szCs w:val="22"/>
        </w:rPr>
        <w:t xml:space="preserve">settled contracts would not be in focus of such accountability levels. This is because </w:t>
      </w:r>
      <w:proofErr w:type="gramStart"/>
      <w:r w:rsidRPr="00977616">
        <w:rPr>
          <w:rFonts w:ascii="Calibri" w:hAnsi="Calibri" w:cs="Arial"/>
          <w:color w:val="000000" w:themeColor="text1"/>
          <w:sz w:val="22"/>
          <w:szCs w:val="22"/>
        </w:rPr>
        <w:t>in order to</w:t>
      </w:r>
      <w:proofErr w:type="gramEnd"/>
      <w:r w:rsidRPr="00977616">
        <w:rPr>
          <w:rFonts w:ascii="Calibri" w:hAnsi="Calibri" w:cs="Arial"/>
          <w:color w:val="000000" w:themeColor="text1"/>
          <w:sz w:val="22"/>
          <w:szCs w:val="22"/>
        </w:rPr>
        <w:t xml:space="preserve"> corner or squeeze a financially</w:t>
      </w:r>
      <w:r>
        <w:rPr>
          <w:rFonts w:ascii="Calibri" w:hAnsi="Calibri" w:cs="Arial"/>
          <w:color w:val="000000" w:themeColor="text1"/>
          <w:sz w:val="22"/>
          <w:szCs w:val="22"/>
        </w:rPr>
        <w:t xml:space="preserve"> </w:t>
      </w:r>
      <w:r w:rsidRPr="00977616">
        <w:rPr>
          <w:rFonts w:ascii="Calibri" w:hAnsi="Calibri" w:cs="Arial"/>
          <w:color w:val="000000" w:themeColor="text1"/>
          <w:sz w:val="22"/>
          <w:szCs w:val="22"/>
        </w:rPr>
        <w:t xml:space="preserve">settled contract, one has to be able to manipulate </w:t>
      </w:r>
      <w:r w:rsidRPr="00977616">
        <w:rPr>
          <w:rFonts w:ascii="Calibri" w:hAnsi="Calibri" w:cs="Arial"/>
          <w:color w:val="000000" w:themeColor="text1"/>
          <w:sz w:val="22"/>
          <w:szCs w:val="22"/>
        </w:rPr>
        <w:lastRenderedPageBreak/>
        <w:t xml:space="preserve">the underlying reference price or index. As such indices in Europe are sufficiently robust, it is highly unlikely </w:t>
      </w:r>
      <w:r>
        <w:rPr>
          <w:rFonts w:ascii="Calibri" w:hAnsi="Calibri" w:cs="Arial"/>
          <w:color w:val="000000" w:themeColor="text1"/>
          <w:sz w:val="22"/>
          <w:szCs w:val="22"/>
        </w:rPr>
        <w:t xml:space="preserve">that </w:t>
      </w:r>
      <w:r w:rsidRPr="00977616">
        <w:rPr>
          <w:rFonts w:ascii="Calibri" w:hAnsi="Calibri" w:cs="Arial"/>
          <w:color w:val="000000" w:themeColor="text1"/>
          <w:sz w:val="22"/>
          <w:szCs w:val="22"/>
        </w:rPr>
        <w:t>market squeezes would ever occur in financially</w:t>
      </w:r>
      <w:r>
        <w:rPr>
          <w:rFonts w:ascii="Calibri" w:hAnsi="Calibri" w:cs="Arial"/>
          <w:color w:val="000000" w:themeColor="text1"/>
          <w:sz w:val="22"/>
          <w:szCs w:val="22"/>
        </w:rPr>
        <w:t xml:space="preserve"> </w:t>
      </w:r>
      <w:r w:rsidRPr="00977616">
        <w:rPr>
          <w:rFonts w:ascii="Calibri" w:hAnsi="Calibri" w:cs="Arial"/>
          <w:color w:val="000000" w:themeColor="text1"/>
          <w:sz w:val="22"/>
          <w:szCs w:val="22"/>
        </w:rPr>
        <w:t xml:space="preserve">settled contracts. </w:t>
      </w:r>
    </w:p>
    <w:bookmarkEnd w:id="6"/>
    <w:p w14:paraId="56E8C95E" w14:textId="77777777" w:rsidR="00666615" w:rsidRPr="00977616" w:rsidRDefault="00666615" w:rsidP="00F64E30">
      <w:pPr>
        <w:pStyle w:val="NormalWeb"/>
        <w:shd w:val="clear" w:color="auto" w:fill="F2F2F2" w:themeFill="background1" w:themeFillShade="F2"/>
        <w:ind w:left="-59"/>
        <w:rPr>
          <w:rFonts w:ascii="Calibri" w:hAnsi="Calibri" w:cs="Arial"/>
          <w:color w:val="000000" w:themeColor="text1"/>
          <w:sz w:val="22"/>
          <w:szCs w:val="22"/>
        </w:rPr>
      </w:pPr>
      <w:r w:rsidRPr="00977616">
        <w:rPr>
          <w:rFonts w:ascii="Calibri" w:hAnsi="Calibri" w:cs="Arial"/>
          <w:color w:val="000000" w:themeColor="text1"/>
          <w:sz w:val="22"/>
          <w:szCs w:val="22"/>
        </w:rPr>
        <w:t>However, many</w:t>
      </w:r>
      <w:r>
        <w:rPr>
          <w:rFonts w:ascii="Calibri" w:hAnsi="Calibri" w:cs="Arial"/>
          <w:color w:val="000000" w:themeColor="text1"/>
          <w:sz w:val="22"/>
          <w:szCs w:val="22"/>
        </w:rPr>
        <w:t xml:space="preserve"> more</w:t>
      </w:r>
      <w:r w:rsidRPr="00977616">
        <w:rPr>
          <w:rFonts w:ascii="Calibri" w:hAnsi="Calibri" w:cs="Arial"/>
          <w:color w:val="000000" w:themeColor="text1"/>
          <w:sz w:val="22"/>
          <w:szCs w:val="22"/>
        </w:rPr>
        <w:t xml:space="preserve"> parameters are </w:t>
      </w:r>
      <w:bookmarkStart w:id="7" w:name="_Hlk77105480"/>
      <w:r w:rsidRPr="00977616">
        <w:rPr>
          <w:rFonts w:ascii="Calibri" w:hAnsi="Calibri" w:cs="Arial"/>
          <w:color w:val="000000" w:themeColor="text1"/>
          <w:sz w:val="22"/>
          <w:szCs w:val="22"/>
        </w:rPr>
        <w:t xml:space="preserve">important </w:t>
      </w:r>
      <w:r>
        <w:rPr>
          <w:rFonts w:ascii="Calibri" w:hAnsi="Calibri" w:cs="Arial"/>
          <w:color w:val="000000" w:themeColor="text1"/>
          <w:sz w:val="22"/>
          <w:szCs w:val="22"/>
        </w:rPr>
        <w:t>for assessing</w:t>
      </w:r>
      <w:r w:rsidRPr="00977616">
        <w:rPr>
          <w:rFonts w:ascii="Calibri" w:hAnsi="Calibri" w:cs="Arial"/>
          <w:color w:val="000000" w:themeColor="text1"/>
          <w:sz w:val="22"/>
          <w:szCs w:val="22"/>
        </w:rPr>
        <w:t xml:space="preserve"> whether an accountability level </w:t>
      </w:r>
      <w:r>
        <w:rPr>
          <w:rFonts w:ascii="Calibri" w:hAnsi="Calibri" w:cs="Arial"/>
          <w:color w:val="000000" w:themeColor="text1"/>
          <w:sz w:val="22"/>
          <w:szCs w:val="22"/>
        </w:rPr>
        <w:t xml:space="preserve">for a commodity derivative contract </w:t>
      </w:r>
      <w:r w:rsidRPr="00977616">
        <w:rPr>
          <w:rFonts w:ascii="Calibri" w:hAnsi="Calibri" w:cs="Arial"/>
          <w:color w:val="000000" w:themeColor="text1"/>
          <w:sz w:val="22"/>
          <w:szCs w:val="22"/>
        </w:rPr>
        <w:t>would be appropriate and meaningful for market surveillance purposes</w:t>
      </w:r>
      <w:bookmarkEnd w:id="7"/>
      <w:r w:rsidRPr="00977616">
        <w:rPr>
          <w:rFonts w:ascii="Calibri" w:hAnsi="Calibri" w:cs="Arial"/>
          <w:color w:val="000000" w:themeColor="text1"/>
          <w:sz w:val="22"/>
          <w:szCs w:val="22"/>
        </w:rPr>
        <w:t xml:space="preserve">. </w:t>
      </w:r>
      <w:bookmarkStart w:id="8" w:name="_Hlk77105529"/>
      <w:r w:rsidRPr="00977616">
        <w:rPr>
          <w:rFonts w:ascii="Calibri" w:hAnsi="Calibri" w:cs="Arial"/>
          <w:color w:val="000000" w:themeColor="text1"/>
          <w:sz w:val="22"/>
          <w:szCs w:val="22"/>
        </w:rPr>
        <w:t xml:space="preserve">Other parameters to be considered </w:t>
      </w:r>
      <w:r>
        <w:rPr>
          <w:rFonts w:ascii="Calibri" w:hAnsi="Calibri" w:cs="Arial"/>
          <w:color w:val="000000" w:themeColor="text1"/>
          <w:sz w:val="22"/>
          <w:szCs w:val="22"/>
        </w:rPr>
        <w:t>include</w:t>
      </w:r>
      <w:r w:rsidRPr="00977616">
        <w:rPr>
          <w:rFonts w:ascii="Calibri" w:hAnsi="Calibri" w:cs="Arial"/>
          <w:color w:val="000000" w:themeColor="text1"/>
          <w:sz w:val="22"/>
          <w:szCs w:val="22"/>
        </w:rPr>
        <w:t xml:space="preserve"> the amount of OTC trading versus on-exchange trading, </w:t>
      </w:r>
      <w:r>
        <w:rPr>
          <w:rFonts w:ascii="Calibri" w:hAnsi="Calibri" w:cs="Arial"/>
          <w:color w:val="000000" w:themeColor="text1"/>
          <w:sz w:val="22"/>
          <w:szCs w:val="22"/>
        </w:rPr>
        <w:t>the</w:t>
      </w:r>
      <w:r w:rsidRPr="00977616">
        <w:rPr>
          <w:rFonts w:ascii="Calibri" w:hAnsi="Calibri" w:cs="Arial"/>
          <w:color w:val="000000" w:themeColor="text1"/>
          <w:sz w:val="22"/>
          <w:szCs w:val="22"/>
        </w:rPr>
        <w:t xml:space="preserve"> liquidity established in the respective futures contract, whether there are any potential constraints in the delivery capacity (</w:t>
      </w:r>
      <w:proofErr w:type="gramStart"/>
      <w:r w:rsidRPr="00977616">
        <w:rPr>
          <w:rFonts w:ascii="Calibri" w:hAnsi="Calibri" w:cs="Arial"/>
          <w:color w:val="000000" w:themeColor="text1"/>
          <w:sz w:val="22"/>
          <w:szCs w:val="22"/>
        </w:rPr>
        <w:t>i.e.</w:t>
      </w:r>
      <w:proofErr w:type="gramEnd"/>
      <w:r w:rsidRPr="00977616">
        <w:rPr>
          <w:rFonts w:ascii="Calibri" w:hAnsi="Calibri" w:cs="Arial"/>
          <w:color w:val="000000" w:themeColor="text1"/>
          <w:sz w:val="22"/>
          <w:szCs w:val="22"/>
        </w:rPr>
        <w:t xml:space="preserve"> the relative size of the deliverable supply) and whether a futures contract is price forming or its pricing is closely linked to a benchmark futures contract.</w:t>
      </w:r>
    </w:p>
    <w:bookmarkEnd w:id="8"/>
    <w:p w14:paraId="3B8205FF" w14:textId="77777777" w:rsidR="00666615" w:rsidRPr="00977616" w:rsidRDefault="00666615" w:rsidP="00F64E30">
      <w:pPr>
        <w:pStyle w:val="NormalWeb"/>
        <w:shd w:val="clear" w:color="auto" w:fill="F2F2F2" w:themeFill="background1" w:themeFillShade="F2"/>
        <w:ind w:left="-59"/>
        <w:jc w:val="both"/>
        <w:rPr>
          <w:rFonts w:ascii="Calibri" w:hAnsi="Calibri" w:cs="Arial"/>
          <w:color w:val="000000" w:themeColor="text1"/>
          <w:sz w:val="22"/>
          <w:szCs w:val="22"/>
        </w:rPr>
      </w:pPr>
      <w:r>
        <w:rPr>
          <w:rFonts w:ascii="Calibri" w:hAnsi="Calibri" w:cs="Arial"/>
          <w:color w:val="000000" w:themeColor="text1"/>
          <w:sz w:val="22"/>
          <w:szCs w:val="22"/>
        </w:rPr>
        <w:t>Furthermore, i</w:t>
      </w:r>
      <w:r w:rsidRPr="00977616">
        <w:rPr>
          <w:rFonts w:ascii="Calibri" w:hAnsi="Calibri" w:cs="Arial"/>
          <w:color w:val="000000" w:themeColor="text1"/>
          <w:sz w:val="22"/>
          <w:szCs w:val="22"/>
        </w:rPr>
        <w:t xml:space="preserve">t is </w:t>
      </w:r>
      <w:r>
        <w:rPr>
          <w:rFonts w:ascii="Calibri" w:hAnsi="Calibri" w:cs="Arial"/>
          <w:color w:val="000000" w:themeColor="text1"/>
          <w:sz w:val="22"/>
          <w:szCs w:val="22"/>
        </w:rPr>
        <w:t>crucial</w:t>
      </w:r>
      <w:r w:rsidRPr="00977616">
        <w:rPr>
          <w:rFonts w:ascii="Calibri" w:hAnsi="Calibri" w:cs="Arial"/>
          <w:color w:val="000000" w:themeColor="text1"/>
          <w:sz w:val="22"/>
          <w:szCs w:val="22"/>
        </w:rPr>
        <w:t xml:space="preserve"> to provide sufficient flexibility for exchange</w:t>
      </w:r>
      <w:r>
        <w:rPr>
          <w:rFonts w:ascii="Calibri" w:hAnsi="Calibri" w:cs="Arial"/>
          <w:color w:val="000000" w:themeColor="text1"/>
          <w:sz w:val="22"/>
          <w:szCs w:val="22"/>
        </w:rPr>
        <w:t>s</w:t>
      </w:r>
      <w:r w:rsidRPr="00977616">
        <w:rPr>
          <w:rFonts w:ascii="Calibri" w:hAnsi="Calibri" w:cs="Arial"/>
          <w:color w:val="000000" w:themeColor="text1"/>
          <w:sz w:val="22"/>
          <w:szCs w:val="22"/>
        </w:rPr>
        <w:t xml:space="preserve"> to apply accountability levels for the appropriate timeframe of a contract. </w:t>
      </w:r>
      <w:bookmarkStart w:id="9" w:name="_Hlk77105963"/>
      <w:r>
        <w:rPr>
          <w:rFonts w:ascii="Calibri" w:hAnsi="Calibri" w:cs="Arial"/>
          <w:color w:val="000000" w:themeColor="text1"/>
          <w:sz w:val="22"/>
          <w:szCs w:val="22"/>
        </w:rPr>
        <w:t>As market cornering only becomes possible a few days</w:t>
      </w:r>
      <w:r w:rsidRPr="00977616">
        <w:rPr>
          <w:rFonts w:ascii="Calibri" w:hAnsi="Calibri" w:cs="Arial"/>
          <w:color w:val="000000" w:themeColor="text1"/>
          <w:sz w:val="22"/>
          <w:szCs w:val="22"/>
        </w:rPr>
        <w:t xml:space="preserve"> before the delivery of a contract, it </w:t>
      </w:r>
      <w:r>
        <w:rPr>
          <w:rFonts w:ascii="Calibri" w:hAnsi="Calibri" w:cs="Arial"/>
          <w:color w:val="000000" w:themeColor="text1"/>
          <w:sz w:val="22"/>
          <w:szCs w:val="22"/>
        </w:rPr>
        <w:t>would</w:t>
      </w:r>
      <w:r w:rsidRPr="00977616">
        <w:rPr>
          <w:rFonts w:ascii="Calibri" w:hAnsi="Calibri" w:cs="Arial"/>
          <w:color w:val="000000" w:themeColor="text1"/>
          <w:sz w:val="22"/>
          <w:szCs w:val="22"/>
        </w:rPr>
        <w:t xml:space="preserve"> not be useful to set an accountability level for months ahead of delivery.</w:t>
      </w:r>
      <w:bookmarkEnd w:id="9"/>
    </w:p>
    <w:p w14:paraId="062CE23B" w14:textId="77777777" w:rsidR="00666615" w:rsidRPr="00977616" w:rsidRDefault="00666615" w:rsidP="00F64E30">
      <w:pPr>
        <w:pStyle w:val="NormalWeb"/>
        <w:shd w:val="clear" w:color="auto" w:fill="F2F2F2" w:themeFill="background1" w:themeFillShade="F2"/>
        <w:ind w:left="-59"/>
        <w:rPr>
          <w:rFonts w:ascii="Calibri" w:hAnsi="Calibri" w:cs="Arial"/>
          <w:color w:val="000000" w:themeColor="text1"/>
          <w:sz w:val="22"/>
          <w:szCs w:val="22"/>
        </w:rPr>
      </w:pPr>
      <w:r w:rsidRPr="00977616">
        <w:rPr>
          <w:rFonts w:ascii="Calibri" w:hAnsi="Calibri" w:cs="Arial"/>
          <w:color w:val="000000" w:themeColor="text1"/>
          <w:sz w:val="22"/>
          <w:szCs w:val="22"/>
        </w:rPr>
        <w:t xml:space="preserve">As the above-mentioned parameters are highly dependent on the characteristics of the market, we believe it is of utmost importance </w:t>
      </w:r>
      <w:r>
        <w:rPr>
          <w:rFonts w:ascii="Calibri" w:hAnsi="Calibri" w:cs="Arial"/>
          <w:color w:val="000000" w:themeColor="text1"/>
          <w:sz w:val="22"/>
          <w:szCs w:val="22"/>
        </w:rPr>
        <w:t xml:space="preserve">that </w:t>
      </w:r>
      <w:r w:rsidRPr="00977616">
        <w:rPr>
          <w:rFonts w:ascii="Calibri" w:hAnsi="Calibri" w:cs="Arial"/>
          <w:color w:val="000000" w:themeColor="text1"/>
          <w:sz w:val="22"/>
          <w:szCs w:val="22"/>
        </w:rPr>
        <w:t>trading venues</w:t>
      </w:r>
      <w:r>
        <w:rPr>
          <w:rFonts w:ascii="Calibri" w:hAnsi="Calibri" w:cs="Arial"/>
          <w:color w:val="000000" w:themeColor="text1"/>
          <w:sz w:val="22"/>
          <w:szCs w:val="22"/>
        </w:rPr>
        <w:t xml:space="preserve"> are given</w:t>
      </w:r>
      <w:r w:rsidRPr="00977616">
        <w:rPr>
          <w:rFonts w:ascii="Calibri" w:hAnsi="Calibri" w:cs="Arial"/>
          <w:color w:val="000000" w:themeColor="text1"/>
          <w:sz w:val="22"/>
          <w:szCs w:val="22"/>
        </w:rPr>
        <w:t xml:space="preserve"> the discretion to set the accountability levels in a manner they deem appropriate. </w:t>
      </w:r>
    </w:p>
    <w:p w14:paraId="02EF95B4" w14:textId="77777777" w:rsidR="00666615" w:rsidRPr="00977616" w:rsidRDefault="00666615" w:rsidP="00F64E30">
      <w:pPr>
        <w:pStyle w:val="NormalWeb"/>
        <w:shd w:val="clear" w:color="auto" w:fill="F2F2F2" w:themeFill="background1" w:themeFillShade="F2"/>
        <w:ind w:left="-59"/>
        <w:jc w:val="both"/>
        <w:rPr>
          <w:rFonts w:ascii="Calibri" w:hAnsi="Calibri" w:cs="Arial"/>
          <w:color w:val="000000" w:themeColor="text1"/>
          <w:sz w:val="22"/>
          <w:szCs w:val="22"/>
        </w:rPr>
      </w:pPr>
      <w:r>
        <w:rPr>
          <w:rFonts w:ascii="Calibri" w:hAnsi="Calibri" w:cs="Arial"/>
          <w:color w:val="000000" w:themeColor="text1"/>
          <w:sz w:val="22"/>
          <w:szCs w:val="22"/>
        </w:rPr>
        <w:t>Moreover,</w:t>
      </w:r>
      <w:r w:rsidRPr="00977616">
        <w:rPr>
          <w:rFonts w:ascii="Calibri" w:hAnsi="Calibri" w:cs="Arial"/>
          <w:color w:val="000000" w:themeColor="text1"/>
          <w:sz w:val="22"/>
          <w:szCs w:val="22"/>
        </w:rPr>
        <w:t xml:space="preserve"> we </w:t>
      </w:r>
      <w:r>
        <w:rPr>
          <w:rFonts w:ascii="Calibri" w:hAnsi="Calibri" w:cs="Arial"/>
          <w:color w:val="000000" w:themeColor="text1"/>
          <w:sz w:val="22"/>
          <w:szCs w:val="22"/>
        </w:rPr>
        <w:t>consider</w:t>
      </w:r>
      <w:r w:rsidRPr="00977616">
        <w:rPr>
          <w:rFonts w:ascii="Calibri" w:hAnsi="Calibri" w:cs="Arial"/>
          <w:color w:val="000000" w:themeColor="text1"/>
          <w:sz w:val="22"/>
          <w:szCs w:val="22"/>
        </w:rPr>
        <w:t xml:space="preserve"> that such discretion would also be better aligned with the</w:t>
      </w:r>
      <w:r>
        <w:rPr>
          <w:rFonts w:ascii="Calibri" w:hAnsi="Calibri" w:cs="Arial"/>
          <w:color w:val="000000" w:themeColor="text1"/>
          <w:sz w:val="22"/>
          <w:szCs w:val="22"/>
        </w:rPr>
        <w:t xml:space="preserve"> CFTC</w:t>
      </w:r>
      <w:r w:rsidRPr="00977616">
        <w:rPr>
          <w:rFonts w:ascii="Calibri" w:hAnsi="Calibri" w:cs="Arial"/>
          <w:color w:val="000000" w:themeColor="text1"/>
          <w:sz w:val="22"/>
          <w:szCs w:val="22"/>
        </w:rPr>
        <w:t xml:space="preserve"> </w:t>
      </w:r>
      <w:r>
        <w:rPr>
          <w:rFonts w:ascii="Calibri" w:hAnsi="Calibri" w:cs="Arial"/>
          <w:color w:val="000000" w:themeColor="text1"/>
          <w:sz w:val="22"/>
          <w:szCs w:val="22"/>
        </w:rPr>
        <w:t xml:space="preserve">position </w:t>
      </w:r>
      <w:r w:rsidRPr="00977616">
        <w:rPr>
          <w:rFonts w:ascii="Calibri" w:hAnsi="Calibri" w:cs="Arial"/>
          <w:color w:val="000000" w:themeColor="text1"/>
          <w:sz w:val="22"/>
          <w:szCs w:val="22"/>
        </w:rPr>
        <w:t xml:space="preserve">management regime </w:t>
      </w:r>
      <w:r>
        <w:rPr>
          <w:rFonts w:ascii="Calibri" w:hAnsi="Calibri" w:cs="Arial"/>
          <w:color w:val="000000" w:themeColor="text1"/>
          <w:sz w:val="22"/>
          <w:szCs w:val="22"/>
        </w:rPr>
        <w:t>and the position management controls stipulated in</w:t>
      </w:r>
      <w:r w:rsidRPr="00977616">
        <w:rPr>
          <w:rFonts w:ascii="Calibri" w:hAnsi="Calibri" w:cs="Arial"/>
          <w:color w:val="000000" w:themeColor="text1"/>
          <w:sz w:val="22"/>
          <w:szCs w:val="22"/>
        </w:rPr>
        <w:t xml:space="preserve"> Art. 57 par</w:t>
      </w:r>
      <w:r>
        <w:rPr>
          <w:rFonts w:ascii="Calibri" w:hAnsi="Calibri" w:cs="Arial"/>
          <w:color w:val="000000" w:themeColor="text1"/>
          <w:sz w:val="22"/>
          <w:szCs w:val="22"/>
        </w:rPr>
        <w:t>a</w:t>
      </w:r>
      <w:r w:rsidRPr="00977616">
        <w:rPr>
          <w:rFonts w:ascii="Calibri" w:hAnsi="Calibri" w:cs="Arial"/>
          <w:color w:val="000000" w:themeColor="text1"/>
          <w:sz w:val="22"/>
          <w:szCs w:val="22"/>
        </w:rPr>
        <w:t xml:space="preserve">. 8 </w:t>
      </w:r>
      <w:r>
        <w:rPr>
          <w:rFonts w:ascii="Calibri" w:hAnsi="Calibri" w:cs="Arial"/>
          <w:color w:val="000000" w:themeColor="text1"/>
          <w:sz w:val="22"/>
          <w:szCs w:val="22"/>
        </w:rPr>
        <w:t xml:space="preserve">of MiFID II </w:t>
      </w:r>
      <w:r w:rsidRPr="00977616">
        <w:rPr>
          <w:rFonts w:ascii="Calibri" w:hAnsi="Calibri" w:cs="Arial"/>
          <w:color w:val="000000" w:themeColor="text1"/>
          <w:sz w:val="22"/>
          <w:szCs w:val="22"/>
        </w:rPr>
        <w:t xml:space="preserve">which </w:t>
      </w:r>
      <w:r>
        <w:rPr>
          <w:rFonts w:ascii="Calibri" w:hAnsi="Calibri" w:cs="Arial"/>
          <w:color w:val="000000" w:themeColor="text1"/>
          <w:sz w:val="22"/>
          <w:szCs w:val="22"/>
        </w:rPr>
        <w:t>entrusts</w:t>
      </w:r>
      <w:r w:rsidRPr="00977616">
        <w:rPr>
          <w:rFonts w:ascii="Calibri" w:hAnsi="Calibri" w:cs="Arial"/>
          <w:color w:val="000000" w:themeColor="text1"/>
          <w:sz w:val="22"/>
          <w:szCs w:val="22"/>
        </w:rPr>
        <w:t xml:space="preserve"> exchanges </w:t>
      </w:r>
      <w:r>
        <w:rPr>
          <w:rFonts w:ascii="Calibri" w:hAnsi="Calibri" w:cs="Arial"/>
          <w:color w:val="000000" w:themeColor="text1"/>
          <w:sz w:val="22"/>
          <w:szCs w:val="22"/>
        </w:rPr>
        <w:t xml:space="preserve">with </w:t>
      </w:r>
      <w:r w:rsidRPr="00977616">
        <w:rPr>
          <w:rFonts w:ascii="Calibri" w:hAnsi="Calibri" w:cs="Arial"/>
          <w:color w:val="000000" w:themeColor="text1"/>
          <w:sz w:val="22"/>
          <w:szCs w:val="22"/>
        </w:rPr>
        <w:t xml:space="preserve">powers rather than imposing </w:t>
      </w:r>
      <w:r>
        <w:rPr>
          <w:rFonts w:ascii="Calibri" w:hAnsi="Calibri" w:cs="Arial"/>
          <w:color w:val="000000" w:themeColor="text1"/>
          <w:sz w:val="22"/>
          <w:szCs w:val="22"/>
        </w:rPr>
        <w:t>highly prescriptive</w:t>
      </w:r>
      <w:r w:rsidRPr="00977616">
        <w:rPr>
          <w:rFonts w:ascii="Calibri" w:hAnsi="Calibri" w:cs="Arial"/>
          <w:color w:val="000000" w:themeColor="text1"/>
          <w:sz w:val="22"/>
          <w:szCs w:val="22"/>
        </w:rPr>
        <w:t xml:space="preserve"> requirements on them.</w:t>
      </w:r>
    </w:p>
    <w:p w14:paraId="3C4ECA92" w14:textId="77777777" w:rsidR="00666615" w:rsidRDefault="00666615" w:rsidP="00F64E30">
      <w:pPr>
        <w:pStyle w:val="NormalWeb"/>
        <w:shd w:val="clear" w:color="auto" w:fill="F2F2F2" w:themeFill="background1" w:themeFillShade="F2"/>
        <w:ind w:left="-59"/>
        <w:jc w:val="both"/>
        <w:rPr>
          <w:rFonts w:ascii="Calibri" w:hAnsi="Calibri" w:cs="Arial"/>
          <w:color w:val="000000" w:themeColor="text1"/>
          <w:sz w:val="22"/>
          <w:szCs w:val="22"/>
        </w:rPr>
      </w:pPr>
      <w:r w:rsidRPr="00977616">
        <w:rPr>
          <w:rFonts w:ascii="Calibri" w:hAnsi="Calibri" w:cs="Arial"/>
          <w:color w:val="000000" w:themeColor="text1"/>
          <w:sz w:val="22"/>
          <w:szCs w:val="22"/>
        </w:rPr>
        <w:t>In addition, we believe that these accountability levels should remain confidential and not be made public as these are internal controls used by the exchange for market surveillance purposes</w:t>
      </w:r>
      <w:r w:rsidRPr="009B1DFF">
        <w:rPr>
          <w:rFonts w:ascii="Calibri" w:hAnsi="Calibri" w:cs="Arial"/>
          <w:color w:val="000000" w:themeColor="text1"/>
          <w:sz w:val="22"/>
          <w:szCs w:val="22"/>
        </w:rPr>
        <w:t>.</w:t>
      </w:r>
    </w:p>
    <w:p w14:paraId="5F5441E4" w14:textId="77777777" w:rsidR="00666615" w:rsidRDefault="00666615" w:rsidP="001F23C9">
      <w:pPr>
        <w:rPr>
          <w:rFonts w:ascii="Calibri" w:hAnsi="Calibri" w:cs="Arial"/>
          <w:color w:val="000000" w:themeColor="text1"/>
          <w:sz w:val="22"/>
          <w:szCs w:val="22"/>
        </w:rPr>
      </w:pPr>
      <w:r w:rsidRPr="00977616">
        <w:rPr>
          <w:rFonts w:ascii="Calibri" w:hAnsi="Calibri" w:cs="Arial"/>
          <w:color w:val="000000" w:themeColor="text1"/>
          <w:sz w:val="22"/>
          <w:szCs w:val="22"/>
        </w:rPr>
        <w:t xml:space="preserve">As </w:t>
      </w:r>
      <w:r>
        <w:rPr>
          <w:rFonts w:ascii="Calibri" w:hAnsi="Calibri" w:cs="Arial"/>
          <w:color w:val="000000" w:themeColor="text1"/>
          <w:sz w:val="22"/>
          <w:szCs w:val="22"/>
        </w:rPr>
        <w:t>also stated</w:t>
      </w:r>
      <w:r w:rsidRPr="00977616">
        <w:rPr>
          <w:rFonts w:ascii="Calibri" w:hAnsi="Calibri" w:cs="Arial"/>
          <w:color w:val="000000" w:themeColor="text1"/>
          <w:sz w:val="22"/>
          <w:szCs w:val="22"/>
        </w:rPr>
        <w:t xml:space="preserve"> in our </w:t>
      </w:r>
      <w:r>
        <w:rPr>
          <w:rFonts w:ascii="Calibri" w:hAnsi="Calibri" w:cs="Arial"/>
          <w:color w:val="000000" w:themeColor="text1"/>
          <w:sz w:val="22"/>
          <w:szCs w:val="22"/>
        </w:rPr>
        <w:t>response</w:t>
      </w:r>
      <w:r w:rsidRPr="00977616">
        <w:rPr>
          <w:rFonts w:ascii="Calibri" w:hAnsi="Calibri" w:cs="Arial"/>
          <w:color w:val="000000" w:themeColor="text1"/>
          <w:sz w:val="22"/>
          <w:szCs w:val="22"/>
        </w:rPr>
        <w:t xml:space="preserve"> to Q19, we agree </w:t>
      </w:r>
      <w:r>
        <w:rPr>
          <w:rFonts w:ascii="Calibri" w:hAnsi="Calibri" w:cs="Arial"/>
          <w:color w:val="000000" w:themeColor="text1"/>
          <w:sz w:val="22"/>
          <w:szCs w:val="22"/>
        </w:rPr>
        <w:t xml:space="preserve">that </w:t>
      </w:r>
      <w:r w:rsidRPr="00977616">
        <w:rPr>
          <w:rFonts w:ascii="Calibri" w:hAnsi="Calibri" w:cs="Arial"/>
          <w:color w:val="000000" w:themeColor="text1"/>
          <w:sz w:val="22"/>
          <w:szCs w:val="22"/>
        </w:rPr>
        <w:t xml:space="preserve">the methodology </w:t>
      </w:r>
      <w:r>
        <w:rPr>
          <w:rFonts w:ascii="Calibri" w:hAnsi="Calibri" w:cs="Arial"/>
          <w:color w:val="000000" w:themeColor="text1"/>
          <w:sz w:val="22"/>
          <w:szCs w:val="22"/>
        </w:rPr>
        <w:t>should</w:t>
      </w:r>
      <w:r w:rsidRPr="00977616">
        <w:rPr>
          <w:rFonts w:ascii="Calibri" w:hAnsi="Calibri" w:cs="Arial"/>
          <w:color w:val="000000" w:themeColor="text1"/>
          <w:sz w:val="22"/>
          <w:szCs w:val="22"/>
        </w:rPr>
        <w:t xml:space="preserve"> be reviewed by the competent authority as proposed by ESMA in Article 3 of the draft RTS.</w:t>
      </w:r>
    </w:p>
    <w:permEnd w:id="1933463559"/>
    <w:p w14:paraId="7F003725" w14:textId="270AAB24"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_17&gt;</w:t>
      </w:r>
    </w:p>
    <w:p w14:paraId="465090D5" w14:textId="77777777" w:rsidR="001F23C9" w:rsidRDefault="001F23C9" w:rsidP="001F23C9">
      <w:pPr>
        <w:rPr>
          <w:rFonts w:ascii="Arial" w:hAnsi="Arial" w:cs="Arial"/>
        </w:rPr>
      </w:pPr>
    </w:p>
    <w:p w14:paraId="1BD1281A" w14:textId="3F93B6EA" w:rsidR="001F23C9" w:rsidRPr="00175CFB" w:rsidRDefault="001F23C9" w:rsidP="001F23C9">
      <w:pPr>
        <w:pStyle w:val="Questionstyle"/>
        <w:numPr>
          <w:ilvl w:val="0"/>
          <w:numId w:val="9"/>
        </w:numPr>
        <w:spacing w:after="250" w:line="276" w:lineRule="auto"/>
      </w:pPr>
      <w:r>
        <w:t>:</w:t>
      </w:r>
      <w:r w:rsidRPr="000F104A">
        <w:t xml:space="preserve"> </w:t>
      </w:r>
      <w:r w:rsidR="00EC15D5" w:rsidRPr="00EC15D5">
        <w:t>In your view, how should accountability levels be set for the spot month and the other months? Based on which methodology or criteria? Should all types of positions count towards the accountability levels?</w:t>
      </w:r>
    </w:p>
    <w:p w14:paraId="41FC366D" w14:textId="7942F802"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_18&gt;</w:t>
      </w:r>
    </w:p>
    <w:p w14:paraId="71E3E48C" w14:textId="77777777" w:rsidR="00666615" w:rsidRPr="00C11D1E" w:rsidRDefault="00666615" w:rsidP="00F64E30">
      <w:pPr>
        <w:pStyle w:val="NormalWeb"/>
        <w:shd w:val="clear" w:color="auto" w:fill="F2F2F2" w:themeFill="background1" w:themeFillShade="F2"/>
        <w:ind w:left="-59"/>
        <w:jc w:val="both"/>
        <w:rPr>
          <w:rFonts w:ascii="Calibri" w:hAnsi="Calibri" w:cs="Arial"/>
          <w:color w:val="000000" w:themeColor="text1"/>
          <w:sz w:val="22"/>
          <w:szCs w:val="22"/>
        </w:rPr>
      </w:pPr>
      <w:permStart w:id="1388730375" w:edGrp="everyone"/>
      <w:r w:rsidRPr="00C11D1E">
        <w:rPr>
          <w:rFonts w:ascii="Calibri" w:hAnsi="Calibri" w:cs="Arial"/>
          <w:color w:val="000000" w:themeColor="text1"/>
          <w:sz w:val="22"/>
          <w:szCs w:val="22"/>
        </w:rPr>
        <w:t>As explained in more detail</w:t>
      </w:r>
      <w:r>
        <w:rPr>
          <w:rFonts w:ascii="Calibri" w:hAnsi="Calibri" w:cs="Arial"/>
          <w:color w:val="000000" w:themeColor="text1"/>
          <w:sz w:val="22"/>
          <w:szCs w:val="22"/>
        </w:rPr>
        <w:t xml:space="preserve"> </w:t>
      </w:r>
      <w:r w:rsidRPr="00C11D1E">
        <w:rPr>
          <w:rFonts w:ascii="Calibri" w:hAnsi="Calibri" w:cs="Arial"/>
          <w:color w:val="000000" w:themeColor="text1"/>
          <w:sz w:val="22"/>
          <w:szCs w:val="22"/>
        </w:rPr>
        <w:t xml:space="preserve">in our introductory statement as well as our response to Q17, Europex strongly warns against the introduction of a harmonised methodology for setting accountability levels by means of ESMA guidance, as it is unlikely to provide for sufficient granularity to be suitable for the broad variety of products trading venues offer for trading. </w:t>
      </w:r>
    </w:p>
    <w:p w14:paraId="3B4FFE9E" w14:textId="77777777" w:rsidR="00666615" w:rsidRDefault="00666615" w:rsidP="001F23C9">
      <w:pPr>
        <w:rPr>
          <w:rFonts w:ascii="Calibri" w:hAnsi="Calibri" w:cs="Arial"/>
          <w:color w:val="000000" w:themeColor="text1"/>
          <w:sz w:val="22"/>
          <w:szCs w:val="22"/>
        </w:rPr>
      </w:pPr>
      <w:r w:rsidRPr="00C11D1E">
        <w:rPr>
          <w:rFonts w:ascii="Calibri" w:hAnsi="Calibri" w:cs="Arial"/>
          <w:color w:val="000000" w:themeColor="text1"/>
          <w:sz w:val="22"/>
          <w:szCs w:val="22"/>
        </w:rPr>
        <w:t>Europex does note that as market cornering only becomes possible a few days before the delivery of a contract, the timeframe for accountability levels should be set accordingly</w:t>
      </w:r>
      <w:r w:rsidRPr="0049640A">
        <w:rPr>
          <w:rFonts w:ascii="Calibri" w:hAnsi="Calibri" w:cs="Arial"/>
          <w:color w:val="000000" w:themeColor="text1"/>
          <w:sz w:val="22"/>
          <w:szCs w:val="22"/>
        </w:rPr>
        <w:t xml:space="preserve">. </w:t>
      </w:r>
      <w:r w:rsidRPr="00C11D1E">
        <w:rPr>
          <w:rFonts w:ascii="Calibri" w:hAnsi="Calibri" w:cs="Arial"/>
          <w:color w:val="000000" w:themeColor="text1"/>
          <w:sz w:val="22"/>
          <w:szCs w:val="22"/>
        </w:rPr>
        <w:t>In addition, as</w:t>
      </w:r>
      <w:r>
        <w:rPr>
          <w:rFonts w:ascii="Calibri" w:hAnsi="Calibri" w:cs="Arial"/>
          <w:color w:val="000000" w:themeColor="text1"/>
          <w:sz w:val="22"/>
          <w:szCs w:val="22"/>
        </w:rPr>
        <w:t xml:space="preserve"> </w:t>
      </w:r>
      <w:r w:rsidRPr="0049640A">
        <w:rPr>
          <w:rFonts w:ascii="Calibri" w:hAnsi="Calibri" w:cs="Arial"/>
          <w:color w:val="000000" w:themeColor="text1"/>
          <w:sz w:val="22"/>
          <w:szCs w:val="22"/>
        </w:rPr>
        <w:t>explained</w:t>
      </w:r>
      <w:r w:rsidRPr="00C11D1E">
        <w:rPr>
          <w:rFonts w:ascii="Calibri" w:hAnsi="Calibri" w:cs="Arial"/>
          <w:color w:val="000000" w:themeColor="text1"/>
          <w:sz w:val="22"/>
          <w:szCs w:val="22"/>
        </w:rPr>
        <w:t xml:space="preserve"> in our responses to Q9 and Q13</w:t>
      </w:r>
      <w:r w:rsidRPr="009B1DFF">
        <w:rPr>
          <w:rFonts w:ascii="Calibri" w:hAnsi="Calibri" w:cs="Arial"/>
          <w:color w:val="000000" w:themeColor="text1"/>
          <w:sz w:val="22"/>
          <w:szCs w:val="22"/>
        </w:rPr>
        <w:t>, the only relevant parameter to</w:t>
      </w:r>
      <w:r>
        <w:rPr>
          <w:rFonts w:ascii="Calibri" w:hAnsi="Calibri" w:cs="Arial"/>
          <w:color w:val="000000" w:themeColor="text1"/>
          <w:sz w:val="22"/>
          <w:szCs w:val="22"/>
        </w:rPr>
        <w:t xml:space="preserve"> look at from a market cornering perspective</w:t>
      </w:r>
      <w:r w:rsidRPr="009B1DFF">
        <w:rPr>
          <w:rFonts w:ascii="Calibri" w:hAnsi="Calibri" w:cs="Arial"/>
          <w:color w:val="000000" w:themeColor="text1"/>
          <w:sz w:val="22"/>
          <w:szCs w:val="22"/>
        </w:rPr>
        <w:t xml:space="preserve"> is deliverable supply</w:t>
      </w:r>
      <w:r>
        <w:rPr>
          <w:rFonts w:ascii="Calibri" w:hAnsi="Calibri" w:cs="Arial"/>
          <w:color w:val="000000" w:themeColor="text1"/>
          <w:sz w:val="22"/>
          <w:szCs w:val="22"/>
        </w:rPr>
        <w:t>.</w:t>
      </w:r>
    </w:p>
    <w:permEnd w:id="1388730375"/>
    <w:p w14:paraId="161D58CB" w14:textId="155364D5" w:rsidR="001F23C9" w:rsidRDefault="001F23C9" w:rsidP="001F23C9">
      <w:pPr>
        <w:rPr>
          <w:rFonts w:ascii="Arial" w:hAnsi="Arial" w:cs="Arial"/>
        </w:rPr>
      </w:pPr>
      <w:r>
        <w:rPr>
          <w:rFonts w:ascii="Arial" w:hAnsi="Arial" w:cs="Arial"/>
        </w:rPr>
        <w:t>&lt;ESMA_QUESTION_</w:t>
      </w:r>
      <w:r w:rsidR="006B391B">
        <w:rPr>
          <w:rFonts w:ascii="Arial" w:hAnsi="Arial" w:cs="Arial"/>
        </w:rPr>
        <w:t>CD</w:t>
      </w:r>
      <w:r>
        <w:rPr>
          <w:rFonts w:ascii="Arial" w:hAnsi="Arial" w:cs="Arial"/>
        </w:rPr>
        <w:t>_18&gt;</w:t>
      </w:r>
    </w:p>
    <w:p w14:paraId="7EE42A66" w14:textId="77777777" w:rsidR="001F23C9" w:rsidRDefault="001F23C9" w:rsidP="001F23C9">
      <w:pPr>
        <w:rPr>
          <w:rFonts w:ascii="Arial" w:hAnsi="Arial" w:cs="Arial"/>
        </w:rPr>
      </w:pPr>
    </w:p>
    <w:p w14:paraId="4A21C8B1" w14:textId="28DFFBC5" w:rsidR="00EC15D5" w:rsidRPr="00EC15D5" w:rsidRDefault="001F23C9" w:rsidP="00EC15D5">
      <w:pPr>
        <w:pStyle w:val="Questionstyle"/>
        <w:numPr>
          <w:ilvl w:val="0"/>
          <w:numId w:val="9"/>
        </w:numPr>
        <w:spacing w:after="250" w:line="276" w:lineRule="auto"/>
      </w:pPr>
      <w:r>
        <w:t>:</w:t>
      </w:r>
      <w:r w:rsidRPr="000F104A">
        <w:t xml:space="preserve"> </w:t>
      </w:r>
      <w:r w:rsidR="00EC15D5" w:rsidRPr="00EC15D5">
        <w:t>Do you agree with ESMA’s suggestion to introduce requirements for the review of accountability levels? Do you also agree with ESMA’s proposal regarding reporting requirements to the NCA on accountability levels? If not, please elaborate.</w:t>
      </w:r>
    </w:p>
    <w:p w14:paraId="0D1D11BC" w14:textId="77777777" w:rsidR="00EC15D5" w:rsidRPr="00EC15D5" w:rsidRDefault="00EC15D5" w:rsidP="00EC15D5">
      <w:pPr>
        <w:rPr>
          <w:rFonts w:ascii="Arial" w:hAnsi="Arial" w:cs="Arial"/>
        </w:rPr>
      </w:pPr>
      <w:r w:rsidRPr="00EC15D5">
        <w:rPr>
          <w:rFonts w:ascii="Arial" w:hAnsi="Arial" w:cs="Arial"/>
        </w:rPr>
        <w:lastRenderedPageBreak/>
        <w:t>&lt;ESMA_QUESTION_CD_19&gt;</w:t>
      </w:r>
    </w:p>
    <w:p w14:paraId="3093446D" w14:textId="77777777" w:rsidR="00666615" w:rsidRDefault="00666615" w:rsidP="00EC15D5">
      <w:pPr>
        <w:rPr>
          <w:rFonts w:ascii="Arial" w:hAnsi="Arial" w:cs="Arial"/>
        </w:rPr>
      </w:pPr>
      <w:permStart w:id="1252535276" w:edGrp="everyone"/>
      <w:r>
        <w:rPr>
          <w:rFonts w:ascii="Calibri" w:hAnsi="Calibri" w:cs="Arial"/>
          <w:color w:val="000000" w:themeColor="text1"/>
          <w:sz w:val="22"/>
          <w:szCs w:val="22"/>
        </w:rPr>
        <w:t>Yes, w</w:t>
      </w:r>
      <w:r w:rsidRPr="009B1DFF">
        <w:rPr>
          <w:rFonts w:ascii="Calibri" w:hAnsi="Calibri" w:cs="Arial"/>
          <w:color w:val="000000" w:themeColor="text1"/>
          <w:sz w:val="22"/>
          <w:szCs w:val="22"/>
        </w:rPr>
        <w:t xml:space="preserve">e agree with the </w:t>
      </w:r>
      <w:r>
        <w:rPr>
          <w:rFonts w:ascii="Calibri" w:hAnsi="Calibri" w:cs="Arial"/>
          <w:color w:val="000000" w:themeColor="text1"/>
          <w:sz w:val="22"/>
          <w:szCs w:val="22"/>
        </w:rPr>
        <w:t>suggestion and proposal</w:t>
      </w:r>
      <w:r w:rsidRPr="00EC15D5">
        <w:rPr>
          <w:rFonts w:ascii="Arial" w:hAnsi="Arial" w:cs="Arial"/>
        </w:rPr>
        <w:t xml:space="preserve"> </w:t>
      </w:r>
    </w:p>
    <w:permEnd w:id="1252535276"/>
    <w:p w14:paraId="7AB37724" w14:textId="198C25CF" w:rsidR="00EC15D5" w:rsidRPr="00EC15D5" w:rsidRDefault="00EC15D5" w:rsidP="00EC15D5">
      <w:pPr>
        <w:rPr>
          <w:rFonts w:ascii="Arial" w:hAnsi="Arial" w:cs="Arial"/>
        </w:rPr>
      </w:pPr>
      <w:r w:rsidRPr="00EC15D5">
        <w:rPr>
          <w:rFonts w:ascii="Arial" w:hAnsi="Arial" w:cs="Arial"/>
        </w:rPr>
        <w:t>&lt;ESMA_QUESTION_CD_19&gt;</w:t>
      </w:r>
    </w:p>
    <w:p w14:paraId="2C0C1CF1" w14:textId="77777777" w:rsidR="00EC15D5" w:rsidRDefault="00EC15D5" w:rsidP="00EC15D5">
      <w:pPr>
        <w:pStyle w:val="Questionstyle"/>
        <w:numPr>
          <w:ilvl w:val="0"/>
          <w:numId w:val="0"/>
        </w:numPr>
        <w:spacing w:after="250" w:line="276" w:lineRule="auto"/>
      </w:pPr>
    </w:p>
    <w:p w14:paraId="28FFF90C" w14:textId="7A73FDE8" w:rsidR="00EC15D5" w:rsidRDefault="00EC15D5" w:rsidP="00EC15D5">
      <w:pPr>
        <w:pStyle w:val="Questionstyle"/>
        <w:numPr>
          <w:ilvl w:val="0"/>
          <w:numId w:val="9"/>
        </w:numPr>
        <w:spacing w:after="250" w:line="276" w:lineRule="auto"/>
      </w:pPr>
      <w:r>
        <w:t xml:space="preserve">: </w:t>
      </w:r>
      <w:r w:rsidRPr="00EC15D5">
        <w:t>In your view, what other types of position management controls could be further specified in the draft RTS?</w:t>
      </w:r>
    </w:p>
    <w:p w14:paraId="7F5A0F42" w14:textId="0AFFA951"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20</w:t>
      </w:r>
      <w:r w:rsidRPr="00EC15D5">
        <w:rPr>
          <w:rFonts w:ascii="Arial" w:hAnsi="Arial" w:cs="Arial"/>
        </w:rPr>
        <w:t>&gt;</w:t>
      </w:r>
    </w:p>
    <w:p w14:paraId="783B2CA5" w14:textId="77777777" w:rsidR="00666615" w:rsidRDefault="00666615" w:rsidP="00EC15D5">
      <w:pPr>
        <w:rPr>
          <w:rFonts w:ascii="Calibri" w:hAnsi="Calibri" w:cs="Arial"/>
          <w:color w:val="000000" w:themeColor="text1"/>
          <w:sz w:val="22"/>
          <w:szCs w:val="22"/>
        </w:rPr>
      </w:pPr>
      <w:permStart w:id="133526605" w:edGrp="everyone"/>
      <w:r w:rsidRPr="009B1DFF">
        <w:rPr>
          <w:rFonts w:ascii="Calibri" w:hAnsi="Calibri" w:cs="Arial"/>
          <w:color w:val="000000" w:themeColor="text1"/>
          <w:sz w:val="22"/>
          <w:szCs w:val="22"/>
        </w:rPr>
        <w:t>Please see our introductory statement</w:t>
      </w:r>
      <w:r>
        <w:rPr>
          <w:rFonts w:ascii="Calibri" w:hAnsi="Calibri" w:cs="Arial"/>
          <w:color w:val="000000" w:themeColor="text1"/>
          <w:sz w:val="22"/>
          <w:szCs w:val="22"/>
        </w:rPr>
        <w:t>.</w:t>
      </w:r>
    </w:p>
    <w:permEnd w:id="133526605"/>
    <w:p w14:paraId="0CC67D21" w14:textId="22DFA149" w:rsidR="00EC15D5" w:rsidRDefault="00EC15D5" w:rsidP="00EC15D5">
      <w:pPr>
        <w:rPr>
          <w:rFonts w:ascii="Arial" w:hAnsi="Arial" w:cs="Arial"/>
        </w:rPr>
      </w:pPr>
      <w:r w:rsidRPr="00EC15D5">
        <w:rPr>
          <w:rFonts w:ascii="Arial" w:hAnsi="Arial" w:cs="Arial"/>
        </w:rPr>
        <w:t>&lt;ESMA_QUESTION_CD_</w:t>
      </w:r>
      <w:r>
        <w:rPr>
          <w:rFonts w:ascii="Arial" w:hAnsi="Arial" w:cs="Arial"/>
        </w:rPr>
        <w:t>20</w:t>
      </w:r>
      <w:r w:rsidRPr="00EC15D5">
        <w:rPr>
          <w:rFonts w:ascii="Arial" w:hAnsi="Arial" w:cs="Arial"/>
        </w:rPr>
        <w:t>&gt;</w:t>
      </w:r>
    </w:p>
    <w:p w14:paraId="65667D94" w14:textId="27EC7E65" w:rsidR="00EC15D5" w:rsidRPr="00EC15D5" w:rsidRDefault="00EC15D5" w:rsidP="00EC15D5">
      <w:pPr>
        <w:rPr>
          <w:rFonts w:asciiTheme="minorHAnsi" w:hAnsiTheme="minorHAnsi" w:cstheme="minorHAnsi"/>
        </w:rPr>
      </w:pPr>
    </w:p>
    <w:p w14:paraId="36B9A42F" w14:textId="2AD988F9" w:rsidR="00EC15D5" w:rsidRPr="00EC15D5" w:rsidRDefault="00EC15D5" w:rsidP="00EC15D5">
      <w:pPr>
        <w:rPr>
          <w:rFonts w:asciiTheme="minorHAnsi" w:hAnsiTheme="minorHAnsi" w:cstheme="minorHAnsi"/>
          <w:b/>
          <w:bCs/>
        </w:rPr>
      </w:pPr>
      <w:r w:rsidRPr="00EC15D5">
        <w:rPr>
          <w:rFonts w:asciiTheme="minorHAnsi" w:hAnsiTheme="minorHAnsi" w:cstheme="minorHAnsi"/>
          <w:b/>
          <w:bCs/>
        </w:rPr>
        <w:t>Cost Benefit Analysis</w:t>
      </w:r>
    </w:p>
    <w:p w14:paraId="766888B4" w14:textId="77777777" w:rsidR="00EC15D5" w:rsidRPr="00EC15D5" w:rsidRDefault="00EC15D5" w:rsidP="00EC15D5">
      <w:pPr>
        <w:rPr>
          <w:rFonts w:ascii="Arial" w:hAnsi="Arial" w:cs="Arial"/>
        </w:rPr>
      </w:pPr>
    </w:p>
    <w:p w14:paraId="0535C89F" w14:textId="7B5E2917" w:rsidR="00EC15D5" w:rsidRDefault="00EC15D5" w:rsidP="00EC15D5"/>
    <w:p w14:paraId="40A59261" w14:textId="1578C3A6" w:rsidR="00EC15D5" w:rsidRDefault="00EC15D5" w:rsidP="00EC15D5">
      <w:pPr>
        <w:pStyle w:val="Questionstyle"/>
        <w:numPr>
          <w:ilvl w:val="0"/>
          <w:numId w:val="0"/>
        </w:numPr>
        <w:spacing w:after="250" w:line="276" w:lineRule="auto"/>
        <w:ind w:left="360"/>
      </w:pPr>
      <w:r w:rsidRPr="00EC15D5">
        <w:rPr>
          <w:b/>
          <w:bCs/>
        </w:rPr>
        <w:t>CBA Q1</w:t>
      </w:r>
      <w:r>
        <w:t xml:space="preserve">: </w:t>
      </w:r>
      <w:r w:rsidRPr="00EC15D5">
        <w:t>This first question aims at identifying the category of firm/entity you belong to. Please provide the total notional amount traded in commodity derivatives traded on a trading venue (and EEOTC contracts where relevant in 2020 in thousand euros and the related total number of trades in the relevant boxes).</w:t>
      </w:r>
    </w:p>
    <w:p w14:paraId="2AED79D1" w14:textId="25F50871"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21</w:t>
      </w:r>
      <w:r w:rsidRPr="00EC15D5">
        <w:rPr>
          <w:rFonts w:ascii="Arial" w:hAnsi="Arial" w:cs="Arial"/>
        </w:rPr>
        <w:t>&gt;</w:t>
      </w:r>
    </w:p>
    <w:p w14:paraId="2FD986BD" w14:textId="72778A75" w:rsidR="00EC15D5" w:rsidRDefault="00EC15D5" w:rsidP="00EC15D5">
      <w:pPr>
        <w:rPr>
          <w:rFonts w:ascii="Arial" w:hAnsi="Arial" w:cs="Arial"/>
        </w:rPr>
      </w:pPr>
      <w:permStart w:id="1900831222" w:edGrp="everyone"/>
      <w:r w:rsidRPr="00EC15D5">
        <w:rPr>
          <w:rFonts w:ascii="Arial" w:hAnsi="Arial" w:cs="Arial"/>
        </w:rPr>
        <w:t>TYPE YOUR TEXT HERE</w:t>
      </w:r>
    </w:p>
    <w:tbl>
      <w:tblPr>
        <w:tblStyle w:val="TableGrid"/>
        <w:tblpPr w:leftFromText="141" w:rightFromText="141" w:vertAnchor="text" w:tblpXSpec="center" w:tblpY="1"/>
        <w:tblOverlap w:val="never"/>
        <w:tblW w:w="0" w:type="auto"/>
        <w:jc w:val="center"/>
        <w:tblLook w:val="04A0" w:firstRow="1" w:lastRow="0" w:firstColumn="1" w:lastColumn="0" w:noHBand="0" w:noVBand="1"/>
      </w:tblPr>
      <w:tblGrid>
        <w:gridCol w:w="2265"/>
        <w:gridCol w:w="2265"/>
        <w:gridCol w:w="2265"/>
        <w:gridCol w:w="2265"/>
      </w:tblGrid>
      <w:tr w:rsidR="00EC15D5" w14:paraId="55865BF6" w14:textId="77777777" w:rsidTr="008F530D">
        <w:trPr>
          <w:jc w:val="center"/>
        </w:trPr>
        <w:tc>
          <w:tcPr>
            <w:tcW w:w="2265" w:type="dxa"/>
          </w:tcPr>
          <w:p w14:paraId="04128C5C" w14:textId="77777777" w:rsidR="00EC15D5" w:rsidRDefault="00EC15D5" w:rsidP="008F530D">
            <w:r>
              <w:t xml:space="preserve">Category </w:t>
            </w:r>
          </w:p>
        </w:tc>
        <w:tc>
          <w:tcPr>
            <w:tcW w:w="2265" w:type="dxa"/>
          </w:tcPr>
          <w:p w14:paraId="569F603D" w14:textId="77777777" w:rsidR="00EC15D5" w:rsidRDefault="00EC15D5" w:rsidP="008F530D">
            <w:r>
              <w:t>Number of employees</w:t>
            </w:r>
          </w:p>
        </w:tc>
        <w:tc>
          <w:tcPr>
            <w:tcW w:w="2266" w:type="dxa"/>
          </w:tcPr>
          <w:p w14:paraId="3B3BF48E" w14:textId="77777777" w:rsidR="00EC15D5" w:rsidRDefault="00EC15D5" w:rsidP="008F530D">
            <w:r>
              <w:t xml:space="preserve">Total notional amount traded in 2020 in thousand euros </w:t>
            </w:r>
          </w:p>
        </w:tc>
        <w:tc>
          <w:tcPr>
            <w:tcW w:w="2266" w:type="dxa"/>
          </w:tcPr>
          <w:p w14:paraId="0621B0C0" w14:textId="77777777" w:rsidR="00EC15D5" w:rsidRDefault="00EC15D5" w:rsidP="008F530D">
            <w:r>
              <w:t>Number of trades in 2020</w:t>
            </w:r>
          </w:p>
        </w:tc>
      </w:tr>
      <w:tr w:rsidR="00EC15D5" w14:paraId="70C9B542" w14:textId="77777777" w:rsidTr="008F530D">
        <w:trPr>
          <w:jc w:val="center"/>
        </w:trPr>
        <w:tc>
          <w:tcPr>
            <w:tcW w:w="2265" w:type="dxa"/>
            <w:vMerge w:val="restart"/>
            <w:vAlign w:val="center"/>
          </w:tcPr>
          <w:p w14:paraId="1E82DEA3" w14:textId="77777777" w:rsidR="00EC15D5" w:rsidRDefault="00EC15D5" w:rsidP="008F530D">
            <w:r>
              <w:t>Trading venue</w:t>
            </w:r>
          </w:p>
        </w:tc>
        <w:tc>
          <w:tcPr>
            <w:tcW w:w="2265" w:type="dxa"/>
          </w:tcPr>
          <w:p w14:paraId="1DA3C6C5" w14:textId="77777777" w:rsidR="00EC15D5" w:rsidRDefault="00EC15D5" w:rsidP="008F530D">
            <w:r>
              <w:t>[1-50]</w:t>
            </w:r>
          </w:p>
        </w:tc>
        <w:tc>
          <w:tcPr>
            <w:tcW w:w="2266" w:type="dxa"/>
          </w:tcPr>
          <w:p w14:paraId="2F0D25D8" w14:textId="77777777" w:rsidR="00EC15D5" w:rsidRDefault="00EC15D5" w:rsidP="008F530D"/>
        </w:tc>
        <w:tc>
          <w:tcPr>
            <w:tcW w:w="2266" w:type="dxa"/>
          </w:tcPr>
          <w:p w14:paraId="2671A4BD" w14:textId="77777777" w:rsidR="00EC15D5" w:rsidRDefault="00EC15D5" w:rsidP="008F530D"/>
        </w:tc>
      </w:tr>
      <w:tr w:rsidR="00EC15D5" w14:paraId="5C95F789" w14:textId="77777777" w:rsidTr="008F530D">
        <w:trPr>
          <w:jc w:val="center"/>
        </w:trPr>
        <w:tc>
          <w:tcPr>
            <w:tcW w:w="2265" w:type="dxa"/>
            <w:vMerge/>
            <w:vAlign w:val="center"/>
          </w:tcPr>
          <w:p w14:paraId="053B9393" w14:textId="77777777" w:rsidR="00EC15D5" w:rsidRDefault="00EC15D5" w:rsidP="008F530D"/>
        </w:tc>
        <w:tc>
          <w:tcPr>
            <w:tcW w:w="2265" w:type="dxa"/>
          </w:tcPr>
          <w:p w14:paraId="599925C6" w14:textId="77777777" w:rsidR="00EC15D5" w:rsidRDefault="00EC15D5" w:rsidP="008F530D">
            <w:r>
              <w:t>[51-250]</w:t>
            </w:r>
          </w:p>
        </w:tc>
        <w:tc>
          <w:tcPr>
            <w:tcW w:w="2266" w:type="dxa"/>
          </w:tcPr>
          <w:p w14:paraId="634AFFAF" w14:textId="77777777" w:rsidR="00EC15D5" w:rsidRDefault="00EC15D5" w:rsidP="008F530D"/>
        </w:tc>
        <w:tc>
          <w:tcPr>
            <w:tcW w:w="2266" w:type="dxa"/>
          </w:tcPr>
          <w:p w14:paraId="4F3FC5D9" w14:textId="77777777" w:rsidR="00EC15D5" w:rsidRDefault="00EC15D5" w:rsidP="008F530D"/>
        </w:tc>
      </w:tr>
      <w:tr w:rsidR="00EC15D5" w14:paraId="772E7F95" w14:textId="77777777" w:rsidTr="008F530D">
        <w:trPr>
          <w:jc w:val="center"/>
        </w:trPr>
        <w:tc>
          <w:tcPr>
            <w:tcW w:w="2265" w:type="dxa"/>
            <w:vMerge/>
            <w:vAlign w:val="center"/>
          </w:tcPr>
          <w:p w14:paraId="00463D95" w14:textId="77777777" w:rsidR="00EC15D5" w:rsidRDefault="00EC15D5" w:rsidP="008F530D"/>
        </w:tc>
        <w:tc>
          <w:tcPr>
            <w:tcW w:w="2265" w:type="dxa"/>
          </w:tcPr>
          <w:p w14:paraId="21B52571" w14:textId="77777777" w:rsidR="00EC15D5" w:rsidRDefault="00EC15D5" w:rsidP="008F530D">
            <w:r>
              <w:t>[251-500]</w:t>
            </w:r>
          </w:p>
        </w:tc>
        <w:tc>
          <w:tcPr>
            <w:tcW w:w="2266" w:type="dxa"/>
          </w:tcPr>
          <w:p w14:paraId="3D6A2F40" w14:textId="77777777" w:rsidR="00EC15D5" w:rsidRDefault="00EC15D5" w:rsidP="008F530D"/>
        </w:tc>
        <w:tc>
          <w:tcPr>
            <w:tcW w:w="2266" w:type="dxa"/>
          </w:tcPr>
          <w:p w14:paraId="2DA39240" w14:textId="77777777" w:rsidR="00EC15D5" w:rsidRDefault="00EC15D5" w:rsidP="008F530D"/>
        </w:tc>
      </w:tr>
      <w:tr w:rsidR="00EC15D5" w14:paraId="54FB1C17" w14:textId="77777777" w:rsidTr="008F530D">
        <w:trPr>
          <w:jc w:val="center"/>
        </w:trPr>
        <w:tc>
          <w:tcPr>
            <w:tcW w:w="2265" w:type="dxa"/>
            <w:vMerge/>
            <w:vAlign w:val="center"/>
          </w:tcPr>
          <w:p w14:paraId="4DE16B44" w14:textId="77777777" w:rsidR="00EC15D5" w:rsidRDefault="00EC15D5" w:rsidP="008F530D"/>
        </w:tc>
        <w:tc>
          <w:tcPr>
            <w:tcW w:w="2265" w:type="dxa"/>
          </w:tcPr>
          <w:p w14:paraId="5BDCFE85" w14:textId="77777777" w:rsidR="00EC15D5" w:rsidRDefault="00EC15D5" w:rsidP="008F530D">
            <w:r>
              <w:t>&gt;500</w:t>
            </w:r>
          </w:p>
        </w:tc>
        <w:tc>
          <w:tcPr>
            <w:tcW w:w="2266" w:type="dxa"/>
          </w:tcPr>
          <w:p w14:paraId="481D26F5" w14:textId="77777777" w:rsidR="00EC15D5" w:rsidRDefault="00EC15D5" w:rsidP="008F530D"/>
        </w:tc>
        <w:tc>
          <w:tcPr>
            <w:tcW w:w="2266" w:type="dxa"/>
          </w:tcPr>
          <w:p w14:paraId="216C5B66" w14:textId="77777777" w:rsidR="00EC15D5" w:rsidRDefault="00EC15D5" w:rsidP="008F530D"/>
        </w:tc>
      </w:tr>
      <w:tr w:rsidR="00EC15D5" w14:paraId="44F5443C" w14:textId="77777777" w:rsidTr="008F530D">
        <w:trPr>
          <w:jc w:val="center"/>
        </w:trPr>
        <w:tc>
          <w:tcPr>
            <w:tcW w:w="2265" w:type="dxa"/>
            <w:vMerge w:val="restart"/>
            <w:vAlign w:val="center"/>
          </w:tcPr>
          <w:p w14:paraId="4071757F" w14:textId="77777777" w:rsidR="00EC15D5" w:rsidRDefault="00EC15D5" w:rsidP="008F530D">
            <w:r>
              <w:t xml:space="preserve">Financial entity </w:t>
            </w:r>
          </w:p>
        </w:tc>
        <w:tc>
          <w:tcPr>
            <w:tcW w:w="2265" w:type="dxa"/>
          </w:tcPr>
          <w:p w14:paraId="5BB56C7E" w14:textId="77777777" w:rsidR="00EC15D5" w:rsidRDefault="00EC15D5" w:rsidP="008F530D">
            <w:r>
              <w:t>[1-50]</w:t>
            </w:r>
          </w:p>
        </w:tc>
        <w:tc>
          <w:tcPr>
            <w:tcW w:w="2266" w:type="dxa"/>
          </w:tcPr>
          <w:p w14:paraId="5A0FF211" w14:textId="77777777" w:rsidR="00EC15D5" w:rsidRDefault="00EC15D5" w:rsidP="008F530D"/>
        </w:tc>
        <w:tc>
          <w:tcPr>
            <w:tcW w:w="2266" w:type="dxa"/>
          </w:tcPr>
          <w:p w14:paraId="30C65D47" w14:textId="77777777" w:rsidR="00EC15D5" w:rsidRDefault="00EC15D5" w:rsidP="008F530D"/>
        </w:tc>
      </w:tr>
      <w:tr w:rsidR="00EC15D5" w14:paraId="6BA0F3F9" w14:textId="77777777" w:rsidTr="008F530D">
        <w:trPr>
          <w:jc w:val="center"/>
        </w:trPr>
        <w:tc>
          <w:tcPr>
            <w:tcW w:w="2265" w:type="dxa"/>
            <w:vMerge/>
            <w:vAlign w:val="center"/>
          </w:tcPr>
          <w:p w14:paraId="10478AAA" w14:textId="77777777" w:rsidR="00EC15D5" w:rsidRDefault="00EC15D5" w:rsidP="008F530D"/>
        </w:tc>
        <w:tc>
          <w:tcPr>
            <w:tcW w:w="2265" w:type="dxa"/>
          </w:tcPr>
          <w:p w14:paraId="239F5F92" w14:textId="77777777" w:rsidR="00EC15D5" w:rsidRDefault="00EC15D5" w:rsidP="008F530D">
            <w:r>
              <w:t>[51-250]</w:t>
            </w:r>
          </w:p>
        </w:tc>
        <w:tc>
          <w:tcPr>
            <w:tcW w:w="2266" w:type="dxa"/>
          </w:tcPr>
          <w:p w14:paraId="34222647" w14:textId="77777777" w:rsidR="00EC15D5" w:rsidRDefault="00EC15D5" w:rsidP="008F530D"/>
        </w:tc>
        <w:tc>
          <w:tcPr>
            <w:tcW w:w="2266" w:type="dxa"/>
          </w:tcPr>
          <w:p w14:paraId="1D233B26" w14:textId="77777777" w:rsidR="00EC15D5" w:rsidRDefault="00EC15D5" w:rsidP="008F530D"/>
        </w:tc>
      </w:tr>
      <w:tr w:rsidR="00EC15D5" w14:paraId="525A394A" w14:textId="77777777" w:rsidTr="008F530D">
        <w:trPr>
          <w:jc w:val="center"/>
        </w:trPr>
        <w:tc>
          <w:tcPr>
            <w:tcW w:w="2265" w:type="dxa"/>
            <w:vMerge/>
            <w:vAlign w:val="center"/>
          </w:tcPr>
          <w:p w14:paraId="18BC8920" w14:textId="77777777" w:rsidR="00EC15D5" w:rsidRDefault="00EC15D5" w:rsidP="008F530D"/>
        </w:tc>
        <w:tc>
          <w:tcPr>
            <w:tcW w:w="2265" w:type="dxa"/>
          </w:tcPr>
          <w:p w14:paraId="13E5593C" w14:textId="77777777" w:rsidR="00EC15D5" w:rsidRDefault="00EC15D5" w:rsidP="008F530D">
            <w:r>
              <w:t>[251-500]</w:t>
            </w:r>
          </w:p>
        </w:tc>
        <w:tc>
          <w:tcPr>
            <w:tcW w:w="2266" w:type="dxa"/>
          </w:tcPr>
          <w:p w14:paraId="609D06A5" w14:textId="77777777" w:rsidR="00EC15D5" w:rsidRDefault="00EC15D5" w:rsidP="008F530D"/>
        </w:tc>
        <w:tc>
          <w:tcPr>
            <w:tcW w:w="2266" w:type="dxa"/>
          </w:tcPr>
          <w:p w14:paraId="0314DC75" w14:textId="77777777" w:rsidR="00EC15D5" w:rsidRDefault="00EC15D5" w:rsidP="008F530D"/>
        </w:tc>
      </w:tr>
      <w:tr w:rsidR="00EC15D5" w14:paraId="0093DA04" w14:textId="77777777" w:rsidTr="008F530D">
        <w:trPr>
          <w:jc w:val="center"/>
        </w:trPr>
        <w:tc>
          <w:tcPr>
            <w:tcW w:w="2265" w:type="dxa"/>
            <w:vMerge/>
            <w:vAlign w:val="center"/>
          </w:tcPr>
          <w:p w14:paraId="6A549BFB" w14:textId="77777777" w:rsidR="00EC15D5" w:rsidRDefault="00EC15D5" w:rsidP="008F530D"/>
        </w:tc>
        <w:tc>
          <w:tcPr>
            <w:tcW w:w="2265" w:type="dxa"/>
          </w:tcPr>
          <w:p w14:paraId="4AF0E3B2" w14:textId="77777777" w:rsidR="00EC15D5" w:rsidRDefault="00EC15D5" w:rsidP="008F530D">
            <w:r>
              <w:t>&gt;500</w:t>
            </w:r>
          </w:p>
        </w:tc>
        <w:tc>
          <w:tcPr>
            <w:tcW w:w="2266" w:type="dxa"/>
          </w:tcPr>
          <w:p w14:paraId="165BF2A4" w14:textId="77777777" w:rsidR="00EC15D5" w:rsidRDefault="00EC15D5" w:rsidP="008F530D"/>
        </w:tc>
        <w:tc>
          <w:tcPr>
            <w:tcW w:w="2266" w:type="dxa"/>
          </w:tcPr>
          <w:p w14:paraId="60784249" w14:textId="77777777" w:rsidR="00EC15D5" w:rsidRDefault="00EC15D5" w:rsidP="008F530D"/>
        </w:tc>
      </w:tr>
      <w:tr w:rsidR="00EC15D5" w14:paraId="606B1F68" w14:textId="77777777" w:rsidTr="008F530D">
        <w:trPr>
          <w:jc w:val="center"/>
        </w:trPr>
        <w:tc>
          <w:tcPr>
            <w:tcW w:w="2265" w:type="dxa"/>
            <w:vMerge w:val="restart"/>
            <w:vAlign w:val="center"/>
          </w:tcPr>
          <w:p w14:paraId="431F89B8" w14:textId="77777777" w:rsidR="00EC15D5" w:rsidRDefault="00EC15D5" w:rsidP="008F530D">
            <w:r>
              <w:t>Non-financial entity</w:t>
            </w:r>
          </w:p>
        </w:tc>
        <w:tc>
          <w:tcPr>
            <w:tcW w:w="2265" w:type="dxa"/>
          </w:tcPr>
          <w:p w14:paraId="2BF32F83" w14:textId="77777777" w:rsidR="00EC15D5" w:rsidRDefault="00EC15D5" w:rsidP="008F530D">
            <w:r>
              <w:t>[1-50]</w:t>
            </w:r>
          </w:p>
        </w:tc>
        <w:tc>
          <w:tcPr>
            <w:tcW w:w="2266" w:type="dxa"/>
          </w:tcPr>
          <w:p w14:paraId="2B728776" w14:textId="77777777" w:rsidR="00EC15D5" w:rsidRDefault="00EC15D5" w:rsidP="008F530D"/>
        </w:tc>
        <w:tc>
          <w:tcPr>
            <w:tcW w:w="2266" w:type="dxa"/>
          </w:tcPr>
          <w:p w14:paraId="63C38FA9" w14:textId="77777777" w:rsidR="00EC15D5" w:rsidRDefault="00EC15D5" w:rsidP="008F530D"/>
        </w:tc>
      </w:tr>
      <w:tr w:rsidR="00EC15D5" w14:paraId="5497FC94" w14:textId="77777777" w:rsidTr="008F530D">
        <w:trPr>
          <w:jc w:val="center"/>
        </w:trPr>
        <w:tc>
          <w:tcPr>
            <w:tcW w:w="2265" w:type="dxa"/>
            <w:vMerge/>
          </w:tcPr>
          <w:p w14:paraId="08A0D0E5" w14:textId="77777777" w:rsidR="00EC15D5" w:rsidRDefault="00EC15D5" w:rsidP="008F530D"/>
        </w:tc>
        <w:tc>
          <w:tcPr>
            <w:tcW w:w="2265" w:type="dxa"/>
          </w:tcPr>
          <w:p w14:paraId="1C7A9B30" w14:textId="77777777" w:rsidR="00EC15D5" w:rsidRDefault="00EC15D5" w:rsidP="008F530D">
            <w:r>
              <w:t>[51-250]</w:t>
            </w:r>
          </w:p>
        </w:tc>
        <w:tc>
          <w:tcPr>
            <w:tcW w:w="2266" w:type="dxa"/>
          </w:tcPr>
          <w:p w14:paraId="26A04A8B" w14:textId="77777777" w:rsidR="00EC15D5" w:rsidRDefault="00EC15D5" w:rsidP="008F530D"/>
        </w:tc>
        <w:tc>
          <w:tcPr>
            <w:tcW w:w="2266" w:type="dxa"/>
          </w:tcPr>
          <w:p w14:paraId="6E58829F" w14:textId="77777777" w:rsidR="00EC15D5" w:rsidRDefault="00EC15D5" w:rsidP="008F530D"/>
        </w:tc>
      </w:tr>
      <w:tr w:rsidR="00EC15D5" w14:paraId="77387BBF" w14:textId="77777777" w:rsidTr="008F530D">
        <w:trPr>
          <w:jc w:val="center"/>
        </w:trPr>
        <w:tc>
          <w:tcPr>
            <w:tcW w:w="2265" w:type="dxa"/>
            <w:vMerge/>
          </w:tcPr>
          <w:p w14:paraId="65C1AC7B" w14:textId="77777777" w:rsidR="00EC15D5" w:rsidRDefault="00EC15D5" w:rsidP="008F530D"/>
        </w:tc>
        <w:tc>
          <w:tcPr>
            <w:tcW w:w="2265" w:type="dxa"/>
          </w:tcPr>
          <w:p w14:paraId="5202C80B" w14:textId="77777777" w:rsidR="00EC15D5" w:rsidRDefault="00EC15D5" w:rsidP="008F530D">
            <w:r>
              <w:t>[251-500]</w:t>
            </w:r>
          </w:p>
        </w:tc>
        <w:tc>
          <w:tcPr>
            <w:tcW w:w="2266" w:type="dxa"/>
          </w:tcPr>
          <w:p w14:paraId="4FC13446" w14:textId="77777777" w:rsidR="00EC15D5" w:rsidRDefault="00EC15D5" w:rsidP="008F530D"/>
        </w:tc>
        <w:tc>
          <w:tcPr>
            <w:tcW w:w="2266" w:type="dxa"/>
          </w:tcPr>
          <w:p w14:paraId="41FF38F2" w14:textId="77777777" w:rsidR="00EC15D5" w:rsidRDefault="00EC15D5" w:rsidP="008F530D"/>
        </w:tc>
      </w:tr>
      <w:tr w:rsidR="00EC15D5" w14:paraId="63D63D99" w14:textId="77777777" w:rsidTr="008F530D">
        <w:trPr>
          <w:jc w:val="center"/>
        </w:trPr>
        <w:tc>
          <w:tcPr>
            <w:tcW w:w="2265" w:type="dxa"/>
            <w:vMerge/>
          </w:tcPr>
          <w:p w14:paraId="4CF03470" w14:textId="77777777" w:rsidR="00EC15D5" w:rsidRDefault="00EC15D5" w:rsidP="008F530D"/>
        </w:tc>
        <w:tc>
          <w:tcPr>
            <w:tcW w:w="2265" w:type="dxa"/>
          </w:tcPr>
          <w:p w14:paraId="361895D0" w14:textId="77777777" w:rsidR="00EC15D5" w:rsidRDefault="00EC15D5" w:rsidP="008F530D">
            <w:r>
              <w:t>&gt;500</w:t>
            </w:r>
          </w:p>
        </w:tc>
        <w:tc>
          <w:tcPr>
            <w:tcW w:w="2266" w:type="dxa"/>
          </w:tcPr>
          <w:p w14:paraId="68382055" w14:textId="77777777" w:rsidR="00EC15D5" w:rsidRDefault="00EC15D5" w:rsidP="008F530D"/>
        </w:tc>
        <w:tc>
          <w:tcPr>
            <w:tcW w:w="2266" w:type="dxa"/>
          </w:tcPr>
          <w:p w14:paraId="4C3D3991" w14:textId="77777777" w:rsidR="00EC15D5" w:rsidRDefault="00EC15D5" w:rsidP="008F530D"/>
        </w:tc>
      </w:tr>
    </w:tbl>
    <w:p w14:paraId="5F7F2B7B" w14:textId="77777777" w:rsidR="00EC15D5" w:rsidRPr="00EC15D5" w:rsidRDefault="00EC15D5" w:rsidP="00EC15D5">
      <w:pPr>
        <w:rPr>
          <w:rFonts w:ascii="Arial" w:hAnsi="Arial" w:cs="Arial"/>
        </w:rPr>
      </w:pPr>
    </w:p>
    <w:permEnd w:id="1900831222"/>
    <w:p w14:paraId="547546FD" w14:textId="07E2E738"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21</w:t>
      </w:r>
      <w:r w:rsidRPr="00EC15D5">
        <w:rPr>
          <w:rFonts w:ascii="Arial" w:hAnsi="Arial" w:cs="Arial"/>
        </w:rPr>
        <w:t>&gt;</w:t>
      </w:r>
    </w:p>
    <w:p w14:paraId="665B536F" w14:textId="570F137E" w:rsidR="00EC15D5" w:rsidRDefault="00EC15D5" w:rsidP="00EC15D5"/>
    <w:p w14:paraId="786BB09F" w14:textId="5663BA86" w:rsidR="00EC15D5" w:rsidRDefault="00EC15D5" w:rsidP="00EC15D5"/>
    <w:p w14:paraId="68D7178E" w14:textId="1E25AFB2" w:rsidR="00EC15D5" w:rsidRDefault="00EC15D5" w:rsidP="00EC15D5">
      <w:pPr>
        <w:pStyle w:val="Questionstyle"/>
        <w:numPr>
          <w:ilvl w:val="0"/>
          <w:numId w:val="0"/>
        </w:numPr>
        <w:spacing w:after="250" w:line="276" w:lineRule="auto"/>
        <w:ind w:left="360"/>
      </w:pPr>
      <w:r w:rsidRPr="00EC15D5">
        <w:rPr>
          <w:b/>
          <w:bCs/>
        </w:rPr>
        <w:t>CBA Q</w:t>
      </w:r>
      <w:r>
        <w:rPr>
          <w:b/>
          <w:bCs/>
        </w:rPr>
        <w:t>2</w:t>
      </w:r>
      <w:r>
        <w:t xml:space="preserve">: </w:t>
      </w:r>
      <w:r w:rsidRPr="00EC15D5">
        <w:t>for Financial entities: Do you intend to apply for an exemption for risk-reducing positions related to the commercial activities of the commercial entity of the group? What percentage of your positions do these risk-reducing positions account for?</w:t>
      </w:r>
    </w:p>
    <w:p w14:paraId="1EAF88B7" w14:textId="3CC474FF"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22</w:t>
      </w:r>
      <w:r w:rsidRPr="00EC15D5">
        <w:rPr>
          <w:rFonts w:ascii="Arial" w:hAnsi="Arial" w:cs="Arial"/>
        </w:rPr>
        <w:t>&gt;</w:t>
      </w:r>
    </w:p>
    <w:p w14:paraId="4F1C9E0F" w14:textId="77777777" w:rsidR="00EC15D5" w:rsidRPr="00EC15D5" w:rsidRDefault="00EC15D5" w:rsidP="00EC15D5">
      <w:pPr>
        <w:rPr>
          <w:rFonts w:ascii="Arial" w:hAnsi="Arial" w:cs="Arial"/>
        </w:rPr>
      </w:pPr>
      <w:permStart w:id="476319685" w:edGrp="everyone"/>
      <w:r w:rsidRPr="00EC15D5">
        <w:rPr>
          <w:rFonts w:ascii="Arial" w:hAnsi="Arial" w:cs="Arial"/>
        </w:rPr>
        <w:t>TYPE YOUR TEXT HERE</w:t>
      </w:r>
    </w:p>
    <w:permEnd w:id="476319685"/>
    <w:p w14:paraId="17E88D87" w14:textId="5C2B86C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22</w:t>
      </w:r>
      <w:r w:rsidRPr="00EC15D5">
        <w:rPr>
          <w:rFonts w:ascii="Arial" w:hAnsi="Arial" w:cs="Arial"/>
        </w:rPr>
        <w:t>&gt;</w:t>
      </w:r>
    </w:p>
    <w:p w14:paraId="4AF77CC6" w14:textId="36752559" w:rsidR="00EC15D5" w:rsidRDefault="00EC15D5" w:rsidP="00EC15D5"/>
    <w:p w14:paraId="209E6A05" w14:textId="5E82A89F" w:rsidR="00EC15D5" w:rsidRDefault="00EC15D5" w:rsidP="00EC15D5">
      <w:pPr>
        <w:pStyle w:val="Questionstyle"/>
        <w:numPr>
          <w:ilvl w:val="0"/>
          <w:numId w:val="0"/>
        </w:numPr>
        <w:spacing w:after="250" w:line="276" w:lineRule="auto"/>
        <w:ind w:left="720" w:hanging="360"/>
      </w:pPr>
      <w:r w:rsidRPr="00EC15D5">
        <w:rPr>
          <w:b/>
          <w:bCs/>
        </w:rPr>
        <w:t>CBA Q</w:t>
      </w:r>
      <w:r>
        <w:rPr>
          <w:b/>
          <w:bCs/>
        </w:rPr>
        <w:t>3</w:t>
      </w:r>
      <w:r>
        <w:t xml:space="preserve">: </w:t>
      </w:r>
      <w:r w:rsidRPr="00EC15D5">
        <w:t>Do you intend to apply for an exemption for positions resulting from transactions undertaken to fulfil mandatory liquidity provision? What percentage of your positions do these positions account for?</w:t>
      </w:r>
    </w:p>
    <w:p w14:paraId="785603E6" w14:textId="42E12AEC"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23</w:t>
      </w:r>
      <w:r w:rsidRPr="00EC15D5">
        <w:rPr>
          <w:rFonts w:ascii="Arial" w:hAnsi="Arial" w:cs="Arial"/>
        </w:rPr>
        <w:t>&gt;</w:t>
      </w:r>
    </w:p>
    <w:p w14:paraId="16E096B4" w14:textId="77777777" w:rsidR="00EC15D5" w:rsidRPr="00EC15D5" w:rsidRDefault="00EC15D5" w:rsidP="00EC15D5">
      <w:pPr>
        <w:rPr>
          <w:rFonts w:ascii="Arial" w:hAnsi="Arial" w:cs="Arial"/>
        </w:rPr>
      </w:pPr>
      <w:permStart w:id="237008053" w:edGrp="everyone"/>
      <w:r w:rsidRPr="00EC15D5">
        <w:rPr>
          <w:rFonts w:ascii="Arial" w:hAnsi="Arial" w:cs="Arial"/>
        </w:rPr>
        <w:t>TYPE YOUR TEXT HERE</w:t>
      </w:r>
    </w:p>
    <w:permEnd w:id="237008053"/>
    <w:p w14:paraId="41022C84" w14:textId="379A19B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23</w:t>
      </w:r>
      <w:r w:rsidRPr="00EC15D5">
        <w:rPr>
          <w:rFonts w:ascii="Arial" w:hAnsi="Arial" w:cs="Arial"/>
        </w:rPr>
        <w:t>&gt;</w:t>
      </w:r>
    </w:p>
    <w:p w14:paraId="47268C0B" w14:textId="7B8A9345" w:rsidR="00EC15D5" w:rsidRDefault="00EC15D5" w:rsidP="00EC15D5"/>
    <w:p w14:paraId="056A7946" w14:textId="6E9BBD5C" w:rsidR="00EC15D5" w:rsidRDefault="00833000" w:rsidP="00833000">
      <w:pPr>
        <w:pStyle w:val="Questionstyle"/>
        <w:numPr>
          <w:ilvl w:val="0"/>
          <w:numId w:val="0"/>
        </w:numPr>
        <w:spacing w:after="250" w:line="276" w:lineRule="auto"/>
        <w:ind w:left="360"/>
      </w:pPr>
      <w:r w:rsidRPr="00EC15D5">
        <w:rPr>
          <w:b/>
          <w:bCs/>
        </w:rPr>
        <w:t>CBA Q</w:t>
      </w:r>
      <w:r>
        <w:rPr>
          <w:b/>
          <w:bCs/>
        </w:rPr>
        <w:t>4</w:t>
      </w:r>
      <w:r w:rsidR="00EC15D5">
        <w:t xml:space="preserve">: </w:t>
      </w:r>
      <w:r w:rsidRPr="00833000">
        <w:t>Is there any specific provision in draft RTS 21a that you would expect to be a source of significant cost? If so, please elaborate.</w:t>
      </w:r>
    </w:p>
    <w:p w14:paraId="60BB1C2A" w14:textId="2768F55E"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4</w:t>
      </w:r>
      <w:r w:rsidRPr="00EC15D5">
        <w:rPr>
          <w:rFonts w:ascii="Arial" w:hAnsi="Arial" w:cs="Arial"/>
        </w:rPr>
        <w:t>&gt;</w:t>
      </w:r>
    </w:p>
    <w:p w14:paraId="053457C5" w14:textId="77777777" w:rsidR="00EC15D5" w:rsidRPr="00EC15D5" w:rsidRDefault="00EC15D5" w:rsidP="00EC15D5">
      <w:pPr>
        <w:rPr>
          <w:rFonts w:ascii="Arial" w:hAnsi="Arial" w:cs="Arial"/>
        </w:rPr>
      </w:pPr>
      <w:permStart w:id="91757252" w:edGrp="everyone"/>
      <w:r w:rsidRPr="00EC15D5">
        <w:rPr>
          <w:rFonts w:ascii="Arial" w:hAnsi="Arial" w:cs="Arial"/>
        </w:rPr>
        <w:t>TYPE YOUR TEXT HERE</w:t>
      </w:r>
    </w:p>
    <w:permEnd w:id="91757252"/>
    <w:p w14:paraId="4417D23E" w14:textId="27D6C41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4</w:t>
      </w:r>
      <w:r w:rsidRPr="00EC15D5">
        <w:rPr>
          <w:rFonts w:ascii="Arial" w:hAnsi="Arial" w:cs="Arial"/>
        </w:rPr>
        <w:t>&gt;</w:t>
      </w:r>
    </w:p>
    <w:p w14:paraId="0E40BAAD" w14:textId="77777777" w:rsidR="00EC15D5" w:rsidRDefault="00EC15D5" w:rsidP="00EC15D5"/>
    <w:p w14:paraId="3629423B" w14:textId="1744D40F" w:rsidR="00EC15D5" w:rsidRDefault="00833000" w:rsidP="00833000">
      <w:pPr>
        <w:pStyle w:val="Questionstyle"/>
        <w:numPr>
          <w:ilvl w:val="0"/>
          <w:numId w:val="0"/>
        </w:numPr>
        <w:spacing w:after="250" w:line="276" w:lineRule="auto"/>
        <w:ind w:left="360"/>
      </w:pPr>
      <w:r w:rsidRPr="00EC15D5">
        <w:rPr>
          <w:b/>
          <w:bCs/>
        </w:rPr>
        <w:t>CBA Q</w:t>
      </w:r>
      <w:r>
        <w:rPr>
          <w:b/>
          <w:bCs/>
        </w:rPr>
        <w:t>5</w:t>
      </w:r>
      <w:r w:rsidR="00EC15D5">
        <w:t xml:space="preserve">: </w:t>
      </w:r>
      <w:r w:rsidRPr="00833000">
        <w:t>Taking into account the size of your firm, would you qualify overall compliance costs with draft RTS 21a as low, medium or high?</w:t>
      </w:r>
    </w:p>
    <w:p w14:paraId="67DEAFC4" w14:textId="78B6BB6E"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5</w:t>
      </w:r>
      <w:r w:rsidRPr="00EC15D5">
        <w:rPr>
          <w:rFonts w:ascii="Arial" w:hAnsi="Arial" w:cs="Arial"/>
        </w:rPr>
        <w:t>&gt;</w:t>
      </w:r>
    </w:p>
    <w:p w14:paraId="6509E657" w14:textId="77777777" w:rsidR="00EC15D5" w:rsidRPr="00EC15D5" w:rsidRDefault="00EC15D5" w:rsidP="00EC15D5">
      <w:pPr>
        <w:rPr>
          <w:rFonts w:ascii="Arial" w:hAnsi="Arial" w:cs="Arial"/>
        </w:rPr>
      </w:pPr>
      <w:permStart w:id="1524712210" w:edGrp="everyone"/>
      <w:r w:rsidRPr="00EC15D5">
        <w:rPr>
          <w:rFonts w:ascii="Arial" w:hAnsi="Arial" w:cs="Arial"/>
        </w:rPr>
        <w:t>TYPE YOUR TEXT HERE</w:t>
      </w:r>
    </w:p>
    <w:permEnd w:id="1524712210"/>
    <w:p w14:paraId="47D68646" w14:textId="0A7C7337"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5</w:t>
      </w:r>
      <w:r w:rsidRPr="00EC15D5">
        <w:rPr>
          <w:rFonts w:ascii="Arial" w:hAnsi="Arial" w:cs="Arial"/>
        </w:rPr>
        <w:t>&gt;</w:t>
      </w:r>
    </w:p>
    <w:p w14:paraId="1BDA3D00" w14:textId="7F8D5302" w:rsidR="00EC15D5" w:rsidRDefault="00EC15D5" w:rsidP="00EC15D5"/>
    <w:p w14:paraId="3DAF850B" w14:textId="2CA4D48C" w:rsidR="00EC15D5" w:rsidRDefault="00833000" w:rsidP="00833000">
      <w:pPr>
        <w:pStyle w:val="Questionstyle"/>
        <w:numPr>
          <w:ilvl w:val="0"/>
          <w:numId w:val="0"/>
        </w:numPr>
        <w:spacing w:after="250" w:line="276" w:lineRule="auto"/>
        <w:ind w:left="720" w:hanging="360"/>
      </w:pPr>
      <w:r w:rsidRPr="00EC15D5">
        <w:rPr>
          <w:b/>
          <w:bCs/>
        </w:rPr>
        <w:t>CBA Q</w:t>
      </w:r>
      <w:r>
        <w:rPr>
          <w:b/>
          <w:bCs/>
        </w:rPr>
        <w:t>6</w:t>
      </w:r>
      <w:r w:rsidR="00EC15D5">
        <w:t xml:space="preserve">: </w:t>
      </w:r>
      <w:r w:rsidRPr="00833000">
        <w:t>Is there any specific provision in the draft RTS on position management controls that you would expect to be a source of significant cost? If so, please elaborate.</w:t>
      </w:r>
    </w:p>
    <w:p w14:paraId="118FD0B0" w14:textId="7656DB19"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6</w:t>
      </w:r>
      <w:r w:rsidRPr="00EC15D5">
        <w:rPr>
          <w:rFonts w:ascii="Arial" w:hAnsi="Arial" w:cs="Arial"/>
        </w:rPr>
        <w:t>&gt;</w:t>
      </w:r>
    </w:p>
    <w:p w14:paraId="006A9123" w14:textId="77777777" w:rsidR="00666615" w:rsidRDefault="00666615" w:rsidP="00F64E30">
      <w:pPr>
        <w:pStyle w:val="NormalWeb"/>
        <w:jc w:val="both"/>
        <w:rPr>
          <w:rFonts w:ascii="Calibri" w:hAnsi="Calibri"/>
          <w:sz w:val="22"/>
          <w:szCs w:val="22"/>
          <w:lang w:val="en-US"/>
        </w:rPr>
      </w:pPr>
      <w:permStart w:id="448079908" w:edGrp="everyone"/>
      <w:r>
        <w:rPr>
          <w:rFonts w:ascii="Calibri" w:hAnsi="Calibri"/>
          <w:sz w:val="22"/>
          <w:szCs w:val="22"/>
          <w:lang w:val="en-US"/>
        </w:rPr>
        <w:t xml:space="preserve">Yes, Europex believes that the absence of sufficient discretion for the exchange to implement the position management controls in an appropriate manner and the extension of the position management controls to cover ‘persons with close links’ is likely to result in significant cost to the exchange and market participants. </w:t>
      </w:r>
    </w:p>
    <w:p w14:paraId="134E94DB" w14:textId="77777777" w:rsidR="00666615" w:rsidRDefault="00666615" w:rsidP="00F64E30">
      <w:pPr>
        <w:pStyle w:val="NormalWeb"/>
        <w:jc w:val="both"/>
        <w:rPr>
          <w:rFonts w:ascii="Calibri" w:hAnsi="Calibri"/>
          <w:sz w:val="22"/>
          <w:szCs w:val="22"/>
          <w:lang w:val="en-US"/>
        </w:rPr>
      </w:pPr>
      <w:r>
        <w:rPr>
          <w:rFonts w:ascii="Calibri" w:hAnsi="Calibri"/>
          <w:sz w:val="22"/>
          <w:szCs w:val="22"/>
          <w:lang w:val="en-US"/>
        </w:rPr>
        <w:t xml:space="preserve">Any breach of an accountability level would require the exchange to investigate and obtain a substantial amount of information from market participants. These mandatory information requests would come on top of the information requests that are an integral part of market surveillance processes. Exchanges will have to hire additional market surveillance staff to handle all investigations prompted by alerts and market participants will have to hire additional compliance staff to respond to all information requests. </w:t>
      </w:r>
    </w:p>
    <w:p w14:paraId="6E0AAF1D" w14:textId="28D0A087" w:rsidR="00EC15D5" w:rsidRPr="00EC15D5" w:rsidRDefault="00666615" w:rsidP="00EC15D5">
      <w:pPr>
        <w:rPr>
          <w:rFonts w:ascii="Arial" w:hAnsi="Arial" w:cs="Arial"/>
        </w:rPr>
      </w:pPr>
      <w:r>
        <w:rPr>
          <w:rFonts w:ascii="Calibri" w:hAnsi="Calibri"/>
          <w:sz w:val="22"/>
          <w:szCs w:val="22"/>
          <w:lang w:val="en-US"/>
        </w:rPr>
        <w:t>The extension of the scope of the position management controls to cover ‘persons with close links’ would require new daily reporting arrangements between the exchange and their clients to be</w:t>
      </w:r>
      <w:r>
        <w:rPr>
          <w:rFonts w:ascii="Calibri" w:hAnsi="Calibri"/>
          <w:sz w:val="22"/>
          <w:szCs w:val="22"/>
          <w:lang w:val="en-US"/>
        </w:rPr>
        <w:t xml:space="preserve"> </w:t>
      </w:r>
      <w:r>
        <w:rPr>
          <w:rFonts w:ascii="Calibri" w:hAnsi="Calibri"/>
          <w:sz w:val="22"/>
          <w:szCs w:val="22"/>
          <w:lang w:val="en-US"/>
        </w:rPr>
        <w:t xml:space="preserve">developed, as the information about affiliates covered under the ‘persons with close links’ requirement is not covered in existing MiFID II position reporting arrangements.   </w:t>
      </w:r>
      <w:permEnd w:id="448079908"/>
      <w:r w:rsidR="00EC15D5" w:rsidRPr="00EC15D5">
        <w:rPr>
          <w:rFonts w:ascii="Arial" w:hAnsi="Arial" w:cs="Arial"/>
        </w:rPr>
        <w:t>&lt;ESMA_QUESTION_CD_</w:t>
      </w:r>
      <w:r w:rsidR="00EC15D5">
        <w:rPr>
          <w:rFonts w:ascii="Arial" w:hAnsi="Arial" w:cs="Arial"/>
        </w:rPr>
        <w:t>2</w:t>
      </w:r>
      <w:r w:rsidR="00833000">
        <w:rPr>
          <w:rFonts w:ascii="Arial" w:hAnsi="Arial" w:cs="Arial"/>
        </w:rPr>
        <w:t>6</w:t>
      </w:r>
      <w:r w:rsidR="00EC15D5" w:rsidRPr="00EC15D5">
        <w:rPr>
          <w:rFonts w:ascii="Arial" w:hAnsi="Arial" w:cs="Arial"/>
        </w:rPr>
        <w:t>&gt;</w:t>
      </w:r>
    </w:p>
    <w:p w14:paraId="6BB66371" w14:textId="1437F4BC" w:rsidR="00EC15D5" w:rsidRDefault="00EC15D5" w:rsidP="00EC15D5"/>
    <w:p w14:paraId="75BC0E5D" w14:textId="109BB750" w:rsidR="00EC15D5" w:rsidRDefault="00833000" w:rsidP="00833000">
      <w:pPr>
        <w:pStyle w:val="Questionstyle"/>
        <w:numPr>
          <w:ilvl w:val="0"/>
          <w:numId w:val="0"/>
        </w:numPr>
        <w:spacing w:after="250" w:line="276" w:lineRule="auto"/>
        <w:ind w:left="720" w:hanging="360"/>
      </w:pPr>
      <w:r w:rsidRPr="00EC15D5">
        <w:rPr>
          <w:b/>
          <w:bCs/>
        </w:rPr>
        <w:t>CBA Q</w:t>
      </w:r>
      <w:r>
        <w:rPr>
          <w:b/>
          <w:bCs/>
        </w:rPr>
        <w:t>7</w:t>
      </w:r>
      <w:r w:rsidR="00EC15D5">
        <w:t xml:space="preserve">: </w:t>
      </w:r>
      <w:r w:rsidRPr="00833000">
        <w:t>Taking into account the size of your firm, would you qualify overall compliance costs with amended the draft RTS on position management controls as low, medium or high?</w:t>
      </w:r>
    </w:p>
    <w:p w14:paraId="4A7FEA57" w14:textId="02A17CA7" w:rsidR="00EC15D5" w:rsidRPr="00EC15D5" w:rsidRDefault="00EC15D5" w:rsidP="00EC15D5">
      <w:pPr>
        <w:rPr>
          <w:rFonts w:ascii="Arial" w:hAnsi="Arial" w:cs="Arial"/>
        </w:rPr>
      </w:pPr>
      <w:r w:rsidRPr="00EC15D5">
        <w:rPr>
          <w:rFonts w:ascii="Arial" w:hAnsi="Arial" w:cs="Arial"/>
        </w:rPr>
        <w:lastRenderedPageBreak/>
        <w:t>&lt;ESMA_QUESTION_CD_</w:t>
      </w:r>
      <w:r>
        <w:rPr>
          <w:rFonts w:ascii="Arial" w:hAnsi="Arial" w:cs="Arial"/>
        </w:rPr>
        <w:t>2</w:t>
      </w:r>
      <w:r w:rsidR="00833000">
        <w:rPr>
          <w:rFonts w:ascii="Arial" w:hAnsi="Arial" w:cs="Arial"/>
        </w:rPr>
        <w:t>7</w:t>
      </w:r>
      <w:r w:rsidRPr="00EC15D5">
        <w:rPr>
          <w:rFonts w:ascii="Arial" w:hAnsi="Arial" w:cs="Arial"/>
        </w:rPr>
        <w:t>&gt;</w:t>
      </w:r>
    </w:p>
    <w:p w14:paraId="78DC84E0" w14:textId="77777777" w:rsidR="0092460B" w:rsidRDefault="0092460B" w:rsidP="0092460B">
      <w:pPr>
        <w:pStyle w:val="NormalWeb"/>
        <w:shd w:val="clear" w:color="auto" w:fill="F2F2F2" w:themeFill="background1" w:themeFillShade="F2"/>
        <w:jc w:val="both"/>
        <w:rPr>
          <w:rFonts w:ascii="Calibri" w:hAnsi="Calibri" w:cs="Arial"/>
          <w:color w:val="000000" w:themeColor="text1"/>
          <w:sz w:val="22"/>
          <w:szCs w:val="22"/>
        </w:rPr>
      </w:pPr>
      <w:permStart w:id="1125347083" w:edGrp="everyone"/>
      <w:r>
        <w:rPr>
          <w:rFonts w:ascii="Calibri" w:hAnsi="Calibri" w:cs="Arial"/>
          <w:color w:val="000000" w:themeColor="text1"/>
          <w:sz w:val="22"/>
          <w:szCs w:val="22"/>
        </w:rPr>
        <w:t>Europex</w:t>
      </w:r>
      <w:r w:rsidRPr="003D034C">
        <w:rPr>
          <w:rFonts w:ascii="Calibri" w:hAnsi="Calibri" w:cs="Arial"/>
          <w:color w:val="000000" w:themeColor="text1"/>
          <w:sz w:val="22"/>
          <w:szCs w:val="22"/>
        </w:rPr>
        <w:t xml:space="preserve"> would qualify the estimated compliance costs with the draft RTS on position management controls as unreasonably high and disproportionate.</w:t>
      </w:r>
    </w:p>
    <w:permEnd w:id="1125347083"/>
    <w:p w14:paraId="4E0F279B" w14:textId="5D0A1E83" w:rsidR="00EC15D5" w:rsidRPr="00EC15D5" w:rsidRDefault="00EC15D5" w:rsidP="00EC15D5">
      <w:pPr>
        <w:rPr>
          <w:rFonts w:ascii="Arial" w:hAnsi="Arial" w:cs="Arial"/>
        </w:rPr>
      </w:pPr>
      <w:r w:rsidRPr="00EC15D5">
        <w:rPr>
          <w:rFonts w:ascii="Arial" w:hAnsi="Arial" w:cs="Arial"/>
        </w:rPr>
        <w:t>&lt;ESMA_QUESTION_CD_</w:t>
      </w:r>
      <w:r>
        <w:rPr>
          <w:rFonts w:ascii="Arial" w:hAnsi="Arial" w:cs="Arial"/>
        </w:rPr>
        <w:t>2</w:t>
      </w:r>
      <w:r w:rsidR="00833000">
        <w:rPr>
          <w:rFonts w:ascii="Arial" w:hAnsi="Arial" w:cs="Arial"/>
        </w:rPr>
        <w:t>7</w:t>
      </w:r>
      <w:r w:rsidRPr="00EC15D5">
        <w:rPr>
          <w:rFonts w:ascii="Arial" w:hAnsi="Arial" w:cs="Arial"/>
        </w:rPr>
        <w:t>&gt;</w:t>
      </w:r>
    </w:p>
    <w:p w14:paraId="41B4893E" w14:textId="17897BA7" w:rsidR="00EC15D5" w:rsidRDefault="00EC15D5" w:rsidP="00EC15D5"/>
    <w:p w14:paraId="105968D9" w14:textId="77777777" w:rsidR="00EC15D5" w:rsidRDefault="00EC15D5" w:rsidP="00EC15D5"/>
    <w:p w14:paraId="522F804D" w14:textId="77777777" w:rsidR="00EC15D5" w:rsidRPr="00EC15D5" w:rsidRDefault="00EC15D5" w:rsidP="00EC15D5"/>
    <w:p w14:paraId="31F640C7" w14:textId="77777777" w:rsidR="002156A3" w:rsidRPr="00EC15D5" w:rsidRDefault="002156A3" w:rsidP="00EC15D5">
      <w:pPr>
        <w:pStyle w:val="Questionstyle"/>
        <w:numPr>
          <w:ilvl w:val="0"/>
          <w:numId w:val="0"/>
        </w:numPr>
        <w:spacing w:after="250" w:line="276" w:lineRule="auto"/>
        <w:ind w:left="720" w:hanging="360"/>
      </w:pPr>
    </w:p>
    <w:bookmarkEnd w:id="0"/>
    <w:p w14:paraId="0FF02D24" w14:textId="77777777" w:rsidR="002156A3" w:rsidRDefault="002156A3" w:rsidP="00C1698A">
      <w:pPr>
        <w:spacing w:line="276" w:lineRule="auto"/>
        <w:rPr>
          <w:rFonts w:asciiTheme="minorHAnsi" w:hAnsiTheme="minorHAnsi" w:cstheme="minorHAnsi"/>
          <w:b/>
          <w:sz w:val="28"/>
          <w:szCs w:val="28"/>
        </w:rPr>
      </w:pPr>
    </w:p>
    <w:sectPr w:rsidR="002156A3" w:rsidSect="00C85C8B">
      <w:headerReference w:type="default" r:id="rId20"/>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6DF01" w14:textId="77777777" w:rsidR="00681115" w:rsidRDefault="00681115" w:rsidP="007E7997">
      <w:r>
        <w:separator/>
      </w:r>
    </w:p>
  </w:endnote>
  <w:endnote w:type="continuationSeparator" w:id="0">
    <w:p w14:paraId="46EA50F0" w14:textId="77777777" w:rsidR="00681115" w:rsidRDefault="00681115" w:rsidP="007E7997">
      <w:r>
        <w:continuationSeparator/>
      </w:r>
    </w:p>
  </w:endnote>
  <w:endnote w:type="continuationNotice" w:id="1">
    <w:p w14:paraId="133DB939" w14:textId="77777777" w:rsidR="00681115" w:rsidRDefault="006811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3915" w14:textId="10BE29B0"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5B467C">
      <w:rPr>
        <w:rFonts w:asciiTheme="majorHAnsi" w:hAnsiTheme="majorHAnsi"/>
        <w:color w:val="FFFFFF" w:themeColor="background1"/>
      </w:rPr>
      <w:t>1</w:t>
    </w:r>
    <w:r w:rsidR="006B391B">
      <w:rPr>
        <w:rFonts w:asciiTheme="majorHAnsi" w:hAnsiTheme="majorHAnsi"/>
        <w:color w:val="FFFFFF" w:themeColor="background1"/>
      </w:rPr>
      <w:t>1</w:t>
    </w:r>
    <w:r w:rsidR="00AB6157">
      <w:rPr>
        <w:rFonts w:asciiTheme="majorHAnsi" w:hAnsiTheme="majorHAnsi"/>
        <w:color w:val="FFFFFF" w:themeColor="background1"/>
      </w:rPr>
      <w:t xml:space="preserve"> </w:t>
    </w:r>
    <w:r w:rsidR="006B391B">
      <w:rPr>
        <w:rFonts w:asciiTheme="majorHAnsi" w:hAnsiTheme="majorHAnsi"/>
        <w:color w:val="FFFFFF" w:themeColor="background1"/>
      </w:rPr>
      <w:t>May</w:t>
    </w:r>
    <w:r w:rsidR="00AB6157">
      <w:rPr>
        <w:rFonts w:asciiTheme="majorHAnsi" w:hAnsiTheme="majorHAnsi"/>
        <w:color w:val="FFFFFF" w:themeColor="background1"/>
      </w:rPr>
      <w:t xml:space="preserve"> 20</w:t>
    </w:r>
    <w:r w:rsidR="006B391B">
      <w:rPr>
        <w:rFonts w:asciiTheme="majorHAnsi" w:hAnsiTheme="majorHAnsi"/>
        <w:color w:val="FFFFFF" w:themeColor="background1"/>
      </w:rPr>
      <w:t>21</w:t>
    </w:r>
    <w:r w:rsidR="00FF6930">
      <w:rPr>
        <w:rFonts w:asciiTheme="majorHAnsi" w:hAnsiTheme="majorHAnsi"/>
        <w:color w:val="FFFFFF" w:themeColor="background1"/>
      </w:rPr>
      <w:t xml:space="preserve"> </w:t>
    </w:r>
    <w:r w:rsidR="00FF6930" w:rsidRPr="005B467C">
      <w:rPr>
        <w:rFonts w:asciiTheme="majorHAnsi" w:hAnsiTheme="majorHAnsi"/>
        <w:color w:val="FFFFFF" w:themeColor="background1"/>
      </w:rPr>
      <w:t>ESMA</w:t>
    </w:r>
    <w:r w:rsidR="006B391B">
      <w:rPr>
        <w:rFonts w:asciiTheme="majorHAnsi" w:hAnsiTheme="majorHAnsi"/>
        <w:color w:val="FFFFFF" w:themeColor="background1"/>
      </w:rPr>
      <w:t xml:space="preserve"> | </w:t>
    </w:r>
    <w:hyperlink r:id="rId1" w:tgtFrame="_blank" w:history="1">
      <w:r w:rsidR="006B391B" w:rsidRPr="002702C7">
        <w:rPr>
          <w:rFonts w:asciiTheme="majorHAnsi" w:hAnsiTheme="majorHAnsi"/>
          <w:color w:val="FFFFFF" w:themeColor="background1"/>
        </w:rPr>
        <w:t>ESMA</w:t>
      </w:r>
      <w:r w:rsidR="006B391B">
        <w:rPr>
          <w:rFonts w:asciiTheme="majorHAnsi" w:hAnsiTheme="majorHAnsi"/>
          <w:color w:val="FFFFFF" w:themeColor="background1"/>
        </w:rPr>
        <w:t>70</w:t>
      </w:r>
    </w:hyperlink>
    <w:r w:rsidR="006B391B">
      <w:rPr>
        <w:rFonts w:asciiTheme="majorHAnsi" w:hAnsiTheme="majorHAnsi"/>
        <w:color w:val="FFFFFF" w:themeColor="background1"/>
      </w:rPr>
      <w:t>-156-4067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D24DC" w14:textId="77777777" w:rsidR="00681115" w:rsidRDefault="00681115" w:rsidP="007E7997">
      <w:r>
        <w:separator/>
      </w:r>
    </w:p>
  </w:footnote>
  <w:footnote w:type="continuationSeparator" w:id="0">
    <w:p w14:paraId="5EE05245" w14:textId="77777777" w:rsidR="00681115" w:rsidRDefault="00681115" w:rsidP="007E7997">
      <w:r>
        <w:continuationSeparator/>
      </w:r>
    </w:p>
  </w:footnote>
  <w:footnote w:type="continuationNotice" w:id="1">
    <w:p w14:paraId="318AECB9" w14:textId="77777777" w:rsidR="00681115" w:rsidRDefault="006811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91035" w14:textId="77777777" w:rsidR="00E36813" w:rsidRDefault="00E36813">
    <w:pPr>
      <w:pStyle w:val="Header"/>
    </w:pPr>
    <w:r>
      <w:rPr>
        <w:noProof/>
      </w:rPr>
      <w:drawing>
        <wp:anchor distT="0" distB="0" distL="114300" distR="114300" simplePos="0" relativeHeight="25165875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5" name="Picture 5"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9" name="Picture 9"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62336"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98370" id="Line 1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7216"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77777777" w:rsidR="00E36813" w:rsidRPr="00C3170E" w:rsidRDefault="00E36813" w:rsidP="00B50534">
    <w:pPr>
      <w:pStyle w:val="Header"/>
      <w:jc w:val="right"/>
      <w:rPr>
        <w:color w:val="2F5496" w:themeColor="accent5" w:themeShade="BF"/>
        <w:sz w:val="20"/>
      </w:rPr>
    </w:pP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71234"/>
    <w:multiLevelType w:val="hybridMultilevel"/>
    <w:tmpl w:val="95600B7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D1C8F"/>
    <w:multiLevelType w:val="hybridMultilevel"/>
    <w:tmpl w:val="4F6C4180"/>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06DE5"/>
    <w:multiLevelType w:val="multilevel"/>
    <w:tmpl w:val="7F2AD2EE"/>
    <w:lvl w:ilvl="0">
      <w:start w:val="1"/>
      <w:numFmt w:val="decimal"/>
      <w:pStyle w:val="Title1"/>
      <w:lvlText w:val="%1."/>
      <w:lvlJc w:val="left"/>
      <w:pPr>
        <w:ind w:left="360" w:hanging="360"/>
      </w:pPr>
    </w:lvl>
    <w:lvl w:ilvl="1">
      <w:start w:val="1"/>
      <w:numFmt w:val="decimal"/>
      <w:pStyle w:val="Title2"/>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D181D69"/>
    <w:multiLevelType w:val="hybridMultilevel"/>
    <w:tmpl w:val="0A189E10"/>
    <w:lvl w:ilvl="0" w:tplc="52DE78C0">
      <w:start w:val="1"/>
      <w:numFmt w:val="upperLetter"/>
      <w:pStyle w:val="ListParagraph"/>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39052AF"/>
    <w:multiLevelType w:val="hybridMultilevel"/>
    <w:tmpl w:val="99F8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2232B"/>
    <w:multiLevelType w:val="hybridMultilevel"/>
    <w:tmpl w:val="BA944B8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A7DC8"/>
    <w:multiLevelType w:val="hybridMultilevel"/>
    <w:tmpl w:val="38C66FF2"/>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1C0F6F"/>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0663CB"/>
    <w:multiLevelType w:val="hybridMultilevel"/>
    <w:tmpl w:val="B3F40CA6"/>
    <w:lvl w:ilvl="0" w:tplc="ACB06F0C">
      <w:start w:val="1"/>
      <w:numFmt w:val="bullet"/>
      <w:lvlText w:val=""/>
      <w:lvlJc w:val="left"/>
      <w:pPr>
        <w:ind w:left="360" w:hanging="360"/>
      </w:pPr>
      <w:rPr>
        <w:rFonts w:ascii="Symbol" w:hAnsi="Symbol" w:hint="default"/>
      </w:rPr>
    </w:lvl>
    <w:lvl w:ilvl="1" w:tplc="E7564B96">
      <w:start w:val="1"/>
      <w:numFmt w:val="bullet"/>
      <w:lvlText w:val="o"/>
      <w:lvlJc w:val="left"/>
      <w:pPr>
        <w:ind w:left="785"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7455BCB"/>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A732A2"/>
    <w:multiLevelType w:val="hybridMultilevel"/>
    <w:tmpl w:val="7E46BA8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B2698E"/>
    <w:multiLevelType w:val="hybridMultilevel"/>
    <w:tmpl w:val="12B6401A"/>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8508FC"/>
    <w:multiLevelType w:val="hybridMultilevel"/>
    <w:tmpl w:val="87D8DCA8"/>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F4367C"/>
    <w:multiLevelType w:val="hybridMultilevel"/>
    <w:tmpl w:val="E8BC2FAE"/>
    <w:lvl w:ilvl="0" w:tplc="08090001">
      <w:start w:val="1"/>
      <w:numFmt w:val="bullet"/>
      <w:lvlText w:val=""/>
      <w:lvlJc w:val="left"/>
      <w:pPr>
        <w:ind w:left="928" w:hanging="360"/>
      </w:pPr>
      <w:rPr>
        <w:rFonts w:ascii="Symbol" w:hAnsi="Symbol" w:hint="default"/>
      </w:r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105866"/>
    <w:multiLevelType w:val="hybridMultilevel"/>
    <w:tmpl w:val="93D60914"/>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7B3358"/>
    <w:multiLevelType w:val="hybridMultilevel"/>
    <w:tmpl w:val="B56C732E"/>
    <w:lvl w:ilvl="0" w:tplc="AB4E7026">
      <w:start w:val="1"/>
      <w:numFmt w:val="decimal"/>
      <w:lvlText w:val="Q%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71494B32"/>
    <w:multiLevelType w:val="hybridMultilevel"/>
    <w:tmpl w:val="066A8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D76F3F"/>
    <w:multiLevelType w:val="hybridMultilevel"/>
    <w:tmpl w:val="221AC284"/>
    <w:lvl w:ilvl="0" w:tplc="E0F01CF2">
      <w:start w:val="1"/>
      <w:numFmt w:val="decimal"/>
      <w:pStyle w:val="Questionstyle"/>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145C8C"/>
    <w:multiLevelType w:val="hybridMultilevel"/>
    <w:tmpl w:val="D2744510"/>
    <w:lvl w:ilvl="0" w:tplc="F82C7A26">
      <w:start w:val="1"/>
      <w:numFmt w:val="decimal"/>
      <w:lvlText w:val="%1."/>
      <w:lvlJc w:val="left"/>
      <w:pPr>
        <w:ind w:left="928" w:hanging="360"/>
      </w:pPr>
    </w:lvl>
    <w:lvl w:ilvl="1" w:tplc="8D4AE69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2"/>
  </w:num>
  <w:num w:numId="3">
    <w:abstractNumId w:val="19"/>
  </w:num>
  <w:num w:numId="4">
    <w:abstractNumId w:val="3"/>
  </w:num>
  <w:num w:numId="5">
    <w:abstractNumId w:val="11"/>
  </w:num>
  <w:num w:numId="6">
    <w:abstractNumId w:val="21"/>
  </w:num>
  <w:num w:numId="7">
    <w:abstractNumId w:val="10"/>
  </w:num>
  <w:num w:numId="8">
    <w:abstractNumId w:val="4"/>
  </w:num>
  <w:num w:numId="9">
    <w:abstractNumId w:val="7"/>
  </w:num>
  <w:num w:numId="10">
    <w:abstractNumId w:val="6"/>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16"/>
  </w:num>
  <w:num w:numId="16">
    <w:abstractNumId w:val="2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21"/>
  </w:num>
  <w:num w:numId="20">
    <w:abstractNumId w:val="9"/>
  </w:num>
  <w:num w:numId="21">
    <w:abstractNumId w:val="18"/>
  </w:num>
  <w:num w:numId="22">
    <w:abstractNumId w:val="12"/>
  </w:num>
  <w:num w:numId="23">
    <w:abstractNumId w:val="15"/>
  </w:num>
  <w:num w:numId="24">
    <w:abstractNumId w:val="0"/>
  </w:num>
  <w:num w:numId="25">
    <w:abstractNumId w:val="14"/>
  </w:num>
  <w:num w:numId="26">
    <w:abstractNumId w:val="13"/>
  </w:num>
  <w:num w:numId="27">
    <w:abstractNumId w:val="8"/>
  </w:num>
  <w:num w:numId="28">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attachedTemplate r:id="rId1"/>
  <w:documentProtection w:edit="readOnly" w:enforcement="1" w:cryptProviderType="rsaAES" w:cryptAlgorithmClass="hash" w:cryptAlgorithmType="typeAny" w:cryptAlgorithmSid="14" w:cryptSpinCount="100000" w:hash="qMSn174yPGdF0fTsKoESCCeXSm1qSIFoCvEVL6ZmW+DaJbh6rrpnvsGUVjLF37zBw/A0o7r28KzOkCibZRNcCQ==" w:salt="5nK5aPihRfzKiJhhkvExQ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093"/>
    <w:rsid w:val="000921E6"/>
    <w:rsid w:val="00093239"/>
    <w:rsid w:val="000A03C9"/>
    <w:rsid w:val="000A12CC"/>
    <w:rsid w:val="000A2738"/>
    <w:rsid w:val="000A2DF1"/>
    <w:rsid w:val="000A3D10"/>
    <w:rsid w:val="000A409B"/>
    <w:rsid w:val="000A66FC"/>
    <w:rsid w:val="000A741E"/>
    <w:rsid w:val="000B1615"/>
    <w:rsid w:val="000B2AAF"/>
    <w:rsid w:val="000B2E26"/>
    <w:rsid w:val="000B5D3D"/>
    <w:rsid w:val="000C0CE0"/>
    <w:rsid w:val="000C2400"/>
    <w:rsid w:val="000C299C"/>
    <w:rsid w:val="000C5ACC"/>
    <w:rsid w:val="000D0293"/>
    <w:rsid w:val="000D0850"/>
    <w:rsid w:val="000D1038"/>
    <w:rsid w:val="000D11A9"/>
    <w:rsid w:val="000D2D7B"/>
    <w:rsid w:val="000D515A"/>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82B3A"/>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3013B7"/>
    <w:rsid w:val="00301993"/>
    <w:rsid w:val="00301E55"/>
    <w:rsid w:val="00307397"/>
    <w:rsid w:val="003101EF"/>
    <w:rsid w:val="00312BDD"/>
    <w:rsid w:val="00314117"/>
    <w:rsid w:val="00317EDF"/>
    <w:rsid w:val="003279E7"/>
    <w:rsid w:val="00327B62"/>
    <w:rsid w:val="00331FE9"/>
    <w:rsid w:val="0033324D"/>
    <w:rsid w:val="0033587C"/>
    <w:rsid w:val="00336BF9"/>
    <w:rsid w:val="003371E8"/>
    <w:rsid w:val="00337471"/>
    <w:rsid w:val="0034151D"/>
    <w:rsid w:val="00342B5B"/>
    <w:rsid w:val="00343532"/>
    <w:rsid w:val="00345469"/>
    <w:rsid w:val="003454ED"/>
    <w:rsid w:val="00345EB9"/>
    <w:rsid w:val="0035030F"/>
    <w:rsid w:val="003519DD"/>
    <w:rsid w:val="00353C4B"/>
    <w:rsid w:val="003545A6"/>
    <w:rsid w:val="00356C60"/>
    <w:rsid w:val="003578D1"/>
    <w:rsid w:val="00363639"/>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6D62"/>
    <w:rsid w:val="00427A89"/>
    <w:rsid w:val="00430C5B"/>
    <w:rsid w:val="00431968"/>
    <w:rsid w:val="00433936"/>
    <w:rsid w:val="0043475E"/>
    <w:rsid w:val="00435269"/>
    <w:rsid w:val="00435FE9"/>
    <w:rsid w:val="00436279"/>
    <w:rsid w:val="0044199E"/>
    <w:rsid w:val="0044206D"/>
    <w:rsid w:val="00444803"/>
    <w:rsid w:val="00445696"/>
    <w:rsid w:val="00446E5F"/>
    <w:rsid w:val="00450C4E"/>
    <w:rsid w:val="00455577"/>
    <w:rsid w:val="00456795"/>
    <w:rsid w:val="0046150E"/>
    <w:rsid w:val="00461CC8"/>
    <w:rsid w:val="00462B2F"/>
    <w:rsid w:val="00462E09"/>
    <w:rsid w:val="00465EAA"/>
    <w:rsid w:val="004708CA"/>
    <w:rsid w:val="004709E7"/>
    <w:rsid w:val="00470ADE"/>
    <w:rsid w:val="004712C7"/>
    <w:rsid w:val="004759EB"/>
    <w:rsid w:val="00477919"/>
    <w:rsid w:val="00482611"/>
    <w:rsid w:val="00482A27"/>
    <w:rsid w:val="00487DCE"/>
    <w:rsid w:val="00490F0C"/>
    <w:rsid w:val="004950B7"/>
    <w:rsid w:val="00497FEA"/>
    <w:rsid w:val="004A75F5"/>
    <w:rsid w:val="004B07B2"/>
    <w:rsid w:val="004B0955"/>
    <w:rsid w:val="004B143D"/>
    <w:rsid w:val="004B1842"/>
    <w:rsid w:val="004B25D0"/>
    <w:rsid w:val="004B3553"/>
    <w:rsid w:val="004B5E92"/>
    <w:rsid w:val="004C0A30"/>
    <w:rsid w:val="004C357C"/>
    <w:rsid w:val="004C3D18"/>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3974"/>
    <w:rsid w:val="00526E5D"/>
    <w:rsid w:val="00531432"/>
    <w:rsid w:val="00532BC8"/>
    <w:rsid w:val="005333E8"/>
    <w:rsid w:val="00534912"/>
    <w:rsid w:val="005370E7"/>
    <w:rsid w:val="005409B7"/>
    <w:rsid w:val="00545E62"/>
    <w:rsid w:val="00551070"/>
    <w:rsid w:val="00552C8A"/>
    <w:rsid w:val="00555156"/>
    <w:rsid w:val="0055535B"/>
    <w:rsid w:val="00560A96"/>
    <w:rsid w:val="005619CB"/>
    <w:rsid w:val="00561B71"/>
    <w:rsid w:val="00561F98"/>
    <w:rsid w:val="00564607"/>
    <w:rsid w:val="00565193"/>
    <w:rsid w:val="005725BD"/>
    <w:rsid w:val="005730B0"/>
    <w:rsid w:val="00575DCC"/>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6E02"/>
    <w:rsid w:val="00641DB1"/>
    <w:rsid w:val="00642297"/>
    <w:rsid w:val="00644A34"/>
    <w:rsid w:val="00654824"/>
    <w:rsid w:val="00661766"/>
    <w:rsid w:val="00662882"/>
    <w:rsid w:val="0066298C"/>
    <w:rsid w:val="00663008"/>
    <w:rsid w:val="00663093"/>
    <w:rsid w:val="00665A7C"/>
    <w:rsid w:val="00665B0B"/>
    <w:rsid w:val="00666615"/>
    <w:rsid w:val="006705CD"/>
    <w:rsid w:val="00671363"/>
    <w:rsid w:val="00672780"/>
    <w:rsid w:val="00672842"/>
    <w:rsid w:val="00676CFC"/>
    <w:rsid w:val="00677133"/>
    <w:rsid w:val="00681115"/>
    <w:rsid w:val="00681482"/>
    <w:rsid w:val="00687BF0"/>
    <w:rsid w:val="006904CF"/>
    <w:rsid w:val="006912FB"/>
    <w:rsid w:val="0069152E"/>
    <w:rsid w:val="00695AF2"/>
    <w:rsid w:val="00696A2B"/>
    <w:rsid w:val="00696BD5"/>
    <w:rsid w:val="006A04AE"/>
    <w:rsid w:val="006A0AE4"/>
    <w:rsid w:val="006A23F3"/>
    <w:rsid w:val="006A2CF3"/>
    <w:rsid w:val="006A5047"/>
    <w:rsid w:val="006A7A10"/>
    <w:rsid w:val="006B0DA4"/>
    <w:rsid w:val="006B1B6B"/>
    <w:rsid w:val="006B2C57"/>
    <w:rsid w:val="006B391B"/>
    <w:rsid w:val="006B79E0"/>
    <w:rsid w:val="006C0B2D"/>
    <w:rsid w:val="006C1633"/>
    <w:rsid w:val="006C5BF8"/>
    <w:rsid w:val="006C7CCB"/>
    <w:rsid w:val="006D6009"/>
    <w:rsid w:val="006D7D41"/>
    <w:rsid w:val="006E2F4D"/>
    <w:rsid w:val="006E3FDD"/>
    <w:rsid w:val="006E58FB"/>
    <w:rsid w:val="006E5D82"/>
    <w:rsid w:val="006E66B2"/>
    <w:rsid w:val="006E6C50"/>
    <w:rsid w:val="006E7A69"/>
    <w:rsid w:val="006E7DE4"/>
    <w:rsid w:val="006F53E8"/>
    <w:rsid w:val="006F5FB8"/>
    <w:rsid w:val="0070017B"/>
    <w:rsid w:val="0070427E"/>
    <w:rsid w:val="00704D53"/>
    <w:rsid w:val="007056C3"/>
    <w:rsid w:val="00706072"/>
    <w:rsid w:val="00713644"/>
    <w:rsid w:val="00721256"/>
    <w:rsid w:val="007217AD"/>
    <w:rsid w:val="00723BA1"/>
    <w:rsid w:val="00724A1B"/>
    <w:rsid w:val="0073173E"/>
    <w:rsid w:val="007319C3"/>
    <w:rsid w:val="00733560"/>
    <w:rsid w:val="0073454F"/>
    <w:rsid w:val="00735C00"/>
    <w:rsid w:val="007364C6"/>
    <w:rsid w:val="00740BF3"/>
    <w:rsid w:val="00741D5C"/>
    <w:rsid w:val="0074352F"/>
    <w:rsid w:val="00747C5E"/>
    <w:rsid w:val="00750210"/>
    <w:rsid w:val="00754B57"/>
    <w:rsid w:val="0075671D"/>
    <w:rsid w:val="0076002F"/>
    <w:rsid w:val="0076038B"/>
    <w:rsid w:val="00761744"/>
    <w:rsid w:val="00764582"/>
    <w:rsid w:val="00765FA3"/>
    <w:rsid w:val="00766961"/>
    <w:rsid w:val="00766B5A"/>
    <w:rsid w:val="00770C33"/>
    <w:rsid w:val="007741C3"/>
    <w:rsid w:val="00777BE0"/>
    <w:rsid w:val="00780923"/>
    <w:rsid w:val="0078131F"/>
    <w:rsid w:val="007844C6"/>
    <w:rsid w:val="007876EF"/>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E08"/>
    <w:rsid w:val="007D0002"/>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3000"/>
    <w:rsid w:val="00835805"/>
    <w:rsid w:val="0083595F"/>
    <w:rsid w:val="008372B6"/>
    <w:rsid w:val="00843A1A"/>
    <w:rsid w:val="00846433"/>
    <w:rsid w:val="008472C2"/>
    <w:rsid w:val="00850B43"/>
    <w:rsid w:val="008510D9"/>
    <w:rsid w:val="00851EE3"/>
    <w:rsid w:val="00853121"/>
    <w:rsid w:val="008555E4"/>
    <w:rsid w:val="00861AEE"/>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2460B"/>
    <w:rsid w:val="00931889"/>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96106"/>
    <w:rsid w:val="00996C8B"/>
    <w:rsid w:val="009A0054"/>
    <w:rsid w:val="009A0F6E"/>
    <w:rsid w:val="009A5548"/>
    <w:rsid w:val="009B25C1"/>
    <w:rsid w:val="009B39FE"/>
    <w:rsid w:val="009B7B79"/>
    <w:rsid w:val="009C0383"/>
    <w:rsid w:val="009C145B"/>
    <w:rsid w:val="009C3E04"/>
    <w:rsid w:val="009C4FB0"/>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A02199"/>
    <w:rsid w:val="00A026A4"/>
    <w:rsid w:val="00A04044"/>
    <w:rsid w:val="00A11D0C"/>
    <w:rsid w:val="00A16579"/>
    <w:rsid w:val="00A24843"/>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5BA8"/>
    <w:rsid w:val="00B0741D"/>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76BDE"/>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C2561"/>
    <w:rsid w:val="00BC3E3E"/>
    <w:rsid w:val="00BC422A"/>
    <w:rsid w:val="00BC5128"/>
    <w:rsid w:val="00BC5608"/>
    <w:rsid w:val="00BD04C9"/>
    <w:rsid w:val="00BD3536"/>
    <w:rsid w:val="00BD37FD"/>
    <w:rsid w:val="00BE0B46"/>
    <w:rsid w:val="00BE225E"/>
    <w:rsid w:val="00BE237E"/>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A53"/>
    <w:rsid w:val="00C709F9"/>
    <w:rsid w:val="00C73A70"/>
    <w:rsid w:val="00C76054"/>
    <w:rsid w:val="00C779A2"/>
    <w:rsid w:val="00C80546"/>
    <w:rsid w:val="00C83CAD"/>
    <w:rsid w:val="00C8419E"/>
    <w:rsid w:val="00C851D7"/>
    <w:rsid w:val="00C85C8B"/>
    <w:rsid w:val="00C867AD"/>
    <w:rsid w:val="00C87F9F"/>
    <w:rsid w:val="00C9545D"/>
    <w:rsid w:val="00C9625C"/>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3D59"/>
    <w:rsid w:val="00D24194"/>
    <w:rsid w:val="00D2460F"/>
    <w:rsid w:val="00D2590F"/>
    <w:rsid w:val="00D27150"/>
    <w:rsid w:val="00D27EB3"/>
    <w:rsid w:val="00D35E02"/>
    <w:rsid w:val="00D378C9"/>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3338"/>
    <w:rsid w:val="00D775F3"/>
    <w:rsid w:val="00D77868"/>
    <w:rsid w:val="00D77F25"/>
    <w:rsid w:val="00D84C2A"/>
    <w:rsid w:val="00D9064B"/>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240F5"/>
    <w:rsid w:val="00E30004"/>
    <w:rsid w:val="00E333AC"/>
    <w:rsid w:val="00E3456B"/>
    <w:rsid w:val="00E35C16"/>
    <w:rsid w:val="00E36085"/>
    <w:rsid w:val="00E36813"/>
    <w:rsid w:val="00E42382"/>
    <w:rsid w:val="00E603DF"/>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15D5"/>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22013"/>
    <w:rsid w:val="00F22356"/>
    <w:rsid w:val="00F226E0"/>
    <w:rsid w:val="00F2522F"/>
    <w:rsid w:val="00F30180"/>
    <w:rsid w:val="00F31A29"/>
    <w:rsid w:val="00F3279A"/>
    <w:rsid w:val="00F37236"/>
    <w:rsid w:val="00F44634"/>
    <w:rsid w:val="00F505EC"/>
    <w:rsid w:val="00F5088F"/>
    <w:rsid w:val="00F51657"/>
    <w:rsid w:val="00F5223C"/>
    <w:rsid w:val="00F57787"/>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15:docId w15:val="{623B9E68-3536-4AAD-8A38-AE12768B4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5D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3"/>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3"/>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3"/>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3"/>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4"/>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3"/>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3"/>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3"/>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3"/>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numId w:val="2"/>
      </w:numPr>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
    <w:basedOn w:val="Normal"/>
    <w:link w:val="ListParagraphChar"/>
    <w:autoRedefine/>
    <w:uiPriority w:val="34"/>
    <w:qFormat/>
    <w:rsid w:val="00695AF2"/>
    <w:pPr>
      <w:numPr>
        <w:numId w:val="8"/>
      </w:numPr>
      <w:tabs>
        <w:tab w:val="left" w:pos="0"/>
        <w:tab w:val="left" w:pos="142"/>
        <w:tab w:val="left" w:pos="284"/>
        <w:tab w:val="left" w:pos="567"/>
      </w:tabs>
      <w:autoSpaceDE w:val="0"/>
      <w:autoSpaceDN w:val="0"/>
      <w:adjustRightInd w:val="0"/>
      <w:spacing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2"/>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numPr>
        <w:ilvl w:val="1"/>
        <w:numId w:val="1"/>
      </w:num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F77851"/>
    <w:pPr>
      <w:numPr>
        <w:numId w:val="6"/>
      </w:numPr>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F77851"/>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5"/>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
    <w:basedOn w:val="DefaultParagraphFont"/>
    <w:link w:val="ListParagraph"/>
    <w:uiPriority w:val="34"/>
    <w:rsid w:val="00695AF2"/>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627320154">
          <w:marLeft w:val="547"/>
          <w:marRight w:val="0"/>
          <w:marTop w:val="120"/>
          <w:marBottom w:val="120"/>
          <w:divBdr>
            <w:top w:val="none" w:sz="0" w:space="0" w:color="auto"/>
            <w:left w:val="none" w:sz="0" w:space="0" w:color="auto"/>
            <w:bottom w:val="none" w:sz="0" w:space="0" w:color="auto"/>
            <w:right w:val="none" w:sz="0" w:space="0" w:color="auto"/>
          </w:divBdr>
        </w:div>
        <w:div w:id="437221792">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467972504">
          <w:marLeft w:val="547"/>
          <w:marRight w:val="0"/>
          <w:marTop w:val="120"/>
          <w:marBottom w:val="120"/>
          <w:divBdr>
            <w:top w:val="none" w:sz="0" w:space="0" w:color="auto"/>
            <w:left w:val="none" w:sz="0" w:space="0" w:color="auto"/>
            <w:bottom w:val="none" w:sz="0" w:space="0" w:color="auto"/>
            <w:right w:val="none" w:sz="0" w:space="0" w:color="auto"/>
          </w:divBdr>
        </w:div>
        <w:div w:id="1093010987">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554805026">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910724800">
          <w:marLeft w:val="547"/>
          <w:marRight w:val="0"/>
          <w:marTop w:val="120"/>
          <w:marBottom w:val="120"/>
          <w:divBdr>
            <w:top w:val="none" w:sz="0" w:space="0" w:color="auto"/>
            <w:left w:val="none" w:sz="0" w:space="0" w:color="auto"/>
            <w:bottom w:val="none" w:sz="0" w:space="0" w:color="auto"/>
            <w:right w:val="none" w:sz="0" w:space="0" w:color="auto"/>
          </w:divBdr>
        </w:div>
        <w:div w:id="1334718046">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1322007622">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384447457">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esm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sherpa.esma.europa.eu/sites/MKT/SMK/_layouts/15/DocIdRedir.aspx?ID=ESMA70-156-14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isovskij\Desktop\Template%20to%20Upload\Guidelines%20and%20Recommendations%20Templates\GuidelinesAndRecommendations_Template_Reg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20fbe147-bbda-4e53-b6b1-7e8bbff3fe19">ESMA70-156-4577</_dlc_DocId>
    <TaxCatchAll xmlns="20fbe147-bbda-4e53-b6b1-7e8bbff3fe19">
      <Value>48</Value>
      <Value>5</Value>
      <Value>14</Value>
      <Value>12</Value>
      <Value>384</Value>
    </TaxCatchAll>
    <_dlc_DocIdUrl xmlns="20fbe147-bbda-4e53-b6b1-7e8bbff3fe19">
      <Url>https://sherpa.esma.europa.eu/sites/MKT/SMK/_layouts/15/DocIdRedir.aspx?ID=ESMA70-156-4577</Url>
      <Description>ESMA70-156-4577</Description>
    </_dlc_DocIdUrl>
    <Year xmlns="20fbe147-bbda-4e53-b6b1-7e8bbff3fe19">2020</Year>
    <MeetingDate xmlns="20fbe147-bbda-4e53-b6b1-7e8bbff3fe19" xsi:nil="true"/>
    <IconOverlay xmlns="http://schemas.microsoft.com/sharepoint/v4" xsi:nil="true"/>
    <caa5aeb1a6644849b60fbe2335e12657 xmlns="20fbe147-bbda-4e53-b6b1-7e8bbff3fe19">
      <Terms xmlns="http://schemas.microsoft.com/office/infopath/2007/PartnerControls">
        <TermInfo xmlns="http://schemas.microsoft.com/office/infopath/2007/PartnerControls">
          <TermName xmlns="http://schemas.microsoft.com/office/infopath/2007/PartnerControls">Commodity</TermName>
          <TermId xmlns="http://schemas.microsoft.com/office/infopath/2007/PartnerControls">729cc5dc-fc40-4e6f-89b7-0bed773f437e</TermId>
        </TermInfo>
      </Terms>
    </caa5aeb1a6644849b60fbe2335e12657>
    <bce29119141747ccb9ac7d87218ed4af xmlns="20fbe147-bbda-4e53-b6b1-7e8bbff3fe19">
      <Terms xmlns="http://schemas.microsoft.com/office/infopath/2007/PartnerControls">
        <TermInfo xmlns="http://schemas.microsoft.com/office/infopath/2007/PartnerControls">
          <TermName xmlns="http://schemas.microsoft.com/office/infopath/2007/PartnerControls">Secondary Markets</TermName>
          <TermId xmlns="http://schemas.microsoft.com/office/infopath/2007/PartnerControls">64c18f63-8e0f-46d8-84d6-b5a5f7a39938</TermId>
        </TermInfo>
      </Terms>
    </bce29119141747ccb9ac7d87218ed4af>
    <j69a081f486747f6ac8a5aeed63facfd xmlns="20fbe147-bbda-4e53-b6b1-7e8bbff3fe19">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j69a081f486747f6ac8a5aeed63facfd>
    <a9b3b1dad23b4ba58c3f3e36a96e1d9c xmlns="20fbe147-bbda-4e53-b6b1-7e8bbff3fe19">
      <Terms xmlns="http://schemas.microsoft.com/office/infopath/2007/PartnerControls"/>
    </a9b3b1dad23b4ba58c3f3e36a96e1d9c>
    <n644e5dfaa29486bad4a4fc019c6d2df xmlns="20fbe147-bbda-4e53-b6b1-7e8bbff3fe19">
      <Terms xmlns="http://schemas.microsoft.com/office/infopath/2007/PartnerControls">
        <TermInfo xmlns="http://schemas.microsoft.com/office/infopath/2007/PartnerControls">
          <TermName xmlns="http://schemas.microsoft.com/office/infopath/2007/PartnerControls">Commodity - Amendment RTS 21</TermName>
          <TermId xmlns="http://schemas.microsoft.com/office/infopath/2007/PartnerControls">57d21c49-400b-4151-a958-bb4978c24367</TermId>
        </TermInfo>
      </Terms>
    </n644e5dfaa29486bad4a4fc019c6d2df>
    <eed0a0b2ea6941718a34434e243f3d8f xmlns="20fbe147-bbda-4e53-b6b1-7e8bbff3fe1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78753201-1e9e-4a21-a088-6ff602b5c999</TermId>
        </TermInfo>
      </Terms>
    </eed0a0b2ea6941718a34434e243f3d8f>
  </documentManagement>
</p:properties>
</file>

<file path=customXml/item4.xml><?xml version="1.0" encoding="utf-8"?>
<ct:contentTypeSchema xmlns:ct="http://schemas.microsoft.com/office/2006/metadata/contentType" xmlns:ma="http://schemas.microsoft.com/office/2006/metadata/properties/metaAttributes" ct:_="" ma:_="" ma:contentTypeName="Policy Document" ma:contentTypeID="0x01010001BD15C3986B91498E0AE644B715B9EE010D00757D222C6B0DA241B5F74437644107D4" ma:contentTypeVersion="16" ma:contentTypeDescription="" ma:contentTypeScope="" ma:versionID="60d58daf62131746c3ac1b9b4e2bb79e">
  <xsd:schema xmlns:xsd="http://www.w3.org/2001/XMLSchema" xmlns:xs="http://www.w3.org/2001/XMLSchema" xmlns:p="http://schemas.microsoft.com/office/2006/metadata/properties" xmlns:ns1="http://schemas.microsoft.com/sharepoint/v3" xmlns:ns2="20fbe147-bbda-4e53-b6b1-7e8bbff3fe19" xmlns:ns3="http://schemas.microsoft.com/sharepoint/v4" targetNamespace="http://schemas.microsoft.com/office/2006/metadata/properties" ma:root="true" ma:fieldsID="784e366caaeed31c75d3039e996262f4" ns1:_="" ns2:_="" ns3:_="">
    <xsd:import namespace="http://schemas.microsoft.com/sharepoint/v3"/>
    <xsd:import namespace="20fbe147-bbda-4e53-b6b1-7e8bbff3fe19"/>
    <xsd:import namespace="http://schemas.microsoft.com/sharepoint/v4"/>
    <xsd:element name="properties">
      <xsd:complexType>
        <xsd:sequence>
          <xsd:element name="documentManagement">
            <xsd:complexType>
              <xsd:all>
                <xsd:element ref="ns2:_dlc_DocIdPersistId" minOccurs="0"/>
                <xsd:element ref="ns2:TaxCatchAll" minOccurs="0"/>
                <xsd:element ref="ns2:TaxCatchAllLabel" minOccurs="0"/>
                <xsd:element ref="ns2:_dlc_DocId" minOccurs="0"/>
                <xsd:element ref="ns2:_dlc_DocIdUrl" minOccurs="0"/>
                <xsd:element ref="ns2:caa5aeb1a6644849b60fbe2335e12657" minOccurs="0"/>
                <xsd:element ref="ns2:n644e5dfaa29486bad4a4fc019c6d2df" minOccurs="0"/>
                <xsd:element ref="ns2:bce29119141747ccb9ac7d87218ed4af" minOccurs="0"/>
                <xsd:element ref="ns3:IconOverlay" minOccurs="0"/>
                <xsd:element ref="ns2:eed0a0b2ea6941718a34434e243f3d8f" minOccurs="0"/>
                <xsd:element ref="ns2:j69a081f486747f6ac8a5aeed63facfd" minOccurs="0"/>
                <xsd:element ref="ns2:Year"/>
                <xsd:element ref="ns2:a9b3b1dad23b4ba58c3f3e36a96e1d9c" minOccurs="0"/>
                <xsd:element ref="ns2:MeetingDate"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8" nillable="true" ma:displayName="Declared Record" ma:hidden="true" ma:internalName="_vti_ItemDeclaredRecord" ma:readOnly="true">
      <xsd:simpleType>
        <xsd:restriction base="dms:DateTime"/>
      </xsd:simpleType>
    </xsd:element>
    <xsd:element name="_vti_ItemHoldRecordStatus" ma:index="2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fbe147-bbda-4e53-b6b1-7e8bbff3fe19" elementFormDefault="qualified">
    <xsd:import namespace="http://schemas.microsoft.com/office/2006/documentManagement/types"/>
    <xsd:import namespace="http://schemas.microsoft.com/office/infopath/2007/PartnerControls"/>
    <xsd:element name="_dlc_DocIdPersistId" ma:index="4" nillable="true" ma:displayName="Persist ID" ma:description="Keep ID on add." ma:hidden="true" ma:internalName="_dlc_DocIdPersistId" ma:readOnly="true">
      <xsd:simpleType>
        <xsd:restriction base="dms:Boolean"/>
      </xsd:simpleType>
    </xsd:element>
    <xsd:element name="TaxCatchAll" ma:index="5" nillable="true" ma:displayName="Taxonomy Catch All Column" ma:hidden="true" ma:list="{c38c24d3-2590-4616-bee0-79d7eeedacac}" ma:internalName="TaxCatchAll" ma:showField="CatchAllData"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c38c24d3-2590-4616-bee0-79d7eeedacac}" ma:internalName="TaxCatchAllLabel" ma:readOnly="true" ma:showField="CatchAllDataLabel" ma:web="20fbe147-bbda-4e53-b6b1-7e8bbff3fe19">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a5aeb1a6644849b60fbe2335e12657" ma:index="12" ma:taxonomy="true" ma:internalName="caa5aeb1a6644849b60fbe2335e12657" ma:taxonomyFieldName="Topic" ma:displayName="Topic" ma:default="" ma:fieldId="{caa5aeb1-a664-4849-b60f-be2335e12657}" ma:sspId="0ac1876e-32bf-4158-94e7-cdbcd053a335" ma:termSetId="7b949606-90e2-4f49-8484-424f131284b3" ma:anchorId="00000000-0000-0000-0000-000000000000" ma:open="false" ma:isKeyword="false">
      <xsd:complexType>
        <xsd:sequence>
          <xsd:element ref="pc:Terms" minOccurs="0" maxOccurs="1"/>
        </xsd:sequence>
      </xsd:complexType>
    </xsd:element>
    <xsd:element name="n644e5dfaa29486bad4a4fc019c6d2df" ma:index="14" nillable="true" ma:taxonomy="true" ma:internalName="n644e5dfaa29486bad4a4fc019c6d2df" ma:taxonomyFieldName="SubTopic" ma:displayName="Sub Topic" ma:readOnly="false" ma:default="" ma:fieldId="{7644e5df-aa29-486b-ad4a-4fc019c6d2df}" ma:sspId="0ac1876e-32bf-4158-94e7-cdbcd053a335" ma:termSetId="c9d88329-36bd-4ba5-881c-dae898303a52" ma:anchorId="00000000-0000-0000-0000-000000000000" ma:open="false" ma:isKeyword="false">
      <xsd:complexType>
        <xsd:sequence>
          <xsd:element ref="pc:Terms" minOccurs="0" maxOccurs="1"/>
        </xsd:sequence>
      </xsd:complexType>
    </xsd:element>
    <xsd:element name="bce29119141747ccb9ac7d87218ed4af" ma:index="16" ma:taxonomy="true" ma:internalName="bce29119141747ccb9ac7d87218ed4af" ma:taxonomyFieldName="TeamName" ma:displayName="Team Name" ma:readOnly="false" ma:default="5;#Secondary Markets|64c18f63-8e0f-46d8-84d6-b5a5f7a39938" ma:fieldId="{bce29119-1417-47cc-b9ac-7d87218ed4af}"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eed0a0b2ea6941718a34434e243f3d8f" ma:index="19" ma:taxonomy="true" ma:internalName="eed0a0b2ea6941718a34434e243f3d8f" ma:taxonomyFieldName="DocumentType" ma:displayName="Document Type" ma:readOnly="false" ma:default="1;#Report / Note;Note|b9e1c92e-303a-4555-86f0-5c711c65937e" ma:fieldId="{eed0a0b2-ea69-4171-8a34-434e243f3d8f}"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j69a081f486747f6ac8a5aeed63facfd" ma:index="21" ma:taxonomy="true" ma:internalName="j69a081f486747f6ac8a5aeed63facfd" ma:taxonomyFieldName="ConfidentialityLevel" ma:displayName="Confidentiality Level" ma:readOnly="false" ma:default="14;#Regular|07f1e362-856b-423d-bea6-a14079762141" ma:fieldId="{369a081f-4867-47f6-ac8a-5aeed63facfd}"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Year" ma:index="23" ma:displayName="Year" ma:description="" ma:internalName="Year" ma:readOnly="false">
      <xsd:simpleType>
        <xsd:restriction base="dms:Text">
          <xsd:maxLength value="4"/>
        </xsd:restriction>
      </xsd:simpleType>
    </xsd:element>
    <xsd:element name="a9b3b1dad23b4ba58c3f3e36a96e1d9c" ma:index="24" nillable="true" ma:taxonomy="true" ma:internalName="a9b3b1dad23b4ba58c3f3e36a96e1d9c" ma:taxonomyFieldName="EsmaAudience" ma:displayName="Audience" ma:readOnly="false" ma:default="" ma:fieldId="{a9b3b1da-d23b-4ba5-8c3f-3e36a96e1d9c}"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MeetingDate" ma:index="26" nillable="true" ma:displayName="Meeting Date" ma:description="" ma:format="DateOnly" ma:internalName="Meeting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80F4C4-F0A0-4061-B9D6-D46D7D39BCD2}">
  <ds:schemaRefs>
    <ds:schemaRef ds:uri="http://schemas.openxmlformats.org/officeDocument/2006/bibliography"/>
  </ds:schemaRefs>
</ds:datastoreItem>
</file>

<file path=customXml/itemProps2.xml><?xml version="1.0" encoding="utf-8"?>
<ds:datastoreItem xmlns:ds="http://schemas.openxmlformats.org/officeDocument/2006/customXml" ds:itemID="{FC2455EB-3D3A-4C02-9873-6A72D376E4F0}">
  <ds:schemaRefs>
    <ds:schemaRef ds:uri="http://schemas.microsoft.com/sharepoint/v3/contenttype/forms"/>
  </ds:schemaRefs>
</ds:datastoreItem>
</file>

<file path=customXml/itemProps3.xml><?xml version="1.0" encoding="utf-8"?>
<ds:datastoreItem xmlns:ds="http://schemas.openxmlformats.org/officeDocument/2006/customXml" ds:itemID="{8337F5EE-E87B-49CE-96B5-F95CE63A0DF2}">
  <ds:schemaRefs>
    <ds:schemaRef ds:uri="http://schemas.microsoft.com/office/2006/metadata/properties"/>
    <ds:schemaRef ds:uri="http://schemas.microsoft.com/office/infopath/2007/PartnerControls"/>
    <ds:schemaRef ds:uri="20fbe147-bbda-4e53-b6b1-7e8bbff3fe19"/>
    <ds:schemaRef ds:uri="http://schemas.microsoft.com/sharepoint/v4"/>
  </ds:schemaRefs>
</ds:datastoreItem>
</file>

<file path=customXml/itemProps4.xml><?xml version="1.0" encoding="utf-8"?>
<ds:datastoreItem xmlns:ds="http://schemas.openxmlformats.org/officeDocument/2006/customXml" ds:itemID="{DA66DDF4-AF59-4802-B20A-1D51C1856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fbe147-bbda-4e53-b6b1-7e8bbff3fe1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C9D69CF-149B-4D2F-89A2-279037685A1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C:\Users\Klisovskij\Desktop\Template to Upload\Guidelines and Recommendations Templates\GuidelinesAndRecommendations_Template_Regular.dotx</Template>
  <TotalTime>62</TotalTime>
  <Pages>19</Pages>
  <Words>6316</Words>
  <Characters>36003</Characters>
  <Application>Microsoft Office Word</Application>
  <DocSecurity>8</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ESMA</Company>
  <LinksUpToDate>false</LinksUpToDate>
  <CharactersWithSpaces>42235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Alina.Dragomir@esma.europa.eu</dc:creator>
  <cp:keywords/>
  <cp:lastModifiedBy>Susana Caramazana</cp:lastModifiedBy>
  <cp:revision>6</cp:revision>
  <cp:lastPrinted>2017-07-24T14:47:00Z</cp:lastPrinted>
  <dcterms:created xsi:type="dcterms:W3CDTF">2021-07-15T13:16:00Z</dcterms:created>
  <dcterms:modified xsi:type="dcterms:W3CDTF">2021-07-15T14:34:00Z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maAudience">
    <vt:lpwstr/>
  </property>
  <property fmtid="{D5CDD505-2E9C-101B-9397-08002B2CF9AE}" pid="3" name="ConfidentialityLevel">
    <vt:lpwstr>14;#Regular|07f1e362-856b-423d-bea6-a14079762141</vt:lpwstr>
  </property>
  <property fmtid="{D5CDD505-2E9C-101B-9397-08002B2CF9AE}" pid="4" name="ContentTypeId">
    <vt:lpwstr>0x01010001BD15C3986B91498E0AE644B715B9EE010D00757D222C6B0DA241B5F74437644107D4</vt:lpwstr>
  </property>
  <property fmtid="{D5CDD505-2E9C-101B-9397-08002B2CF9AE}" pid="5" name="_dlc_DocIdItemGuid">
    <vt:lpwstr>5b95199f-719f-4c46-9786-4f9cd391e66a</vt:lpwstr>
  </property>
  <property fmtid="{D5CDD505-2E9C-101B-9397-08002B2CF9AE}" pid="6" name="DocumentType">
    <vt:lpwstr>12;#Report|78753201-1e9e-4a21-a088-6ff602b5c999</vt:lpwstr>
  </property>
  <property fmtid="{D5CDD505-2E9C-101B-9397-08002B2CF9AE}" pid="7" name="Topic">
    <vt:lpwstr>48;#Commodity|729cc5dc-fc40-4e6f-89b7-0bed773f437e</vt:lpwstr>
  </property>
  <property fmtid="{D5CDD505-2E9C-101B-9397-08002B2CF9AE}" pid="8" name="_docset_NoMedatataSyncRequired">
    <vt:lpwstr>False</vt:lpwstr>
  </property>
  <property fmtid="{D5CDD505-2E9C-101B-9397-08002B2CF9AE}" pid="9" name="Document_x0020_Language">
    <vt:lpwstr/>
  </property>
  <property fmtid="{D5CDD505-2E9C-101B-9397-08002B2CF9AE}" pid="10" name="Document Language">
    <vt:lpwstr/>
  </property>
  <property fmtid="{D5CDD505-2E9C-101B-9397-08002B2CF9AE}" pid="11" name="TeamName">
    <vt:lpwstr>5;#Secondary Markets|64c18f63-8e0f-46d8-84d6-b5a5f7a39938</vt:lpwstr>
  </property>
  <property fmtid="{D5CDD505-2E9C-101B-9397-08002B2CF9AE}" pid="12" name="LegalInstrument">
    <vt:lpwstr>27;#Guidelines|5e144655-8ff3-49e5-b82a-b036da8a9173</vt:lpwstr>
  </property>
  <property fmtid="{D5CDD505-2E9C-101B-9397-08002B2CF9AE}" pid="13" name="MemberState">
    <vt:lpwstr/>
  </property>
  <property fmtid="{D5CDD505-2E9C-101B-9397-08002B2CF9AE}" pid="14" name="Stakeholder">
    <vt:lpwstr/>
  </property>
  <property fmtid="{D5CDD505-2E9C-101B-9397-08002B2CF9AE}" pid="15" name="LegalAct">
    <vt:lpwstr>30;#ESMA Regulation|1f6010a2-1a2c-44cf-adf8-f8fd9b166bb1</vt:lpwstr>
  </property>
  <property fmtid="{D5CDD505-2E9C-101B-9397-08002B2CF9AE}" pid="16" name="Related Legal Acts">
    <vt:lpwstr/>
  </property>
  <property fmtid="{D5CDD505-2E9C-101B-9397-08002B2CF9AE}" pid="17" name="SubTopic">
    <vt:lpwstr>384;#Commodity - Amendment RTS 21|57d21c49-400b-4151-a958-bb4978c24367</vt:lpwstr>
  </property>
  <property fmtid="{D5CDD505-2E9C-101B-9397-08002B2CF9AE}" pid="18" name="TeamTopic">
    <vt:lpwstr>87;#Other Work|f1a52b52-917d-42ef-9667-945839604bb2</vt:lpwstr>
  </property>
</Properties>
</file>