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rPr>
        <w:id w:val="-973058580"/>
        <w:docPartObj>
          <w:docPartGallery w:val="Cover Pages"/>
          <w:docPartUnique/>
        </w:docPartObj>
      </w:sdtPr>
      <w:sdtEndPr>
        <w:rPr>
          <w:highlight w:val="yellow"/>
        </w:rPr>
      </w:sdtEndPr>
      <w:sdtContent>
        <w:p w14:paraId="61BFF4B7" w14:textId="77777777" w:rsidR="00AF2EF7" w:rsidRPr="00B8572C" w:rsidRDefault="00AF2EF7" w:rsidP="00AF2EF7">
          <w:pPr>
            <w:spacing w:line="276" w:lineRule="auto"/>
            <w:rPr>
              <w:rFonts w:asciiTheme="minorHAnsi" w:hAnsiTheme="minorHAnsi" w:cstheme="minorHAnsi"/>
              <w:color w:val="FF0000"/>
            </w:rPr>
          </w:pPr>
        </w:p>
        <w:p w14:paraId="1C1BFAE2" w14:textId="77777777" w:rsidR="00AF2EF7" w:rsidRPr="00B8572C" w:rsidRDefault="00AF2EF7" w:rsidP="00AF2EF7">
          <w:pPr>
            <w:spacing w:after="120" w:line="276" w:lineRule="auto"/>
            <w:rPr>
              <w:rFonts w:asciiTheme="minorHAnsi" w:hAnsiTheme="minorHAnsi" w:cstheme="minorHAnsi"/>
            </w:rPr>
          </w:pPr>
        </w:p>
        <w:p w14:paraId="787460E0" w14:textId="77777777" w:rsidR="00AF2EF7" w:rsidRPr="00B8572C" w:rsidRDefault="00AF2EF7" w:rsidP="00AF2EF7">
          <w:pPr>
            <w:spacing w:line="276" w:lineRule="auto"/>
            <w:rPr>
              <w:rFonts w:asciiTheme="minorHAnsi" w:hAnsiTheme="minorHAnsi" w:cstheme="minorHAnsi"/>
            </w:rPr>
          </w:pPr>
        </w:p>
        <w:p w14:paraId="23B57B18" w14:textId="77777777" w:rsidR="00AF2EF7" w:rsidRPr="00B8572C" w:rsidRDefault="00AF2EF7" w:rsidP="00AF2EF7">
          <w:pPr>
            <w:spacing w:line="276" w:lineRule="auto"/>
            <w:rPr>
              <w:rFonts w:asciiTheme="minorHAnsi" w:hAnsiTheme="minorHAnsi" w:cstheme="minorHAnsi"/>
            </w:rPr>
          </w:pPr>
        </w:p>
        <w:p w14:paraId="04401C2B" w14:textId="77777777" w:rsidR="00AF2EF7" w:rsidRPr="00B8572C" w:rsidRDefault="00AF2EF7" w:rsidP="00AF2EF7">
          <w:pPr>
            <w:spacing w:line="276" w:lineRule="auto"/>
            <w:rPr>
              <w:rFonts w:asciiTheme="minorHAnsi" w:hAnsiTheme="minorHAnsi" w:cstheme="minorHAnsi"/>
            </w:rPr>
          </w:pPr>
        </w:p>
        <w:tbl>
          <w:tblPr>
            <w:tblpPr w:leftFromText="8505" w:vertAnchor="page" w:horzAnchor="margin" w:tblpX="-426" w:tblpY="3444"/>
            <w:tblW w:w="10490" w:type="dxa"/>
            <w:tblLayout w:type="fixed"/>
            <w:tblCellMar>
              <w:left w:w="0" w:type="dxa"/>
              <w:right w:w="0" w:type="dxa"/>
            </w:tblCellMar>
            <w:tblLook w:val="01E0" w:firstRow="1" w:lastRow="1" w:firstColumn="1" w:lastColumn="1" w:noHBand="0" w:noVBand="0"/>
          </w:tblPr>
          <w:tblGrid>
            <w:gridCol w:w="10490"/>
          </w:tblGrid>
          <w:tr w:rsidR="00AF2EF7" w:rsidRPr="00B8572C" w14:paraId="55D8B106" w14:textId="77777777" w:rsidTr="00D13661">
            <w:trPr>
              <w:trHeight w:hRule="exact" w:val="1492"/>
            </w:trPr>
            <w:tc>
              <w:tcPr>
                <w:tcW w:w="10490" w:type="dxa"/>
                <w:vAlign w:val="bottom"/>
              </w:tcPr>
              <w:p w14:paraId="2A8545EF" w14:textId="3CDBB7D7" w:rsidR="00AF2EF7" w:rsidRPr="00B8572C" w:rsidRDefault="00C1698A" w:rsidP="00D13661">
                <w:pPr>
                  <w:pStyle w:val="Title"/>
                  <w:spacing w:line="276" w:lineRule="auto"/>
                  <w:ind w:right="854"/>
                  <w:rPr>
                    <w:rFonts w:asciiTheme="minorHAnsi" w:hAnsiTheme="minorHAnsi" w:cstheme="minorHAnsi"/>
                    <w:sz w:val="48"/>
                    <w:szCs w:val="48"/>
                  </w:rPr>
                </w:pPr>
                <w:r>
                  <w:rPr>
                    <w:rFonts w:asciiTheme="minorHAnsi" w:hAnsiTheme="minorHAnsi" w:cstheme="minorHAnsi"/>
                    <w:sz w:val="48"/>
                    <w:szCs w:val="48"/>
                  </w:rPr>
                  <w:t xml:space="preserve">Response Form to the </w:t>
                </w:r>
                <w:r w:rsidR="008B2AF1">
                  <w:rPr>
                    <w:rFonts w:asciiTheme="minorHAnsi" w:hAnsiTheme="minorHAnsi" w:cstheme="minorHAnsi"/>
                    <w:sz w:val="48"/>
                    <w:szCs w:val="48"/>
                  </w:rPr>
                  <w:t xml:space="preserve">Consultation Paper </w:t>
                </w:r>
              </w:p>
            </w:tc>
          </w:tr>
          <w:tr w:rsidR="00AB6157" w:rsidRPr="00B8572C" w14:paraId="76D253F5" w14:textId="77777777" w:rsidTr="00D13661">
            <w:trPr>
              <w:trHeight w:hRule="exact" w:val="747"/>
            </w:trPr>
            <w:tc>
              <w:tcPr>
                <w:tcW w:w="10490" w:type="dxa"/>
                <w:tcMar>
                  <w:top w:w="142" w:type="dxa"/>
                </w:tcMar>
              </w:tcPr>
              <w:p w14:paraId="788743E8" w14:textId="77777777" w:rsidR="006B391B" w:rsidRPr="002C0C94" w:rsidRDefault="006B391B" w:rsidP="006B391B">
                <w:pPr>
                  <w:rPr>
                    <w:rFonts w:asciiTheme="majorHAnsi" w:eastAsiaTheme="majorEastAsia" w:hAnsiTheme="majorHAnsi" w:cs="Arial"/>
                    <w:b/>
                    <w:sz w:val="28"/>
                    <w:szCs w:val="28"/>
                  </w:rPr>
                </w:pPr>
                <w:r w:rsidRPr="002C0C94">
                  <w:rPr>
                    <w:rFonts w:asciiTheme="majorHAnsi" w:eastAsiaTheme="majorEastAsia" w:hAnsiTheme="majorHAnsi" w:cs="Arial"/>
                    <w:b/>
                    <w:sz w:val="28"/>
                    <w:szCs w:val="28"/>
                  </w:rPr>
                  <w:t xml:space="preserve">Technical standards </w:t>
                </w:r>
                <w:r>
                  <w:rPr>
                    <w:rFonts w:asciiTheme="majorHAnsi" w:eastAsiaTheme="majorEastAsia" w:hAnsiTheme="majorHAnsi" w:cs="Arial"/>
                    <w:b/>
                    <w:sz w:val="28"/>
                    <w:szCs w:val="28"/>
                  </w:rPr>
                  <w:t>for</w:t>
                </w:r>
                <w:r w:rsidRPr="002C0C94">
                  <w:rPr>
                    <w:rFonts w:asciiTheme="majorHAnsi" w:eastAsiaTheme="majorEastAsia" w:hAnsiTheme="majorHAnsi" w:cs="Arial"/>
                    <w:b/>
                    <w:sz w:val="28"/>
                    <w:szCs w:val="28"/>
                  </w:rPr>
                  <w:t xml:space="preserve"> commodity derivatives </w:t>
                </w:r>
              </w:p>
              <w:p w14:paraId="26CF3934" w14:textId="4E35944E" w:rsidR="00AB6157" w:rsidRPr="00B8572C" w:rsidRDefault="00AB6157" w:rsidP="001F23C9">
                <w:pPr>
                  <w:pStyle w:val="Heading2"/>
                  <w:numPr>
                    <w:ilvl w:val="0"/>
                    <w:numId w:val="0"/>
                  </w:numPr>
                  <w:spacing w:before="0"/>
                </w:pPr>
              </w:p>
            </w:tc>
          </w:tr>
        </w:tbl>
        <w:p w14:paraId="7DEBD68F" w14:textId="77777777" w:rsidR="00AF2EF7" w:rsidRPr="00B8572C" w:rsidRDefault="00AF2EF7" w:rsidP="00AF2EF7">
          <w:pPr>
            <w:spacing w:line="276" w:lineRule="auto"/>
            <w:rPr>
              <w:rFonts w:asciiTheme="minorHAnsi" w:hAnsiTheme="minorHAnsi" w:cstheme="minorHAnsi"/>
            </w:rPr>
          </w:pPr>
        </w:p>
        <w:p w14:paraId="5B933631" w14:textId="77777777" w:rsidR="00AF2EF7" w:rsidRPr="00B8572C" w:rsidRDefault="00AF2EF7" w:rsidP="00AF2EF7">
          <w:pPr>
            <w:spacing w:line="276" w:lineRule="auto"/>
            <w:rPr>
              <w:rFonts w:asciiTheme="minorHAnsi" w:hAnsiTheme="minorHAnsi" w:cstheme="minorHAnsi"/>
            </w:rPr>
            <w:sectPr w:rsidR="00AF2EF7" w:rsidRPr="00B8572C" w:rsidSect="007E7997">
              <w:headerReference w:type="default" r:id="rId12"/>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pPr>
        </w:p>
        <w:p w14:paraId="3992D496"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p>
        <w:p w14:paraId="50F24FB7"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r w:rsidRPr="00B8572C">
            <w:rPr>
              <w:rFonts w:asciiTheme="majorHAnsi" w:eastAsiaTheme="majorEastAsia" w:hAnsiTheme="majorHAnsi" w:cstheme="majorBidi"/>
              <w:b/>
              <w:sz w:val="28"/>
              <w:lang w:eastAsia="en-US"/>
            </w:rPr>
            <w:t xml:space="preserve">Responding to this paper </w:t>
          </w:r>
        </w:p>
        <w:p w14:paraId="46CF9AD5" w14:textId="0973BF25"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ESMA invites comments on all matters in this </w:t>
          </w:r>
          <w:r w:rsidR="001F23C9">
            <w:rPr>
              <w:rFonts w:asciiTheme="minorHAnsi" w:eastAsiaTheme="minorEastAsia" w:hAnsiTheme="minorHAnsi" w:cstheme="minorBidi"/>
              <w:sz w:val="22"/>
              <w:szCs w:val="20"/>
              <w:lang w:eastAsia="en-US"/>
            </w:rPr>
            <w:t xml:space="preserve">consultation </w:t>
          </w:r>
          <w:r w:rsidRPr="00AB6157">
            <w:rPr>
              <w:rFonts w:asciiTheme="minorHAnsi" w:eastAsiaTheme="minorEastAsia" w:hAnsiTheme="minorHAnsi" w:cstheme="minorBidi"/>
              <w:sz w:val="22"/>
              <w:szCs w:val="20"/>
              <w:lang w:eastAsia="en-US"/>
            </w:rPr>
            <w:t xml:space="preserve">paper and </w:t>
          </w:r>
          <w:r w:rsidRPr="001F23C9">
            <w:rPr>
              <w:rFonts w:asciiTheme="minorHAnsi" w:eastAsiaTheme="minorEastAsia" w:hAnsiTheme="minorHAnsi" w:cstheme="minorBidi"/>
              <w:sz w:val="22"/>
              <w:szCs w:val="20"/>
              <w:u w:val="dottedHeavy" w:color="BF8F00" w:themeColor="accent4" w:themeShade="BF"/>
              <w:lang w:eastAsia="en-US"/>
            </w:rPr>
            <w:t>in particular on</w:t>
          </w:r>
          <w:r w:rsidRPr="00AB6157">
            <w:rPr>
              <w:rFonts w:asciiTheme="minorHAnsi" w:eastAsiaTheme="minorEastAsia" w:hAnsiTheme="minorHAnsi" w:cstheme="minorBidi"/>
              <w:sz w:val="22"/>
              <w:szCs w:val="20"/>
              <w:lang w:eastAsia="en-US"/>
            </w:rPr>
            <w:t xml:space="preserve"> the specific questions summarised in Annex </w:t>
          </w:r>
          <w:r w:rsidR="00220938" w:rsidRPr="00220938">
            <w:rPr>
              <w:rFonts w:asciiTheme="minorHAnsi" w:eastAsiaTheme="minorEastAsia" w:hAnsiTheme="minorHAnsi" w:cstheme="minorBidi"/>
              <w:sz w:val="22"/>
              <w:szCs w:val="20"/>
              <w:lang w:eastAsia="en-US"/>
            </w:rPr>
            <w:t>I</w:t>
          </w:r>
          <w:r w:rsidRPr="00AB6157">
            <w:rPr>
              <w:rFonts w:asciiTheme="minorHAnsi" w:eastAsiaTheme="minorEastAsia" w:hAnsiTheme="minorHAnsi" w:cstheme="minorBidi"/>
              <w:sz w:val="22"/>
              <w:szCs w:val="20"/>
              <w:lang w:eastAsia="en-US"/>
            </w:rPr>
            <w:t>. Comments are most helpful if they:</w:t>
          </w:r>
        </w:p>
        <w:p w14:paraId="2573C72E"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respond to the question stated;</w:t>
          </w:r>
        </w:p>
        <w:p w14:paraId="65ACF578"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indicate the specific question to which the comment relates;</w:t>
          </w:r>
        </w:p>
        <w:p w14:paraId="3751DA8E"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contain a clear rationale; and</w:t>
          </w:r>
        </w:p>
        <w:p w14:paraId="5A3A4AE2"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describe any alternatives ESMA should consider.</w:t>
          </w:r>
        </w:p>
        <w:p w14:paraId="09579D04" w14:textId="2AD13BF0"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ESMA will consider all comments received by </w:t>
          </w:r>
          <w:r w:rsidR="004B143D" w:rsidRPr="004B143D">
            <w:rPr>
              <w:rFonts w:asciiTheme="minorHAnsi" w:eastAsiaTheme="minorEastAsia" w:hAnsiTheme="minorHAnsi" w:cstheme="minorBidi"/>
              <w:b/>
              <w:sz w:val="22"/>
              <w:szCs w:val="20"/>
              <w:lang w:eastAsia="en-US"/>
            </w:rPr>
            <w:t>23</w:t>
          </w:r>
          <w:r w:rsidR="006B391B" w:rsidRPr="004B143D">
            <w:rPr>
              <w:rFonts w:asciiTheme="minorHAnsi" w:eastAsiaTheme="minorEastAsia" w:hAnsiTheme="minorHAnsi" w:cstheme="minorBidi"/>
              <w:b/>
              <w:sz w:val="22"/>
              <w:szCs w:val="20"/>
              <w:lang w:eastAsia="en-US"/>
            </w:rPr>
            <w:t xml:space="preserve"> </w:t>
          </w:r>
          <w:r w:rsidR="004B143D" w:rsidRPr="004B143D">
            <w:rPr>
              <w:rFonts w:asciiTheme="minorHAnsi" w:eastAsiaTheme="minorEastAsia" w:hAnsiTheme="minorHAnsi" w:cstheme="minorBidi"/>
              <w:b/>
              <w:sz w:val="22"/>
              <w:szCs w:val="20"/>
              <w:lang w:eastAsia="en-US"/>
            </w:rPr>
            <w:t>July</w:t>
          </w:r>
          <w:r w:rsidR="006B391B" w:rsidRPr="004B143D">
            <w:rPr>
              <w:rFonts w:asciiTheme="minorHAnsi" w:eastAsiaTheme="minorEastAsia" w:hAnsiTheme="minorHAnsi" w:cstheme="minorBidi"/>
              <w:b/>
              <w:sz w:val="22"/>
              <w:szCs w:val="20"/>
              <w:lang w:eastAsia="en-US"/>
            </w:rPr>
            <w:t xml:space="preserve"> 2021</w:t>
          </w:r>
          <w:r w:rsidRPr="004B143D">
            <w:rPr>
              <w:rFonts w:asciiTheme="minorHAnsi" w:eastAsiaTheme="minorEastAsia" w:hAnsiTheme="minorHAnsi" w:cstheme="minorBidi"/>
              <w:b/>
              <w:sz w:val="22"/>
              <w:szCs w:val="20"/>
              <w:lang w:eastAsia="en-US"/>
            </w:rPr>
            <w:t>.</w:t>
          </w:r>
          <w:r w:rsidRPr="00AB6157">
            <w:rPr>
              <w:rFonts w:asciiTheme="minorHAnsi" w:eastAsiaTheme="minorEastAsia" w:hAnsiTheme="minorHAnsi" w:cstheme="minorBidi"/>
              <w:b/>
              <w:sz w:val="22"/>
              <w:szCs w:val="20"/>
              <w:lang w:eastAsia="en-US"/>
            </w:rPr>
            <w:t xml:space="preserve"> </w:t>
          </w:r>
        </w:p>
        <w:p w14:paraId="6ABAAC1F" w14:textId="50B9A93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All contributions should be submitted online at </w:t>
          </w:r>
          <w:hyperlink r:id="rId16"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‘Your input - Consultations’. </w:t>
          </w:r>
        </w:p>
        <w:p w14:paraId="71848F2A" w14:textId="77777777" w:rsidR="00C85C8B" w:rsidRPr="00C85C8B" w:rsidRDefault="00C85C8B" w:rsidP="00C85C8B">
          <w:pPr>
            <w:spacing w:after="250" w:line="276" w:lineRule="auto"/>
            <w:jc w:val="both"/>
            <w:rPr>
              <w:rFonts w:asciiTheme="minorHAnsi" w:eastAsiaTheme="minorEastAsia" w:hAnsiTheme="minorHAnsi" w:cstheme="minorBidi"/>
              <w:b/>
              <w:sz w:val="22"/>
              <w:szCs w:val="20"/>
              <w:lang w:eastAsia="en-US"/>
            </w:rPr>
          </w:pPr>
          <w:r w:rsidRPr="00C85C8B">
            <w:rPr>
              <w:rFonts w:asciiTheme="minorHAnsi" w:eastAsiaTheme="minorEastAsia" w:hAnsiTheme="minorHAnsi" w:cstheme="minorBidi"/>
              <w:b/>
              <w:sz w:val="22"/>
              <w:szCs w:val="20"/>
              <w:lang w:eastAsia="en-US"/>
            </w:rPr>
            <w:t>Instructions</w:t>
          </w:r>
        </w:p>
        <w:p w14:paraId="057542CF" w14:textId="77777777"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In order to facilitate analysis of responses to the Consultation Paper, respondents are requested to follow the below steps when preparing and submitting their response:</w:t>
          </w:r>
        </w:p>
        <w:p w14:paraId="1200930E" w14:textId="5BFB56D4" w:rsidR="00C85C8B" w:rsidRPr="00C85C8B" w:rsidRDefault="00C85C8B" w:rsidP="00E7297E">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 xml:space="preserve">Insert your responses to the questions in the Consultation Paper in the present response form. </w:t>
          </w:r>
        </w:p>
        <w:p w14:paraId="3B16398E" w14:textId="0ABA1563"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Please do not remove t</w:t>
          </w:r>
          <w:r>
            <w:rPr>
              <w:rFonts w:eastAsiaTheme="minorEastAsia" w:cstheme="minorBidi"/>
              <w:szCs w:val="20"/>
              <w:lang w:eastAsia="en-US"/>
            </w:rPr>
            <w:t>ags of the type &lt;ESMA_QUESTION_</w:t>
          </w:r>
          <w:r w:rsidR="006B391B">
            <w:rPr>
              <w:rFonts w:eastAsiaTheme="minorEastAsia" w:cstheme="minorBidi"/>
              <w:szCs w:val="20"/>
              <w:lang w:eastAsia="en-US"/>
            </w:rPr>
            <w:t>CD</w:t>
          </w:r>
          <w:r w:rsidRPr="00C85C8B">
            <w:rPr>
              <w:rFonts w:eastAsiaTheme="minorEastAsia" w:cstheme="minorBidi"/>
              <w:szCs w:val="20"/>
              <w:lang w:eastAsia="en-US"/>
            </w:rPr>
            <w:t>_1&gt;. Your response to each question has to be framed by the two tags corresponding to the question.</w:t>
          </w:r>
        </w:p>
        <w:p w14:paraId="5CC57030" w14:textId="77777777"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If you do not wish to respond to a given question, please do not delete it but simply leave the text “TYPE YOUR TEXT HERE” between the tags.</w:t>
          </w:r>
        </w:p>
        <w:p w14:paraId="1876A4C8" w14:textId="5AA40AF7"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 xml:space="preserve">When you have drafted your response, name your response form according to </w:t>
          </w:r>
          <w:r>
            <w:rPr>
              <w:rFonts w:eastAsiaTheme="minorEastAsia" w:cstheme="minorBidi"/>
              <w:szCs w:val="20"/>
              <w:lang w:eastAsia="en-US"/>
            </w:rPr>
            <w:t>the following convention: ESMA_</w:t>
          </w:r>
          <w:r w:rsidR="001F23C9">
            <w:rPr>
              <w:rFonts w:eastAsiaTheme="minorEastAsia" w:cstheme="minorBidi"/>
              <w:szCs w:val="20"/>
              <w:lang w:eastAsia="en-US"/>
            </w:rPr>
            <w:t>PFG</w:t>
          </w:r>
          <w:r w:rsidRPr="00C85C8B">
            <w:rPr>
              <w:rFonts w:eastAsiaTheme="minorEastAsia" w:cstheme="minorBidi"/>
              <w:szCs w:val="20"/>
              <w:lang w:eastAsia="en-US"/>
            </w:rPr>
            <w:t>_nameofrespondent_RESPONSEFORM. For example, for a respondent named ABCD, the response</w:t>
          </w:r>
          <w:r>
            <w:rPr>
              <w:rFonts w:eastAsiaTheme="minorEastAsia" w:cstheme="minorBidi"/>
              <w:szCs w:val="20"/>
              <w:lang w:eastAsia="en-US"/>
            </w:rPr>
            <w:t xml:space="preserve"> form would be entitled ESMA_</w:t>
          </w:r>
          <w:r w:rsidR="001F23C9">
            <w:rPr>
              <w:rFonts w:eastAsiaTheme="minorEastAsia" w:cstheme="minorBidi"/>
              <w:szCs w:val="20"/>
              <w:lang w:eastAsia="en-US"/>
            </w:rPr>
            <w:t>PFG</w:t>
          </w:r>
          <w:r w:rsidRPr="00C85C8B">
            <w:rPr>
              <w:rFonts w:eastAsiaTheme="minorEastAsia" w:cstheme="minorBidi"/>
              <w:szCs w:val="20"/>
              <w:lang w:eastAsia="en-US"/>
            </w:rPr>
            <w:t>_ABCD_RESPONSEFORM.</w:t>
          </w:r>
        </w:p>
        <w:p w14:paraId="1A9C59D6" w14:textId="34F7EAAE"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Upload the form containing your responses, in Word format, to ESMA’s website (</w:t>
          </w:r>
          <w:hyperlink r:id="rId17" w:history="1">
            <w:r w:rsidRPr="00C85C8B">
              <w:rPr>
                <w:rFonts w:eastAsiaTheme="minorEastAsia" w:cstheme="minorBidi"/>
                <w:szCs w:val="20"/>
                <w:lang w:eastAsia="en-US"/>
              </w:rPr>
              <w:t>www.esma.europa.eu</w:t>
            </w:r>
          </w:hyperlink>
          <w:r w:rsidRPr="00C85C8B">
            <w:rPr>
              <w:rFonts w:eastAsiaTheme="minorEastAsia" w:cstheme="minorBidi"/>
              <w:szCs w:val="20"/>
              <w:lang w:eastAsia="en-US"/>
            </w:rPr>
            <w:t xml:space="preserve"> under the heading “Your input – Open consultations” </w:t>
          </w:r>
          <w:r w:rsidRPr="00C85C8B">
            <w:rPr>
              <w:rFonts w:eastAsiaTheme="minorEastAsia"/>
              <w:lang w:eastAsia="en-US"/>
            </w:rPr>
            <w:sym w:font="Wingdings" w:char="F0E0"/>
          </w:r>
          <w:r w:rsidRPr="00C85C8B">
            <w:rPr>
              <w:rFonts w:eastAsiaTheme="minorEastAsia" w:cstheme="minorBidi"/>
              <w:szCs w:val="20"/>
              <w:lang w:eastAsia="en-US"/>
            </w:rPr>
            <w:t xml:space="preserve"> “Consultation on </w:t>
          </w:r>
          <w:r w:rsidR="00AB6157">
            <w:rPr>
              <w:rFonts w:eastAsiaTheme="minorEastAsia" w:cstheme="minorBidi"/>
              <w:szCs w:val="20"/>
              <w:lang w:eastAsia="en-US"/>
            </w:rPr>
            <w:t>Position limits and position management in commodities derivatives</w:t>
          </w:r>
          <w:r w:rsidRPr="00C85C8B">
            <w:rPr>
              <w:rFonts w:eastAsiaTheme="minorEastAsia" w:cstheme="minorBidi"/>
              <w:szCs w:val="20"/>
              <w:lang w:eastAsia="en-US"/>
            </w:rPr>
            <w:t>”).</w:t>
          </w:r>
        </w:p>
        <w:p w14:paraId="078FF80C" w14:textId="145F522B" w:rsidR="00C85C8B" w:rsidRDefault="00C85C8B" w:rsidP="00AF2EF7">
          <w:pPr>
            <w:spacing w:after="250" w:line="276" w:lineRule="auto"/>
            <w:jc w:val="both"/>
            <w:rPr>
              <w:rFonts w:asciiTheme="minorHAnsi" w:eastAsiaTheme="minorEastAsia" w:hAnsiTheme="minorHAnsi" w:cstheme="minorBidi"/>
              <w:sz w:val="22"/>
              <w:szCs w:val="20"/>
              <w:lang w:eastAsia="en-US"/>
            </w:rPr>
          </w:pPr>
        </w:p>
        <w:p w14:paraId="27DFECB3" w14:textId="3EF3C58E" w:rsidR="00A02199" w:rsidRDefault="00A02199" w:rsidP="00AF2EF7">
          <w:pPr>
            <w:spacing w:after="250" w:line="276" w:lineRule="auto"/>
            <w:jc w:val="both"/>
            <w:rPr>
              <w:rFonts w:asciiTheme="minorHAnsi" w:eastAsiaTheme="minorEastAsia" w:hAnsiTheme="minorHAnsi" w:cstheme="minorBidi"/>
              <w:sz w:val="22"/>
              <w:szCs w:val="20"/>
              <w:lang w:eastAsia="en-US"/>
            </w:rPr>
          </w:pPr>
        </w:p>
        <w:p w14:paraId="28EEA743" w14:textId="77777777" w:rsidR="00A02199" w:rsidRPr="00C1698A" w:rsidRDefault="00A02199" w:rsidP="00AF2EF7">
          <w:pPr>
            <w:spacing w:after="250" w:line="276" w:lineRule="auto"/>
            <w:jc w:val="both"/>
            <w:rPr>
              <w:rFonts w:asciiTheme="minorHAnsi" w:eastAsiaTheme="minorEastAsia" w:hAnsiTheme="minorHAnsi" w:cstheme="minorBidi"/>
              <w:sz w:val="22"/>
              <w:szCs w:val="20"/>
              <w:lang w:eastAsia="en-US"/>
            </w:rPr>
          </w:pPr>
        </w:p>
        <w:p w14:paraId="6BB993D0" w14:textId="77777777"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lastRenderedPageBreak/>
            <w:t>Publication of responses</w:t>
          </w:r>
        </w:p>
        <w:p w14:paraId="214D8BBA"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All contributions received will be published following the close of the consultation, unless you request otherwise. Please clearly and prominently indicate in your submission any part you do not wish to be publically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144C43BA" w14:textId="4C539C0B"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t>Data protection</w:t>
          </w:r>
        </w:p>
        <w:p w14:paraId="1D46B82F"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Information on data protection can be found at </w:t>
          </w:r>
          <w:hyperlink r:id="rId18"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w:t>
          </w:r>
          <w:hyperlink r:id="rId19" w:history="1">
            <w:r w:rsidRPr="00AB6157">
              <w:rPr>
                <w:rFonts w:asciiTheme="minorHAnsi" w:eastAsiaTheme="minorEastAsia" w:hAnsiTheme="minorHAnsi" w:cstheme="minorBidi"/>
                <w:color w:val="0563C1" w:themeColor="hyperlink"/>
                <w:sz w:val="22"/>
                <w:szCs w:val="20"/>
                <w:u w:val="single"/>
                <w:lang w:eastAsia="en-US"/>
              </w:rPr>
              <w:t>Legal Notice</w:t>
            </w:r>
          </w:hyperlink>
          <w:r w:rsidRPr="00AB6157">
            <w:rPr>
              <w:rFonts w:asciiTheme="minorHAnsi" w:eastAsiaTheme="minorEastAsia" w:hAnsiTheme="minorHAnsi" w:cstheme="minorBidi"/>
              <w:sz w:val="22"/>
              <w:szCs w:val="20"/>
              <w:lang w:eastAsia="en-US"/>
            </w:rPr>
            <w:t>.</w:t>
          </w:r>
        </w:p>
        <w:p w14:paraId="7C02CD7B" w14:textId="77777777" w:rsidR="00AF2EF7" w:rsidRPr="00B8572C" w:rsidRDefault="00AF2EF7" w:rsidP="00AF2EF7">
          <w:pPr>
            <w:spacing w:after="250" w:line="276" w:lineRule="auto"/>
            <w:jc w:val="both"/>
            <w:rPr>
              <w:rFonts w:asciiTheme="minorHAnsi" w:eastAsiaTheme="minorEastAsia" w:hAnsiTheme="minorHAnsi" w:cstheme="minorBidi"/>
              <w:sz w:val="22"/>
              <w:szCs w:val="20"/>
              <w:lang w:eastAsia="en-US"/>
            </w:rPr>
          </w:pPr>
          <w:r w:rsidRPr="00B8572C">
            <w:rPr>
              <w:rFonts w:asciiTheme="minorHAnsi" w:eastAsiaTheme="minorEastAsia" w:hAnsiTheme="minorHAnsi" w:cstheme="minorBidi"/>
              <w:b/>
              <w:sz w:val="22"/>
              <w:szCs w:val="20"/>
              <w:lang w:eastAsia="en-US"/>
            </w:rPr>
            <w:t>Who should read this paper</w:t>
          </w:r>
        </w:p>
        <w:p w14:paraId="14912E5E" w14:textId="5245D1E2" w:rsidR="00AF2EF7" w:rsidRPr="00B8572C" w:rsidRDefault="001F23C9" w:rsidP="001F23C9">
          <w:pPr>
            <w:spacing w:after="250" w:line="276" w:lineRule="auto"/>
            <w:jc w:val="both"/>
            <w:rPr>
              <w:rFonts w:asciiTheme="minorHAnsi" w:hAnsiTheme="minorHAnsi" w:cstheme="minorHAnsi"/>
            </w:rPr>
          </w:pPr>
          <w:r w:rsidRPr="001F23C9">
            <w:rPr>
              <w:rFonts w:ascii="Arial" w:hAnsi="Arial" w:cs="Arial"/>
              <w:sz w:val="22"/>
              <w:szCs w:val="22"/>
              <w:lang w:eastAsia="it-IT"/>
            </w:rPr>
            <w:t>This document will be of interest to asset managers managing retail funds and their trade associations, as well as institutional and retail investors investing into such funds and their associations.</w:t>
          </w:r>
        </w:p>
      </w:sdtContent>
    </w:sdt>
    <w:p w14:paraId="20AC791C" w14:textId="77777777" w:rsidR="00AF2EF7" w:rsidRPr="00B8572C" w:rsidRDefault="00AF2EF7" w:rsidP="00AF2EF7">
      <w:pPr>
        <w:spacing w:after="120" w:line="276" w:lineRule="auto"/>
        <w:rPr>
          <w:rFonts w:asciiTheme="minorHAnsi" w:hAnsiTheme="minorHAnsi" w:cstheme="minorHAnsi"/>
        </w:rPr>
      </w:pPr>
    </w:p>
    <w:p w14:paraId="13AEDA0D" w14:textId="77777777" w:rsidR="00AF2EF7" w:rsidRPr="00B8572C" w:rsidRDefault="00AF2EF7" w:rsidP="00AF2EF7">
      <w:pPr>
        <w:spacing w:after="120" w:line="276" w:lineRule="auto"/>
        <w:rPr>
          <w:rFonts w:asciiTheme="minorHAnsi" w:hAnsiTheme="minorHAnsi" w:cstheme="minorHAnsi"/>
        </w:rPr>
      </w:pPr>
    </w:p>
    <w:p w14:paraId="4F317815" w14:textId="669653C1" w:rsidR="00AF2EF7" w:rsidRPr="00C1698A" w:rsidRDefault="00AF2EF7" w:rsidP="00C1698A">
      <w:pPr>
        <w:pStyle w:val="Heading1"/>
        <w:numPr>
          <w:ilvl w:val="0"/>
          <w:numId w:val="0"/>
        </w:numPr>
        <w:spacing w:line="276" w:lineRule="auto"/>
        <w:rPr>
          <w:rFonts w:asciiTheme="minorHAnsi" w:hAnsiTheme="minorHAnsi" w:cstheme="minorHAnsi"/>
          <w:sz w:val="24"/>
          <w:szCs w:val="24"/>
        </w:rPr>
      </w:pPr>
      <w:r w:rsidRPr="00B8572C">
        <w:rPr>
          <w:rFonts w:asciiTheme="minorHAnsi" w:hAnsiTheme="minorHAnsi" w:cstheme="minorHAnsi"/>
          <w:sz w:val="24"/>
          <w:szCs w:val="24"/>
        </w:rPr>
        <w:br w:type="page"/>
      </w:r>
    </w:p>
    <w:p w14:paraId="54809E84" w14:textId="38073B1E" w:rsidR="00C85C8B" w:rsidRDefault="00C85C8B" w:rsidP="00C1698A">
      <w:pPr>
        <w:spacing w:line="276" w:lineRule="auto"/>
        <w:rPr>
          <w:rFonts w:asciiTheme="minorHAnsi" w:hAnsiTheme="minorHAnsi" w:cstheme="minorHAnsi"/>
          <w:b/>
          <w:sz w:val="28"/>
          <w:szCs w:val="28"/>
        </w:rPr>
      </w:pPr>
      <w:bookmarkStart w:id="0" w:name="_Toc515564428"/>
    </w:p>
    <w:p w14:paraId="0873C4E5" w14:textId="49BAD52B" w:rsidR="00C85C8B" w:rsidRDefault="00C85C8B" w:rsidP="00C1698A">
      <w:pPr>
        <w:spacing w:line="276" w:lineRule="auto"/>
        <w:rPr>
          <w:rFonts w:asciiTheme="minorHAnsi" w:hAnsiTheme="minorHAnsi" w:cstheme="minorHAnsi"/>
          <w:b/>
          <w:sz w:val="28"/>
          <w:szCs w:val="28"/>
        </w:rPr>
      </w:pPr>
    </w:p>
    <w:p w14:paraId="1F90B8D3" w14:textId="77777777" w:rsidR="00C85C8B" w:rsidRDefault="00C85C8B" w:rsidP="00C1698A">
      <w:pPr>
        <w:spacing w:line="276" w:lineRule="auto"/>
        <w:rPr>
          <w:rFonts w:asciiTheme="minorHAnsi" w:hAnsiTheme="minorHAnsi" w:cstheme="minorHAnsi"/>
          <w:b/>
          <w:sz w:val="28"/>
          <w:szCs w:val="28"/>
        </w:rPr>
      </w:pPr>
    </w:p>
    <w:p w14:paraId="622C18E8" w14:textId="77777777" w:rsidR="00C85C8B" w:rsidRPr="00C85C8B" w:rsidRDefault="00C85C8B" w:rsidP="00C85C8B">
      <w:pPr>
        <w:keepNext/>
        <w:keepLines/>
        <w:spacing w:before="320" w:after="250" w:line="276" w:lineRule="auto"/>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85C8B" w:rsidRPr="00C85C8B" w14:paraId="63AA68E2" w14:textId="77777777" w:rsidTr="00B76FB7">
        <w:tc>
          <w:tcPr>
            <w:tcW w:w="3929" w:type="dxa"/>
            <w:shd w:val="clear" w:color="auto" w:fill="auto"/>
          </w:tcPr>
          <w:p w14:paraId="50C47271" w14:textId="77777777" w:rsidR="00C85C8B" w:rsidRPr="00C85C8B" w:rsidRDefault="00C85C8B" w:rsidP="00C85C8B">
            <w:pPr>
              <w:rPr>
                <w:rFonts w:ascii="Arial" w:hAnsi="Arial" w:cs="Arial"/>
                <w:sz w:val="22"/>
                <w:lang w:eastAsia="de-DE"/>
              </w:rPr>
            </w:pPr>
            <w:permStart w:id="108885406" w:edGrp="everyone" w:colFirst="1" w:colLast="1"/>
            <w:r w:rsidRPr="00C85C8B">
              <w:rPr>
                <w:rFonts w:ascii="Arial" w:hAnsi="Arial" w:cs="Arial"/>
                <w:sz w:val="22"/>
                <w:lang w:eastAsia="de-DE"/>
              </w:rPr>
              <w:t>Name of the company / organisation</w:t>
            </w:r>
          </w:p>
        </w:tc>
        <w:sdt>
          <w:sdtPr>
            <w:rPr>
              <w:rFonts w:ascii="Arial" w:hAnsi="Arial" w:cs="Arial"/>
              <w:color w:val="808080"/>
              <w:sz w:val="20"/>
              <w:lang w:eastAsia="de-DE"/>
            </w:rPr>
            <w:id w:val="-1905066999"/>
            <w:text/>
          </w:sdtPr>
          <w:sdtEndPr/>
          <w:sdtContent>
            <w:tc>
              <w:tcPr>
                <w:tcW w:w="5595" w:type="dxa"/>
                <w:shd w:val="clear" w:color="auto" w:fill="auto"/>
              </w:tcPr>
              <w:p w14:paraId="1B67440D" w14:textId="721DB22E" w:rsidR="00C85C8B" w:rsidRPr="00C85C8B" w:rsidRDefault="007C11D3" w:rsidP="00C85C8B">
                <w:pPr>
                  <w:rPr>
                    <w:rFonts w:ascii="Arial" w:hAnsi="Arial" w:cs="Arial"/>
                    <w:color w:val="808080"/>
                    <w:sz w:val="20"/>
                    <w:lang w:eastAsia="de-DE"/>
                  </w:rPr>
                </w:pPr>
                <w:proofErr w:type="spellStart"/>
                <w:r>
                  <w:rPr>
                    <w:rFonts w:ascii="Arial" w:hAnsi="Arial" w:cs="Arial"/>
                    <w:color w:val="808080"/>
                    <w:sz w:val="20"/>
                    <w:lang w:eastAsia="de-DE"/>
                  </w:rPr>
                  <w:t>Eurelectric</w:t>
                </w:r>
                <w:proofErr w:type="spellEnd"/>
              </w:p>
            </w:tc>
          </w:sdtContent>
        </w:sdt>
      </w:tr>
      <w:tr w:rsidR="00C85C8B" w:rsidRPr="00C85C8B" w14:paraId="216F3E57" w14:textId="77777777" w:rsidTr="00B76FB7">
        <w:tc>
          <w:tcPr>
            <w:tcW w:w="3929" w:type="dxa"/>
            <w:shd w:val="clear" w:color="auto" w:fill="auto"/>
          </w:tcPr>
          <w:p w14:paraId="1B868EDB" w14:textId="77777777" w:rsidR="00C85C8B" w:rsidRPr="00C85C8B" w:rsidRDefault="00C85C8B" w:rsidP="00C85C8B">
            <w:pPr>
              <w:rPr>
                <w:rFonts w:ascii="Arial" w:hAnsi="Arial" w:cs="Arial"/>
                <w:sz w:val="22"/>
                <w:lang w:eastAsia="de-DE"/>
              </w:rPr>
            </w:pPr>
            <w:permStart w:id="11734600" w:edGrp="everyone" w:colFirst="1" w:colLast="1"/>
            <w:permEnd w:id="108885406"/>
            <w:r w:rsidRPr="00C85C8B">
              <w:rPr>
                <w:rFonts w:ascii="Arial" w:hAnsi="Arial" w:cs="Arial"/>
                <w:sz w:val="22"/>
                <w:lang w:eastAsia="de-DE"/>
              </w:rPr>
              <w:t>Activity</w:t>
            </w:r>
          </w:p>
        </w:tc>
        <w:tc>
          <w:tcPr>
            <w:tcW w:w="5595" w:type="dxa"/>
            <w:shd w:val="clear" w:color="auto" w:fill="auto"/>
          </w:tcPr>
          <w:p w14:paraId="1423187D" w14:textId="72627703" w:rsidR="00C85C8B" w:rsidRPr="00C85C8B" w:rsidRDefault="00FB7A90" w:rsidP="00C85C8B">
            <w:pPr>
              <w:rPr>
                <w:rFonts w:ascii="Arial" w:hAnsi="Arial" w:cs="Arial"/>
                <w:sz w:val="20"/>
                <w:lang w:eastAsia="de-DE"/>
              </w:rPr>
            </w:pPr>
            <w:sdt>
              <w:sdtPr>
                <w:rPr>
                  <w:rFonts w:ascii="Arial" w:hAnsi="Arial" w:cs="Arial"/>
                  <w:sz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7C11D3">
                  <w:rPr>
                    <w:rFonts w:ascii="Arial" w:hAnsi="Arial" w:cs="Arial"/>
                    <w:sz w:val="20"/>
                    <w:lang w:eastAsia="de-DE"/>
                  </w:rPr>
                  <w:t>Non-financial counterparty</w:t>
                </w:r>
              </w:sdtContent>
            </w:sdt>
          </w:p>
        </w:tc>
      </w:tr>
      <w:tr w:rsidR="00C85C8B" w:rsidRPr="00C85C8B" w14:paraId="0D216581" w14:textId="77777777" w:rsidTr="00B76FB7">
        <w:tc>
          <w:tcPr>
            <w:tcW w:w="3929" w:type="dxa"/>
            <w:shd w:val="clear" w:color="auto" w:fill="auto"/>
          </w:tcPr>
          <w:p w14:paraId="43B75BA8" w14:textId="77777777" w:rsidR="00C85C8B" w:rsidRPr="00C85C8B" w:rsidRDefault="00C85C8B" w:rsidP="00C85C8B">
            <w:pPr>
              <w:rPr>
                <w:rFonts w:ascii="Arial" w:hAnsi="Arial" w:cs="Arial"/>
                <w:sz w:val="22"/>
                <w:lang w:eastAsia="de-DE"/>
              </w:rPr>
            </w:pPr>
            <w:permStart w:id="310511986" w:edGrp="everyone" w:colFirst="1" w:colLast="1"/>
            <w:permEnd w:id="11734600"/>
            <w:r w:rsidRPr="00C85C8B">
              <w:rPr>
                <w:rFonts w:ascii="Arial" w:hAnsi="Arial" w:cs="Arial"/>
                <w:sz w:val="22"/>
                <w:lang w:eastAsia="de-DE"/>
              </w:rPr>
              <w:t>Are you representing an association?</w:t>
            </w:r>
          </w:p>
        </w:tc>
        <w:sdt>
          <w:sdtPr>
            <w:rPr>
              <w:rFonts w:ascii="Arial" w:hAnsi="Arial" w:cs="Arial"/>
              <w:sz w:val="20"/>
              <w:lang w:eastAsia="de-DE"/>
            </w:rPr>
            <w:id w:val="-242871467"/>
            <w14:checkbox>
              <w14:checked w14:val="1"/>
              <w14:checkedState w14:val="2612" w14:font="MS Gothic"/>
              <w14:uncheckedState w14:val="2610" w14:font="MS Gothic"/>
            </w14:checkbox>
          </w:sdtPr>
          <w:sdtEndPr/>
          <w:sdtContent>
            <w:tc>
              <w:tcPr>
                <w:tcW w:w="5595" w:type="dxa"/>
                <w:shd w:val="clear" w:color="auto" w:fill="auto"/>
              </w:tcPr>
              <w:p w14:paraId="6C4423E1" w14:textId="22928D31" w:rsidR="00C85C8B" w:rsidRPr="00C85C8B" w:rsidRDefault="007C11D3" w:rsidP="00C85C8B">
                <w:pPr>
                  <w:rPr>
                    <w:rFonts w:ascii="Arial" w:hAnsi="Arial" w:cs="Arial"/>
                    <w:sz w:val="20"/>
                    <w:lang w:eastAsia="de-DE"/>
                  </w:rPr>
                </w:pPr>
                <w:r>
                  <w:rPr>
                    <w:rFonts w:ascii="MS Gothic" w:eastAsia="MS Gothic" w:hAnsi="MS Gothic" w:cs="Arial" w:hint="eastAsia"/>
                    <w:sz w:val="20"/>
                    <w:lang w:eastAsia="de-DE"/>
                  </w:rPr>
                  <w:t>☒</w:t>
                </w:r>
              </w:p>
            </w:tc>
          </w:sdtContent>
        </w:sdt>
      </w:tr>
      <w:tr w:rsidR="00C85C8B" w:rsidRPr="00C85C8B" w14:paraId="41DA9EA6" w14:textId="77777777" w:rsidTr="00B76FB7">
        <w:tc>
          <w:tcPr>
            <w:tcW w:w="3929" w:type="dxa"/>
            <w:shd w:val="clear" w:color="auto" w:fill="auto"/>
          </w:tcPr>
          <w:p w14:paraId="553FB597" w14:textId="77777777" w:rsidR="00C85C8B" w:rsidRPr="00C85C8B" w:rsidRDefault="00C85C8B" w:rsidP="00C85C8B">
            <w:pPr>
              <w:rPr>
                <w:rFonts w:ascii="Arial" w:hAnsi="Arial" w:cs="Arial"/>
                <w:sz w:val="22"/>
                <w:lang w:eastAsia="de-DE"/>
              </w:rPr>
            </w:pPr>
            <w:permStart w:id="1269442871" w:edGrp="everyone" w:colFirst="1" w:colLast="1"/>
            <w:permEnd w:id="310511986"/>
            <w:r w:rsidRPr="00C85C8B">
              <w:rPr>
                <w:rFonts w:ascii="Arial" w:hAnsi="Arial" w:cs="Arial"/>
                <w:sz w:val="22"/>
                <w:lang w:eastAsia="de-DE"/>
              </w:rPr>
              <w:t>Country/Region</w:t>
            </w:r>
          </w:p>
        </w:tc>
        <w:sdt>
          <w:sdtPr>
            <w:rPr>
              <w:rFonts w:ascii="Arial" w:hAnsi="Arial" w:cs="Arial"/>
              <w:sz w:val="20"/>
              <w:lang w:eastAsia="de-DE"/>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082656BF" w14:textId="0D5F1A5B" w:rsidR="00C85C8B" w:rsidRPr="00C85C8B" w:rsidRDefault="007C11D3" w:rsidP="00C85C8B">
                <w:pPr>
                  <w:rPr>
                    <w:rFonts w:ascii="Arial" w:hAnsi="Arial" w:cs="Arial"/>
                    <w:sz w:val="20"/>
                    <w:lang w:eastAsia="de-DE"/>
                  </w:rPr>
                </w:pPr>
                <w:r>
                  <w:rPr>
                    <w:rFonts w:ascii="Arial" w:hAnsi="Arial" w:cs="Arial"/>
                    <w:sz w:val="20"/>
                    <w:lang w:eastAsia="de-DE"/>
                  </w:rPr>
                  <w:t>Europe</w:t>
                </w:r>
              </w:p>
            </w:tc>
          </w:sdtContent>
        </w:sdt>
      </w:tr>
      <w:permEnd w:id="1269442871"/>
    </w:tbl>
    <w:p w14:paraId="7B052828"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0FE28F47"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019F5D4E"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59CB29E3" w14:textId="77777777" w:rsidR="00C85C8B" w:rsidRPr="00C85C8B" w:rsidRDefault="00C85C8B" w:rsidP="00C85C8B">
      <w:pPr>
        <w:keepNext/>
        <w:keepLines/>
        <w:spacing w:before="320" w:after="250" w:line="276" w:lineRule="auto"/>
        <w:ind w:left="431" w:hanging="431"/>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Introduction</w:t>
      </w:r>
    </w:p>
    <w:p w14:paraId="6212DE47" w14:textId="77777777" w:rsidR="00C85C8B" w:rsidRPr="00C85C8B" w:rsidRDefault="00C85C8B" w:rsidP="00C85C8B">
      <w:pPr>
        <w:spacing w:after="250" w:line="276" w:lineRule="auto"/>
        <w:jc w:val="both"/>
        <w:rPr>
          <w:rFonts w:asciiTheme="minorHAnsi" w:eastAsiaTheme="minorEastAsia" w:hAnsiTheme="minorHAnsi" w:cstheme="minorBidi"/>
          <w:b/>
          <w:bCs/>
          <w:i/>
          <w:iCs/>
          <w:sz w:val="22"/>
          <w:szCs w:val="20"/>
          <w:lang w:eastAsia="en-US"/>
        </w:rPr>
      </w:pPr>
      <w:r w:rsidRPr="00C85C8B">
        <w:rPr>
          <w:rFonts w:asciiTheme="minorHAnsi" w:eastAsiaTheme="minorEastAsia" w:hAnsiTheme="minorHAnsi" w:cstheme="minorBidi"/>
          <w:b/>
          <w:bCs/>
          <w:i/>
          <w:iCs/>
          <w:sz w:val="22"/>
          <w:szCs w:val="20"/>
          <w:lang w:eastAsia="en-US"/>
        </w:rPr>
        <w:t>Please make your introductory comments below, if any</w:t>
      </w:r>
    </w:p>
    <w:p w14:paraId="08E635EB" w14:textId="1BEA8881"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&lt;ESMA_COMMENT_</w:t>
      </w:r>
      <w:r w:rsidR="006B391B">
        <w:rPr>
          <w:rFonts w:asciiTheme="minorHAnsi" w:eastAsiaTheme="minorEastAsia" w:hAnsiTheme="minorHAnsi" w:cstheme="minorBidi"/>
          <w:sz w:val="22"/>
          <w:szCs w:val="20"/>
          <w:lang w:eastAsia="en-US"/>
        </w:rPr>
        <w:t>CD</w:t>
      </w:r>
      <w:r w:rsidRPr="00C85C8B">
        <w:rPr>
          <w:rFonts w:asciiTheme="minorHAnsi" w:eastAsiaTheme="minorEastAsia" w:hAnsiTheme="minorHAnsi" w:cstheme="minorBidi"/>
          <w:sz w:val="22"/>
          <w:szCs w:val="20"/>
          <w:lang w:eastAsia="en-US"/>
        </w:rPr>
        <w:t>_</w:t>
      </w:r>
      <w:r w:rsidR="00D378C9">
        <w:rPr>
          <w:rFonts w:asciiTheme="minorHAnsi" w:eastAsiaTheme="minorEastAsia" w:hAnsiTheme="minorHAnsi" w:cstheme="minorBidi"/>
          <w:sz w:val="22"/>
          <w:szCs w:val="20"/>
          <w:lang w:eastAsia="en-US"/>
        </w:rPr>
        <w:t>0</w:t>
      </w:r>
      <w:r w:rsidR="006B391B">
        <w:rPr>
          <w:rFonts w:asciiTheme="minorHAnsi" w:eastAsiaTheme="minorEastAsia" w:hAnsiTheme="minorHAnsi" w:cstheme="minorBidi"/>
          <w:sz w:val="22"/>
          <w:szCs w:val="20"/>
          <w:lang w:eastAsia="en-US"/>
        </w:rPr>
        <w:t>0</w:t>
      </w:r>
      <w:r w:rsidRPr="00C85C8B">
        <w:rPr>
          <w:rFonts w:asciiTheme="minorHAnsi" w:eastAsiaTheme="minorEastAsia" w:hAnsiTheme="minorHAnsi" w:cstheme="minorBidi"/>
          <w:sz w:val="22"/>
          <w:szCs w:val="20"/>
          <w:lang w:eastAsia="en-US"/>
        </w:rPr>
        <w:t>&gt;</w:t>
      </w:r>
    </w:p>
    <w:p w14:paraId="02AF2FF9" w14:textId="77777777" w:rsidR="00C85C8B" w:rsidRPr="00C85C8B" w:rsidRDefault="00C85C8B" w:rsidP="00C85C8B">
      <w:pPr>
        <w:spacing w:after="250" w:line="276" w:lineRule="auto"/>
        <w:jc w:val="both"/>
        <w:rPr>
          <w:rFonts w:ascii="Arial" w:eastAsiaTheme="minorEastAsia" w:hAnsi="Arial" w:cs="Arial"/>
          <w:sz w:val="22"/>
          <w:szCs w:val="20"/>
          <w:lang w:eastAsia="en-US"/>
        </w:rPr>
      </w:pPr>
      <w:permStart w:id="885457707" w:edGrp="everyone"/>
      <w:r w:rsidRPr="00C85C8B">
        <w:rPr>
          <w:rFonts w:ascii="Arial" w:eastAsiaTheme="minorEastAsia" w:hAnsi="Arial" w:cs="Arial"/>
          <w:sz w:val="22"/>
          <w:szCs w:val="20"/>
          <w:lang w:eastAsia="en-US"/>
        </w:rPr>
        <w:t>TYPE YOUR TEXT HERE</w:t>
      </w:r>
    </w:p>
    <w:permEnd w:id="885457707"/>
    <w:p w14:paraId="15D00E65" w14:textId="0F837A3C"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&lt;ESMA_COMMENT_</w:t>
      </w:r>
      <w:r w:rsidR="006B391B">
        <w:rPr>
          <w:rFonts w:asciiTheme="minorHAnsi" w:eastAsiaTheme="minorEastAsia" w:hAnsiTheme="minorHAnsi" w:cs="Arial"/>
          <w:sz w:val="22"/>
          <w:szCs w:val="20"/>
          <w:lang w:eastAsia="en-US"/>
        </w:rPr>
        <w:t>CD</w:t>
      </w:r>
      <w:r w:rsidRPr="00C85C8B">
        <w:rPr>
          <w:rFonts w:asciiTheme="minorHAnsi" w:eastAsiaTheme="minorEastAsia" w:hAnsiTheme="minorHAnsi" w:cstheme="minorBidi"/>
          <w:sz w:val="22"/>
          <w:szCs w:val="20"/>
          <w:lang w:eastAsia="en-US"/>
        </w:rPr>
        <w:t>_</w:t>
      </w:r>
      <w:r w:rsidR="00D378C9">
        <w:rPr>
          <w:rFonts w:asciiTheme="minorHAnsi" w:eastAsiaTheme="minorEastAsia" w:hAnsiTheme="minorHAnsi" w:cstheme="minorBidi"/>
          <w:sz w:val="22"/>
          <w:szCs w:val="20"/>
          <w:lang w:eastAsia="en-US"/>
        </w:rPr>
        <w:t>0</w:t>
      </w:r>
      <w:r w:rsidR="006B391B">
        <w:rPr>
          <w:rFonts w:asciiTheme="minorHAnsi" w:eastAsiaTheme="minorEastAsia" w:hAnsiTheme="minorHAnsi" w:cstheme="minorBidi"/>
          <w:sz w:val="22"/>
          <w:szCs w:val="20"/>
          <w:lang w:eastAsia="en-US"/>
        </w:rPr>
        <w:t>0</w:t>
      </w:r>
      <w:r w:rsidRPr="00C85C8B">
        <w:rPr>
          <w:rFonts w:asciiTheme="minorHAnsi" w:eastAsiaTheme="minorEastAsia" w:hAnsiTheme="minorHAnsi" w:cstheme="minorBidi"/>
          <w:sz w:val="22"/>
          <w:szCs w:val="20"/>
          <w:lang w:eastAsia="en-US"/>
        </w:rPr>
        <w:t>&gt;</w:t>
      </w:r>
    </w:p>
    <w:p w14:paraId="58C2F704" w14:textId="77777777" w:rsidR="00C85C8B" w:rsidRDefault="00C85C8B" w:rsidP="00C1698A">
      <w:pPr>
        <w:spacing w:line="276" w:lineRule="auto"/>
        <w:rPr>
          <w:rFonts w:asciiTheme="minorHAnsi" w:hAnsiTheme="minorHAnsi" w:cstheme="minorHAnsi"/>
          <w:b/>
          <w:sz w:val="28"/>
          <w:szCs w:val="28"/>
        </w:rPr>
      </w:pPr>
    </w:p>
    <w:p w14:paraId="4218CA54" w14:textId="77777777" w:rsidR="00C85C8B" w:rsidRDefault="00C85C8B" w:rsidP="00C1698A">
      <w:pPr>
        <w:spacing w:line="276" w:lineRule="auto"/>
        <w:rPr>
          <w:rFonts w:asciiTheme="minorHAnsi" w:hAnsiTheme="minorHAnsi" w:cstheme="minorHAnsi"/>
          <w:b/>
          <w:sz w:val="28"/>
          <w:szCs w:val="28"/>
        </w:rPr>
      </w:pPr>
    </w:p>
    <w:p w14:paraId="0CE5A6A7" w14:textId="77777777" w:rsidR="00C85C8B" w:rsidRDefault="00C85C8B" w:rsidP="00C1698A">
      <w:pPr>
        <w:spacing w:line="276" w:lineRule="auto"/>
        <w:rPr>
          <w:rFonts w:asciiTheme="minorHAnsi" w:hAnsiTheme="minorHAnsi" w:cstheme="minorHAnsi"/>
          <w:b/>
          <w:sz w:val="28"/>
          <w:szCs w:val="28"/>
        </w:rPr>
      </w:pPr>
    </w:p>
    <w:p w14:paraId="0D73DA59" w14:textId="77777777" w:rsidR="00C85C8B" w:rsidRDefault="00C85C8B" w:rsidP="00C1698A">
      <w:pPr>
        <w:spacing w:line="276" w:lineRule="auto"/>
        <w:rPr>
          <w:rFonts w:asciiTheme="minorHAnsi" w:hAnsiTheme="minorHAnsi" w:cstheme="minorHAnsi"/>
          <w:b/>
          <w:sz w:val="28"/>
          <w:szCs w:val="28"/>
        </w:rPr>
      </w:pPr>
    </w:p>
    <w:p w14:paraId="0C037628" w14:textId="77777777" w:rsidR="00C85C8B" w:rsidRDefault="00C85C8B" w:rsidP="00C1698A">
      <w:pPr>
        <w:spacing w:line="276" w:lineRule="auto"/>
        <w:rPr>
          <w:rFonts w:asciiTheme="minorHAnsi" w:hAnsiTheme="minorHAnsi" w:cstheme="minorHAnsi"/>
          <w:b/>
          <w:sz w:val="28"/>
          <w:szCs w:val="28"/>
        </w:rPr>
      </w:pPr>
    </w:p>
    <w:p w14:paraId="1D0DAFF5" w14:textId="77777777" w:rsidR="00C85C8B" w:rsidRDefault="00C85C8B">
      <w:pPr>
        <w:spacing w:after="120" w:line="264" w:lineRule="auto"/>
        <w:rPr>
          <w:rFonts w:asciiTheme="minorHAnsi" w:hAnsiTheme="minorHAnsi" w:cstheme="minorHAnsi"/>
          <w:b/>
          <w:sz w:val="28"/>
          <w:szCs w:val="28"/>
        </w:rPr>
      </w:pPr>
      <w:r>
        <w:rPr>
          <w:rFonts w:asciiTheme="minorHAnsi" w:hAnsiTheme="minorHAnsi" w:cstheme="minorHAnsi"/>
          <w:b/>
          <w:sz w:val="28"/>
          <w:szCs w:val="28"/>
        </w:rPr>
        <w:br w:type="page"/>
      </w:r>
    </w:p>
    <w:p w14:paraId="005F1C41" w14:textId="21C1F329" w:rsidR="00C1698A" w:rsidRDefault="00C1698A" w:rsidP="00C1698A">
      <w:pPr>
        <w:spacing w:line="276" w:lineRule="auto"/>
        <w:rPr>
          <w:rFonts w:asciiTheme="minorHAnsi" w:hAnsiTheme="minorHAnsi" w:cstheme="minorHAnsi"/>
          <w:b/>
          <w:sz w:val="28"/>
          <w:szCs w:val="28"/>
        </w:rPr>
      </w:pPr>
      <w:r w:rsidRPr="00C1698A">
        <w:rPr>
          <w:rFonts w:asciiTheme="minorHAnsi" w:hAnsiTheme="minorHAnsi" w:cstheme="minorHAnsi"/>
          <w:b/>
          <w:sz w:val="28"/>
          <w:szCs w:val="28"/>
        </w:rPr>
        <w:lastRenderedPageBreak/>
        <w:t xml:space="preserve">Questions </w:t>
      </w:r>
    </w:p>
    <w:p w14:paraId="289A1E31" w14:textId="6515C9EB" w:rsidR="00AB6157" w:rsidRDefault="00AB6157" w:rsidP="00C1698A">
      <w:pPr>
        <w:spacing w:line="276" w:lineRule="auto"/>
        <w:rPr>
          <w:rFonts w:asciiTheme="minorHAnsi" w:hAnsiTheme="minorHAnsi" w:cstheme="minorHAnsi"/>
          <w:b/>
          <w:sz w:val="28"/>
          <w:szCs w:val="28"/>
        </w:rPr>
      </w:pPr>
    </w:p>
    <w:p w14:paraId="0449067B" w14:textId="662BB4B0" w:rsidR="001F23C9" w:rsidRDefault="001F23C9" w:rsidP="001F23C9">
      <w:pPr>
        <w:pStyle w:val="Questionstyle"/>
        <w:numPr>
          <w:ilvl w:val="0"/>
          <w:numId w:val="9"/>
        </w:numPr>
        <w:spacing w:after="250" w:line="276" w:lineRule="auto"/>
      </w:pPr>
      <w:r>
        <w:t xml:space="preserve">: </w:t>
      </w:r>
      <w:r w:rsidR="006B391B" w:rsidRPr="006B391B">
        <w:t>Do you agree with ESMA’s proposal regarding the impact of the new hedging exemption on the aggregation of positions? If not, please elaborate.</w:t>
      </w:r>
    </w:p>
    <w:p w14:paraId="008A4A78" w14:textId="5B7F4999"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1&gt;</w:t>
      </w:r>
    </w:p>
    <w:p w14:paraId="2D8DB709" w14:textId="77777777" w:rsidR="007C11D3" w:rsidRPr="007C11D3" w:rsidRDefault="007C11D3" w:rsidP="007C11D3">
      <w:pPr>
        <w:pStyle w:val="Default"/>
        <w:jc w:val="both"/>
        <w:rPr>
          <w:rFonts w:eastAsia="Times New Roman"/>
          <w:color w:val="auto"/>
          <w:lang w:val="en-GB" w:eastAsia="en-GB"/>
        </w:rPr>
      </w:pPr>
      <w:permStart w:id="87702194" w:edGrp="everyone"/>
      <w:r w:rsidRPr="007C11D3">
        <w:rPr>
          <w:rFonts w:eastAsia="Times New Roman"/>
          <w:color w:val="auto"/>
          <w:lang w:val="en-GB" w:eastAsia="en-GB"/>
        </w:rPr>
        <w:t xml:space="preserve">Yes. We are of the opinion that since the commodity derivatives </w:t>
      </w:r>
      <w:proofErr w:type="gramStart"/>
      <w:r w:rsidRPr="007C11D3">
        <w:rPr>
          <w:rFonts w:eastAsia="Times New Roman"/>
          <w:color w:val="auto"/>
          <w:lang w:val="en-GB" w:eastAsia="en-GB"/>
        </w:rPr>
        <w:t>entered into</w:t>
      </w:r>
      <w:proofErr w:type="gramEnd"/>
      <w:r w:rsidRPr="007C11D3">
        <w:rPr>
          <w:rFonts w:eastAsia="Times New Roman"/>
          <w:color w:val="auto"/>
          <w:lang w:val="en-GB" w:eastAsia="en-GB"/>
        </w:rPr>
        <w:t xml:space="preserve"> by a financial entity are aimed at reducing risks related to the commercial activities of a non-financial company in a predominantly commercial group, the modus operandi of the aggregation of positions should be the same as that of non-financial companies. Therefore, these positions should not be aggregated.</w:t>
      </w:r>
    </w:p>
    <w:permEnd w:id="87702194"/>
    <w:p w14:paraId="3E4B5260" w14:textId="678E3712"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1&gt;</w:t>
      </w:r>
    </w:p>
    <w:p w14:paraId="6AA41074" w14:textId="77777777" w:rsidR="001F23C9" w:rsidRDefault="001F23C9" w:rsidP="001F23C9">
      <w:pPr>
        <w:rPr>
          <w:rFonts w:ascii="Arial" w:hAnsi="Arial" w:cs="Arial"/>
        </w:rPr>
      </w:pPr>
    </w:p>
    <w:p w14:paraId="33181B57" w14:textId="57D6D58C" w:rsidR="001F23C9" w:rsidRDefault="001F23C9" w:rsidP="001F23C9">
      <w:pPr>
        <w:pStyle w:val="Questionstyle"/>
        <w:numPr>
          <w:ilvl w:val="0"/>
          <w:numId w:val="9"/>
        </w:numPr>
        <w:spacing w:after="250" w:line="276" w:lineRule="auto"/>
      </w:pPr>
      <w:r>
        <w:t xml:space="preserve">: </w:t>
      </w:r>
      <w:r w:rsidR="006B391B" w:rsidRPr="006B391B">
        <w:t>Do you agree with ESMA’s proposal for positions qualifying as risk-reducing? If not, please elaborate and provide an alternative proposal.</w:t>
      </w:r>
    </w:p>
    <w:p w14:paraId="3EDDB358" w14:textId="7238A1B4"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2&gt;</w:t>
      </w:r>
    </w:p>
    <w:p w14:paraId="629BA97E" w14:textId="77777777" w:rsidR="007C11D3" w:rsidRPr="007C11D3" w:rsidRDefault="007C11D3" w:rsidP="007C11D3">
      <w:pPr>
        <w:pStyle w:val="Default"/>
        <w:jc w:val="both"/>
        <w:rPr>
          <w:rFonts w:eastAsia="Times New Roman"/>
          <w:color w:val="auto"/>
          <w:lang w:val="en-GB" w:eastAsia="en-GB"/>
        </w:rPr>
      </w:pPr>
      <w:permStart w:id="1839020708" w:edGrp="everyone"/>
      <w:r w:rsidRPr="007C11D3">
        <w:rPr>
          <w:rFonts w:eastAsia="Times New Roman"/>
          <w:color w:val="auto"/>
          <w:lang w:val="en-GB" w:eastAsia="en-GB"/>
        </w:rPr>
        <w:t xml:space="preserve">Yes. We are of the opinion that since the commodity derivatives </w:t>
      </w:r>
      <w:proofErr w:type="gramStart"/>
      <w:r w:rsidRPr="007C11D3">
        <w:rPr>
          <w:rFonts w:eastAsia="Times New Roman"/>
          <w:color w:val="auto"/>
          <w:lang w:val="en-GB" w:eastAsia="en-GB"/>
        </w:rPr>
        <w:t>entered into</w:t>
      </w:r>
      <w:proofErr w:type="gramEnd"/>
      <w:r w:rsidRPr="007C11D3">
        <w:rPr>
          <w:rFonts w:eastAsia="Times New Roman"/>
          <w:color w:val="auto"/>
          <w:lang w:val="en-GB" w:eastAsia="en-GB"/>
        </w:rPr>
        <w:t xml:space="preserve"> by a financial entity are aimed at reducing risks related to the commercial activities of a non-financial company in a predominantly commercial group, the circumstances under which said positions may qualify as risk-reducing should replicate the circumstances set out in Article 7(1) regarding the positions held by NFEs. </w:t>
      </w:r>
    </w:p>
    <w:permEnd w:id="1839020708"/>
    <w:p w14:paraId="66FEC911" w14:textId="36BA3FCD"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2&gt;</w:t>
      </w:r>
    </w:p>
    <w:p w14:paraId="57748A42" w14:textId="77777777" w:rsidR="001F23C9" w:rsidRDefault="001F23C9" w:rsidP="001F23C9">
      <w:pPr>
        <w:rPr>
          <w:rFonts w:ascii="Arial" w:hAnsi="Arial" w:cs="Arial"/>
        </w:rPr>
      </w:pPr>
    </w:p>
    <w:p w14:paraId="2CE8F433" w14:textId="7DCDEC99" w:rsidR="001F23C9" w:rsidRPr="00175CFB" w:rsidRDefault="001F23C9" w:rsidP="001F23C9">
      <w:pPr>
        <w:pStyle w:val="Questionstyle"/>
        <w:numPr>
          <w:ilvl w:val="0"/>
          <w:numId w:val="9"/>
        </w:numPr>
        <w:spacing w:after="250" w:line="276" w:lineRule="auto"/>
      </w:pPr>
      <w:r>
        <w:t>:</w:t>
      </w:r>
      <w:r w:rsidRPr="000F104A">
        <w:t xml:space="preserve"> </w:t>
      </w:r>
      <w:r w:rsidR="006B391B" w:rsidRPr="006B391B">
        <w:t>Do you agree with ESMA’s proposal on the application procedure for financial entities?? If not, please elaborate and provide an alternative proposal.</w:t>
      </w:r>
    </w:p>
    <w:p w14:paraId="7FED036B" w14:textId="0F36C648"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03</w:t>
      </w:r>
      <w:r>
        <w:rPr>
          <w:rFonts w:ascii="Arial" w:hAnsi="Arial" w:cs="Arial"/>
        </w:rPr>
        <w:t>&gt;</w:t>
      </w:r>
    </w:p>
    <w:p w14:paraId="0B5EA186" w14:textId="77777777" w:rsidR="007C11D3" w:rsidRDefault="007C11D3" w:rsidP="001F23C9">
      <w:pPr>
        <w:rPr>
          <w:rFonts w:ascii="Arial" w:hAnsi="Arial" w:cs="Arial"/>
        </w:rPr>
      </w:pPr>
      <w:permStart w:id="1383364894" w:edGrp="everyone"/>
      <w:r w:rsidRPr="007C11D3">
        <w:rPr>
          <w:rFonts w:ascii="Arial" w:hAnsi="Arial" w:cs="Arial"/>
        </w:rPr>
        <w:t>Yes, we agree with the ESMA proposal</w:t>
      </w:r>
      <w:r>
        <w:rPr>
          <w:rFonts w:ascii="Arial" w:hAnsi="Arial" w:cs="Arial"/>
        </w:rPr>
        <w:t>.</w:t>
      </w:r>
    </w:p>
    <w:permEnd w:id="1383364894"/>
    <w:p w14:paraId="6BED19E8" w14:textId="51D8F5E8"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3&gt;</w:t>
      </w:r>
    </w:p>
    <w:p w14:paraId="0207D391" w14:textId="77777777" w:rsidR="001F23C9" w:rsidRDefault="001F23C9" w:rsidP="001F23C9">
      <w:pPr>
        <w:rPr>
          <w:rFonts w:ascii="Arial" w:hAnsi="Arial" w:cs="Arial"/>
        </w:rPr>
      </w:pPr>
    </w:p>
    <w:p w14:paraId="014C25F1" w14:textId="377335BC" w:rsidR="001F23C9" w:rsidRPr="00175CFB" w:rsidRDefault="001F23C9" w:rsidP="001F23C9">
      <w:pPr>
        <w:pStyle w:val="Questionstyle"/>
        <w:numPr>
          <w:ilvl w:val="0"/>
          <w:numId w:val="9"/>
        </w:numPr>
        <w:spacing w:after="250" w:line="276" w:lineRule="auto"/>
      </w:pPr>
      <w:r>
        <w:t>:</w:t>
      </w:r>
      <w:r w:rsidRPr="000F104A">
        <w:t xml:space="preserve"> </w:t>
      </w:r>
      <w:r w:rsidR="006B391B" w:rsidRPr="006B391B">
        <w:t>Do you agree with ESMA’s proposal on the application procedure for mandatory liquidity provision exemption? If not, please elaborate and provide an alternative proposal.</w:t>
      </w:r>
    </w:p>
    <w:p w14:paraId="61582DDF" w14:textId="3D8685D1"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4&gt;</w:t>
      </w:r>
    </w:p>
    <w:p w14:paraId="3716F633" w14:textId="77777777" w:rsidR="007C11D3" w:rsidRPr="007C11D3" w:rsidRDefault="007C11D3" w:rsidP="001F23C9">
      <w:pPr>
        <w:rPr>
          <w:rFonts w:ascii="Arial" w:hAnsi="Arial" w:cs="Arial"/>
        </w:rPr>
      </w:pPr>
      <w:permStart w:id="1723492748" w:edGrp="everyone"/>
      <w:r w:rsidRPr="007C11D3">
        <w:rPr>
          <w:rFonts w:ascii="Arial" w:hAnsi="Arial" w:cs="Arial"/>
        </w:rPr>
        <w:t>Yes, we agree with ESMA’s proposal as we think the information requested is necessary to prove the nature and purpose of the positions</w:t>
      </w:r>
      <w:r w:rsidRPr="007C11D3">
        <w:rPr>
          <w:rFonts w:ascii="Arial" w:hAnsi="Arial" w:cs="Arial"/>
        </w:rPr>
        <w:t>.</w:t>
      </w:r>
    </w:p>
    <w:permEnd w:id="1723492748"/>
    <w:p w14:paraId="768D899B" w14:textId="64E81914"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4&gt;</w:t>
      </w:r>
    </w:p>
    <w:p w14:paraId="2EE4F6D2" w14:textId="77777777" w:rsidR="001F23C9" w:rsidRDefault="001F23C9" w:rsidP="001F23C9">
      <w:pPr>
        <w:rPr>
          <w:rFonts w:ascii="Arial" w:hAnsi="Arial" w:cs="Arial"/>
        </w:rPr>
      </w:pPr>
    </w:p>
    <w:p w14:paraId="20DDA557" w14:textId="092F6A61" w:rsidR="001F23C9" w:rsidRPr="00175CFB" w:rsidRDefault="001F23C9" w:rsidP="001F23C9">
      <w:pPr>
        <w:pStyle w:val="Questionstyle"/>
        <w:numPr>
          <w:ilvl w:val="0"/>
          <w:numId w:val="9"/>
        </w:numPr>
        <w:spacing w:after="250" w:line="276" w:lineRule="auto"/>
      </w:pPr>
      <w:r>
        <w:t>:</w:t>
      </w:r>
      <w:r w:rsidRPr="000F104A">
        <w:t xml:space="preserve"> </w:t>
      </w:r>
      <w:r w:rsidR="006B391B" w:rsidRPr="006B391B">
        <w:t>Do you agree with ESMA’s proposal on qualifying positions? If not, please elaborate and provide an alternative proposal.</w:t>
      </w:r>
    </w:p>
    <w:p w14:paraId="721CC648" w14:textId="671569F2"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5&gt;</w:t>
      </w:r>
    </w:p>
    <w:p w14:paraId="54EFA387" w14:textId="381E4E8B" w:rsidR="001F23C9" w:rsidRDefault="007C11D3" w:rsidP="001F23C9">
      <w:pPr>
        <w:rPr>
          <w:rFonts w:ascii="Arial" w:hAnsi="Arial" w:cs="Arial"/>
        </w:rPr>
      </w:pPr>
      <w:permStart w:id="377302903" w:edGrp="everyone"/>
      <w:r>
        <w:rPr>
          <w:rFonts w:ascii="Arial" w:hAnsi="Arial" w:cs="Arial"/>
        </w:rPr>
        <w:t>Yes, we agree.</w:t>
      </w:r>
    </w:p>
    <w:permEnd w:id="377302903"/>
    <w:p w14:paraId="08615720" w14:textId="510ECE21"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5&gt;</w:t>
      </w:r>
    </w:p>
    <w:p w14:paraId="19581B61" w14:textId="77777777" w:rsidR="001F23C9" w:rsidRDefault="001F23C9" w:rsidP="001F23C9">
      <w:pPr>
        <w:rPr>
          <w:rFonts w:ascii="Arial" w:hAnsi="Arial" w:cs="Arial"/>
        </w:rPr>
      </w:pPr>
    </w:p>
    <w:p w14:paraId="641F06EB" w14:textId="62863B24" w:rsidR="001F23C9" w:rsidRPr="00175CFB" w:rsidRDefault="001F23C9" w:rsidP="001F23C9">
      <w:pPr>
        <w:pStyle w:val="Questionstyle"/>
        <w:numPr>
          <w:ilvl w:val="0"/>
          <w:numId w:val="9"/>
        </w:numPr>
        <w:spacing w:after="250" w:line="276" w:lineRule="auto"/>
      </w:pPr>
      <w:r>
        <w:lastRenderedPageBreak/>
        <w:t>:</w:t>
      </w:r>
      <w:r w:rsidRPr="000F104A">
        <w:t xml:space="preserve"> </w:t>
      </w:r>
      <w:r w:rsidR="006B391B" w:rsidRPr="006B391B">
        <w:t>Do you agree with ESMA’s proposed definition of financial entities? If not, please elaborate.</w:t>
      </w:r>
    </w:p>
    <w:p w14:paraId="1559456F" w14:textId="6EE870CE"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6&gt;</w:t>
      </w:r>
    </w:p>
    <w:p w14:paraId="2B13A9F4" w14:textId="2C6BB388" w:rsidR="007C11D3" w:rsidRPr="007C11D3" w:rsidRDefault="007C11D3" w:rsidP="001F23C9">
      <w:pPr>
        <w:rPr>
          <w:rFonts w:ascii="Arial" w:hAnsi="Arial" w:cs="Arial"/>
        </w:rPr>
      </w:pPr>
      <w:permStart w:id="1290170203" w:edGrp="everyone"/>
      <w:r w:rsidRPr="007C11D3">
        <w:rPr>
          <w:rFonts w:ascii="Arial" w:hAnsi="Arial" w:cs="Arial"/>
        </w:rPr>
        <w:t>Yes, we agree with ESMA’s proposal</w:t>
      </w:r>
      <w:r w:rsidRPr="007C11D3">
        <w:rPr>
          <w:rFonts w:ascii="Arial" w:hAnsi="Arial" w:cs="Arial"/>
        </w:rPr>
        <w:t>.</w:t>
      </w:r>
    </w:p>
    <w:permEnd w:id="1290170203"/>
    <w:p w14:paraId="74B06132" w14:textId="456ABE4F"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6&gt;</w:t>
      </w:r>
    </w:p>
    <w:p w14:paraId="2D8DA87C" w14:textId="77777777" w:rsidR="001F23C9" w:rsidRDefault="001F23C9" w:rsidP="001F23C9">
      <w:pPr>
        <w:rPr>
          <w:rFonts w:ascii="Arial" w:hAnsi="Arial" w:cs="Arial"/>
        </w:rPr>
      </w:pPr>
    </w:p>
    <w:p w14:paraId="2E85777D" w14:textId="34F39C40" w:rsidR="001F23C9" w:rsidRPr="00175CFB" w:rsidRDefault="001F23C9" w:rsidP="001F23C9">
      <w:pPr>
        <w:pStyle w:val="Questionstyle"/>
        <w:numPr>
          <w:ilvl w:val="0"/>
          <w:numId w:val="9"/>
        </w:numPr>
        <w:spacing w:after="250" w:line="276" w:lineRule="auto"/>
      </w:pPr>
      <w:r>
        <w:t xml:space="preserve">: </w:t>
      </w:r>
      <w:r w:rsidR="006B391B" w:rsidRPr="006B391B">
        <w:t>Do you agree with ESMA’s proposal regarding the aggregation and netting of positions in a commodity derivative? If not, please elaborate and provide an alternative proposal where available.</w:t>
      </w:r>
    </w:p>
    <w:p w14:paraId="5145B31A" w14:textId="1FDF315A"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7&gt;</w:t>
      </w:r>
    </w:p>
    <w:p w14:paraId="79F4CB3A" w14:textId="77777777" w:rsidR="001F23C9" w:rsidRDefault="001F23C9" w:rsidP="001F23C9">
      <w:pPr>
        <w:rPr>
          <w:rFonts w:ascii="Arial" w:hAnsi="Arial" w:cs="Arial"/>
        </w:rPr>
      </w:pPr>
      <w:permStart w:id="463824392" w:edGrp="everyone"/>
      <w:r>
        <w:rPr>
          <w:rFonts w:ascii="Arial" w:hAnsi="Arial" w:cs="Arial"/>
        </w:rPr>
        <w:t>TYPE YOUR TEXT HERE</w:t>
      </w:r>
    </w:p>
    <w:permEnd w:id="463824392"/>
    <w:p w14:paraId="3F2567A8" w14:textId="5DE1724E"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7&gt;</w:t>
      </w:r>
    </w:p>
    <w:p w14:paraId="19066DFA" w14:textId="77777777" w:rsidR="001F23C9" w:rsidRDefault="001F23C9" w:rsidP="001F23C9">
      <w:pPr>
        <w:rPr>
          <w:rFonts w:ascii="Arial" w:hAnsi="Arial" w:cs="Arial"/>
        </w:rPr>
      </w:pPr>
    </w:p>
    <w:p w14:paraId="26B5D069" w14:textId="5F98A79A" w:rsidR="001F23C9" w:rsidRPr="00175CFB" w:rsidRDefault="001F23C9" w:rsidP="001F23C9">
      <w:pPr>
        <w:pStyle w:val="Questionstyle"/>
        <w:numPr>
          <w:ilvl w:val="0"/>
          <w:numId w:val="9"/>
        </w:numPr>
        <w:spacing w:after="250" w:line="276" w:lineRule="auto"/>
      </w:pPr>
      <w:r>
        <w:t xml:space="preserve">: </w:t>
      </w:r>
      <w:r w:rsidR="006B391B" w:rsidRPr="006B391B">
        <w:t>Do you agree with ESMA’s proposal for significant volumes? If not, please elaborate.</w:t>
      </w:r>
    </w:p>
    <w:p w14:paraId="280915A7" w14:textId="7E73B0F5"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8&gt;</w:t>
      </w:r>
    </w:p>
    <w:p w14:paraId="19460283" w14:textId="77777777" w:rsidR="007C11D3" w:rsidRPr="007C11D3" w:rsidRDefault="007C11D3" w:rsidP="007C11D3">
      <w:pPr>
        <w:rPr>
          <w:rFonts w:ascii="Arial" w:hAnsi="Arial" w:cs="Arial"/>
        </w:rPr>
      </w:pPr>
      <w:permStart w:id="71388718" w:edGrp="everyone"/>
      <w:r w:rsidRPr="007C11D3">
        <w:rPr>
          <w:rFonts w:ascii="Arial" w:hAnsi="Arial" w:cs="Arial"/>
        </w:rPr>
        <w:t xml:space="preserve">We support the deletion of the reference to “the same commodity derivative” and the proposed treatment of </w:t>
      </w:r>
      <w:proofErr w:type="spellStart"/>
      <w:r w:rsidRPr="007C11D3">
        <w:rPr>
          <w:rFonts w:ascii="Arial" w:hAnsi="Arial" w:cs="Arial"/>
        </w:rPr>
        <w:t>balmos</w:t>
      </w:r>
      <w:proofErr w:type="spellEnd"/>
      <w:r w:rsidRPr="007C11D3">
        <w:rPr>
          <w:rFonts w:ascii="Arial" w:hAnsi="Arial" w:cs="Arial"/>
        </w:rPr>
        <w:t xml:space="preserve"> (other closely related derivatives that are a fraction of the value of a corresponding standard futures contract or whose pricing period is defined as the selected start date to the end of the contract month of the standard futures contract traded on the same trading venue), provided that a clear guidance is given to market participants by ESMA and NCAs about what products shall be aggregated under the same limit. </w:t>
      </w:r>
    </w:p>
    <w:p w14:paraId="2DDB2060" w14:textId="77777777" w:rsidR="007C11D3" w:rsidRPr="007C11D3" w:rsidRDefault="007C11D3" w:rsidP="007C11D3">
      <w:pPr>
        <w:rPr>
          <w:rFonts w:ascii="Arial" w:hAnsi="Arial" w:cs="Arial"/>
        </w:rPr>
      </w:pPr>
    </w:p>
    <w:p w14:paraId="4A75D2F9" w14:textId="77777777" w:rsidR="007C11D3" w:rsidRPr="007C11D3" w:rsidRDefault="007C11D3" w:rsidP="007C11D3">
      <w:pPr>
        <w:rPr>
          <w:rFonts w:ascii="Arial" w:hAnsi="Arial" w:cs="Arial"/>
        </w:rPr>
      </w:pPr>
      <w:r w:rsidRPr="007C11D3">
        <w:rPr>
          <w:rFonts w:ascii="Arial" w:hAnsi="Arial" w:cs="Arial"/>
        </w:rPr>
        <w:t xml:space="preserve">With reference to the proposal made regarding spreads, we see first a need to clarify the underlying meaning of spread contracts. In the energy </w:t>
      </w:r>
      <w:proofErr w:type="spellStart"/>
      <w:r w:rsidRPr="007C11D3">
        <w:rPr>
          <w:rFonts w:ascii="Arial" w:hAnsi="Arial" w:cs="Arial"/>
        </w:rPr>
        <w:t>busines</w:t>
      </w:r>
      <w:proofErr w:type="spellEnd"/>
      <w:r w:rsidRPr="007C11D3">
        <w:rPr>
          <w:rFonts w:ascii="Arial" w:hAnsi="Arial" w:cs="Arial"/>
        </w:rPr>
        <w:t xml:space="preserve"> spread contracts are usually no outright contracts but rather strategies where the two legs consist of an outright contract that are executed simultaneously. </w:t>
      </w:r>
    </w:p>
    <w:p w14:paraId="252B7AF7" w14:textId="77777777" w:rsidR="007C11D3" w:rsidRPr="007C11D3" w:rsidRDefault="007C11D3" w:rsidP="007C11D3">
      <w:pPr>
        <w:rPr>
          <w:rFonts w:ascii="Arial" w:hAnsi="Arial" w:cs="Arial"/>
        </w:rPr>
      </w:pPr>
    </w:p>
    <w:p w14:paraId="130DC322" w14:textId="1203B497" w:rsidR="007C11D3" w:rsidRDefault="007C11D3" w:rsidP="001F23C9">
      <w:pPr>
        <w:rPr>
          <w:rFonts w:ascii="Arial" w:hAnsi="Arial" w:cs="Arial"/>
        </w:rPr>
      </w:pPr>
      <w:r w:rsidRPr="007C11D3">
        <w:rPr>
          <w:rFonts w:ascii="Arial" w:hAnsi="Arial" w:cs="Arial"/>
        </w:rPr>
        <w:t xml:space="preserve">If some spread contracts exist directly offered by trading venues and having their own position limits, no disaggregation should be applied in such cases, </w:t>
      </w:r>
      <w:proofErr w:type="gramStart"/>
      <w:r w:rsidRPr="007C11D3">
        <w:rPr>
          <w:rFonts w:ascii="Arial" w:hAnsi="Arial" w:cs="Arial"/>
        </w:rPr>
        <w:t>in order to</w:t>
      </w:r>
      <w:proofErr w:type="gramEnd"/>
      <w:r w:rsidRPr="007C11D3">
        <w:rPr>
          <w:rFonts w:ascii="Arial" w:hAnsi="Arial" w:cs="Arial"/>
        </w:rPr>
        <w:t xml:space="preserve"> avoid a double imposition of position limits on market participants.</w:t>
      </w:r>
    </w:p>
    <w:permEnd w:id="71388718"/>
    <w:p w14:paraId="611C3F91" w14:textId="30FDC8D1"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8&gt;</w:t>
      </w:r>
    </w:p>
    <w:p w14:paraId="13BF8D66" w14:textId="77777777" w:rsidR="001F23C9" w:rsidRDefault="001F23C9" w:rsidP="001F23C9">
      <w:pPr>
        <w:rPr>
          <w:rFonts w:ascii="Arial" w:hAnsi="Arial" w:cs="Arial"/>
        </w:rPr>
      </w:pPr>
    </w:p>
    <w:p w14:paraId="36A02EDD" w14:textId="6925CDC1" w:rsidR="001F23C9" w:rsidRPr="00175CFB" w:rsidRDefault="001F23C9" w:rsidP="001F23C9">
      <w:pPr>
        <w:pStyle w:val="Questionstyle"/>
        <w:numPr>
          <w:ilvl w:val="0"/>
          <w:numId w:val="9"/>
        </w:numPr>
        <w:spacing w:after="250" w:line="276" w:lineRule="auto"/>
      </w:pPr>
      <w:r>
        <w:t>:</w:t>
      </w:r>
      <w:r w:rsidRPr="000F104A">
        <w:t xml:space="preserve"> </w:t>
      </w:r>
      <w:r w:rsidR="006B391B" w:rsidRPr="006B391B">
        <w:t>Do you agree with ESMA’s proposal? If not, please elaborate and provide an alternative proposal where available.</w:t>
      </w:r>
      <w:r w:rsidRPr="000F104A">
        <w:t xml:space="preserve"> </w:t>
      </w:r>
    </w:p>
    <w:p w14:paraId="3A329F97" w14:textId="29544F9C"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9&gt;</w:t>
      </w:r>
    </w:p>
    <w:p w14:paraId="23CD3E6B" w14:textId="77777777" w:rsidR="007C11D3" w:rsidRPr="007C11D3" w:rsidRDefault="007C11D3" w:rsidP="007C11D3">
      <w:pPr>
        <w:rPr>
          <w:rFonts w:ascii="Arial" w:hAnsi="Arial" w:cs="Arial"/>
        </w:rPr>
      </w:pPr>
      <w:permStart w:id="819753946" w:edGrp="everyone"/>
      <w:r w:rsidRPr="007C11D3">
        <w:rPr>
          <w:rFonts w:ascii="Arial" w:hAnsi="Arial" w:cs="Arial"/>
          <w:u w:val="single"/>
        </w:rPr>
        <w:t>We do not agree</w:t>
      </w:r>
      <w:r w:rsidRPr="007C11D3">
        <w:rPr>
          <w:rFonts w:ascii="Arial" w:hAnsi="Arial" w:cs="Arial"/>
        </w:rPr>
        <w:t xml:space="preserve"> with the proposal to set the baseline for the spot month based on the open interest in case the deliverable supply is significantly higher than the former. This generally happens in less developed, illiquid markets. </w:t>
      </w:r>
      <w:proofErr w:type="gramStart"/>
      <w:r w:rsidRPr="007C11D3">
        <w:rPr>
          <w:rFonts w:ascii="Arial" w:hAnsi="Arial" w:cs="Arial"/>
        </w:rPr>
        <w:t>So</w:t>
      </w:r>
      <w:proofErr w:type="gramEnd"/>
      <w:r w:rsidRPr="007C11D3">
        <w:rPr>
          <w:rFonts w:ascii="Arial" w:hAnsi="Arial" w:cs="Arial"/>
        </w:rPr>
        <w:t xml:space="preserve"> if a low limit is set in these cases, it will not be possible for these markets to increase trading, develop further and become more liquid. </w:t>
      </w:r>
    </w:p>
    <w:p w14:paraId="601CF344" w14:textId="77777777" w:rsidR="007C11D3" w:rsidRDefault="007C11D3" w:rsidP="001F23C9">
      <w:pPr>
        <w:rPr>
          <w:rFonts w:ascii="Arial" w:hAnsi="Arial" w:cs="Arial"/>
        </w:rPr>
      </w:pPr>
      <w:r w:rsidRPr="007C11D3">
        <w:rPr>
          <w:rFonts w:ascii="Arial" w:hAnsi="Arial" w:cs="Arial"/>
        </w:rPr>
        <w:t>Therefore, we suggest using the deliverable supply as the baseline for the spot month in all cases.</w:t>
      </w:r>
    </w:p>
    <w:permEnd w:id="819753946"/>
    <w:p w14:paraId="6AB0A535" w14:textId="2151F47C"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9&gt;</w:t>
      </w:r>
    </w:p>
    <w:p w14:paraId="15BEDAE4" w14:textId="77777777" w:rsidR="001F23C9" w:rsidRDefault="001F23C9" w:rsidP="001F23C9">
      <w:pPr>
        <w:rPr>
          <w:rFonts w:ascii="Arial" w:hAnsi="Arial" w:cs="Arial"/>
        </w:rPr>
      </w:pPr>
    </w:p>
    <w:p w14:paraId="55E0213D" w14:textId="6D383982" w:rsidR="001F23C9" w:rsidRPr="00175CFB" w:rsidRDefault="006B391B" w:rsidP="001F23C9">
      <w:pPr>
        <w:pStyle w:val="Questionstyle"/>
        <w:numPr>
          <w:ilvl w:val="0"/>
          <w:numId w:val="9"/>
        </w:numPr>
        <w:spacing w:after="250" w:line="276" w:lineRule="auto"/>
      </w:pPr>
      <w:r>
        <w:lastRenderedPageBreak/>
        <w:t xml:space="preserve">: </w:t>
      </w:r>
      <w:r w:rsidRPr="006B391B">
        <w:t>Do you agree with ESMA’s proposal? If not, please elaborate.</w:t>
      </w:r>
    </w:p>
    <w:p w14:paraId="1267F4C9" w14:textId="33C2A909"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_10&gt;</w:t>
      </w:r>
    </w:p>
    <w:p w14:paraId="39266B68" w14:textId="7CF51B60" w:rsidR="001F23C9" w:rsidRDefault="007C11D3" w:rsidP="001F23C9">
      <w:pPr>
        <w:rPr>
          <w:rFonts w:ascii="Arial" w:hAnsi="Arial" w:cs="Arial"/>
        </w:rPr>
      </w:pPr>
      <w:permStart w:id="89662115" w:edGrp="everyone"/>
      <w:r w:rsidRPr="007C11D3">
        <w:rPr>
          <w:rFonts w:ascii="Arial" w:hAnsi="Arial" w:cs="Arial"/>
        </w:rPr>
        <w:t>We agree with ESMA arguments about the possible lack of public data sources over the one-year period immediately preceding the calculation of deliverable supply.  However, the impression about the new wording proposed by ESMA is that it does not differ substantially from the original version. We hence propose rephrasing the wording as follows: “</w:t>
      </w:r>
      <w:r w:rsidRPr="007C11D3">
        <w:rPr>
          <w:rFonts w:ascii="Arial" w:hAnsi="Arial" w:cs="Arial"/>
          <w:i/>
          <w:iCs/>
        </w:rPr>
        <w:t xml:space="preserve">Competent authorities shall determine the deliverable supply for a commodity derivative referred to in paragraph 1 by reference to the average monthly amount of the underlying commodity available for delivery based </w:t>
      </w:r>
      <w:r w:rsidRPr="007C11D3">
        <w:rPr>
          <w:rFonts w:ascii="Arial" w:hAnsi="Arial" w:cs="Arial"/>
          <w:b/>
          <w:bCs/>
          <w:i/>
          <w:iCs/>
          <w:u w:val="single"/>
        </w:rPr>
        <w:t>on the most recent available data over a representative period of time</w:t>
      </w:r>
      <w:r w:rsidRPr="007C11D3">
        <w:rPr>
          <w:rFonts w:ascii="Arial" w:hAnsi="Arial" w:cs="Arial"/>
          <w:b/>
          <w:bCs/>
          <w:u w:val="single"/>
        </w:rPr>
        <w:t>.</w:t>
      </w:r>
      <w:r w:rsidRPr="007C11D3">
        <w:rPr>
          <w:rFonts w:ascii="Arial" w:hAnsi="Arial" w:cs="Arial"/>
        </w:rPr>
        <w:t>”</w:t>
      </w:r>
    </w:p>
    <w:permEnd w:id="89662115"/>
    <w:p w14:paraId="11F34AF4" w14:textId="62538008"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_10&gt;</w:t>
      </w:r>
    </w:p>
    <w:p w14:paraId="3D8F21C5" w14:textId="77777777" w:rsidR="001F23C9" w:rsidRDefault="001F23C9" w:rsidP="001F23C9">
      <w:pPr>
        <w:rPr>
          <w:rFonts w:ascii="Arial" w:hAnsi="Arial" w:cs="Arial"/>
        </w:rPr>
      </w:pPr>
    </w:p>
    <w:p w14:paraId="370F6612" w14:textId="3EA30A61" w:rsidR="001F23C9" w:rsidRPr="00175CFB" w:rsidRDefault="001F23C9" w:rsidP="001F23C9">
      <w:pPr>
        <w:pStyle w:val="Questionstyle"/>
        <w:numPr>
          <w:ilvl w:val="0"/>
          <w:numId w:val="9"/>
        </w:numPr>
        <w:spacing w:after="250" w:line="276" w:lineRule="auto"/>
      </w:pPr>
      <w:r>
        <w:t>:</w:t>
      </w:r>
      <w:r w:rsidRPr="000F104A">
        <w:t xml:space="preserve"> </w:t>
      </w:r>
      <w:r w:rsidR="006B391B" w:rsidRPr="006B391B">
        <w:t>Do you agree with ESMA’s proposals regarding Article 14 of RTS 21a? If not, please elaborate and provide alternative proposals.</w:t>
      </w:r>
    </w:p>
    <w:p w14:paraId="64CBA2C5" w14:textId="41E6770F"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_11&gt;</w:t>
      </w:r>
    </w:p>
    <w:p w14:paraId="0849F4B2" w14:textId="77777777" w:rsidR="007C11D3" w:rsidRPr="007C11D3" w:rsidRDefault="007C11D3" w:rsidP="007C11D3">
      <w:pPr>
        <w:rPr>
          <w:rFonts w:ascii="Arial" w:hAnsi="Arial" w:cs="Arial"/>
        </w:rPr>
      </w:pPr>
      <w:permStart w:id="1905472427" w:edGrp="everyone"/>
      <w:r w:rsidRPr="007C11D3">
        <w:rPr>
          <w:rFonts w:ascii="Arial" w:hAnsi="Arial" w:cs="Arial"/>
        </w:rPr>
        <w:t>We agree with the ESMA proposal of calculating open interest “</w:t>
      </w:r>
      <w:r w:rsidRPr="007C11D3">
        <w:rPr>
          <w:rFonts w:ascii="Arial" w:hAnsi="Arial" w:cs="Arial"/>
          <w:i/>
          <w:iCs/>
        </w:rPr>
        <w:t>over a representative period of time</w:t>
      </w:r>
      <w:r w:rsidRPr="007C11D3">
        <w:rPr>
          <w:rFonts w:ascii="Arial" w:hAnsi="Arial" w:cs="Arial"/>
        </w:rPr>
        <w:t>”, provided that this period takes into account seasonality trends for each commodity considered (</w:t>
      </w:r>
      <w:proofErr w:type="gramStart"/>
      <w:r w:rsidRPr="007C11D3">
        <w:rPr>
          <w:rFonts w:ascii="Arial" w:hAnsi="Arial" w:cs="Arial"/>
        </w:rPr>
        <w:t>i.e.</w:t>
      </w:r>
      <w:proofErr w:type="gramEnd"/>
      <w:r w:rsidRPr="007C11D3">
        <w:rPr>
          <w:rFonts w:ascii="Arial" w:hAnsi="Arial" w:cs="Arial"/>
        </w:rPr>
        <w:t xml:space="preserve"> a more precise definition is required)</w:t>
      </w:r>
    </w:p>
    <w:p w14:paraId="183D1813" w14:textId="77777777" w:rsidR="007C11D3" w:rsidRPr="007C11D3" w:rsidRDefault="007C11D3" w:rsidP="007C11D3">
      <w:pPr>
        <w:rPr>
          <w:rFonts w:ascii="Arial" w:hAnsi="Arial" w:cs="Arial"/>
        </w:rPr>
      </w:pPr>
      <w:r w:rsidRPr="007C11D3">
        <w:rPr>
          <w:rFonts w:ascii="Arial" w:hAnsi="Arial" w:cs="Arial"/>
        </w:rPr>
        <w:t xml:space="preserve">We also agree with the specification that the open interest shall be net, as this would have a harmonizing effect on its calculation. </w:t>
      </w:r>
    </w:p>
    <w:p w14:paraId="7AD14859" w14:textId="77777777" w:rsidR="007C11D3" w:rsidRPr="007C11D3" w:rsidRDefault="007C11D3" w:rsidP="007C11D3">
      <w:pPr>
        <w:rPr>
          <w:rFonts w:ascii="Arial" w:hAnsi="Arial" w:cs="Arial"/>
        </w:rPr>
      </w:pPr>
      <w:r w:rsidRPr="007C11D3">
        <w:rPr>
          <w:rFonts w:ascii="Arial" w:hAnsi="Arial" w:cs="Arial"/>
        </w:rPr>
        <w:t xml:space="preserve">Regarding the proposal of monitoring open interest </w:t>
      </w:r>
      <w:proofErr w:type="gramStart"/>
      <w:r w:rsidRPr="007C11D3">
        <w:rPr>
          <w:rFonts w:ascii="Arial" w:hAnsi="Arial" w:cs="Arial"/>
        </w:rPr>
        <w:t>on the basis of</w:t>
      </w:r>
      <w:proofErr w:type="gramEnd"/>
      <w:r w:rsidRPr="007C11D3">
        <w:rPr>
          <w:rFonts w:ascii="Arial" w:hAnsi="Arial" w:cs="Arial"/>
        </w:rPr>
        <w:t xml:space="preserve"> reported data, we believe this methodology can be applied only to contracts traded on a Trading Venue. Including in open interest estimate also contracts reported as EEOTC would inevitably add an element of confusion, as EEOTC classification ultimately depends on evaluations of each company trading OTC.</w:t>
      </w:r>
    </w:p>
    <w:p w14:paraId="4FFB561C" w14:textId="77777777" w:rsidR="007C11D3" w:rsidRDefault="007C11D3" w:rsidP="001F23C9">
      <w:pPr>
        <w:rPr>
          <w:rFonts w:ascii="Arial" w:hAnsi="Arial" w:cs="Arial"/>
        </w:rPr>
      </w:pPr>
      <w:r w:rsidRPr="007C11D3">
        <w:rPr>
          <w:rFonts w:ascii="Arial" w:hAnsi="Arial" w:cs="Arial"/>
        </w:rPr>
        <w:t>Finally, we also share ESMA’s considerations about open interest calculations in the case of mergers or similar corporate events for trading venues.</w:t>
      </w:r>
    </w:p>
    <w:permEnd w:id="1905472427"/>
    <w:p w14:paraId="1CD7B3CA" w14:textId="54F4D77A"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_11&gt;</w:t>
      </w:r>
    </w:p>
    <w:p w14:paraId="1A191E48" w14:textId="77777777" w:rsidR="001F23C9" w:rsidRDefault="001F23C9" w:rsidP="001F23C9">
      <w:pPr>
        <w:rPr>
          <w:rFonts w:ascii="Arial" w:hAnsi="Arial" w:cs="Arial"/>
        </w:rPr>
      </w:pPr>
    </w:p>
    <w:p w14:paraId="50AB7816" w14:textId="3BEB9D4E" w:rsidR="001F23C9" w:rsidRPr="00175CFB" w:rsidRDefault="001F23C9" w:rsidP="001F23C9">
      <w:pPr>
        <w:pStyle w:val="Questionstyle"/>
        <w:numPr>
          <w:ilvl w:val="0"/>
          <w:numId w:val="9"/>
        </w:numPr>
        <w:spacing w:after="250" w:line="276" w:lineRule="auto"/>
      </w:pPr>
      <w:r>
        <w:t>:</w:t>
      </w:r>
      <w:r w:rsidRPr="000F104A">
        <w:t xml:space="preserve"> </w:t>
      </w:r>
      <w:r w:rsidR="00EC15D5" w:rsidRPr="00EC15D5">
        <w:t>Do you see merit in the new approach considered by ESMA for new and less liquid agricultural commodity derivatives? If not, please elaborate and provide an alternative proposal.</w:t>
      </w:r>
    </w:p>
    <w:p w14:paraId="5D2ACC37" w14:textId="43C95BBB"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_12&gt;</w:t>
      </w:r>
    </w:p>
    <w:p w14:paraId="4DE94D38" w14:textId="1ADAADAD" w:rsidR="001F23C9" w:rsidRDefault="007C11D3" w:rsidP="001F23C9">
      <w:pPr>
        <w:rPr>
          <w:rFonts w:ascii="Arial" w:hAnsi="Arial" w:cs="Arial"/>
        </w:rPr>
      </w:pPr>
      <w:permStart w:id="436235028" w:edGrp="everyone"/>
      <w:r>
        <w:rPr>
          <w:rFonts w:ascii="Arial" w:hAnsi="Arial" w:cs="Arial"/>
        </w:rPr>
        <w:t xml:space="preserve">Not relevant for </w:t>
      </w:r>
      <w:proofErr w:type="spellStart"/>
      <w:r>
        <w:rPr>
          <w:rFonts w:ascii="Arial" w:hAnsi="Arial" w:cs="Arial"/>
        </w:rPr>
        <w:t>Eurelectric</w:t>
      </w:r>
      <w:proofErr w:type="spellEnd"/>
      <w:r>
        <w:rPr>
          <w:rFonts w:ascii="Arial" w:hAnsi="Arial" w:cs="Arial"/>
        </w:rPr>
        <w:t>.</w:t>
      </w:r>
    </w:p>
    <w:permEnd w:id="436235028"/>
    <w:p w14:paraId="0A44451F" w14:textId="2A2B5288"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_12&gt;</w:t>
      </w:r>
    </w:p>
    <w:p w14:paraId="781C7FB0" w14:textId="77777777" w:rsidR="001F23C9" w:rsidRDefault="001F23C9" w:rsidP="001F23C9">
      <w:pPr>
        <w:rPr>
          <w:rFonts w:ascii="Arial" w:hAnsi="Arial" w:cs="Arial"/>
        </w:rPr>
      </w:pPr>
    </w:p>
    <w:p w14:paraId="785B8370" w14:textId="43FDA918" w:rsidR="001F23C9" w:rsidRPr="00175CFB" w:rsidRDefault="001F23C9" w:rsidP="001F23C9">
      <w:pPr>
        <w:pStyle w:val="Questionstyle"/>
        <w:numPr>
          <w:ilvl w:val="0"/>
          <w:numId w:val="9"/>
        </w:numPr>
        <w:spacing w:after="250" w:line="276" w:lineRule="auto"/>
      </w:pPr>
      <w:r>
        <w:t>:</w:t>
      </w:r>
      <w:r w:rsidRPr="00C64A98">
        <w:t xml:space="preserve"> </w:t>
      </w:r>
      <w:r w:rsidR="00EC15D5" w:rsidRPr="00EC15D5">
        <w:t>Do you agree with ESMA’s proposal regarding Article 19 of RTS 21a? If not, please elaborate.</w:t>
      </w:r>
    </w:p>
    <w:p w14:paraId="69CE4D4E" w14:textId="33146815"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_13&gt;</w:t>
      </w:r>
    </w:p>
    <w:p w14:paraId="180816FB" w14:textId="096646DF" w:rsidR="007C11D3" w:rsidRDefault="007C11D3" w:rsidP="001F23C9">
      <w:pPr>
        <w:rPr>
          <w:rFonts w:ascii="Arial" w:hAnsi="Arial" w:cs="Arial"/>
        </w:rPr>
      </w:pPr>
      <w:permStart w:id="1785143847" w:edGrp="everyone"/>
      <w:r w:rsidRPr="007C11D3">
        <w:rPr>
          <w:rFonts w:ascii="Arial" w:hAnsi="Arial" w:cs="Arial"/>
        </w:rPr>
        <w:t>We agree with the proposal in article 19.3 that where the open interest is significantly lower than the deliverable supply, competent authorities shall adjust the other months’ position limit upwards to increase trading in these markets. However, we do not agree with the competent authorities adjusting of the spot month position limit downwards</w:t>
      </w:r>
      <w:r>
        <w:rPr>
          <w:rFonts w:ascii="Arial" w:hAnsi="Arial" w:cs="Arial"/>
        </w:rPr>
        <w:t>.</w:t>
      </w:r>
    </w:p>
    <w:permEnd w:id="1785143847"/>
    <w:p w14:paraId="709175DF" w14:textId="44CD6E2A"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_13&gt;</w:t>
      </w:r>
    </w:p>
    <w:p w14:paraId="1763F2A9" w14:textId="77777777" w:rsidR="001F23C9" w:rsidRDefault="001F23C9" w:rsidP="001F23C9">
      <w:pPr>
        <w:rPr>
          <w:rFonts w:ascii="Arial" w:hAnsi="Arial" w:cs="Arial"/>
        </w:rPr>
      </w:pPr>
    </w:p>
    <w:p w14:paraId="7061009A" w14:textId="6E769AB8" w:rsidR="001F23C9" w:rsidRPr="00175CFB" w:rsidRDefault="001F23C9" w:rsidP="001F23C9">
      <w:pPr>
        <w:pStyle w:val="Questionstyle"/>
        <w:numPr>
          <w:ilvl w:val="0"/>
          <w:numId w:val="9"/>
        </w:numPr>
        <w:spacing w:after="250" w:line="276" w:lineRule="auto"/>
      </w:pPr>
      <w:r>
        <w:t>:</w:t>
      </w:r>
      <w:r w:rsidRPr="000F104A">
        <w:t xml:space="preserve"> </w:t>
      </w:r>
      <w:r w:rsidR="00EC15D5" w:rsidRPr="00EC15D5">
        <w:t>Do you agree with ESMA’ proposal regarding the upward adjustment factor to be used in case of a small number of market participants or less than three investment firms acting as market makers? If not, please elaborate and provide an alternative proposal.</w:t>
      </w:r>
    </w:p>
    <w:p w14:paraId="54611186" w14:textId="08B7B3AF"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_14&gt;</w:t>
      </w:r>
    </w:p>
    <w:p w14:paraId="2AEA2C01" w14:textId="4AC5B8A6" w:rsidR="001F23C9" w:rsidRDefault="007C11D3" w:rsidP="001F23C9">
      <w:pPr>
        <w:rPr>
          <w:rFonts w:ascii="Arial" w:hAnsi="Arial" w:cs="Arial"/>
        </w:rPr>
      </w:pPr>
      <w:permStart w:id="1033585913" w:edGrp="everyone"/>
      <w:proofErr w:type="gramStart"/>
      <w:r>
        <w:rPr>
          <w:rFonts w:ascii="Arial" w:hAnsi="Arial" w:cs="Arial"/>
        </w:rPr>
        <w:t>Yes</w:t>
      </w:r>
      <w:proofErr w:type="gramEnd"/>
      <w:r>
        <w:rPr>
          <w:rFonts w:ascii="Arial" w:hAnsi="Arial" w:cs="Arial"/>
        </w:rPr>
        <w:t xml:space="preserve"> we agree with ESMA’s proposal.</w:t>
      </w:r>
    </w:p>
    <w:permEnd w:id="1033585913"/>
    <w:p w14:paraId="74A6F289" w14:textId="39F8669A"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_14&gt;</w:t>
      </w:r>
    </w:p>
    <w:p w14:paraId="43B3593F" w14:textId="77777777" w:rsidR="001F23C9" w:rsidRDefault="001F23C9" w:rsidP="001F23C9">
      <w:pPr>
        <w:rPr>
          <w:rFonts w:ascii="Arial" w:hAnsi="Arial" w:cs="Arial"/>
        </w:rPr>
      </w:pPr>
    </w:p>
    <w:p w14:paraId="527399E1" w14:textId="546F740F" w:rsidR="001F23C9" w:rsidRPr="00175CFB" w:rsidRDefault="001F23C9" w:rsidP="001F23C9">
      <w:pPr>
        <w:pStyle w:val="Questionstyle"/>
        <w:numPr>
          <w:ilvl w:val="0"/>
          <w:numId w:val="9"/>
        </w:numPr>
        <w:spacing w:after="250" w:line="276" w:lineRule="auto"/>
      </w:pPr>
      <w:r>
        <w:t>:</w:t>
      </w:r>
      <w:r w:rsidRPr="000F104A">
        <w:t xml:space="preserve"> </w:t>
      </w:r>
      <w:r w:rsidR="00EC15D5" w:rsidRPr="00EC15D5">
        <w:t>Do you agree with ESMA’s proposed amendments to ITS 4? If not, please elaborate.</w:t>
      </w:r>
    </w:p>
    <w:p w14:paraId="37E33E55" w14:textId="6C39E034"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_15&gt;</w:t>
      </w:r>
    </w:p>
    <w:p w14:paraId="23DB0471" w14:textId="56256629" w:rsidR="001F23C9" w:rsidRDefault="007C11D3" w:rsidP="001F23C9">
      <w:pPr>
        <w:rPr>
          <w:rFonts w:ascii="Arial" w:hAnsi="Arial" w:cs="Arial"/>
        </w:rPr>
      </w:pPr>
      <w:permStart w:id="360059141" w:edGrp="everyone"/>
      <w:r>
        <w:rPr>
          <w:rFonts w:ascii="Arial" w:hAnsi="Arial" w:cs="Arial"/>
        </w:rPr>
        <w:t xml:space="preserve">Not relevant for </w:t>
      </w:r>
      <w:proofErr w:type="spellStart"/>
      <w:r>
        <w:rPr>
          <w:rFonts w:ascii="Arial" w:hAnsi="Arial" w:cs="Arial"/>
        </w:rPr>
        <w:t>Eurelectric</w:t>
      </w:r>
      <w:proofErr w:type="spellEnd"/>
      <w:r>
        <w:rPr>
          <w:rFonts w:ascii="Arial" w:hAnsi="Arial" w:cs="Arial"/>
        </w:rPr>
        <w:t>.</w:t>
      </w:r>
    </w:p>
    <w:permEnd w:id="360059141"/>
    <w:p w14:paraId="24463A6B" w14:textId="1C3BB4D4"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_15&gt;</w:t>
      </w:r>
    </w:p>
    <w:p w14:paraId="353BECC5" w14:textId="77777777" w:rsidR="001F23C9" w:rsidRDefault="001F23C9" w:rsidP="001F23C9">
      <w:pPr>
        <w:rPr>
          <w:rFonts w:ascii="Arial" w:hAnsi="Arial" w:cs="Arial"/>
        </w:rPr>
      </w:pPr>
    </w:p>
    <w:p w14:paraId="56F7097F" w14:textId="19394B90" w:rsidR="001F23C9" w:rsidRPr="00175CFB" w:rsidRDefault="001F23C9" w:rsidP="001F23C9">
      <w:pPr>
        <w:pStyle w:val="Questionstyle"/>
        <w:numPr>
          <w:ilvl w:val="0"/>
          <w:numId w:val="9"/>
        </w:numPr>
        <w:spacing w:after="250" w:line="276" w:lineRule="auto"/>
      </w:pPr>
      <w:r>
        <w:t xml:space="preserve">: </w:t>
      </w:r>
      <w:r w:rsidR="00EC15D5" w:rsidRPr="00EC15D5">
        <w:t>Do you agree with ESMA’s suggestion to introduce such ongoing position monitoring requirement in the draft RTS? If not, please elaborate.</w:t>
      </w:r>
    </w:p>
    <w:p w14:paraId="5E34355C" w14:textId="546C10C4"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_16&gt;</w:t>
      </w:r>
    </w:p>
    <w:p w14:paraId="1258DF08" w14:textId="77777777" w:rsidR="007C11D3" w:rsidRPr="007C11D3" w:rsidRDefault="007C11D3" w:rsidP="007C11D3">
      <w:pPr>
        <w:rPr>
          <w:rFonts w:ascii="Arial" w:hAnsi="Arial" w:cs="Arial"/>
        </w:rPr>
      </w:pPr>
      <w:permStart w:id="1365146390" w:edGrp="everyone"/>
      <w:r w:rsidRPr="007C11D3">
        <w:rPr>
          <w:rFonts w:ascii="Arial" w:hAnsi="Arial" w:cs="Arial"/>
        </w:rPr>
        <w:t>We generally agree with the proposal for trading venues having arrangements for ongoing position monitoring in place; ideally combined with a respective alert process for trading participants.</w:t>
      </w:r>
    </w:p>
    <w:p w14:paraId="4469994A" w14:textId="77777777" w:rsidR="007C11D3" w:rsidRDefault="007C11D3" w:rsidP="001F23C9">
      <w:pPr>
        <w:rPr>
          <w:rFonts w:ascii="Arial" w:hAnsi="Arial" w:cs="Arial"/>
        </w:rPr>
      </w:pPr>
      <w:r w:rsidRPr="007C11D3">
        <w:rPr>
          <w:rFonts w:ascii="Arial" w:hAnsi="Arial" w:cs="Arial"/>
        </w:rPr>
        <w:t xml:space="preserve">However, we are concerned as regards the level at which monitoring requirements and accountability levels should apply. The concept of persons with close links is not a </w:t>
      </w:r>
      <w:proofErr w:type="spellStart"/>
      <w:r w:rsidRPr="007C11D3">
        <w:rPr>
          <w:rFonts w:ascii="Arial" w:hAnsi="Arial" w:cs="Arial"/>
        </w:rPr>
        <w:t>know</w:t>
      </w:r>
      <w:proofErr w:type="spellEnd"/>
      <w:r w:rsidRPr="007C11D3">
        <w:rPr>
          <w:rFonts w:ascii="Arial" w:hAnsi="Arial" w:cs="Arial"/>
        </w:rPr>
        <w:t xml:space="preserve"> concept for EU commodity derivative trading venues and they have no access to such information. Furthermore, entities that fall within the category of close links often run have their own independent trading activities and are not allowed to share sensitive information. It is therefore highly recommended that ESMA uses the existing reporting formats, which include information on end position holder and parent undertaking.</w:t>
      </w:r>
    </w:p>
    <w:permEnd w:id="1365146390"/>
    <w:p w14:paraId="78E3242B" w14:textId="66BB8EFE"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_16&gt;</w:t>
      </w:r>
    </w:p>
    <w:p w14:paraId="3CEF756A" w14:textId="77777777" w:rsidR="001F23C9" w:rsidRDefault="001F23C9" w:rsidP="001F23C9">
      <w:pPr>
        <w:rPr>
          <w:rFonts w:ascii="Arial" w:hAnsi="Arial" w:cs="Arial"/>
        </w:rPr>
      </w:pPr>
    </w:p>
    <w:p w14:paraId="49783DA5" w14:textId="5F4873AE" w:rsidR="001F23C9" w:rsidRPr="00175CFB" w:rsidRDefault="001F23C9" w:rsidP="001F23C9">
      <w:pPr>
        <w:pStyle w:val="Questionstyle"/>
        <w:numPr>
          <w:ilvl w:val="0"/>
          <w:numId w:val="9"/>
        </w:numPr>
        <w:spacing w:after="250" w:line="276" w:lineRule="auto"/>
      </w:pPr>
      <w:r>
        <w:t>:</w:t>
      </w:r>
      <w:r w:rsidR="00EC15D5">
        <w:t xml:space="preserve"> </w:t>
      </w:r>
      <w:r w:rsidR="00EC15D5" w:rsidRPr="00EC15D5">
        <w:t>Do you agree with ESMA’s suggestion to introduce accountability levels as part of position management controls? Do you agree with ESMA’s assessment that accountability levels would be of particular relevance for physically settled commodity derivatives? If not, please elaborate and provide alternative proposals.</w:t>
      </w:r>
    </w:p>
    <w:p w14:paraId="24E1D07D" w14:textId="052BA2BD"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_17&gt;</w:t>
      </w:r>
    </w:p>
    <w:p w14:paraId="16712F84" w14:textId="31148B9E" w:rsidR="007C11D3" w:rsidRDefault="007C11D3" w:rsidP="007C11D3">
      <w:pPr>
        <w:rPr>
          <w:rFonts w:ascii="Arial" w:hAnsi="Arial" w:cs="Arial"/>
        </w:rPr>
      </w:pPr>
      <w:permStart w:id="1933463559" w:edGrp="everyone"/>
      <w:r w:rsidRPr="007C11D3">
        <w:rPr>
          <w:rFonts w:ascii="Arial" w:hAnsi="Arial" w:cs="Arial"/>
        </w:rPr>
        <w:t xml:space="preserve">Generally, we think companies are already under burdensome reporting </w:t>
      </w:r>
      <w:proofErr w:type="gramStart"/>
      <w:r w:rsidRPr="007C11D3">
        <w:rPr>
          <w:rFonts w:ascii="Arial" w:hAnsi="Arial" w:cs="Arial"/>
        </w:rPr>
        <w:t>requirements  and</w:t>
      </w:r>
      <w:proofErr w:type="gramEnd"/>
      <w:r w:rsidRPr="007C11D3">
        <w:rPr>
          <w:rFonts w:ascii="Arial" w:hAnsi="Arial" w:cs="Arial"/>
        </w:rPr>
        <w:t xml:space="preserve"> any new  provision of information should be evaluated carefully.  We are supportive of trading venues having position management </w:t>
      </w:r>
      <w:proofErr w:type="spellStart"/>
      <w:r w:rsidRPr="007C11D3">
        <w:rPr>
          <w:rFonts w:ascii="Arial" w:hAnsi="Arial" w:cs="Arial"/>
        </w:rPr>
        <w:t>arranegements</w:t>
      </w:r>
      <w:proofErr w:type="spellEnd"/>
      <w:r w:rsidRPr="007C11D3">
        <w:rPr>
          <w:rFonts w:ascii="Arial" w:hAnsi="Arial" w:cs="Arial"/>
        </w:rPr>
        <w:t xml:space="preserve"> in place, but we are concerned that the current ESMA proposal will create considerable burdens for both the trading venues and market participants. </w:t>
      </w:r>
    </w:p>
    <w:p w14:paraId="7C3D06D5" w14:textId="77777777" w:rsidR="007C11D3" w:rsidRPr="007C11D3" w:rsidRDefault="007C11D3" w:rsidP="007C11D3">
      <w:pPr>
        <w:rPr>
          <w:rFonts w:ascii="Arial" w:hAnsi="Arial" w:cs="Arial"/>
        </w:rPr>
      </w:pPr>
    </w:p>
    <w:p w14:paraId="0F388EF5" w14:textId="4B5C803B" w:rsidR="007C11D3" w:rsidRDefault="007C11D3" w:rsidP="007C11D3">
      <w:pPr>
        <w:rPr>
          <w:rFonts w:ascii="Arial" w:hAnsi="Arial" w:cs="Arial"/>
        </w:rPr>
      </w:pPr>
      <w:r w:rsidRPr="007C11D3">
        <w:rPr>
          <w:rFonts w:ascii="Arial" w:hAnsi="Arial" w:cs="Arial"/>
        </w:rPr>
        <w:t xml:space="preserve">Rather than </w:t>
      </w:r>
      <w:proofErr w:type="spellStart"/>
      <w:r w:rsidRPr="007C11D3">
        <w:rPr>
          <w:rFonts w:ascii="Arial" w:hAnsi="Arial" w:cs="Arial"/>
        </w:rPr>
        <w:t>presribing</w:t>
      </w:r>
      <w:proofErr w:type="spellEnd"/>
      <w:r w:rsidRPr="007C11D3">
        <w:rPr>
          <w:rFonts w:ascii="Arial" w:hAnsi="Arial" w:cs="Arial"/>
        </w:rPr>
        <w:t xml:space="preserve"> very detailed provisions for the trading venues in general, we believe </w:t>
      </w:r>
      <w:proofErr w:type="gramStart"/>
      <w:r w:rsidRPr="007C11D3">
        <w:rPr>
          <w:rFonts w:ascii="Arial" w:hAnsi="Arial" w:cs="Arial"/>
        </w:rPr>
        <w:t>that  the</w:t>
      </w:r>
      <w:proofErr w:type="gramEnd"/>
      <w:r w:rsidRPr="007C11D3">
        <w:rPr>
          <w:rFonts w:ascii="Arial" w:hAnsi="Arial" w:cs="Arial"/>
        </w:rPr>
        <w:t xml:space="preserve"> concept of accountability levels should allow discretion to the trading venues to determine on which contracts to set those accountability levels, when to </w:t>
      </w:r>
      <w:r w:rsidRPr="007C11D3">
        <w:rPr>
          <w:rFonts w:ascii="Arial" w:hAnsi="Arial" w:cs="Arial"/>
        </w:rPr>
        <w:lastRenderedPageBreak/>
        <w:t xml:space="preserve">actively monitor them (spot month and/or other month or even closer to delivery) and whether indeed to request additional information if an accountability level is exceeded. </w:t>
      </w:r>
    </w:p>
    <w:p w14:paraId="36B03F23" w14:textId="77777777" w:rsidR="007C11D3" w:rsidRPr="007C11D3" w:rsidRDefault="007C11D3" w:rsidP="007C11D3">
      <w:pPr>
        <w:rPr>
          <w:rFonts w:ascii="Arial" w:hAnsi="Arial" w:cs="Arial"/>
        </w:rPr>
      </w:pPr>
    </w:p>
    <w:p w14:paraId="07D102BB" w14:textId="2272E42E" w:rsidR="007C11D3" w:rsidRDefault="007C11D3" w:rsidP="007C11D3">
      <w:pPr>
        <w:rPr>
          <w:rFonts w:ascii="Arial" w:hAnsi="Arial" w:cs="Arial"/>
        </w:rPr>
      </w:pPr>
      <w:r w:rsidRPr="007C11D3">
        <w:rPr>
          <w:rFonts w:ascii="Arial" w:hAnsi="Arial" w:cs="Arial"/>
        </w:rPr>
        <w:t xml:space="preserve">This would be in line with MiFID II Art. 57 par. 8, which lays down the powers for trading venues to establish position management controls </w:t>
      </w:r>
      <w:proofErr w:type="gramStart"/>
      <w:r w:rsidRPr="007C11D3">
        <w:rPr>
          <w:rFonts w:ascii="Arial" w:hAnsi="Arial" w:cs="Arial"/>
        </w:rPr>
        <w:t>and also</w:t>
      </w:r>
      <w:proofErr w:type="gramEnd"/>
      <w:r w:rsidRPr="007C11D3">
        <w:rPr>
          <w:rFonts w:ascii="Arial" w:hAnsi="Arial" w:cs="Arial"/>
        </w:rPr>
        <w:t xml:space="preserve"> be </w:t>
      </w:r>
      <w:proofErr w:type="spellStart"/>
      <w:r w:rsidRPr="007C11D3">
        <w:rPr>
          <w:rFonts w:ascii="Arial" w:hAnsi="Arial" w:cs="Arial"/>
        </w:rPr>
        <w:t>algined</w:t>
      </w:r>
      <w:proofErr w:type="spellEnd"/>
      <w:r w:rsidRPr="007C11D3">
        <w:rPr>
          <w:rFonts w:ascii="Arial" w:hAnsi="Arial" w:cs="Arial"/>
        </w:rPr>
        <w:t xml:space="preserve"> with CFTC rules (which serve as basis for the ESMA </w:t>
      </w:r>
      <w:proofErr w:type="spellStart"/>
      <w:r w:rsidRPr="007C11D3">
        <w:rPr>
          <w:rFonts w:ascii="Arial" w:hAnsi="Arial" w:cs="Arial"/>
        </w:rPr>
        <w:t>concpet</w:t>
      </w:r>
      <w:proofErr w:type="spellEnd"/>
      <w:r w:rsidRPr="007C11D3">
        <w:rPr>
          <w:rFonts w:ascii="Arial" w:hAnsi="Arial" w:cs="Arial"/>
        </w:rPr>
        <w:t xml:space="preserve"> </w:t>
      </w:r>
      <w:proofErr w:type="spellStart"/>
      <w:r w:rsidRPr="007C11D3">
        <w:rPr>
          <w:rFonts w:ascii="Arial" w:hAnsi="Arial" w:cs="Arial"/>
        </w:rPr>
        <w:t>anayway</w:t>
      </w:r>
      <w:proofErr w:type="spellEnd"/>
      <w:r w:rsidRPr="007C11D3">
        <w:rPr>
          <w:rFonts w:ascii="Arial" w:hAnsi="Arial" w:cs="Arial"/>
        </w:rPr>
        <w:t>).</w:t>
      </w:r>
    </w:p>
    <w:p w14:paraId="2CA8709C" w14:textId="77777777" w:rsidR="007C11D3" w:rsidRPr="007C11D3" w:rsidRDefault="007C11D3" w:rsidP="007C11D3">
      <w:pPr>
        <w:rPr>
          <w:rFonts w:ascii="Arial" w:hAnsi="Arial" w:cs="Arial"/>
        </w:rPr>
      </w:pPr>
    </w:p>
    <w:p w14:paraId="7F003725" w14:textId="78627C79" w:rsidR="001F23C9" w:rsidRDefault="007C11D3" w:rsidP="001F23C9">
      <w:pPr>
        <w:rPr>
          <w:rFonts w:ascii="Arial" w:hAnsi="Arial" w:cs="Arial"/>
        </w:rPr>
      </w:pPr>
      <w:proofErr w:type="spellStart"/>
      <w:r w:rsidRPr="007C11D3">
        <w:rPr>
          <w:rFonts w:ascii="Arial" w:hAnsi="Arial" w:cs="Arial"/>
        </w:rPr>
        <w:t>Againts</w:t>
      </w:r>
      <w:proofErr w:type="spellEnd"/>
      <w:r w:rsidRPr="007C11D3">
        <w:rPr>
          <w:rFonts w:ascii="Arial" w:hAnsi="Arial" w:cs="Arial"/>
        </w:rPr>
        <w:t xml:space="preserve"> this background we propose that in Art. 2 par. 1, 2 and 3, as well as the second part of paragraph 4, the words “shall” should be replaced by “may”. </w:t>
      </w:r>
      <w:permEnd w:id="1933463559"/>
      <w:r w:rsidR="001F23C9">
        <w:rPr>
          <w:rFonts w:ascii="Arial" w:hAnsi="Arial" w:cs="Arial"/>
        </w:rPr>
        <w:t>&lt;ESMA_QUESTION_</w:t>
      </w:r>
      <w:r w:rsidR="006B391B">
        <w:rPr>
          <w:rFonts w:ascii="Arial" w:hAnsi="Arial" w:cs="Arial"/>
        </w:rPr>
        <w:t>CD</w:t>
      </w:r>
      <w:r w:rsidR="001F23C9">
        <w:rPr>
          <w:rFonts w:ascii="Arial" w:hAnsi="Arial" w:cs="Arial"/>
        </w:rPr>
        <w:t>_17&gt;</w:t>
      </w:r>
    </w:p>
    <w:p w14:paraId="465090D5" w14:textId="77777777" w:rsidR="001F23C9" w:rsidRDefault="001F23C9" w:rsidP="001F23C9">
      <w:pPr>
        <w:rPr>
          <w:rFonts w:ascii="Arial" w:hAnsi="Arial" w:cs="Arial"/>
        </w:rPr>
      </w:pPr>
    </w:p>
    <w:p w14:paraId="1BD1281A" w14:textId="3F93B6EA" w:rsidR="001F23C9" w:rsidRPr="00175CFB" w:rsidRDefault="001F23C9" w:rsidP="001F23C9">
      <w:pPr>
        <w:pStyle w:val="Questionstyle"/>
        <w:numPr>
          <w:ilvl w:val="0"/>
          <w:numId w:val="9"/>
        </w:numPr>
        <w:spacing w:after="250" w:line="276" w:lineRule="auto"/>
      </w:pPr>
      <w:r>
        <w:t>:</w:t>
      </w:r>
      <w:r w:rsidRPr="000F104A">
        <w:t xml:space="preserve"> </w:t>
      </w:r>
      <w:r w:rsidR="00EC15D5" w:rsidRPr="00EC15D5">
        <w:t>In your view, how should accountability levels be set for the spot month and the other months? Based on which methodology or criteria? Should all types of positions count towards the accountability levels?</w:t>
      </w:r>
    </w:p>
    <w:p w14:paraId="41FC366D" w14:textId="7942F802"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_18&gt;</w:t>
      </w:r>
    </w:p>
    <w:p w14:paraId="43041E30" w14:textId="3D62A44E" w:rsidR="007C11D3" w:rsidRDefault="007C11D3" w:rsidP="007C11D3">
      <w:pPr>
        <w:rPr>
          <w:rFonts w:ascii="Arial" w:hAnsi="Arial" w:cs="Arial"/>
        </w:rPr>
      </w:pPr>
      <w:permStart w:id="1388730375" w:edGrp="everyone"/>
      <w:r w:rsidRPr="007C11D3">
        <w:rPr>
          <w:rFonts w:ascii="Arial" w:hAnsi="Arial" w:cs="Arial"/>
        </w:rPr>
        <w:t xml:space="preserve">We think positions qualifying as reducing risks directly related to commercial activities and transactions </w:t>
      </w:r>
      <w:proofErr w:type="gramStart"/>
      <w:r w:rsidRPr="007C11D3">
        <w:rPr>
          <w:rFonts w:ascii="Arial" w:hAnsi="Arial" w:cs="Arial"/>
        </w:rPr>
        <w:t>entered into</w:t>
      </w:r>
      <w:proofErr w:type="gramEnd"/>
      <w:r w:rsidRPr="007C11D3">
        <w:rPr>
          <w:rFonts w:ascii="Arial" w:hAnsi="Arial" w:cs="Arial"/>
        </w:rPr>
        <w:t xml:space="preserve"> to fulfil obligations to provide liquidity should not count towards the accountability levels.</w:t>
      </w:r>
    </w:p>
    <w:p w14:paraId="0C46218C" w14:textId="77777777" w:rsidR="007C11D3" w:rsidRPr="007C11D3" w:rsidRDefault="007C11D3" w:rsidP="007C11D3">
      <w:pPr>
        <w:rPr>
          <w:rFonts w:ascii="Arial" w:hAnsi="Arial" w:cs="Arial"/>
        </w:rPr>
      </w:pPr>
    </w:p>
    <w:p w14:paraId="489EFEAD" w14:textId="77777777" w:rsidR="007C11D3" w:rsidRDefault="007C11D3" w:rsidP="001F23C9">
      <w:pPr>
        <w:rPr>
          <w:rFonts w:ascii="Arial" w:hAnsi="Arial" w:cs="Arial"/>
        </w:rPr>
      </w:pPr>
      <w:proofErr w:type="gramStart"/>
      <w:r w:rsidRPr="007C11D3">
        <w:rPr>
          <w:rFonts w:ascii="Arial" w:hAnsi="Arial" w:cs="Arial"/>
        </w:rPr>
        <w:t>In order to</w:t>
      </w:r>
      <w:proofErr w:type="gramEnd"/>
      <w:r w:rsidRPr="007C11D3">
        <w:rPr>
          <w:rFonts w:ascii="Arial" w:hAnsi="Arial" w:cs="Arial"/>
        </w:rPr>
        <w:t xml:space="preserve"> get an exemption for these transactions to not count for the position limits, companies have to send to their competent authorities detailed information regarding said positions. Therefore, we consider it should not be necessary to send again this same information regarding the nature and purpose of the position, now to the trading venues.</w:t>
      </w:r>
    </w:p>
    <w:permEnd w:id="1388730375"/>
    <w:p w14:paraId="161D58CB" w14:textId="77D88624"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_18&gt;</w:t>
      </w:r>
    </w:p>
    <w:p w14:paraId="7EE42A66" w14:textId="77777777" w:rsidR="001F23C9" w:rsidRDefault="001F23C9" w:rsidP="001F23C9">
      <w:pPr>
        <w:rPr>
          <w:rFonts w:ascii="Arial" w:hAnsi="Arial" w:cs="Arial"/>
        </w:rPr>
      </w:pPr>
    </w:p>
    <w:p w14:paraId="4A21C8B1" w14:textId="28DFFBC5" w:rsidR="00EC15D5" w:rsidRPr="00EC15D5" w:rsidRDefault="001F23C9" w:rsidP="00EC15D5">
      <w:pPr>
        <w:pStyle w:val="Questionstyle"/>
        <w:numPr>
          <w:ilvl w:val="0"/>
          <w:numId w:val="9"/>
        </w:numPr>
        <w:spacing w:after="250" w:line="276" w:lineRule="auto"/>
      </w:pPr>
      <w:r>
        <w:t>:</w:t>
      </w:r>
      <w:r w:rsidRPr="000F104A">
        <w:t xml:space="preserve"> </w:t>
      </w:r>
      <w:r w:rsidR="00EC15D5" w:rsidRPr="00EC15D5">
        <w:t>Do you agree with ESMA’s suggestion to introduce requirements for the review of accountability levels? Do you also agree with ESMA’s proposal regarding reporting requirements to the NCA on accountability levels? If not, please elaborate.</w:t>
      </w:r>
    </w:p>
    <w:p w14:paraId="0D1D11BC" w14:textId="77777777" w:rsidR="00EC15D5" w:rsidRPr="00EC15D5" w:rsidRDefault="00EC15D5" w:rsidP="00EC15D5">
      <w:pPr>
        <w:rPr>
          <w:rFonts w:ascii="Arial" w:hAnsi="Arial" w:cs="Arial"/>
        </w:rPr>
      </w:pPr>
      <w:r w:rsidRPr="00EC15D5">
        <w:rPr>
          <w:rFonts w:ascii="Arial" w:hAnsi="Arial" w:cs="Arial"/>
        </w:rPr>
        <w:t>&lt;ESMA_QUESTION_CD_19&gt;</w:t>
      </w:r>
    </w:p>
    <w:p w14:paraId="2F3E0E33" w14:textId="422FC8A1" w:rsidR="00EC15D5" w:rsidRPr="00EC15D5" w:rsidRDefault="007C11D3" w:rsidP="00EC15D5">
      <w:pPr>
        <w:rPr>
          <w:rFonts w:ascii="Arial" w:hAnsi="Arial" w:cs="Arial"/>
        </w:rPr>
      </w:pPr>
      <w:permStart w:id="1252535276" w:edGrp="everyone"/>
      <w:r w:rsidRPr="007C11D3">
        <w:rPr>
          <w:rFonts w:ascii="Arial" w:hAnsi="Arial" w:cs="Arial"/>
        </w:rPr>
        <w:t xml:space="preserve">We generally </w:t>
      </w:r>
      <w:proofErr w:type="spellStart"/>
      <w:r w:rsidRPr="007C11D3">
        <w:rPr>
          <w:rFonts w:ascii="Arial" w:hAnsi="Arial" w:cs="Arial"/>
        </w:rPr>
        <w:t>agee</w:t>
      </w:r>
      <w:proofErr w:type="spellEnd"/>
      <w:r w:rsidRPr="007C11D3">
        <w:rPr>
          <w:rFonts w:ascii="Arial" w:hAnsi="Arial" w:cs="Arial"/>
        </w:rPr>
        <w:t xml:space="preserve"> with ESMA’s proposal.</w:t>
      </w:r>
    </w:p>
    <w:permEnd w:id="1252535276"/>
    <w:p w14:paraId="7AB37724" w14:textId="77777777" w:rsidR="00EC15D5" w:rsidRPr="00EC15D5" w:rsidRDefault="00EC15D5" w:rsidP="00EC15D5">
      <w:pPr>
        <w:rPr>
          <w:rFonts w:ascii="Arial" w:hAnsi="Arial" w:cs="Arial"/>
        </w:rPr>
      </w:pPr>
      <w:r w:rsidRPr="00EC15D5">
        <w:rPr>
          <w:rFonts w:ascii="Arial" w:hAnsi="Arial" w:cs="Arial"/>
        </w:rPr>
        <w:t>&lt;ESMA_QUESTION_CD_19&gt;</w:t>
      </w:r>
    </w:p>
    <w:p w14:paraId="2C0C1CF1" w14:textId="77777777" w:rsidR="00EC15D5" w:rsidRDefault="00EC15D5" w:rsidP="00EC15D5">
      <w:pPr>
        <w:pStyle w:val="Questionstyle"/>
        <w:numPr>
          <w:ilvl w:val="0"/>
          <w:numId w:val="0"/>
        </w:numPr>
        <w:spacing w:after="250" w:line="276" w:lineRule="auto"/>
      </w:pPr>
    </w:p>
    <w:p w14:paraId="28FFF90C" w14:textId="7A73FDE8" w:rsidR="00EC15D5" w:rsidRDefault="00EC15D5" w:rsidP="00EC15D5">
      <w:pPr>
        <w:pStyle w:val="Questionstyle"/>
        <w:numPr>
          <w:ilvl w:val="0"/>
          <w:numId w:val="9"/>
        </w:numPr>
        <w:spacing w:after="250" w:line="276" w:lineRule="auto"/>
      </w:pPr>
      <w:r>
        <w:t xml:space="preserve">: </w:t>
      </w:r>
      <w:r w:rsidRPr="00EC15D5">
        <w:t>In your view, what other types of position management controls could be further specified in the draft RTS?</w:t>
      </w:r>
    </w:p>
    <w:p w14:paraId="7F5A0F42" w14:textId="0AFFA951"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20</w:t>
      </w:r>
      <w:r w:rsidRPr="00EC15D5">
        <w:rPr>
          <w:rFonts w:ascii="Arial" w:hAnsi="Arial" w:cs="Arial"/>
        </w:rPr>
        <w:t>&gt;</w:t>
      </w:r>
    </w:p>
    <w:p w14:paraId="050F775B" w14:textId="77777777" w:rsidR="007C11D3" w:rsidRDefault="007C11D3" w:rsidP="00EC15D5">
      <w:pPr>
        <w:rPr>
          <w:rFonts w:ascii="Arial" w:hAnsi="Arial" w:cs="Arial"/>
        </w:rPr>
      </w:pPr>
      <w:permStart w:id="133526605" w:edGrp="everyone"/>
      <w:r w:rsidRPr="007C11D3">
        <w:rPr>
          <w:rFonts w:ascii="Arial" w:hAnsi="Arial" w:cs="Arial"/>
        </w:rPr>
        <w:t>As laid out in Q17, we do not consider that additional position management controls, beyond those already proposed, should be further introduced by ESMA. Instead, trading venues should have the discretion to introduce relevant measures, if and where necessary.</w:t>
      </w:r>
    </w:p>
    <w:permEnd w:id="133526605"/>
    <w:p w14:paraId="0CC67D21" w14:textId="0103ACF9" w:rsidR="00EC15D5" w:rsidRDefault="00EC15D5" w:rsidP="00EC15D5">
      <w:pPr>
        <w:rPr>
          <w:rFonts w:ascii="Arial" w:hAnsi="Arial" w:cs="Arial"/>
        </w:rPr>
      </w:pPr>
      <w:r w:rsidRPr="00EC15D5">
        <w:rPr>
          <w:rFonts w:ascii="Arial" w:hAnsi="Arial" w:cs="Arial"/>
        </w:rPr>
        <w:t>&lt;ESMA_QUESTION_CD_</w:t>
      </w:r>
      <w:r>
        <w:rPr>
          <w:rFonts w:ascii="Arial" w:hAnsi="Arial" w:cs="Arial"/>
        </w:rPr>
        <w:t>20</w:t>
      </w:r>
      <w:r w:rsidRPr="00EC15D5">
        <w:rPr>
          <w:rFonts w:ascii="Arial" w:hAnsi="Arial" w:cs="Arial"/>
        </w:rPr>
        <w:t>&gt;</w:t>
      </w:r>
    </w:p>
    <w:p w14:paraId="65667D94" w14:textId="27EC7E65" w:rsidR="00EC15D5" w:rsidRPr="00EC15D5" w:rsidRDefault="00EC15D5" w:rsidP="00EC15D5">
      <w:pPr>
        <w:rPr>
          <w:rFonts w:asciiTheme="minorHAnsi" w:hAnsiTheme="minorHAnsi" w:cstheme="minorHAnsi"/>
        </w:rPr>
      </w:pPr>
    </w:p>
    <w:p w14:paraId="36B9A42F" w14:textId="2AD988F9" w:rsidR="00EC15D5" w:rsidRPr="00EC15D5" w:rsidRDefault="00EC15D5" w:rsidP="00EC15D5">
      <w:pPr>
        <w:rPr>
          <w:rFonts w:asciiTheme="minorHAnsi" w:hAnsiTheme="minorHAnsi" w:cstheme="minorHAnsi"/>
          <w:b/>
          <w:bCs/>
        </w:rPr>
      </w:pPr>
      <w:r w:rsidRPr="00EC15D5">
        <w:rPr>
          <w:rFonts w:asciiTheme="minorHAnsi" w:hAnsiTheme="minorHAnsi" w:cstheme="minorHAnsi"/>
          <w:b/>
          <w:bCs/>
        </w:rPr>
        <w:t>Cost Benefit Analysis</w:t>
      </w:r>
    </w:p>
    <w:p w14:paraId="766888B4" w14:textId="77777777" w:rsidR="00EC15D5" w:rsidRPr="00EC15D5" w:rsidRDefault="00EC15D5" w:rsidP="00EC15D5">
      <w:pPr>
        <w:rPr>
          <w:rFonts w:ascii="Arial" w:hAnsi="Arial" w:cs="Arial"/>
        </w:rPr>
      </w:pPr>
    </w:p>
    <w:p w14:paraId="0535C89F" w14:textId="7B5E2917" w:rsidR="00EC15D5" w:rsidRDefault="00EC15D5" w:rsidP="00EC15D5"/>
    <w:p w14:paraId="40A59261" w14:textId="1578C3A6" w:rsidR="00EC15D5" w:rsidRDefault="00EC15D5" w:rsidP="00EC15D5">
      <w:pPr>
        <w:pStyle w:val="Questionstyle"/>
        <w:numPr>
          <w:ilvl w:val="0"/>
          <w:numId w:val="0"/>
        </w:numPr>
        <w:spacing w:after="250" w:line="276" w:lineRule="auto"/>
        <w:ind w:left="360"/>
      </w:pPr>
      <w:r w:rsidRPr="00EC15D5">
        <w:rPr>
          <w:b/>
          <w:bCs/>
        </w:rPr>
        <w:lastRenderedPageBreak/>
        <w:t>CBA Q1</w:t>
      </w:r>
      <w:r>
        <w:t xml:space="preserve">: </w:t>
      </w:r>
      <w:r w:rsidRPr="00EC15D5">
        <w:t>This first question aims at identifying the category of firm/entity you belong to. Please provide the total notional amount traded in commodity derivatives traded on a trading venue (and EEOTC contracts where relevant in 2020 in thousand euros and the related total number of trades in the relevant boxes).</w:t>
      </w:r>
    </w:p>
    <w:p w14:paraId="2AED79D1" w14:textId="25F50871"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21</w:t>
      </w:r>
      <w:r w:rsidRPr="00EC15D5">
        <w:rPr>
          <w:rFonts w:ascii="Arial" w:hAnsi="Arial" w:cs="Arial"/>
        </w:rPr>
        <w:t>&gt;</w:t>
      </w:r>
    </w:p>
    <w:p w14:paraId="2FD986BD" w14:textId="72778A75" w:rsidR="00EC15D5" w:rsidRDefault="00EC15D5" w:rsidP="00EC15D5">
      <w:pPr>
        <w:rPr>
          <w:rFonts w:ascii="Arial" w:hAnsi="Arial" w:cs="Arial"/>
        </w:rPr>
      </w:pPr>
      <w:permStart w:id="1900831222" w:edGrp="everyone"/>
      <w:r w:rsidRPr="00EC15D5">
        <w:rPr>
          <w:rFonts w:ascii="Arial" w:hAnsi="Arial" w:cs="Arial"/>
        </w:rPr>
        <w:t>TYPE YOUR TEXT HERE</w:t>
      </w:r>
    </w:p>
    <w:tbl>
      <w:tblPr>
        <w:tblStyle w:val="TableGrid"/>
        <w:tblpPr w:leftFromText="141" w:rightFromText="141" w:vertAnchor="text" w:tblpXSpec="center" w:tblpY="1"/>
        <w:tblOverlap w:val="never"/>
        <w:tblW w:w="0" w:type="auto"/>
        <w:jc w:val="center"/>
        <w:tblLook w:val="04A0" w:firstRow="1" w:lastRow="0" w:firstColumn="1" w:lastColumn="0" w:noHBand="0" w:noVBand="1"/>
      </w:tblPr>
      <w:tblGrid>
        <w:gridCol w:w="2265"/>
        <w:gridCol w:w="2265"/>
        <w:gridCol w:w="2265"/>
        <w:gridCol w:w="2265"/>
      </w:tblGrid>
      <w:tr w:rsidR="00EC15D5" w14:paraId="55865BF6" w14:textId="77777777" w:rsidTr="008F530D">
        <w:trPr>
          <w:jc w:val="center"/>
        </w:trPr>
        <w:tc>
          <w:tcPr>
            <w:tcW w:w="2265" w:type="dxa"/>
          </w:tcPr>
          <w:p w14:paraId="04128C5C" w14:textId="77777777" w:rsidR="00EC15D5" w:rsidRDefault="00EC15D5" w:rsidP="008F530D">
            <w:r>
              <w:t xml:space="preserve">Category </w:t>
            </w:r>
          </w:p>
        </w:tc>
        <w:tc>
          <w:tcPr>
            <w:tcW w:w="2265" w:type="dxa"/>
          </w:tcPr>
          <w:p w14:paraId="569F603D" w14:textId="77777777" w:rsidR="00EC15D5" w:rsidRDefault="00EC15D5" w:rsidP="008F530D">
            <w:r>
              <w:t>Number of employees</w:t>
            </w:r>
          </w:p>
        </w:tc>
        <w:tc>
          <w:tcPr>
            <w:tcW w:w="2266" w:type="dxa"/>
          </w:tcPr>
          <w:p w14:paraId="3B3BF48E" w14:textId="77777777" w:rsidR="00EC15D5" w:rsidRDefault="00EC15D5" w:rsidP="008F530D">
            <w:r>
              <w:t xml:space="preserve">Total notional amount traded in 2020 in thousand euros </w:t>
            </w:r>
          </w:p>
        </w:tc>
        <w:tc>
          <w:tcPr>
            <w:tcW w:w="2266" w:type="dxa"/>
          </w:tcPr>
          <w:p w14:paraId="0621B0C0" w14:textId="77777777" w:rsidR="00EC15D5" w:rsidRDefault="00EC15D5" w:rsidP="008F530D">
            <w:r>
              <w:t>Number of trades in 2020</w:t>
            </w:r>
          </w:p>
        </w:tc>
      </w:tr>
      <w:tr w:rsidR="00EC15D5" w14:paraId="70C9B542" w14:textId="77777777" w:rsidTr="008F530D">
        <w:trPr>
          <w:jc w:val="center"/>
        </w:trPr>
        <w:tc>
          <w:tcPr>
            <w:tcW w:w="2265" w:type="dxa"/>
            <w:vMerge w:val="restart"/>
            <w:vAlign w:val="center"/>
          </w:tcPr>
          <w:p w14:paraId="1E82DEA3" w14:textId="77777777" w:rsidR="00EC15D5" w:rsidRDefault="00EC15D5" w:rsidP="008F530D">
            <w:r>
              <w:t>Trading venue</w:t>
            </w:r>
          </w:p>
        </w:tc>
        <w:tc>
          <w:tcPr>
            <w:tcW w:w="2265" w:type="dxa"/>
          </w:tcPr>
          <w:p w14:paraId="1DA3C6C5" w14:textId="77777777" w:rsidR="00EC15D5" w:rsidRDefault="00EC15D5" w:rsidP="008F530D">
            <w:r>
              <w:t>[1-50]</w:t>
            </w:r>
          </w:p>
        </w:tc>
        <w:tc>
          <w:tcPr>
            <w:tcW w:w="2266" w:type="dxa"/>
          </w:tcPr>
          <w:p w14:paraId="2F0D25D8" w14:textId="77777777" w:rsidR="00EC15D5" w:rsidRDefault="00EC15D5" w:rsidP="008F530D"/>
        </w:tc>
        <w:tc>
          <w:tcPr>
            <w:tcW w:w="2266" w:type="dxa"/>
          </w:tcPr>
          <w:p w14:paraId="2671A4BD" w14:textId="77777777" w:rsidR="00EC15D5" w:rsidRDefault="00EC15D5" w:rsidP="008F530D"/>
        </w:tc>
      </w:tr>
      <w:tr w:rsidR="00EC15D5" w14:paraId="5C95F789" w14:textId="77777777" w:rsidTr="008F530D">
        <w:trPr>
          <w:jc w:val="center"/>
        </w:trPr>
        <w:tc>
          <w:tcPr>
            <w:tcW w:w="2265" w:type="dxa"/>
            <w:vMerge/>
            <w:vAlign w:val="center"/>
          </w:tcPr>
          <w:p w14:paraId="053B9393" w14:textId="77777777" w:rsidR="00EC15D5" w:rsidRDefault="00EC15D5" w:rsidP="008F530D"/>
        </w:tc>
        <w:tc>
          <w:tcPr>
            <w:tcW w:w="2265" w:type="dxa"/>
          </w:tcPr>
          <w:p w14:paraId="599925C6" w14:textId="77777777" w:rsidR="00EC15D5" w:rsidRDefault="00EC15D5" w:rsidP="008F530D">
            <w:r>
              <w:t>[51-250]</w:t>
            </w:r>
          </w:p>
        </w:tc>
        <w:tc>
          <w:tcPr>
            <w:tcW w:w="2266" w:type="dxa"/>
          </w:tcPr>
          <w:p w14:paraId="634AFFAF" w14:textId="77777777" w:rsidR="00EC15D5" w:rsidRDefault="00EC15D5" w:rsidP="008F530D"/>
        </w:tc>
        <w:tc>
          <w:tcPr>
            <w:tcW w:w="2266" w:type="dxa"/>
          </w:tcPr>
          <w:p w14:paraId="4F3FC5D9" w14:textId="77777777" w:rsidR="00EC15D5" w:rsidRDefault="00EC15D5" w:rsidP="008F530D"/>
        </w:tc>
      </w:tr>
      <w:tr w:rsidR="00EC15D5" w14:paraId="772E7F95" w14:textId="77777777" w:rsidTr="008F530D">
        <w:trPr>
          <w:jc w:val="center"/>
        </w:trPr>
        <w:tc>
          <w:tcPr>
            <w:tcW w:w="2265" w:type="dxa"/>
            <w:vMerge/>
            <w:vAlign w:val="center"/>
          </w:tcPr>
          <w:p w14:paraId="00463D95" w14:textId="77777777" w:rsidR="00EC15D5" w:rsidRDefault="00EC15D5" w:rsidP="008F530D"/>
        </w:tc>
        <w:tc>
          <w:tcPr>
            <w:tcW w:w="2265" w:type="dxa"/>
          </w:tcPr>
          <w:p w14:paraId="21B52571" w14:textId="77777777" w:rsidR="00EC15D5" w:rsidRDefault="00EC15D5" w:rsidP="008F530D">
            <w:r>
              <w:t>[251-500]</w:t>
            </w:r>
          </w:p>
        </w:tc>
        <w:tc>
          <w:tcPr>
            <w:tcW w:w="2266" w:type="dxa"/>
          </w:tcPr>
          <w:p w14:paraId="3D6A2F40" w14:textId="77777777" w:rsidR="00EC15D5" w:rsidRDefault="00EC15D5" w:rsidP="008F530D"/>
        </w:tc>
        <w:tc>
          <w:tcPr>
            <w:tcW w:w="2266" w:type="dxa"/>
          </w:tcPr>
          <w:p w14:paraId="2DA39240" w14:textId="77777777" w:rsidR="00EC15D5" w:rsidRDefault="00EC15D5" w:rsidP="008F530D"/>
        </w:tc>
      </w:tr>
      <w:tr w:rsidR="00EC15D5" w14:paraId="54FB1C17" w14:textId="77777777" w:rsidTr="008F530D">
        <w:trPr>
          <w:jc w:val="center"/>
        </w:trPr>
        <w:tc>
          <w:tcPr>
            <w:tcW w:w="2265" w:type="dxa"/>
            <w:vMerge/>
            <w:vAlign w:val="center"/>
          </w:tcPr>
          <w:p w14:paraId="4DE16B44" w14:textId="77777777" w:rsidR="00EC15D5" w:rsidRDefault="00EC15D5" w:rsidP="008F530D"/>
        </w:tc>
        <w:tc>
          <w:tcPr>
            <w:tcW w:w="2265" w:type="dxa"/>
          </w:tcPr>
          <w:p w14:paraId="5BDCFE85" w14:textId="77777777" w:rsidR="00EC15D5" w:rsidRDefault="00EC15D5" w:rsidP="008F530D">
            <w:r>
              <w:t>&gt;500</w:t>
            </w:r>
          </w:p>
        </w:tc>
        <w:tc>
          <w:tcPr>
            <w:tcW w:w="2266" w:type="dxa"/>
          </w:tcPr>
          <w:p w14:paraId="481D26F5" w14:textId="77777777" w:rsidR="00EC15D5" w:rsidRDefault="00EC15D5" w:rsidP="008F530D"/>
        </w:tc>
        <w:tc>
          <w:tcPr>
            <w:tcW w:w="2266" w:type="dxa"/>
          </w:tcPr>
          <w:p w14:paraId="216C5B66" w14:textId="77777777" w:rsidR="00EC15D5" w:rsidRDefault="00EC15D5" w:rsidP="008F530D"/>
        </w:tc>
      </w:tr>
      <w:tr w:rsidR="00EC15D5" w14:paraId="44F5443C" w14:textId="77777777" w:rsidTr="008F530D">
        <w:trPr>
          <w:jc w:val="center"/>
        </w:trPr>
        <w:tc>
          <w:tcPr>
            <w:tcW w:w="2265" w:type="dxa"/>
            <w:vMerge w:val="restart"/>
            <w:vAlign w:val="center"/>
          </w:tcPr>
          <w:p w14:paraId="4071757F" w14:textId="77777777" w:rsidR="00EC15D5" w:rsidRDefault="00EC15D5" w:rsidP="008F530D">
            <w:r>
              <w:t xml:space="preserve">Financial entity </w:t>
            </w:r>
          </w:p>
        </w:tc>
        <w:tc>
          <w:tcPr>
            <w:tcW w:w="2265" w:type="dxa"/>
          </w:tcPr>
          <w:p w14:paraId="5BB56C7E" w14:textId="77777777" w:rsidR="00EC15D5" w:rsidRDefault="00EC15D5" w:rsidP="008F530D">
            <w:r>
              <w:t>[1-50]</w:t>
            </w:r>
          </w:p>
        </w:tc>
        <w:tc>
          <w:tcPr>
            <w:tcW w:w="2266" w:type="dxa"/>
          </w:tcPr>
          <w:p w14:paraId="5A0FF211" w14:textId="77777777" w:rsidR="00EC15D5" w:rsidRDefault="00EC15D5" w:rsidP="008F530D"/>
        </w:tc>
        <w:tc>
          <w:tcPr>
            <w:tcW w:w="2266" w:type="dxa"/>
          </w:tcPr>
          <w:p w14:paraId="30C65D47" w14:textId="77777777" w:rsidR="00EC15D5" w:rsidRDefault="00EC15D5" w:rsidP="008F530D"/>
        </w:tc>
      </w:tr>
      <w:tr w:rsidR="00EC15D5" w14:paraId="6BA0F3F9" w14:textId="77777777" w:rsidTr="008F530D">
        <w:trPr>
          <w:jc w:val="center"/>
        </w:trPr>
        <w:tc>
          <w:tcPr>
            <w:tcW w:w="2265" w:type="dxa"/>
            <w:vMerge/>
            <w:vAlign w:val="center"/>
          </w:tcPr>
          <w:p w14:paraId="10478AAA" w14:textId="77777777" w:rsidR="00EC15D5" w:rsidRDefault="00EC15D5" w:rsidP="008F530D"/>
        </w:tc>
        <w:tc>
          <w:tcPr>
            <w:tcW w:w="2265" w:type="dxa"/>
          </w:tcPr>
          <w:p w14:paraId="239F5F92" w14:textId="77777777" w:rsidR="00EC15D5" w:rsidRDefault="00EC15D5" w:rsidP="008F530D">
            <w:r>
              <w:t>[51-250]</w:t>
            </w:r>
          </w:p>
        </w:tc>
        <w:tc>
          <w:tcPr>
            <w:tcW w:w="2266" w:type="dxa"/>
          </w:tcPr>
          <w:p w14:paraId="34222647" w14:textId="77777777" w:rsidR="00EC15D5" w:rsidRDefault="00EC15D5" w:rsidP="008F530D"/>
        </w:tc>
        <w:tc>
          <w:tcPr>
            <w:tcW w:w="2266" w:type="dxa"/>
          </w:tcPr>
          <w:p w14:paraId="1D233B26" w14:textId="77777777" w:rsidR="00EC15D5" w:rsidRDefault="00EC15D5" w:rsidP="008F530D"/>
        </w:tc>
      </w:tr>
      <w:tr w:rsidR="00EC15D5" w14:paraId="525A394A" w14:textId="77777777" w:rsidTr="008F530D">
        <w:trPr>
          <w:jc w:val="center"/>
        </w:trPr>
        <w:tc>
          <w:tcPr>
            <w:tcW w:w="2265" w:type="dxa"/>
            <w:vMerge/>
            <w:vAlign w:val="center"/>
          </w:tcPr>
          <w:p w14:paraId="18BC8920" w14:textId="77777777" w:rsidR="00EC15D5" w:rsidRDefault="00EC15D5" w:rsidP="008F530D"/>
        </w:tc>
        <w:tc>
          <w:tcPr>
            <w:tcW w:w="2265" w:type="dxa"/>
          </w:tcPr>
          <w:p w14:paraId="13E5593C" w14:textId="77777777" w:rsidR="00EC15D5" w:rsidRDefault="00EC15D5" w:rsidP="008F530D">
            <w:r>
              <w:t>[251-500]</w:t>
            </w:r>
          </w:p>
        </w:tc>
        <w:tc>
          <w:tcPr>
            <w:tcW w:w="2266" w:type="dxa"/>
          </w:tcPr>
          <w:p w14:paraId="609D06A5" w14:textId="77777777" w:rsidR="00EC15D5" w:rsidRDefault="00EC15D5" w:rsidP="008F530D"/>
        </w:tc>
        <w:tc>
          <w:tcPr>
            <w:tcW w:w="2266" w:type="dxa"/>
          </w:tcPr>
          <w:p w14:paraId="0314DC75" w14:textId="77777777" w:rsidR="00EC15D5" w:rsidRDefault="00EC15D5" w:rsidP="008F530D"/>
        </w:tc>
      </w:tr>
      <w:tr w:rsidR="00EC15D5" w14:paraId="0093DA04" w14:textId="77777777" w:rsidTr="008F530D">
        <w:trPr>
          <w:jc w:val="center"/>
        </w:trPr>
        <w:tc>
          <w:tcPr>
            <w:tcW w:w="2265" w:type="dxa"/>
            <w:vMerge/>
            <w:vAlign w:val="center"/>
          </w:tcPr>
          <w:p w14:paraId="6A549BFB" w14:textId="77777777" w:rsidR="00EC15D5" w:rsidRDefault="00EC15D5" w:rsidP="008F530D"/>
        </w:tc>
        <w:tc>
          <w:tcPr>
            <w:tcW w:w="2265" w:type="dxa"/>
          </w:tcPr>
          <w:p w14:paraId="4AF0E3B2" w14:textId="77777777" w:rsidR="00EC15D5" w:rsidRDefault="00EC15D5" w:rsidP="008F530D">
            <w:r>
              <w:t>&gt;500</w:t>
            </w:r>
          </w:p>
        </w:tc>
        <w:tc>
          <w:tcPr>
            <w:tcW w:w="2266" w:type="dxa"/>
          </w:tcPr>
          <w:p w14:paraId="165BF2A4" w14:textId="77777777" w:rsidR="00EC15D5" w:rsidRDefault="00EC15D5" w:rsidP="008F530D"/>
        </w:tc>
        <w:tc>
          <w:tcPr>
            <w:tcW w:w="2266" w:type="dxa"/>
          </w:tcPr>
          <w:p w14:paraId="60784249" w14:textId="77777777" w:rsidR="00EC15D5" w:rsidRDefault="00EC15D5" w:rsidP="008F530D"/>
        </w:tc>
      </w:tr>
      <w:tr w:rsidR="00EC15D5" w14:paraId="606B1F68" w14:textId="77777777" w:rsidTr="008F530D">
        <w:trPr>
          <w:jc w:val="center"/>
        </w:trPr>
        <w:tc>
          <w:tcPr>
            <w:tcW w:w="2265" w:type="dxa"/>
            <w:vMerge w:val="restart"/>
            <w:vAlign w:val="center"/>
          </w:tcPr>
          <w:p w14:paraId="431F89B8" w14:textId="77777777" w:rsidR="00EC15D5" w:rsidRDefault="00EC15D5" w:rsidP="008F530D">
            <w:r>
              <w:t>Non-financial entity</w:t>
            </w:r>
          </w:p>
        </w:tc>
        <w:tc>
          <w:tcPr>
            <w:tcW w:w="2265" w:type="dxa"/>
          </w:tcPr>
          <w:p w14:paraId="2BF32F83" w14:textId="77777777" w:rsidR="00EC15D5" w:rsidRDefault="00EC15D5" w:rsidP="008F530D">
            <w:r>
              <w:t>[1-50]</w:t>
            </w:r>
          </w:p>
        </w:tc>
        <w:tc>
          <w:tcPr>
            <w:tcW w:w="2266" w:type="dxa"/>
          </w:tcPr>
          <w:p w14:paraId="2B728776" w14:textId="77777777" w:rsidR="00EC15D5" w:rsidRDefault="00EC15D5" w:rsidP="008F530D"/>
        </w:tc>
        <w:tc>
          <w:tcPr>
            <w:tcW w:w="2266" w:type="dxa"/>
          </w:tcPr>
          <w:p w14:paraId="63C38FA9" w14:textId="77777777" w:rsidR="00EC15D5" w:rsidRDefault="00EC15D5" w:rsidP="008F530D"/>
        </w:tc>
      </w:tr>
      <w:tr w:rsidR="00EC15D5" w14:paraId="5497FC94" w14:textId="77777777" w:rsidTr="008F530D">
        <w:trPr>
          <w:jc w:val="center"/>
        </w:trPr>
        <w:tc>
          <w:tcPr>
            <w:tcW w:w="2265" w:type="dxa"/>
            <w:vMerge/>
          </w:tcPr>
          <w:p w14:paraId="08A0D0E5" w14:textId="77777777" w:rsidR="00EC15D5" w:rsidRDefault="00EC15D5" w:rsidP="008F530D"/>
        </w:tc>
        <w:tc>
          <w:tcPr>
            <w:tcW w:w="2265" w:type="dxa"/>
          </w:tcPr>
          <w:p w14:paraId="1C7A9B30" w14:textId="77777777" w:rsidR="00EC15D5" w:rsidRDefault="00EC15D5" w:rsidP="008F530D">
            <w:r>
              <w:t>[51-250]</w:t>
            </w:r>
          </w:p>
        </w:tc>
        <w:tc>
          <w:tcPr>
            <w:tcW w:w="2266" w:type="dxa"/>
          </w:tcPr>
          <w:p w14:paraId="26A04A8B" w14:textId="77777777" w:rsidR="00EC15D5" w:rsidRDefault="00EC15D5" w:rsidP="008F530D"/>
        </w:tc>
        <w:tc>
          <w:tcPr>
            <w:tcW w:w="2266" w:type="dxa"/>
          </w:tcPr>
          <w:p w14:paraId="6E58829F" w14:textId="77777777" w:rsidR="00EC15D5" w:rsidRDefault="00EC15D5" w:rsidP="008F530D"/>
        </w:tc>
      </w:tr>
      <w:tr w:rsidR="00EC15D5" w14:paraId="77387BBF" w14:textId="77777777" w:rsidTr="008F530D">
        <w:trPr>
          <w:jc w:val="center"/>
        </w:trPr>
        <w:tc>
          <w:tcPr>
            <w:tcW w:w="2265" w:type="dxa"/>
            <w:vMerge/>
          </w:tcPr>
          <w:p w14:paraId="65C1AC7B" w14:textId="77777777" w:rsidR="00EC15D5" w:rsidRDefault="00EC15D5" w:rsidP="008F530D"/>
        </w:tc>
        <w:tc>
          <w:tcPr>
            <w:tcW w:w="2265" w:type="dxa"/>
          </w:tcPr>
          <w:p w14:paraId="5202C80B" w14:textId="77777777" w:rsidR="00EC15D5" w:rsidRDefault="00EC15D5" w:rsidP="008F530D">
            <w:r>
              <w:t>[251-500]</w:t>
            </w:r>
          </w:p>
        </w:tc>
        <w:tc>
          <w:tcPr>
            <w:tcW w:w="2266" w:type="dxa"/>
          </w:tcPr>
          <w:p w14:paraId="4FC13446" w14:textId="77777777" w:rsidR="00EC15D5" w:rsidRDefault="00EC15D5" w:rsidP="008F530D"/>
        </w:tc>
        <w:tc>
          <w:tcPr>
            <w:tcW w:w="2266" w:type="dxa"/>
          </w:tcPr>
          <w:p w14:paraId="41FF38F2" w14:textId="77777777" w:rsidR="00EC15D5" w:rsidRDefault="00EC15D5" w:rsidP="008F530D"/>
        </w:tc>
      </w:tr>
      <w:tr w:rsidR="00EC15D5" w14:paraId="63D63D99" w14:textId="77777777" w:rsidTr="008F530D">
        <w:trPr>
          <w:jc w:val="center"/>
        </w:trPr>
        <w:tc>
          <w:tcPr>
            <w:tcW w:w="2265" w:type="dxa"/>
            <w:vMerge/>
          </w:tcPr>
          <w:p w14:paraId="4CF03470" w14:textId="77777777" w:rsidR="00EC15D5" w:rsidRDefault="00EC15D5" w:rsidP="008F530D"/>
        </w:tc>
        <w:tc>
          <w:tcPr>
            <w:tcW w:w="2265" w:type="dxa"/>
          </w:tcPr>
          <w:p w14:paraId="361895D0" w14:textId="77777777" w:rsidR="00EC15D5" w:rsidRDefault="00EC15D5" w:rsidP="008F530D">
            <w:r>
              <w:t>&gt;500</w:t>
            </w:r>
          </w:p>
        </w:tc>
        <w:tc>
          <w:tcPr>
            <w:tcW w:w="2266" w:type="dxa"/>
          </w:tcPr>
          <w:p w14:paraId="68382055" w14:textId="77777777" w:rsidR="00EC15D5" w:rsidRDefault="00EC15D5" w:rsidP="008F530D"/>
        </w:tc>
        <w:tc>
          <w:tcPr>
            <w:tcW w:w="2266" w:type="dxa"/>
          </w:tcPr>
          <w:p w14:paraId="4C3D3991" w14:textId="77777777" w:rsidR="00EC15D5" w:rsidRDefault="00EC15D5" w:rsidP="008F530D"/>
        </w:tc>
      </w:tr>
    </w:tbl>
    <w:p w14:paraId="5F7F2B7B" w14:textId="77777777" w:rsidR="00EC15D5" w:rsidRPr="00EC15D5" w:rsidRDefault="00EC15D5" w:rsidP="00EC15D5">
      <w:pPr>
        <w:rPr>
          <w:rFonts w:ascii="Arial" w:hAnsi="Arial" w:cs="Arial"/>
        </w:rPr>
      </w:pPr>
    </w:p>
    <w:permEnd w:id="1900831222"/>
    <w:p w14:paraId="547546FD" w14:textId="07E2E738"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21</w:t>
      </w:r>
      <w:r w:rsidRPr="00EC15D5">
        <w:rPr>
          <w:rFonts w:ascii="Arial" w:hAnsi="Arial" w:cs="Arial"/>
        </w:rPr>
        <w:t>&gt;</w:t>
      </w:r>
    </w:p>
    <w:p w14:paraId="665B536F" w14:textId="570F137E" w:rsidR="00EC15D5" w:rsidRDefault="00EC15D5" w:rsidP="00EC15D5"/>
    <w:p w14:paraId="786BB09F" w14:textId="5663BA86" w:rsidR="00EC15D5" w:rsidRDefault="00EC15D5" w:rsidP="00EC15D5"/>
    <w:p w14:paraId="68D7178E" w14:textId="1E25AFB2" w:rsidR="00EC15D5" w:rsidRDefault="00EC15D5" w:rsidP="00EC15D5">
      <w:pPr>
        <w:pStyle w:val="Questionstyle"/>
        <w:numPr>
          <w:ilvl w:val="0"/>
          <w:numId w:val="0"/>
        </w:numPr>
        <w:spacing w:after="250" w:line="276" w:lineRule="auto"/>
        <w:ind w:left="360"/>
      </w:pPr>
      <w:r w:rsidRPr="00EC15D5">
        <w:rPr>
          <w:b/>
          <w:bCs/>
        </w:rPr>
        <w:t>CBA Q</w:t>
      </w:r>
      <w:r>
        <w:rPr>
          <w:b/>
          <w:bCs/>
        </w:rPr>
        <w:t>2</w:t>
      </w:r>
      <w:r>
        <w:t xml:space="preserve">: </w:t>
      </w:r>
      <w:r w:rsidRPr="00EC15D5">
        <w:t>for Financial entities: Do you intend to apply for an exemption for risk-reducing positions related to the commercial activities of the commercial entity of the group? What percentage of your positions do these risk-reducing positions account for?</w:t>
      </w:r>
    </w:p>
    <w:p w14:paraId="1EAF88B7" w14:textId="3CC474FF"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22</w:t>
      </w:r>
      <w:r w:rsidRPr="00EC15D5">
        <w:rPr>
          <w:rFonts w:ascii="Arial" w:hAnsi="Arial" w:cs="Arial"/>
        </w:rPr>
        <w:t>&gt;</w:t>
      </w:r>
    </w:p>
    <w:p w14:paraId="4F1C9E0F" w14:textId="77777777" w:rsidR="00EC15D5" w:rsidRPr="00EC15D5" w:rsidRDefault="00EC15D5" w:rsidP="00EC15D5">
      <w:pPr>
        <w:rPr>
          <w:rFonts w:ascii="Arial" w:hAnsi="Arial" w:cs="Arial"/>
        </w:rPr>
      </w:pPr>
      <w:permStart w:id="476319685" w:edGrp="everyone"/>
      <w:r w:rsidRPr="00EC15D5">
        <w:rPr>
          <w:rFonts w:ascii="Arial" w:hAnsi="Arial" w:cs="Arial"/>
        </w:rPr>
        <w:t>TYPE YOUR TEXT HERE</w:t>
      </w:r>
    </w:p>
    <w:permEnd w:id="476319685"/>
    <w:p w14:paraId="17E88D87" w14:textId="5C2B86C9"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22</w:t>
      </w:r>
      <w:r w:rsidRPr="00EC15D5">
        <w:rPr>
          <w:rFonts w:ascii="Arial" w:hAnsi="Arial" w:cs="Arial"/>
        </w:rPr>
        <w:t>&gt;</w:t>
      </w:r>
    </w:p>
    <w:p w14:paraId="4AF77CC6" w14:textId="36752559" w:rsidR="00EC15D5" w:rsidRDefault="00EC15D5" w:rsidP="00EC15D5"/>
    <w:p w14:paraId="209E6A05" w14:textId="5E82A89F" w:rsidR="00EC15D5" w:rsidRDefault="00EC15D5" w:rsidP="00EC15D5">
      <w:pPr>
        <w:pStyle w:val="Questionstyle"/>
        <w:numPr>
          <w:ilvl w:val="0"/>
          <w:numId w:val="0"/>
        </w:numPr>
        <w:spacing w:after="250" w:line="276" w:lineRule="auto"/>
        <w:ind w:left="720" w:hanging="360"/>
      </w:pPr>
      <w:r w:rsidRPr="00EC15D5">
        <w:rPr>
          <w:b/>
          <w:bCs/>
        </w:rPr>
        <w:t>CBA Q</w:t>
      </w:r>
      <w:r>
        <w:rPr>
          <w:b/>
          <w:bCs/>
        </w:rPr>
        <w:t>3</w:t>
      </w:r>
      <w:r>
        <w:t xml:space="preserve">: </w:t>
      </w:r>
      <w:r w:rsidRPr="00EC15D5">
        <w:t>Do you intend to apply for an exemption for positions resulting from transactions undertaken to fulfil mandatory liquidity provision? What percentage of your positions do these positions account for?</w:t>
      </w:r>
    </w:p>
    <w:p w14:paraId="785603E6" w14:textId="42E12AEC"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23</w:t>
      </w:r>
      <w:r w:rsidRPr="00EC15D5">
        <w:rPr>
          <w:rFonts w:ascii="Arial" w:hAnsi="Arial" w:cs="Arial"/>
        </w:rPr>
        <w:t>&gt;</w:t>
      </w:r>
    </w:p>
    <w:p w14:paraId="16E096B4" w14:textId="77777777" w:rsidR="00EC15D5" w:rsidRPr="00EC15D5" w:rsidRDefault="00EC15D5" w:rsidP="00EC15D5">
      <w:pPr>
        <w:rPr>
          <w:rFonts w:ascii="Arial" w:hAnsi="Arial" w:cs="Arial"/>
        </w:rPr>
      </w:pPr>
      <w:permStart w:id="237008053" w:edGrp="everyone"/>
      <w:r w:rsidRPr="00EC15D5">
        <w:rPr>
          <w:rFonts w:ascii="Arial" w:hAnsi="Arial" w:cs="Arial"/>
        </w:rPr>
        <w:t>TYPE YOUR TEXT HERE</w:t>
      </w:r>
    </w:p>
    <w:permEnd w:id="237008053"/>
    <w:p w14:paraId="41022C84" w14:textId="379A19B7"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23</w:t>
      </w:r>
      <w:r w:rsidRPr="00EC15D5">
        <w:rPr>
          <w:rFonts w:ascii="Arial" w:hAnsi="Arial" w:cs="Arial"/>
        </w:rPr>
        <w:t>&gt;</w:t>
      </w:r>
    </w:p>
    <w:p w14:paraId="47268C0B" w14:textId="7B8A9345" w:rsidR="00EC15D5" w:rsidRDefault="00EC15D5" w:rsidP="00EC15D5"/>
    <w:p w14:paraId="056A7946" w14:textId="6E9BBD5C" w:rsidR="00EC15D5" w:rsidRDefault="00833000" w:rsidP="00833000">
      <w:pPr>
        <w:pStyle w:val="Questionstyle"/>
        <w:numPr>
          <w:ilvl w:val="0"/>
          <w:numId w:val="0"/>
        </w:numPr>
        <w:spacing w:after="250" w:line="276" w:lineRule="auto"/>
        <w:ind w:left="360"/>
      </w:pPr>
      <w:r w:rsidRPr="00EC15D5">
        <w:rPr>
          <w:b/>
          <w:bCs/>
        </w:rPr>
        <w:t>CBA Q</w:t>
      </w:r>
      <w:r>
        <w:rPr>
          <w:b/>
          <w:bCs/>
        </w:rPr>
        <w:t>4</w:t>
      </w:r>
      <w:r w:rsidR="00EC15D5">
        <w:t xml:space="preserve">: </w:t>
      </w:r>
      <w:r w:rsidRPr="00833000">
        <w:t>Is there any specific provision in draft RTS 21a that you would expect to be a source of significant cost? If so, please elaborate.</w:t>
      </w:r>
    </w:p>
    <w:p w14:paraId="60BB1C2A" w14:textId="2768F55E"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w:t>
      </w:r>
      <w:r w:rsidR="00833000">
        <w:rPr>
          <w:rFonts w:ascii="Arial" w:hAnsi="Arial" w:cs="Arial"/>
        </w:rPr>
        <w:t>4</w:t>
      </w:r>
      <w:r w:rsidRPr="00EC15D5">
        <w:rPr>
          <w:rFonts w:ascii="Arial" w:hAnsi="Arial" w:cs="Arial"/>
        </w:rPr>
        <w:t>&gt;</w:t>
      </w:r>
    </w:p>
    <w:p w14:paraId="053457C5" w14:textId="77777777" w:rsidR="00EC15D5" w:rsidRPr="00EC15D5" w:rsidRDefault="00EC15D5" w:rsidP="00EC15D5">
      <w:pPr>
        <w:rPr>
          <w:rFonts w:ascii="Arial" w:hAnsi="Arial" w:cs="Arial"/>
        </w:rPr>
      </w:pPr>
      <w:permStart w:id="91757252" w:edGrp="everyone"/>
      <w:r w:rsidRPr="00EC15D5">
        <w:rPr>
          <w:rFonts w:ascii="Arial" w:hAnsi="Arial" w:cs="Arial"/>
        </w:rPr>
        <w:t>TYPE YOUR TEXT HERE</w:t>
      </w:r>
    </w:p>
    <w:permEnd w:id="91757252"/>
    <w:p w14:paraId="4417D23E" w14:textId="27D6C419" w:rsidR="00EC15D5" w:rsidRPr="00EC15D5" w:rsidRDefault="00EC15D5" w:rsidP="00EC15D5">
      <w:pPr>
        <w:rPr>
          <w:rFonts w:ascii="Arial" w:hAnsi="Arial" w:cs="Arial"/>
        </w:rPr>
      </w:pPr>
      <w:r w:rsidRPr="00EC15D5">
        <w:rPr>
          <w:rFonts w:ascii="Arial" w:hAnsi="Arial" w:cs="Arial"/>
        </w:rPr>
        <w:lastRenderedPageBreak/>
        <w:t>&lt;ESMA_QUESTION_CD_</w:t>
      </w:r>
      <w:r>
        <w:rPr>
          <w:rFonts w:ascii="Arial" w:hAnsi="Arial" w:cs="Arial"/>
        </w:rPr>
        <w:t>2</w:t>
      </w:r>
      <w:r w:rsidR="00833000">
        <w:rPr>
          <w:rFonts w:ascii="Arial" w:hAnsi="Arial" w:cs="Arial"/>
        </w:rPr>
        <w:t>4</w:t>
      </w:r>
      <w:r w:rsidRPr="00EC15D5">
        <w:rPr>
          <w:rFonts w:ascii="Arial" w:hAnsi="Arial" w:cs="Arial"/>
        </w:rPr>
        <w:t>&gt;</w:t>
      </w:r>
    </w:p>
    <w:p w14:paraId="0E40BAAD" w14:textId="77777777" w:rsidR="00EC15D5" w:rsidRDefault="00EC15D5" w:rsidP="00EC15D5"/>
    <w:p w14:paraId="3629423B" w14:textId="1744D40F" w:rsidR="00EC15D5" w:rsidRDefault="00833000" w:rsidP="00833000">
      <w:pPr>
        <w:pStyle w:val="Questionstyle"/>
        <w:numPr>
          <w:ilvl w:val="0"/>
          <w:numId w:val="0"/>
        </w:numPr>
        <w:spacing w:after="250" w:line="276" w:lineRule="auto"/>
        <w:ind w:left="360"/>
      </w:pPr>
      <w:r w:rsidRPr="00EC15D5">
        <w:rPr>
          <w:b/>
          <w:bCs/>
        </w:rPr>
        <w:t>CBA Q</w:t>
      </w:r>
      <w:r>
        <w:rPr>
          <w:b/>
          <w:bCs/>
        </w:rPr>
        <w:t>5</w:t>
      </w:r>
      <w:r w:rsidR="00EC15D5">
        <w:t xml:space="preserve">: </w:t>
      </w:r>
      <w:r w:rsidRPr="00833000">
        <w:t>Taking into account the size of your firm, would you qualify overall compliance costs with draft RTS 21a as low, medium or high?</w:t>
      </w:r>
    </w:p>
    <w:p w14:paraId="67DEAFC4" w14:textId="78B6BB6E"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w:t>
      </w:r>
      <w:r w:rsidR="00833000">
        <w:rPr>
          <w:rFonts w:ascii="Arial" w:hAnsi="Arial" w:cs="Arial"/>
        </w:rPr>
        <w:t>5</w:t>
      </w:r>
      <w:r w:rsidRPr="00EC15D5">
        <w:rPr>
          <w:rFonts w:ascii="Arial" w:hAnsi="Arial" w:cs="Arial"/>
        </w:rPr>
        <w:t>&gt;</w:t>
      </w:r>
    </w:p>
    <w:p w14:paraId="6509E657" w14:textId="77777777" w:rsidR="00EC15D5" w:rsidRPr="00EC15D5" w:rsidRDefault="00EC15D5" w:rsidP="00EC15D5">
      <w:pPr>
        <w:rPr>
          <w:rFonts w:ascii="Arial" w:hAnsi="Arial" w:cs="Arial"/>
        </w:rPr>
      </w:pPr>
      <w:permStart w:id="1524712210" w:edGrp="everyone"/>
      <w:r w:rsidRPr="00EC15D5">
        <w:rPr>
          <w:rFonts w:ascii="Arial" w:hAnsi="Arial" w:cs="Arial"/>
        </w:rPr>
        <w:t>TYPE YOUR TEXT HERE</w:t>
      </w:r>
    </w:p>
    <w:permEnd w:id="1524712210"/>
    <w:p w14:paraId="47D68646" w14:textId="0A7C7337"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w:t>
      </w:r>
      <w:r w:rsidR="00833000">
        <w:rPr>
          <w:rFonts w:ascii="Arial" w:hAnsi="Arial" w:cs="Arial"/>
        </w:rPr>
        <w:t>5</w:t>
      </w:r>
      <w:r w:rsidRPr="00EC15D5">
        <w:rPr>
          <w:rFonts w:ascii="Arial" w:hAnsi="Arial" w:cs="Arial"/>
        </w:rPr>
        <w:t>&gt;</w:t>
      </w:r>
    </w:p>
    <w:p w14:paraId="1BDA3D00" w14:textId="7F8D5302" w:rsidR="00EC15D5" w:rsidRDefault="00EC15D5" w:rsidP="00EC15D5"/>
    <w:p w14:paraId="3DAF850B" w14:textId="2CA4D48C" w:rsidR="00EC15D5" w:rsidRDefault="00833000" w:rsidP="00833000">
      <w:pPr>
        <w:pStyle w:val="Questionstyle"/>
        <w:numPr>
          <w:ilvl w:val="0"/>
          <w:numId w:val="0"/>
        </w:numPr>
        <w:spacing w:after="250" w:line="276" w:lineRule="auto"/>
        <w:ind w:left="720" w:hanging="360"/>
      </w:pPr>
      <w:r w:rsidRPr="00EC15D5">
        <w:rPr>
          <w:b/>
          <w:bCs/>
        </w:rPr>
        <w:t>CBA Q</w:t>
      </w:r>
      <w:r>
        <w:rPr>
          <w:b/>
          <w:bCs/>
        </w:rPr>
        <w:t>6</w:t>
      </w:r>
      <w:r w:rsidR="00EC15D5">
        <w:t xml:space="preserve">: </w:t>
      </w:r>
      <w:r w:rsidRPr="00833000">
        <w:t>Is there any specific provision in the draft RTS on position management controls that you would expect to be a source of significant cost? If so, please elaborate.</w:t>
      </w:r>
    </w:p>
    <w:p w14:paraId="118FD0B0" w14:textId="7656DB19"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w:t>
      </w:r>
      <w:r w:rsidR="00833000">
        <w:rPr>
          <w:rFonts w:ascii="Arial" w:hAnsi="Arial" w:cs="Arial"/>
        </w:rPr>
        <w:t>6</w:t>
      </w:r>
      <w:r w:rsidRPr="00EC15D5">
        <w:rPr>
          <w:rFonts w:ascii="Arial" w:hAnsi="Arial" w:cs="Arial"/>
        </w:rPr>
        <w:t>&gt;</w:t>
      </w:r>
    </w:p>
    <w:p w14:paraId="5545B3AC" w14:textId="77777777" w:rsidR="00EC15D5" w:rsidRPr="00EC15D5" w:rsidRDefault="00EC15D5" w:rsidP="00EC15D5">
      <w:pPr>
        <w:rPr>
          <w:rFonts w:ascii="Arial" w:hAnsi="Arial" w:cs="Arial"/>
        </w:rPr>
      </w:pPr>
      <w:permStart w:id="448079908" w:edGrp="everyone"/>
      <w:r w:rsidRPr="00EC15D5">
        <w:rPr>
          <w:rFonts w:ascii="Arial" w:hAnsi="Arial" w:cs="Arial"/>
        </w:rPr>
        <w:t>TYPE YOUR TEXT HERE</w:t>
      </w:r>
    </w:p>
    <w:permEnd w:id="448079908"/>
    <w:p w14:paraId="6E0AAF1D" w14:textId="57F59FE5"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w:t>
      </w:r>
      <w:r w:rsidR="00833000">
        <w:rPr>
          <w:rFonts w:ascii="Arial" w:hAnsi="Arial" w:cs="Arial"/>
        </w:rPr>
        <w:t>6</w:t>
      </w:r>
      <w:r w:rsidRPr="00EC15D5">
        <w:rPr>
          <w:rFonts w:ascii="Arial" w:hAnsi="Arial" w:cs="Arial"/>
        </w:rPr>
        <w:t>&gt;</w:t>
      </w:r>
    </w:p>
    <w:p w14:paraId="6BB66371" w14:textId="1437F4BC" w:rsidR="00EC15D5" w:rsidRDefault="00EC15D5" w:rsidP="00EC15D5"/>
    <w:p w14:paraId="75BC0E5D" w14:textId="109BB750" w:rsidR="00EC15D5" w:rsidRDefault="00833000" w:rsidP="00833000">
      <w:pPr>
        <w:pStyle w:val="Questionstyle"/>
        <w:numPr>
          <w:ilvl w:val="0"/>
          <w:numId w:val="0"/>
        </w:numPr>
        <w:spacing w:after="250" w:line="276" w:lineRule="auto"/>
        <w:ind w:left="720" w:hanging="360"/>
      </w:pPr>
      <w:r w:rsidRPr="00EC15D5">
        <w:rPr>
          <w:b/>
          <w:bCs/>
        </w:rPr>
        <w:t>CBA Q</w:t>
      </w:r>
      <w:r>
        <w:rPr>
          <w:b/>
          <w:bCs/>
        </w:rPr>
        <w:t>7</w:t>
      </w:r>
      <w:r w:rsidR="00EC15D5">
        <w:t xml:space="preserve">: </w:t>
      </w:r>
      <w:r w:rsidRPr="00833000">
        <w:t>Taking into account the size of your firm, would you qualify overall compliance costs with amended the draft RTS on position management controls as low, medium or high?</w:t>
      </w:r>
    </w:p>
    <w:p w14:paraId="4A7FEA57" w14:textId="02A17CA7"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w:t>
      </w:r>
      <w:r w:rsidR="00833000">
        <w:rPr>
          <w:rFonts w:ascii="Arial" w:hAnsi="Arial" w:cs="Arial"/>
        </w:rPr>
        <w:t>7</w:t>
      </w:r>
      <w:r w:rsidRPr="00EC15D5">
        <w:rPr>
          <w:rFonts w:ascii="Arial" w:hAnsi="Arial" w:cs="Arial"/>
        </w:rPr>
        <w:t>&gt;</w:t>
      </w:r>
    </w:p>
    <w:p w14:paraId="284DDC74" w14:textId="77777777" w:rsidR="00EC15D5" w:rsidRPr="00EC15D5" w:rsidRDefault="00EC15D5" w:rsidP="00EC15D5">
      <w:pPr>
        <w:rPr>
          <w:rFonts w:ascii="Arial" w:hAnsi="Arial" w:cs="Arial"/>
        </w:rPr>
      </w:pPr>
      <w:permStart w:id="1125347083" w:edGrp="everyone"/>
      <w:r w:rsidRPr="00EC15D5">
        <w:rPr>
          <w:rFonts w:ascii="Arial" w:hAnsi="Arial" w:cs="Arial"/>
        </w:rPr>
        <w:t>TYPE YOUR TEXT HERE</w:t>
      </w:r>
    </w:p>
    <w:permEnd w:id="1125347083"/>
    <w:p w14:paraId="4E0F279B" w14:textId="5D0A1E83"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w:t>
      </w:r>
      <w:r w:rsidR="00833000">
        <w:rPr>
          <w:rFonts w:ascii="Arial" w:hAnsi="Arial" w:cs="Arial"/>
        </w:rPr>
        <w:t>7</w:t>
      </w:r>
      <w:r w:rsidRPr="00EC15D5">
        <w:rPr>
          <w:rFonts w:ascii="Arial" w:hAnsi="Arial" w:cs="Arial"/>
        </w:rPr>
        <w:t>&gt;</w:t>
      </w:r>
    </w:p>
    <w:p w14:paraId="41B4893E" w14:textId="17897BA7" w:rsidR="00EC15D5" w:rsidRDefault="00EC15D5" w:rsidP="00EC15D5"/>
    <w:p w14:paraId="105968D9" w14:textId="77777777" w:rsidR="00EC15D5" w:rsidRDefault="00EC15D5" w:rsidP="00EC15D5"/>
    <w:p w14:paraId="522F804D" w14:textId="77777777" w:rsidR="00EC15D5" w:rsidRPr="00EC15D5" w:rsidRDefault="00EC15D5" w:rsidP="00EC15D5"/>
    <w:p w14:paraId="31F640C7" w14:textId="77777777" w:rsidR="002156A3" w:rsidRPr="00EC15D5" w:rsidRDefault="002156A3" w:rsidP="00EC15D5">
      <w:pPr>
        <w:pStyle w:val="Questionstyle"/>
        <w:numPr>
          <w:ilvl w:val="0"/>
          <w:numId w:val="0"/>
        </w:numPr>
        <w:spacing w:after="250" w:line="276" w:lineRule="auto"/>
        <w:ind w:left="720" w:hanging="360"/>
      </w:pPr>
    </w:p>
    <w:bookmarkEnd w:id="0"/>
    <w:p w14:paraId="0FF02D24" w14:textId="77777777" w:rsidR="002156A3" w:rsidRDefault="002156A3" w:rsidP="00C1698A">
      <w:pPr>
        <w:spacing w:line="276" w:lineRule="auto"/>
        <w:rPr>
          <w:rFonts w:asciiTheme="minorHAnsi" w:hAnsiTheme="minorHAnsi" w:cstheme="minorHAnsi"/>
          <w:b/>
          <w:sz w:val="28"/>
          <w:szCs w:val="28"/>
        </w:rPr>
      </w:pPr>
    </w:p>
    <w:sectPr w:rsidR="002156A3" w:rsidSect="00C85C8B">
      <w:headerReference w:type="default" r:id="rId20"/>
      <w:footerReference w:type="defaul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ECFFC" w14:textId="77777777" w:rsidR="00282B3A" w:rsidRDefault="00282B3A" w:rsidP="007E7997">
      <w:r>
        <w:separator/>
      </w:r>
    </w:p>
  </w:endnote>
  <w:endnote w:type="continuationSeparator" w:id="0">
    <w:p w14:paraId="5955CBDE" w14:textId="77777777" w:rsidR="00282B3A" w:rsidRDefault="00282B3A" w:rsidP="007E7997">
      <w:r>
        <w:continuationSeparator/>
      </w:r>
    </w:p>
  </w:endnote>
  <w:endnote w:type="continuationNotice" w:id="1">
    <w:p w14:paraId="44C927FC" w14:textId="77777777" w:rsidR="00282B3A" w:rsidRDefault="00282B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752671"/>
      <w:docPartObj>
        <w:docPartGallery w:val="Page Numbers (Bottom of Page)"/>
        <w:docPartUnique/>
      </w:docPartObj>
    </w:sdtPr>
    <w:sdtEndPr>
      <w:rPr>
        <w:noProof/>
      </w:rPr>
    </w:sdtEndPr>
    <w:sdtContent>
      <w:p w14:paraId="0CF5505D" w14:textId="212D7D4F" w:rsidR="00E36813" w:rsidRDefault="00E36813">
        <w:pPr>
          <w:pStyle w:val="Footer"/>
          <w:jc w:val="center"/>
        </w:pPr>
        <w:r>
          <w:fldChar w:fldCharType="begin"/>
        </w:r>
        <w:r>
          <w:instrText xml:space="preserve"> PAGE   \* MERGEFORMAT </w:instrText>
        </w:r>
        <w:r>
          <w:fldChar w:fldCharType="separate"/>
        </w:r>
        <w:r w:rsidR="00C85C8B">
          <w:rPr>
            <w:noProof/>
          </w:rPr>
          <w:t>3</w:t>
        </w:r>
        <w:r>
          <w:rPr>
            <w:noProof/>
          </w:rPr>
          <w:fldChar w:fldCharType="end"/>
        </w:r>
      </w:p>
    </w:sdtContent>
  </w:sdt>
  <w:p w14:paraId="3A18C8B1" w14:textId="77777777" w:rsidR="00E36813" w:rsidRDefault="00E36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3915" w14:textId="10BE29B0" w:rsidR="00E36813" w:rsidRDefault="00E36813" w:rsidP="007A160F">
    <w:pPr>
      <w:pStyle w:val="Footer"/>
    </w:pPr>
    <w:r>
      <w:rPr>
        <w:rFonts w:asciiTheme="majorHAnsi" w:hAnsiTheme="majorHAnsi"/>
        <w:color w:val="FFFFFF" w:themeColor="background1"/>
      </w:rPr>
      <w:tab/>
    </w:r>
    <w:r>
      <w:rPr>
        <w:rFonts w:asciiTheme="majorHAnsi" w:hAnsiTheme="majorHAnsi"/>
        <w:color w:val="FFFFFF" w:themeColor="background1"/>
      </w:rPr>
      <w:tab/>
    </w:r>
    <w:r w:rsidR="005B467C">
      <w:rPr>
        <w:rFonts w:asciiTheme="majorHAnsi" w:hAnsiTheme="majorHAnsi"/>
        <w:color w:val="FFFFFF" w:themeColor="background1"/>
      </w:rPr>
      <w:t>1</w:t>
    </w:r>
    <w:r w:rsidR="006B391B">
      <w:rPr>
        <w:rFonts w:asciiTheme="majorHAnsi" w:hAnsiTheme="majorHAnsi"/>
        <w:color w:val="FFFFFF" w:themeColor="background1"/>
      </w:rPr>
      <w:t>1</w:t>
    </w:r>
    <w:r w:rsidR="00AB6157">
      <w:rPr>
        <w:rFonts w:asciiTheme="majorHAnsi" w:hAnsiTheme="majorHAnsi"/>
        <w:color w:val="FFFFFF" w:themeColor="background1"/>
      </w:rPr>
      <w:t xml:space="preserve"> </w:t>
    </w:r>
    <w:r w:rsidR="006B391B">
      <w:rPr>
        <w:rFonts w:asciiTheme="majorHAnsi" w:hAnsiTheme="majorHAnsi"/>
        <w:color w:val="FFFFFF" w:themeColor="background1"/>
      </w:rPr>
      <w:t>May</w:t>
    </w:r>
    <w:r w:rsidR="00AB6157">
      <w:rPr>
        <w:rFonts w:asciiTheme="majorHAnsi" w:hAnsiTheme="majorHAnsi"/>
        <w:color w:val="FFFFFF" w:themeColor="background1"/>
      </w:rPr>
      <w:t xml:space="preserve"> 20</w:t>
    </w:r>
    <w:r w:rsidR="006B391B">
      <w:rPr>
        <w:rFonts w:asciiTheme="majorHAnsi" w:hAnsiTheme="majorHAnsi"/>
        <w:color w:val="FFFFFF" w:themeColor="background1"/>
      </w:rPr>
      <w:t>21</w:t>
    </w:r>
    <w:r w:rsidR="00FF6930">
      <w:rPr>
        <w:rFonts w:asciiTheme="majorHAnsi" w:hAnsiTheme="majorHAnsi"/>
        <w:color w:val="FFFFFF" w:themeColor="background1"/>
      </w:rPr>
      <w:t xml:space="preserve"> </w:t>
    </w:r>
    <w:r w:rsidR="00FF6930" w:rsidRPr="005B467C">
      <w:rPr>
        <w:rFonts w:asciiTheme="majorHAnsi" w:hAnsiTheme="majorHAnsi"/>
        <w:color w:val="FFFFFF" w:themeColor="background1"/>
      </w:rPr>
      <w:t>ESMA</w:t>
    </w:r>
    <w:r w:rsidR="006B391B">
      <w:rPr>
        <w:rFonts w:asciiTheme="majorHAnsi" w:hAnsiTheme="majorHAnsi"/>
        <w:color w:val="FFFFFF" w:themeColor="background1"/>
      </w:rPr>
      <w:t xml:space="preserve"> | </w:t>
    </w:r>
    <w:hyperlink r:id="rId1" w:tgtFrame="_blank" w:history="1">
      <w:r w:rsidR="006B391B" w:rsidRPr="002702C7">
        <w:rPr>
          <w:rFonts w:asciiTheme="majorHAnsi" w:hAnsiTheme="majorHAnsi"/>
          <w:color w:val="FFFFFF" w:themeColor="background1"/>
        </w:rPr>
        <w:t>ESMA</w:t>
      </w:r>
      <w:r w:rsidR="006B391B">
        <w:rPr>
          <w:rFonts w:asciiTheme="majorHAnsi" w:hAnsiTheme="majorHAnsi"/>
          <w:color w:val="FFFFFF" w:themeColor="background1"/>
        </w:rPr>
        <w:t>70</w:t>
      </w:r>
    </w:hyperlink>
    <w:r w:rsidR="006B391B">
      <w:rPr>
        <w:rFonts w:asciiTheme="majorHAnsi" w:hAnsiTheme="majorHAnsi"/>
        <w:color w:val="FFFFFF" w:themeColor="background1"/>
      </w:rPr>
      <w:t>-156-4067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52247"/>
      <w:docPartObj>
        <w:docPartGallery w:val="Page Numbers (Bottom of Page)"/>
        <w:docPartUnique/>
      </w:docPartObj>
    </w:sdtPr>
    <w:sdtEndPr>
      <w:rPr>
        <w:noProof/>
      </w:rPr>
    </w:sdtEndPr>
    <w:sdtContent>
      <w:p w14:paraId="4C9B3DBF" w14:textId="6ECC1B82" w:rsidR="00E36813" w:rsidRDefault="00E36813">
        <w:pPr>
          <w:pStyle w:val="Footer"/>
          <w:jc w:val="center"/>
        </w:pPr>
        <w:r>
          <w:fldChar w:fldCharType="begin"/>
        </w:r>
        <w:r>
          <w:instrText xml:space="preserve"> PAGE   \* MERGEFORMAT </w:instrText>
        </w:r>
        <w:r>
          <w:fldChar w:fldCharType="separate"/>
        </w:r>
        <w:r w:rsidR="00534912">
          <w:rPr>
            <w:noProof/>
          </w:rPr>
          <w:t>1</w:t>
        </w:r>
        <w:r>
          <w:rPr>
            <w:noProof/>
          </w:rPr>
          <w:fldChar w:fldCharType="end"/>
        </w:r>
      </w:p>
    </w:sdtContent>
  </w:sdt>
  <w:p w14:paraId="5EAB6EC7" w14:textId="1F85019A" w:rsidR="00E36813" w:rsidRDefault="00E36813" w:rsidP="00FB24E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6FF1E" w14:textId="77777777" w:rsidR="00282B3A" w:rsidRDefault="00282B3A" w:rsidP="007E7997">
      <w:r>
        <w:separator/>
      </w:r>
    </w:p>
  </w:footnote>
  <w:footnote w:type="continuationSeparator" w:id="0">
    <w:p w14:paraId="56A380DB" w14:textId="77777777" w:rsidR="00282B3A" w:rsidRDefault="00282B3A" w:rsidP="007E7997">
      <w:r>
        <w:continuationSeparator/>
      </w:r>
    </w:p>
  </w:footnote>
  <w:footnote w:type="continuationNotice" w:id="1">
    <w:p w14:paraId="7CCF86EA" w14:textId="77777777" w:rsidR="00282B3A" w:rsidRDefault="00282B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56F7" w14:textId="77777777" w:rsidR="00E36813" w:rsidRDefault="00E36813">
    <w:pPr>
      <w:pStyle w:val="Header"/>
    </w:pPr>
  </w:p>
  <w:p w14:paraId="59FA3C9D" w14:textId="77777777" w:rsidR="00E36813" w:rsidRDefault="00E36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1035" w14:textId="77777777" w:rsidR="00E36813" w:rsidRDefault="00E36813">
    <w:pPr>
      <w:pStyle w:val="Header"/>
    </w:pPr>
    <w:r>
      <w:rPr>
        <w:noProof/>
      </w:rPr>
      <w:drawing>
        <wp:anchor distT="0" distB="0" distL="114300" distR="114300" simplePos="0" relativeHeight="251658752" behindDoc="0" locked="0" layoutInCell="1" allowOverlap="1" wp14:anchorId="4D6D79BE" wp14:editId="7BE45F50">
          <wp:simplePos x="0" y="0"/>
          <wp:positionH relativeFrom="page">
            <wp:posOffset>366395</wp:posOffset>
          </wp:positionH>
          <wp:positionV relativeFrom="page">
            <wp:posOffset>372745</wp:posOffset>
          </wp:positionV>
          <wp:extent cx="2209800" cy="904875"/>
          <wp:effectExtent l="0" t="0" r="0" b="9525"/>
          <wp:wrapNone/>
          <wp:docPr id="5" name="Picture 5"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0329727B" wp14:editId="68199A3E">
          <wp:simplePos x="0" y="0"/>
          <wp:positionH relativeFrom="page">
            <wp:align>right</wp:align>
          </wp:positionH>
          <wp:positionV relativeFrom="page">
            <wp:align>bottom</wp:align>
          </wp:positionV>
          <wp:extent cx="7560310" cy="6800850"/>
          <wp:effectExtent l="0" t="0" r="2540" b="0"/>
          <wp:wrapNone/>
          <wp:docPr id="9" name="Picture 9"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6EC4" w14:textId="5E62980F" w:rsidR="00E36813" w:rsidRDefault="00E36813" w:rsidP="00B50534">
    <w:pPr>
      <w:pStyle w:val="Header"/>
      <w:jc w:val="right"/>
      <w:rPr>
        <w:b/>
        <w:color w:val="FF0000"/>
      </w:rPr>
    </w:pPr>
    <w:r w:rsidRPr="008D5F86">
      <w:rPr>
        <w:rFonts w:ascii="Arial" w:hAnsi="Arial" w:cs="Arial"/>
        <w:noProof/>
      </w:rPr>
      <mc:AlternateContent>
        <mc:Choice Requires="wps">
          <w:drawing>
            <wp:anchor distT="0" distB="0" distL="114300" distR="114300" simplePos="0" relativeHeight="251662336"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98370" id="Line 16"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30qA4wgEAAGoDAAAOAAAAZHJzL2Uyb0RvYy54bWysU02P2yAQvVfqf0DcGzteJY2sOHvIdntJ 20i7/QETwDEqZhCQ2Pn3HYiTdttb1Qsa5uPNmzewfhx7w87KB4224fNZyZmyAqW2x4Z/f33+sOIs RLASDFrV8IsK/HHz/t16cLWqsEMjlWcEYkM9uIZ3Mbq6KILoVA9hhk5ZCrboe4h09cdCehgIvTdF VZbLYkAvnUehQiDv0zXINxm/bZWI39o2qMhMw4lbzKfP5yGdxWYN9dGD67SYaMA/sOhBW2p6h3qC COzk9V9QvRYeA7ZxJrAvsG21UHkGmmZe/jHNSwdO5VlInODuMoX/Byu+nveeadnwijMLPa1op61i 82WSZnChpoyt3fs0nBjti9uh+BGYxW0H9qgyxdeLo7p5qijelKRLcNTgMHxBSTlwiph1GlvfJ0hS gI15HZf7OtQYmbg6BXkXi9V8ucjgUN/qnA/xs8KeJaPhhjhnXDjvQkw8oL6lpDYWn7UxednGsoHI Vh/LMlcENFqmaMoL/njYGs/OQO+lWj0sVg9T4zdpHk9WZrROgfw02RG0udrU3dhJjDT/VckDysve 30SihWaa0+NLL+b3e67+9UU2PwEAAP//AwBQSwMEFAAGAAgAAAAhAI0GJdXeAAAACgEAAA8AAABk cnMvZG93bnJldi54bWxMj8FOwzAMhu9IvENkJG4saWEdKk0nhMShQjswYOe0MW1H41RNtpW3x4jD ONr+9Pv7i/XsBnHEKfSeNCQLBQKp8banVsP72/PNPYgQDVkzeEIN3xhgXV5eFCa3/kSveNzGVnAI hdxo6GIccylD06EzYeFHJL59+smZyOPUSjuZE4e7QaZKZdKZnvhDZ0Z86rD52h6chrmW6sXv7zZJ 8oG31X5Xbeqp0vr6an58ABFxjmcYfvVZHUp2qv2BbBCDhnSZcJeoYZVmIBj4W9RMZmoJsizk/wrl DwAAAP//AwBQSwECLQAUAAYACAAAACEAtoM4kv4AAADhAQAAEwAAAAAAAAAAAAAAAAAAAAAAW0Nv bnRlbnRfVHlwZXNdLnhtbFBLAQItABQABgAIAAAAIQA4/SH/1gAAAJQBAAALAAAAAAAAAAAAAAAA AC8BAABfcmVscy8ucmVsc1BLAQItABQABgAIAAAAIQC30qA4wgEAAGoDAAAOAAAAAAAAAAAAAAAA AC4CAABkcnMvZTJvRG9jLnhtbFBLAQItABQABgAIAAAAIQCNBiXV3gAAAAoBAAAPAAAAAAAAAAAA AAAAABwEAABkcnMvZG93bnJldi54bWxQSwUGAAAAAAQABADzAAAAJwUAAAAA " strokecolor="#283583" strokeweight="1pt">
              <w10:wrap anchorx="page" anchory="page"/>
            </v:line>
          </w:pict>
        </mc:Fallback>
      </mc:AlternateContent>
    </w:r>
  </w:p>
  <w:p w14:paraId="5EAB6EC5" w14:textId="1E4219F2" w:rsidR="00E36813" w:rsidRPr="00D13661" w:rsidRDefault="00E36813" w:rsidP="00B50534">
    <w:pPr>
      <w:pStyle w:val="Header"/>
      <w:jc w:val="right"/>
      <w:rPr>
        <w:rFonts w:asciiTheme="minorHAnsi" w:hAnsiTheme="minorHAnsi" w:cstheme="minorHAnsi"/>
        <w:color w:val="2F5496" w:themeColor="accent5" w:themeShade="BF"/>
        <w:sz w:val="20"/>
      </w:rPr>
    </w:pPr>
    <w:r w:rsidRPr="00D13661">
      <w:rPr>
        <w:rFonts w:asciiTheme="minorHAnsi" w:hAnsiTheme="minorHAnsi" w:cstheme="minorHAnsi"/>
        <w:noProof/>
        <w:color w:val="2F5496" w:themeColor="accent5" w:themeShade="BF"/>
        <w:sz w:val="20"/>
      </w:rPr>
      <w:drawing>
        <wp:anchor distT="0" distB="0" distL="114300" distR="114300" simplePos="0" relativeHeight="251657216"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p w14:paraId="276D8625" w14:textId="77777777" w:rsidR="00E36813" w:rsidRPr="00C3170E" w:rsidRDefault="00E36813" w:rsidP="00B50534">
    <w:pPr>
      <w:pStyle w:val="Header"/>
      <w:jc w:val="right"/>
      <w:rPr>
        <w:color w:val="2F5496" w:themeColor="accent5" w:themeShade="BF"/>
        <w:sz w:val="20"/>
      </w:rPr>
    </w:pPr>
  </w:p>
  <w:p w14:paraId="5EAB6EC6" w14:textId="77777777" w:rsidR="00E36813" w:rsidRPr="00B50534" w:rsidRDefault="00E36813" w:rsidP="00B50534">
    <w:pPr>
      <w:pStyle w:val="Header"/>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1234"/>
    <w:multiLevelType w:val="hybridMultilevel"/>
    <w:tmpl w:val="95600B7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D1C8F"/>
    <w:multiLevelType w:val="hybridMultilevel"/>
    <w:tmpl w:val="4F6C4180"/>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D181D69"/>
    <w:multiLevelType w:val="hybridMultilevel"/>
    <w:tmpl w:val="0A189E10"/>
    <w:lvl w:ilvl="0" w:tplc="52DE78C0">
      <w:start w:val="1"/>
      <w:numFmt w:val="upperLetter"/>
      <w:pStyle w:val="ListParagraph"/>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39052AF"/>
    <w:multiLevelType w:val="hybridMultilevel"/>
    <w:tmpl w:val="99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52232B"/>
    <w:multiLevelType w:val="hybridMultilevel"/>
    <w:tmpl w:val="BA944B82"/>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5A7DC8"/>
    <w:multiLevelType w:val="hybridMultilevel"/>
    <w:tmpl w:val="38C66FF2"/>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1C0F6F"/>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7455BCB"/>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A732A2"/>
    <w:multiLevelType w:val="hybridMultilevel"/>
    <w:tmpl w:val="7E46BA8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B2698E"/>
    <w:multiLevelType w:val="hybridMultilevel"/>
    <w:tmpl w:val="12B6401A"/>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8508FC"/>
    <w:multiLevelType w:val="hybridMultilevel"/>
    <w:tmpl w:val="87D8DCA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2105866"/>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7B3358"/>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AD1101"/>
    <w:multiLevelType w:val="multilevel"/>
    <w:tmpl w:val="766C753E"/>
    <w:lvl w:ilvl="0">
      <w:start w:val="1"/>
      <w:numFmt w:val="upperRoman"/>
      <w:pStyle w:val="Heading1"/>
      <w:lvlText w:val="%1."/>
      <w:lvlJc w:val="righ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71494B32"/>
    <w:multiLevelType w:val="hybridMultilevel"/>
    <w:tmpl w:val="066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D76F3F"/>
    <w:multiLevelType w:val="hybridMultilevel"/>
    <w:tmpl w:val="221AC284"/>
    <w:lvl w:ilvl="0" w:tplc="E0F01CF2">
      <w:start w:val="1"/>
      <w:numFmt w:val="decimal"/>
      <w:pStyle w:val="Questionstyle"/>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145C8C"/>
    <w:multiLevelType w:val="hybridMultilevel"/>
    <w:tmpl w:val="D2744510"/>
    <w:lvl w:ilvl="0" w:tplc="F82C7A26">
      <w:start w:val="1"/>
      <w:numFmt w:val="decimal"/>
      <w:lvlText w:val="%1."/>
      <w:lvlJc w:val="left"/>
      <w:pPr>
        <w:ind w:left="928" w:hanging="360"/>
      </w:p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2"/>
  </w:num>
  <w:num w:numId="3">
    <w:abstractNumId w:val="19"/>
  </w:num>
  <w:num w:numId="4">
    <w:abstractNumId w:val="3"/>
  </w:num>
  <w:num w:numId="5">
    <w:abstractNumId w:val="11"/>
  </w:num>
  <w:num w:numId="6">
    <w:abstractNumId w:val="21"/>
  </w:num>
  <w:num w:numId="7">
    <w:abstractNumId w:val="10"/>
  </w:num>
  <w:num w:numId="8">
    <w:abstractNumId w:val="4"/>
  </w:num>
  <w:num w:numId="9">
    <w:abstractNumId w:val="7"/>
  </w:num>
  <w:num w:numId="10">
    <w:abstractNumId w:val="6"/>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6"/>
  </w:num>
  <w:num w:numId="16">
    <w:abstractNumId w:val="2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1"/>
  </w:num>
  <w:num w:numId="20">
    <w:abstractNumId w:val="9"/>
  </w:num>
  <w:num w:numId="21">
    <w:abstractNumId w:val="18"/>
  </w:num>
  <w:num w:numId="22">
    <w:abstractNumId w:val="12"/>
  </w:num>
  <w:num w:numId="23">
    <w:abstractNumId w:val="15"/>
  </w:num>
  <w:num w:numId="24">
    <w:abstractNumId w:val="0"/>
  </w:num>
  <w:num w:numId="25">
    <w:abstractNumId w:val="14"/>
  </w:num>
  <w:num w:numId="26">
    <w:abstractNumId w:val="13"/>
  </w:num>
  <w:num w:numId="27">
    <w:abstractNumId w:val="8"/>
  </w:num>
  <w:num w:numId="2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0" w:nlCheck="1" w:checkStyle="0"/>
  <w:proofState w:spelling="clean" w:grammar="clean"/>
  <w:attachedTemplate r:id="rId1"/>
  <w:documentProtection w:edit="readOnly" w:enforcement="1" w:cryptProviderType="rsaAES" w:cryptAlgorithmClass="hash" w:cryptAlgorithmType="typeAny" w:cryptAlgorithmSid="14" w:cryptSpinCount="100000" w:hash="qMSn174yPGdF0fTsKoESCCeXSm1qSIFoCvEVL6ZmW+DaJbh6rrpnvsGUVjLF37zBw/A0o7r28KzOkCibZRNcCQ==" w:salt="5nK5aPihRfzKiJhhkvExQg=="/>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42"/>
    <w:rsid w:val="0000380B"/>
    <w:rsid w:val="00005505"/>
    <w:rsid w:val="00006275"/>
    <w:rsid w:val="00006971"/>
    <w:rsid w:val="00011F6C"/>
    <w:rsid w:val="0001249B"/>
    <w:rsid w:val="00012D68"/>
    <w:rsid w:val="000142BB"/>
    <w:rsid w:val="0001633D"/>
    <w:rsid w:val="0001726F"/>
    <w:rsid w:val="00020098"/>
    <w:rsid w:val="00020300"/>
    <w:rsid w:val="00021A9A"/>
    <w:rsid w:val="00022ADA"/>
    <w:rsid w:val="00026327"/>
    <w:rsid w:val="00027EC9"/>
    <w:rsid w:val="00033934"/>
    <w:rsid w:val="00036C09"/>
    <w:rsid w:val="000372BF"/>
    <w:rsid w:val="00040A52"/>
    <w:rsid w:val="00044C5A"/>
    <w:rsid w:val="00044E0A"/>
    <w:rsid w:val="00054E00"/>
    <w:rsid w:val="00061B2B"/>
    <w:rsid w:val="0006448C"/>
    <w:rsid w:val="0006449B"/>
    <w:rsid w:val="000655AD"/>
    <w:rsid w:val="00066FD1"/>
    <w:rsid w:val="00072BF9"/>
    <w:rsid w:val="00073DF9"/>
    <w:rsid w:val="0007767E"/>
    <w:rsid w:val="0007796D"/>
    <w:rsid w:val="000830DA"/>
    <w:rsid w:val="00083FBB"/>
    <w:rsid w:val="000921E6"/>
    <w:rsid w:val="00093239"/>
    <w:rsid w:val="000A03C9"/>
    <w:rsid w:val="000A12CC"/>
    <w:rsid w:val="000A2738"/>
    <w:rsid w:val="000A2DF1"/>
    <w:rsid w:val="000A3D10"/>
    <w:rsid w:val="000A409B"/>
    <w:rsid w:val="000A66FC"/>
    <w:rsid w:val="000A741E"/>
    <w:rsid w:val="000B1615"/>
    <w:rsid w:val="000B2AAF"/>
    <w:rsid w:val="000B2E26"/>
    <w:rsid w:val="000B5D3D"/>
    <w:rsid w:val="000C0CE0"/>
    <w:rsid w:val="000C2400"/>
    <w:rsid w:val="000C299C"/>
    <w:rsid w:val="000C5ACC"/>
    <w:rsid w:val="000D0293"/>
    <w:rsid w:val="000D0850"/>
    <w:rsid w:val="000D1038"/>
    <w:rsid w:val="000D11A9"/>
    <w:rsid w:val="000D2D7B"/>
    <w:rsid w:val="000E2232"/>
    <w:rsid w:val="000E3DB1"/>
    <w:rsid w:val="000F0169"/>
    <w:rsid w:val="000F0951"/>
    <w:rsid w:val="000F2598"/>
    <w:rsid w:val="000F29C0"/>
    <w:rsid w:val="000F2BE6"/>
    <w:rsid w:val="000F474D"/>
    <w:rsid w:val="000F5C90"/>
    <w:rsid w:val="000F5EA6"/>
    <w:rsid w:val="000F7998"/>
    <w:rsid w:val="001000D7"/>
    <w:rsid w:val="00100ADC"/>
    <w:rsid w:val="0010429A"/>
    <w:rsid w:val="00105424"/>
    <w:rsid w:val="001075EC"/>
    <w:rsid w:val="00113D82"/>
    <w:rsid w:val="00120F0D"/>
    <w:rsid w:val="001214DA"/>
    <w:rsid w:val="0012722A"/>
    <w:rsid w:val="00130EF9"/>
    <w:rsid w:val="001319C7"/>
    <w:rsid w:val="001355E6"/>
    <w:rsid w:val="0013644A"/>
    <w:rsid w:val="00140BA6"/>
    <w:rsid w:val="00141946"/>
    <w:rsid w:val="00143DCA"/>
    <w:rsid w:val="00144AAD"/>
    <w:rsid w:val="001455E7"/>
    <w:rsid w:val="0014624E"/>
    <w:rsid w:val="001608B2"/>
    <w:rsid w:val="00160FE0"/>
    <w:rsid w:val="00163AB3"/>
    <w:rsid w:val="00165047"/>
    <w:rsid w:val="00165FF8"/>
    <w:rsid w:val="0016669F"/>
    <w:rsid w:val="00170AD6"/>
    <w:rsid w:val="001735B8"/>
    <w:rsid w:val="00177AA7"/>
    <w:rsid w:val="00180917"/>
    <w:rsid w:val="00180E53"/>
    <w:rsid w:val="00181CB7"/>
    <w:rsid w:val="001862A5"/>
    <w:rsid w:val="00186A70"/>
    <w:rsid w:val="00191035"/>
    <w:rsid w:val="001918E5"/>
    <w:rsid w:val="00192A7A"/>
    <w:rsid w:val="001A1EF4"/>
    <w:rsid w:val="001A7046"/>
    <w:rsid w:val="001A710D"/>
    <w:rsid w:val="001A7E6F"/>
    <w:rsid w:val="001B0A77"/>
    <w:rsid w:val="001B1727"/>
    <w:rsid w:val="001B2151"/>
    <w:rsid w:val="001B3CFF"/>
    <w:rsid w:val="001B4957"/>
    <w:rsid w:val="001B4996"/>
    <w:rsid w:val="001C0E59"/>
    <w:rsid w:val="001C432D"/>
    <w:rsid w:val="001C469E"/>
    <w:rsid w:val="001C56C3"/>
    <w:rsid w:val="001C5D8C"/>
    <w:rsid w:val="001C7E0A"/>
    <w:rsid w:val="001D0112"/>
    <w:rsid w:val="001D19F5"/>
    <w:rsid w:val="001D385A"/>
    <w:rsid w:val="001D6B39"/>
    <w:rsid w:val="001E1ECD"/>
    <w:rsid w:val="001E3E0D"/>
    <w:rsid w:val="001E4A45"/>
    <w:rsid w:val="001E5E30"/>
    <w:rsid w:val="001F0479"/>
    <w:rsid w:val="001F1F10"/>
    <w:rsid w:val="001F23C9"/>
    <w:rsid w:val="001F3999"/>
    <w:rsid w:val="001F3D9D"/>
    <w:rsid w:val="001F4AC8"/>
    <w:rsid w:val="00200894"/>
    <w:rsid w:val="00202333"/>
    <w:rsid w:val="00202FA8"/>
    <w:rsid w:val="002034B8"/>
    <w:rsid w:val="00205922"/>
    <w:rsid w:val="00206FB8"/>
    <w:rsid w:val="0020766F"/>
    <w:rsid w:val="00207A07"/>
    <w:rsid w:val="00210498"/>
    <w:rsid w:val="0021147A"/>
    <w:rsid w:val="00213BFB"/>
    <w:rsid w:val="002156A3"/>
    <w:rsid w:val="00217478"/>
    <w:rsid w:val="00220938"/>
    <w:rsid w:val="00224806"/>
    <w:rsid w:val="00232F8E"/>
    <w:rsid w:val="00233071"/>
    <w:rsid w:val="00235E99"/>
    <w:rsid w:val="0024299F"/>
    <w:rsid w:val="002449D8"/>
    <w:rsid w:val="00244B86"/>
    <w:rsid w:val="00244C97"/>
    <w:rsid w:val="0024512F"/>
    <w:rsid w:val="00245406"/>
    <w:rsid w:val="002455D7"/>
    <w:rsid w:val="00245D2E"/>
    <w:rsid w:val="00246E1D"/>
    <w:rsid w:val="002472F6"/>
    <w:rsid w:val="0025020D"/>
    <w:rsid w:val="00254CC2"/>
    <w:rsid w:val="002574D1"/>
    <w:rsid w:val="00261CCB"/>
    <w:rsid w:val="002630C0"/>
    <w:rsid w:val="0026332A"/>
    <w:rsid w:val="002645A8"/>
    <w:rsid w:val="0026493B"/>
    <w:rsid w:val="00265566"/>
    <w:rsid w:val="00265F44"/>
    <w:rsid w:val="002665E3"/>
    <w:rsid w:val="0027199C"/>
    <w:rsid w:val="00272C4E"/>
    <w:rsid w:val="002751FC"/>
    <w:rsid w:val="002753BD"/>
    <w:rsid w:val="00282B3A"/>
    <w:rsid w:val="00282D38"/>
    <w:rsid w:val="00282FBE"/>
    <w:rsid w:val="00284AF2"/>
    <w:rsid w:val="0028536B"/>
    <w:rsid w:val="00285CED"/>
    <w:rsid w:val="00285EB5"/>
    <w:rsid w:val="00287C8F"/>
    <w:rsid w:val="00290893"/>
    <w:rsid w:val="002917B9"/>
    <w:rsid w:val="00291A55"/>
    <w:rsid w:val="0029394C"/>
    <w:rsid w:val="002A13B0"/>
    <w:rsid w:val="002A2C91"/>
    <w:rsid w:val="002A6C21"/>
    <w:rsid w:val="002A780E"/>
    <w:rsid w:val="002B144C"/>
    <w:rsid w:val="002B53F3"/>
    <w:rsid w:val="002C03FD"/>
    <w:rsid w:val="002C044D"/>
    <w:rsid w:val="002C1AA5"/>
    <w:rsid w:val="002C2A46"/>
    <w:rsid w:val="002C3048"/>
    <w:rsid w:val="002D2992"/>
    <w:rsid w:val="002D37A0"/>
    <w:rsid w:val="002D5AB5"/>
    <w:rsid w:val="002D6667"/>
    <w:rsid w:val="002D79F3"/>
    <w:rsid w:val="002E1C11"/>
    <w:rsid w:val="002E3D0B"/>
    <w:rsid w:val="002E3E7D"/>
    <w:rsid w:val="002F6279"/>
    <w:rsid w:val="003013B7"/>
    <w:rsid w:val="00301993"/>
    <w:rsid w:val="00301E55"/>
    <w:rsid w:val="00307397"/>
    <w:rsid w:val="003101EF"/>
    <w:rsid w:val="00312BDD"/>
    <w:rsid w:val="00314117"/>
    <w:rsid w:val="00317EDF"/>
    <w:rsid w:val="003279E7"/>
    <w:rsid w:val="00327B62"/>
    <w:rsid w:val="00331FE9"/>
    <w:rsid w:val="0033324D"/>
    <w:rsid w:val="0033587C"/>
    <w:rsid w:val="00336BF9"/>
    <w:rsid w:val="003371E8"/>
    <w:rsid w:val="00337471"/>
    <w:rsid w:val="0034151D"/>
    <w:rsid w:val="00342B5B"/>
    <w:rsid w:val="00343532"/>
    <w:rsid w:val="00345469"/>
    <w:rsid w:val="003454ED"/>
    <w:rsid w:val="00345EB9"/>
    <w:rsid w:val="0035030F"/>
    <w:rsid w:val="003519DD"/>
    <w:rsid w:val="00353C4B"/>
    <w:rsid w:val="003545A6"/>
    <w:rsid w:val="00356C60"/>
    <w:rsid w:val="003578D1"/>
    <w:rsid w:val="00363639"/>
    <w:rsid w:val="00366D42"/>
    <w:rsid w:val="0036748C"/>
    <w:rsid w:val="00372615"/>
    <w:rsid w:val="00372EA3"/>
    <w:rsid w:val="00373A3C"/>
    <w:rsid w:val="00376233"/>
    <w:rsid w:val="00380B30"/>
    <w:rsid w:val="00381784"/>
    <w:rsid w:val="00381EB0"/>
    <w:rsid w:val="00382A72"/>
    <w:rsid w:val="00382EBA"/>
    <w:rsid w:val="0038331A"/>
    <w:rsid w:val="0039135B"/>
    <w:rsid w:val="003A34E7"/>
    <w:rsid w:val="003A3CB1"/>
    <w:rsid w:val="003A3D55"/>
    <w:rsid w:val="003A73A4"/>
    <w:rsid w:val="003B102E"/>
    <w:rsid w:val="003B4E3D"/>
    <w:rsid w:val="003C167E"/>
    <w:rsid w:val="003C481D"/>
    <w:rsid w:val="003C4EB5"/>
    <w:rsid w:val="003D2CED"/>
    <w:rsid w:val="003D344A"/>
    <w:rsid w:val="003D3BB8"/>
    <w:rsid w:val="003D7C07"/>
    <w:rsid w:val="003E13FD"/>
    <w:rsid w:val="003E1C24"/>
    <w:rsid w:val="003E61FC"/>
    <w:rsid w:val="003E77BC"/>
    <w:rsid w:val="003F0EDF"/>
    <w:rsid w:val="003F20C7"/>
    <w:rsid w:val="003F39B1"/>
    <w:rsid w:val="00400D9C"/>
    <w:rsid w:val="00400FBE"/>
    <w:rsid w:val="004022CF"/>
    <w:rsid w:val="004029B1"/>
    <w:rsid w:val="004038F1"/>
    <w:rsid w:val="00404282"/>
    <w:rsid w:val="0040743A"/>
    <w:rsid w:val="00407623"/>
    <w:rsid w:val="00407A74"/>
    <w:rsid w:val="004114D5"/>
    <w:rsid w:val="00414210"/>
    <w:rsid w:val="004159DB"/>
    <w:rsid w:val="00420FD4"/>
    <w:rsid w:val="004242B3"/>
    <w:rsid w:val="00426D62"/>
    <w:rsid w:val="00427A89"/>
    <w:rsid w:val="00430C5B"/>
    <w:rsid w:val="00431968"/>
    <w:rsid w:val="00433936"/>
    <w:rsid w:val="0043475E"/>
    <w:rsid w:val="00435FE9"/>
    <w:rsid w:val="00436279"/>
    <w:rsid w:val="0044199E"/>
    <w:rsid w:val="0044206D"/>
    <w:rsid w:val="00444803"/>
    <w:rsid w:val="00445696"/>
    <w:rsid w:val="00446E5F"/>
    <w:rsid w:val="00450C4E"/>
    <w:rsid w:val="00455577"/>
    <w:rsid w:val="00456795"/>
    <w:rsid w:val="0046150E"/>
    <w:rsid w:val="00461CC8"/>
    <w:rsid w:val="00462B2F"/>
    <w:rsid w:val="00462E09"/>
    <w:rsid w:val="00465EAA"/>
    <w:rsid w:val="004708CA"/>
    <w:rsid w:val="004709E7"/>
    <w:rsid w:val="00470ADE"/>
    <w:rsid w:val="004712C7"/>
    <w:rsid w:val="004759EB"/>
    <w:rsid w:val="00477919"/>
    <w:rsid w:val="00482611"/>
    <w:rsid w:val="00482A27"/>
    <w:rsid w:val="00487DCE"/>
    <w:rsid w:val="004950B7"/>
    <w:rsid w:val="00497FEA"/>
    <w:rsid w:val="004A75F5"/>
    <w:rsid w:val="004B07B2"/>
    <w:rsid w:val="004B0955"/>
    <w:rsid w:val="004B143D"/>
    <w:rsid w:val="004B1842"/>
    <w:rsid w:val="004B25D0"/>
    <w:rsid w:val="004B3553"/>
    <w:rsid w:val="004B5E92"/>
    <w:rsid w:val="004C0A30"/>
    <w:rsid w:val="004C357C"/>
    <w:rsid w:val="004C3D18"/>
    <w:rsid w:val="004D42B1"/>
    <w:rsid w:val="004D526F"/>
    <w:rsid w:val="004E19C0"/>
    <w:rsid w:val="004E1C54"/>
    <w:rsid w:val="004E2C37"/>
    <w:rsid w:val="004E5285"/>
    <w:rsid w:val="004F0CF3"/>
    <w:rsid w:val="004F5740"/>
    <w:rsid w:val="004F58C9"/>
    <w:rsid w:val="005028B9"/>
    <w:rsid w:val="00505E17"/>
    <w:rsid w:val="00511A59"/>
    <w:rsid w:val="00511C3B"/>
    <w:rsid w:val="00514440"/>
    <w:rsid w:val="005166C3"/>
    <w:rsid w:val="00520F7C"/>
    <w:rsid w:val="00523974"/>
    <w:rsid w:val="00526E5D"/>
    <w:rsid w:val="00531432"/>
    <w:rsid w:val="00532BC8"/>
    <w:rsid w:val="005333E8"/>
    <w:rsid w:val="00534912"/>
    <w:rsid w:val="005370E7"/>
    <w:rsid w:val="005409B7"/>
    <w:rsid w:val="00545E62"/>
    <w:rsid w:val="00551070"/>
    <w:rsid w:val="00552C8A"/>
    <w:rsid w:val="00555156"/>
    <w:rsid w:val="0055535B"/>
    <w:rsid w:val="00560A96"/>
    <w:rsid w:val="005619CB"/>
    <w:rsid w:val="00561B71"/>
    <w:rsid w:val="00561F98"/>
    <w:rsid w:val="00564607"/>
    <w:rsid w:val="00565193"/>
    <w:rsid w:val="005725BD"/>
    <w:rsid w:val="005730B0"/>
    <w:rsid w:val="00575DCC"/>
    <w:rsid w:val="005821B0"/>
    <w:rsid w:val="0059175F"/>
    <w:rsid w:val="00591AAC"/>
    <w:rsid w:val="00595F08"/>
    <w:rsid w:val="00595FBE"/>
    <w:rsid w:val="005A1C55"/>
    <w:rsid w:val="005B169D"/>
    <w:rsid w:val="005B467C"/>
    <w:rsid w:val="005B4ACA"/>
    <w:rsid w:val="005B6B12"/>
    <w:rsid w:val="005C19E9"/>
    <w:rsid w:val="005C2DBC"/>
    <w:rsid w:val="005C5F13"/>
    <w:rsid w:val="005C65F9"/>
    <w:rsid w:val="005C6B0E"/>
    <w:rsid w:val="005C7E1F"/>
    <w:rsid w:val="005D1B9E"/>
    <w:rsid w:val="005D1F6B"/>
    <w:rsid w:val="005D2DE7"/>
    <w:rsid w:val="005D331C"/>
    <w:rsid w:val="005D6355"/>
    <w:rsid w:val="005D7AAF"/>
    <w:rsid w:val="005E0C59"/>
    <w:rsid w:val="005E18DE"/>
    <w:rsid w:val="005E1DA3"/>
    <w:rsid w:val="005E306B"/>
    <w:rsid w:val="005E53D0"/>
    <w:rsid w:val="005E5785"/>
    <w:rsid w:val="005E6098"/>
    <w:rsid w:val="005E7969"/>
    <w:rsid w:val="005F0C93"/>
    <w:rsid w:val="005F3F22"/>
    <w:rsid w:val="005F4FC0"/>
    <w:rsid w:val="005F540F"/>
    <w:rsid w:val="005F5491"/>
    <w:rsid w:val="005F6144"/>
    <w:rsid w:val="005F6573"/>
    <w:rsid w:val="00601541"/>
    <w:rsid w:val="0060361E"/>
    <w:rsid w:val="00604A25"/>
    <w:rsid w:val="00606683"/>
    <w:rsid w:val="00613BF6"/>
    <w:rsid w:val="00616D27"/>
    <w:rsid w:val="006234FE"/>
    <w:rsid w:val="00623840"/>
    <w:rsid w:val="006255EC"/>
    <w:rsid w:val="00625A25"/>
    <w:rsid w:val="0062736A"/>
    <w:rsid w:val="0063565E"/>
    <w:rsid w:val="00636E02"/>
    <w:rsid w:val="00641DB1"/>
    <w:rsid w:val="00642297"/>
    <w:rsid w:val="00644A34"/>
    <w:rsid w:val="00654824"/>
    <w:rsid w:val="00661766"/>
    <w:rsid w:val="00662882"/>
    <w:rsid w:val="0066298C"/>
    <w:rsid w:val="00663008"/>
    <w:rsid w:val="00663093"/>
    <w:rsid w:val="00665A7C"/>
    <w:rsid w:val="00665B0B"/>
    <w:rsid w:val="006705CD"/>
    <w:rsid w:val="00671363"/>
    <w:rsid w:val="00672780"/>
    <w:rsid w:val="00672842"/>
    <w:rsid w:val="00676CFC"/>
    <w:rsid w:val="00677133"/>
    <w:rsid w:val="00681482"/>
    <w:rsid w:val="00687BF0"/>
    <w:rsid w:val="006904CF"/>
    <w:rsid w:val="006912FB"/>
    <w:rsid w:val="00695AF2"/>
    <w:rsid w:val="00696A2B"/>
    <w:rsid w:val="00696BD5"/>
    <w:rsid w:val="006A04AE"/>
    <w:rsid w:val="006A0AE4"/>
    <w:rsid w:val="006A23F3"/>
    <w:rsid w:val="006A2CF3"/>
    <w:rsid w:val="006A5047"/>
    <w:rsid w:val="006A7A10"/>
    <w:rsid w:val="006B0DA4"/>
    <w:rsid w:val="006B1B6B"/>
    <w:rsid w:val="006B2C57"/>
    <w:rsid w:val="006B391B"/>
    <w:rsid w:val="006B79E0"/>
    <w:rsid w:val="006C0B2D"/>
    <w:rsid w:val="006C1633"/>
    <w:rsid w:val="006C5BF8"/>
    <w:rsid w:val="006C7CCB"/>
    <w:rsid w:val="006D6009"/>
    <w:rsid w:val="006D7D41"/>
    <w:rsid w:val="006E2F4D"/>
    <w:rsid w:val="006E3FDD"/>
    <w:rsid w:val="006E58FB"/>
    <w:rsid w:val="006E5D82"/>
    <w:rsid w:val="006E66B2"/>
    <w:rsid w:val="006E6C50"/>
    <w:rsid w:val="006E7A69"/>
    <w:rsid w:val="006E7DE4"/>
    <w:rsid w:val="006F53E8"/>
    <w:rsid w:val="006F5FB8"/>
    <w:rsid w:val="0070017B"/>
    <w:rsid w:val="0070427E"/>
    <w:rsid w:val="00704D53"/>
    <w:rsid w:val="007056C3"/>
    <w:rsid w:val="00706072"/>
    <w:rsid w:val="00713644"/>
    <w:rsid w:val="00721256"/>
    <w:rsid w:val="007217AD"/>
    <w:rsid w:val="00723BA1"/>
    <w:rsid w:val="00724A1B"/>
    <w:rsid w:val="0073173E"/>
    <w:rsid w:val="007319C3"/>
    <w:rsid w:val="0073454F"/>
    <w:rsid w:val="00735C00"/>
    <w:rsid w:val="007364C6"/>
    <w:rsid w:val="00740BF3"/>
    <w:rsid w:val="00741D5C"/>
    <w:rsid w:val="0074352F"/>
    <w:rsid w:val="00747C5E"/>
    <w:rsid w:val="00750210"/>
    <w:rsid w:val="00754B57"/>
    <w:rsid w:val="0075671D"/>
    <w:rsid w:val="0076002F"/>
    <w:rsid w:val="0076038B"/>
    <w:rsid w:val="00761744"/>
    <w:rsid w:val="00764582"/>
    <w:rsid w:val="00765FA3"/>
    <w:rsid w:val="00766961"/>
    <w:rsid w:val="00766B5A"/>
    <w:rsid w:val="00770C33"/>
    <w:rsid w:val="007741C3"/>
    <w:rsid w:val="00777BE0"/>
    <w:rsid w:val="00780923"/>
    <w:rsid w:val="0078131F"/>
    <w:rsid w:val="007844C6"/>
    <w:rsid w:val="007876EF"/>
    <w:rsid w:val="00790306"/>
    <w:rsid w:val="0079364C"/>
    <w:rsid w:val="007942B9"/>
    <w:rsid w:val="00796C7F"/>
    <w:rsid w:val="00797E0C"/>
    <w:rsid w:val="007A160F"/>
    <w:rsid w:val="007A48BC"/>
    <w:rsid w:val="007B0BC1"/>
    <w:rsid w:val="007B354B"/>
    <w:rsid w:val="007B4FC3"/>
    <w:rsid w:val="007B73F3"/>
    <w:rsid w:val="007B7EE5"/>
    <w:rsid w:val="007C11D3"/>
    <w:rsid w:val="007C1C28"/>
    <w:rsid w:val="007C2A2C"/>
    <w:rsid w:val="007C3577"/>
    <w:rsid w:val="007C5E08"/>
    <w:rsid w:val="007D0002"/>
    <w:rsid w:val="007D7A59"/>
    <w:rsid w:val="007E0E75"/>
    <w:rsid w:val="007E53F5"/>
    <w:rsid w:val="007E6E9E"/>
    <w:rsid w:val="007E7637"/>
    <w:rsid w:val="007E7997"/>
    <w:rsid w:val="007F014A"/>
    <w:rsid w:val="007F04EF"/>
    <w:rsid w:val="007F0763"/>
    <w:rsid w:val="007F1DE9"/>
    <w:rsid w:val="007F25C2"/>
    <w:rsid w:val="007F4F88"/>
    <w:rsid w:val="007F5822"/>
    <w:rsid w:val="007F5B86"/>
    <w:rsid w:val="00800A7F"/>
    <w:rsid w:val="0080285D"/>
    <w:rsid w:val="0081028F"/>
    <w:rsid w:val="008107D9"/>
    <w:rsid w:val="0081093B"/>
    <w:rsid w:val="008116D9"/>
    <w:rsid w:val="00811936"/>
    <w:rsid w:val="00813059"/>
    <w:rsid w:val="008157C8"/>
    <w:rsid w:val="008173E2"/>
    <w:rsid w:val="008201C3"/>
    <w:rsid w:val="00820422"/>
    <w:rsid w:val="00820655"/>
    <w:rsid w:val="008227D7"/>
    <w:rsid w:val="008249A1"/>
    <w:rsid w:val="00825D43"/>
    <w:rsid w:val="0082632D"/>
    <w:rsid w:val="00832500"/>
    <w:rsid w:val="00832787"/>
    <w:rsid w:val="00833000"/>
    <w:rsid w:val="00835805"/>
    <w:rsid w:val="0083595F"/>
    <w:rsid w:val="008372B6"/>
    <w:rsid w:val="00843A1A"/>
    <w:rsid w:val="00846433"/>
    <w:rsid w:val="008472C2"/>
    <w:rsid w:val="00850B43"/>
    <w:rsid w:val="008510D9"/>
    <w:rsid w:val="00851EE3"/>
    <w:rsid w:val="00853121"/>
    <w:rsid w:val="008555E4"/>
    <w:rsid w:val="00864124"/>
    <w:rsid w:val="00864E60"/>
    <w:rsid w:val="00866A09"/>
    <w:rsid w:val="008712BF"/>
    <w:rsid w:val="00872209"/>
    <w:rsid w:val="00873656"/>
    <w:rsid w:val="00880140"/>
    <w:rsid w:val="008842F7"/>
    <w:rsid w:val="00885B94"/>
    <w:rsid w:val="0089075A"/>
    <w:rsid w:val="00890F80"/>
    <w:rsid w:val="00892BFD"/>
    <w:rsid w:val="0089338A"/>
    <w:rsid w:val="00894199"/>
    <w:rsid w:val="008948BE"/>
    <w:rsid w:val="008A1E27"/>
    <w:rsid w:val="008A2C86"/>
    <w:rsid w:val="008A6000"/>
    <w:rsid w:val="008A70A8"/>
    <w:rsid w:val="008A7FAC"/>
    <w:rsid w:val="008B1FD9"/>
    <w:rsid w:val="008B2AF1"/>
    <w:rsid w:val="008B5191"/>
    <w:rsid w:val="008B710D"/>
    <w:rsid w:val="008B7CA1"/>
    <w:rsid w:val="008C0177"/>
    <w:rsid w:val="008C0389"/>
    <w:rsid w:val="008C27D3"/>
    <w:rsid w:val="008C4B2B"/>
    <w:rsid w:val="008C5E91"/>
    <w:rsid w:val="008C686D"/>
    <w:rsid w:val="008C6B18"/>
    <w:rsid w:val="008C75E6"/>
    <w:rsid w:val="008C767A"/>
    <w:rsid w:val="008C7A73"/>
    <w:rsid w:val="008D0569"/>
    <w:rsid w:val="008D5C28"/>
    <w:rsid w:val="008E2D26"/>
    <w:rsid w:val="008E4076"/>
    <w:rsid w:val="008E7DBA"/>
    <w:rsid w:val="008F1993"/>
    <w:rsid w:val="008F3386"/>
    <w:rsid w:val="008F3AD9"/>
    <w:rsid w:val="008F4642"/>
    <w:rsid w:val="008F4E00"/>
    <w:rsid w:val="008F761D"/>
    <w:rsid w:val="00900D44"/>
    <w:rsid w:val="00902520"/>
    <w:rsid w:val="00906DC4"/>
    <w:rsid w:val="0091457F"/>
    <w:rsid w:val="0091729E"/>
    <w:rsid w:val="0093261E"/>
    <w:rsid w:val="0094008E"/>
    <w:rsid w:val="00941C0C"/>
    <w:rsid w:val="009437F2"/>
    <w:rsid w:val="0094528B"/>
    <w:rsid w:val="00960A8B"/>
    <w:rsid w:val="00965128"/>
    <w:rsid w:val="00973F43"/>
    <w:rsid w:val="0097785D"/>
    <w:rsid w:val="0098011D"/>
    <w:rsid w:val="00981912"/>
    <w:rsid w:val="009819C0"/>
    <w:rsid w:val="00987A75"/>
    <w:rsid w:val="00991A8A"/>
    <w:rsid w:val="00992611"/>
    <w:rsid w:val="00994303"/>
    <w:rsid w:val="0099526D"/>
    <w:rsid w:val="00996C8B"/>
    <w:rsid w:val="009A0054"/>
    <w:rsid w:val="009A0F6E"/>
    <w:rsid w:val="009A5548"/>
    <w:rsid w:val="009B25C1"/>
    <w:rsid w:val="009B7B79"/>
    <w:rsid w:val="009C0383"/>
    <w:rsid w:val="009C145B"/>
    <w:rsid w:val="009C3E04"/>
    <w:rsid w:val="009C4FB0"/>
    <w:rsid w:val="009C75D1"/>
    <w:rsid w:val="009C7694"/>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F0ABA"/>
    <w:rsid w:val="009F0AF5"/>
    <w:rsid w:val="00A02199"/>
    <w:rsid w:val="00A026A4"/>
    <w:rsid w:val="00A04044"/>
    <w:rsid w:val="00A11D0C"/>
    <w:rsid w:val="00A16579"/>
    <w:rsid w:val="00A24843"/>
    <w:rsid w:val="00A26D48"/>
    <w:rsid w:val="00A31C7C"/>
    <w:rsid w:val="00A367AA"/>
    <w:rsid w:val="00A378DF"/>
    <w:rsid w:val="00A37AC6"/>
    <w:rsid w:val="00A410CC"/>
    <w:rsid w:val="00A42B43"/>
    <w:rsid w:val="00A42BD0"/>
    <w:rsid w:val="00A433DC"/>
    <w:rsid w:val="00A460CD"/>
    <w:rsid w:val="00A50761"/>
    <w:rsid w:val="00A51DF2"/>
    <w:rsid w:val="00A53AF0"/>
    <w:rsid w:val="00A54ED7"/>
    <w:rsid w:val="00A61561"/>
    <w:rsid w:val="00A63249"/>
    <w:rsid w:val="00A6691F"/>
    <w:rsid w:val="00A67E6A"/>
    <w:rsid w:val="00A70F49"/>
    <w:rsid w:val="00A72203"/>
    <w:rsid w:val="00A7281F"/>
    <w:rsid w:val="00A73949"/>
    <w:rsid w:val="00A76707"/>
    <w:rsid w:val="00A7697E"/>
    <w:rsid w:val="00A76E20"/>
    <w:rsid w:val="00A8284E"/>
    <w:rsid w:val="00A870EE"/>
    <w:rsid w:val="00A91D91"/>
    <w:rsid w:val="00A96F81"/>
    <w:rsid w:val="00A9709D"/>
    <w:rsid w:val="00AA054E"/>
    <w:rsid w:val="00AA0A10"/>
    <w:rsid w:val="00AA2094"/>
    <w:rsid w:val="00AA2947"/>
    <w:rsid w:val="00AB1894"/>
    <w:rsid w:val="00AB22DF"/>
    <w:rsid w:val="00AB30EA"/>
    <w:rsid w:val="00AB458B"/>
    <w:rsid w:val="00AB45E4"/>
    <w:rsid w:val="00AB6157"/>
    <w:rsid w:val="00AB7542"/>
    <w:rsid w:val="00AC022D"/>
    <w:rsid w:val="00AC0629"/>
    <w:rsid w:val="00AC70C7"/>
    <w:rsid w:val="00AC79E0"/>
    <w:rsid w:val="00AD32CE"/>
    <w:rsid w:val="00AD5187"/>
    <w:rsid w:val="00AD6B11"/>
    <w:rsid w:val="00AD6B34"/>
    <w:rsid w:val="00AD6F90"/>
    <w:rsid w:val="00AE0286"/>
    <w:rsid w:val="00AE247F"/>
    <w:rsid w:val="00AE4A24"/>
    <w:rsid w:val="00AE4FC7"/>
    <w:rsid w:val="00AF01E3"/>
    <w:rsid w:val="00AF23AE"/>
    <w:rsid w:val="00AF2EF7"/>
    <w:rsid w:val="00AF3741"/>
    <w:rsid w:val="00AF3B5C"/>
    <w:rsid w:val="00B0014A"/>
    <w:rsid w:val="00B00B50"/>
    <w:rsid w:val="00B00DB2"/>
    <w:rsid w:val="00B016E3"/>
    <w:rsid w:val="00B02B0B"/>
    <w:rsid w:val="00B03817"/>
    <w:rsid w:val="00B04283"/>
    <w:rsid w:val="00B05BA8"/>
    <w:rsid w:val="00B0741D"/>
    <w:rsid w:val="00B07AD8"/>
    <w:rsid w:val="00B07B20"/>
    <w:rsid w:val="00B1081B"/>
    <w:rsid w:val="00B14F01"/>
    <w:rsid w:val="00B15525"/>
    <w:rsid w:val="00B15C0B"/>
    <w:rsid w:val="00B174BA"/>
    <w:rsid w:val="00B17AF3"/>
    <w:rsid w:val="00B223B5"/>
    <w:rsid w:val="00B229AD"/>
    <w:rsid w:val="00B237BC"/>
    <w:rsid w:val="00B26EBB"/>
    <w:rsid w:val="00B27499"/>
    <w:rsid w:val="00B335C4"/>
    <w:rsid w:val="00B3369E"/>
    <w:rsid w:val="00B33D9A"/>
    <w:rsid w:val="00B40D81"/>
    <w:rsid w:val="00B424F5"/>
    <w:rsid w:val="00B43167"/>
    <w:rsid w:val="00B435BE"/>
    <w:rsid w:val="00B43A9D"/>
    <w:rsid w:val="00B467B0"/>
    <w:rsid w:val="00B47F9B"/>
    <w:rsid w:val="00B50534"/>
    <w:rsid w:val="00B51FCB"/>
    <w:rsid w:val="00B5289B"/>
    <w:rsid w:val="00B52E10"/>
    <w:rsid w:val="00B5331D"/>
    <w:rsid w:val="00B543D6"/>
    <w:rsid w:val="00B556B0"/>
    <w:rsid w:val="00B57687"/>
    <w:rsid w:val="00B578E3"/>
    <w:rsid w:val="00B57CE5"/>
    <w:rsid w:val="00B648F2"/>
    <w:rsid w:val="00B655D1"/>
    <w:rsid w:val="00B73FF2"/>
    <w:rsid w:val="00B74CBA"/>
    <w:rsid w:val="00B74ED3"/>
    <w:rsid w:val="00B768CF"/>
    <w:rsid w:val="00B81A44"/>
    <w:rsid w:val="00B86BB5"/>
    <w:rsid w:val="00B91072"/>
    <w:rsid w:val="00B91B6E"/>
    <w:rsid w:val="00B94B2C"/>
    <w:rsid w:val="00B96F7D"/>
    <w:rsid w:val="00B970D0"/>
    <w:rsid w:val="00BA49F4"/>
    <w:rsid w:val="00BA5C41"/>
    <w:rsid w:val="00BA6ACA"/>
    <w:rsid w:val="00BA7232"/>
    <w:rsid w:val="00BA7809"/>
    <w:rsid w:val="00BB449C"/>
    <w:rsid w:val="00BB44D7"/>
    <w:rsid w:val="00BC2561"/>
    <w:rsid w:val="00BC3E3E"/>
    <w:rsid w:val="00BC422A"/>
    <w:rsid w:val="00BC5128"/>
    <w:rsid w:val="00BC5608"/>
    <w:rsid w:val="00BD04C9"/>
    <w:rsid w:val="00BD3536"/>
    <w:rsid w:val="00BD37FD"/>
    <w:rsid w:val="00BE0B46"/>
    <w:rsid w:val="00BE225E"/>
    <w:rsid w:val="00BE237E"/>
    <w:rsid w:val="00BE3703"/>
    <w:rsid w:val="00BE567F"/>
    <w:rsid w:val="00BF0A29"/>
    <w:rsid w:val="00BF25CD"/>
    <w:rsid w:val="00BF5553"/>
    <w:rsid w:val="00BF75CD"/>
    <w:rsid w:val="00C00F1C"/>
    <w:rsid w:val="00C0346D"/>
    <w:rsid w:val="00C0358F"/>
    <w:rsid w:val="00C03BB0"/>
    <w:rsid w:val="00C041CF"/>
    <w:rsid w:val="00C0696A"/>
    <w:rsid w:val="00C12034"/>
    <w:rsid w:val="00C1396B"/>
    <w:rsid w:val="00C1698A"/>
    <w:rsid w:val="00C17E6C"/>
    <w:rsid w:val="00C249CC"/>
    <w:rsid w:val="00C24E5F"/>
    <w:rsid w:val="00C255B6"/>
    <w:rsid w:val="00C26F3A"/>
    <w:rsid w:val="00C2770B"/>
    <w:rsid w:val="00C30296"/>
    <w:rsid w:val="00C3170E"/>
    <w:rsid w:val="00C31947"/>
    <w:rsid w:val="00C40053"/>
    <w:rsid w:val="00C4294D"/>
    <w:rsid w:val="00C444C8"/>
    <w:rsid w:val="00C452DD"/>
    <w:rsid w:val="00C45856"/>
    <w:rsid w:val="00C46603"/>
    <w:rsid w:val="00C54316"/>
    <w:rsid w:val="00C55208"/>
    <w:rsid w:val="00C5527D"/>
    <w:rsid w:val="00C61B1A"/>
    <w:rsid w:val="00C62A53"/>
    <w:rsid w:val="00C709F9"/>
    <w:rsid w:val="00C73A70"/>
    <w:rsid w:val="00C76054"/>
    <w:rsid w:val="00C779A2"/>
    <w:rsid w:val="00C80546"/>
    <w:rsid w:val="00C83CAD"/>
    <w:rsid w:val="00C8419E"/>
    <w:rsid w:val="00C851D7"/>
    <w:rsid w:val="00C85C8B"/>
    <w:rsid w:val="00C867AD"/>
    <w:rsid w:val="00C87F9F"/>
    <w:rsid w:val="00C9545D"/>
    <w:rsid w:val="00C9625C"/>
    <w:rsid w:val="00C978C6"/>
    <w:rsid w:val="00C97F2A"/>
    <w:rsid w:val="00CA112D"/>
    <w:rsid w:val="00CA1F9F"/>
    <w:rsid w:val="00CA2179"/>
    <w:rsid w:val="00CA3D8A"/>
    <w:rsid w:val="00CB4B3E"/>
    <w:rsid w:val="00CB50EF"/>
    <w:rsid w:val="00CB623F"/>
    <w:rsid w:val="00CB791A"/>
    <w:rsid w:val="00CB7D1B"/>
    <w:rsid w:val="00CC11DF"/>
    <w:rsid w:val="00CC1A6E"/>
    <w:rsid w:val="00CC3F62"/>
    <w:rsid w:val="00CC536E"/>
    <w:rsid w:val="00CC59DD"/>
    <w:rsid w:val="00CC7FC6"/>
    <w:rsid w:val="00CD47B2"/>
    <w:rsid w:val="00CD5AFD"/>
    <w:rsid w:val="00CD74EB"/>
    <w:rsid w:val="00CE49F8"/>
    <w:rsid w:val="00CE4E1E"/>
    <w:rsid w:val="00CE66B5"/>
    <w:rsid w:val="00CF52DF"/>
    <w:rsid w:val="00CF5832"/>
    <w:rsid w:val="00CF5911"/>
    <w:rsid w:val="00CF7221"/>
    <w:rsid w:val="00CF724E"/>
    <w:rsid w:val="00D059F5"/>
    <w:rsid w:val="00D117F5"/>
    <w:rsid w:val="00D13661"/>
    <w:rsid w:val="00D142BD"/>
    <w:rsid w:val="00D146DE"/>
    <w:rsid w:val="00D17FEC"/>
    <w:rsid w:val="00D200E7"/>
    <w:rsid w:val="00D21427"/>
    <w:rsid w:val="00D22164"/>
    <w:rsid w:val="00D22B86"/>
    <w:rsid w:val="00D22F2F"/>
    <w:rsid w:val="00D24194"/>
    <w:rsid w:val="00D2460F"/>
    <w:rsid w:val="00D2590F"/>
    <w:rsid w:val="00D27150"/>
    <w:rsid w:val="00D27EB3"/>
    <w:rsid w:val="00D35E02"/>
    <w:rsid w:val="00D378C9"/>
    <w:rsid w:val="00D41425"/>
    <w:rsid w:val="00D46275"/>
    <w:rsid w:val="00D467CA"/>
    <w:rsid w:val="00D4759B"/>
    <w:rsid w:val="00D500A4"/>
    <w:rsid w:val="00D51205"/>
    <w:rsid w:val="00D516FC"/>
    <w:rsid w:val="00D51F2D"/>
    <w:rsid w:val="00D535EE"/>
    <w:rsid w:val="00D54FC4"/>
    <w:rsid w:val="00D574C1"/>
    <w:rsid w:val="00D57615"/>
    <w:rsid w:val="00D577C9"/>
    <w:rsid w:val="00D606B7"/>
    <w:rsid w:val="00D61A94"/>
    <w:rsid w:val="00D62282"/>
    <w:rsid w:val="00D6356C"/>
    <w:rsid w:val="00D64A32"/>
    <w:rsid w:val="00D6553A"/>
    <w:rsid w:val="00D657CA"/>
    <w:rsid w:val="00D73338"/>
    <w:rsid w:val="00D775F3"/>
    <w:rsid w:val="00D77868"/>
    <w:rsid w:val="00D77F25"/>
    <w:rsid w:val="00D84C2A"/>
    <w:rsid w:val="00D9064B"/>
    <w:rsid w:val="00D978C6"/>
    <w:rsid w:val="00DA03F6"/>
    <w:rsid w:val="00DA134A"/>
    <w:rsid w:val="00DA1A2E"/>
    <w:rsid w:val="00DA3413"/>
    <w:rsid w:val="00DA426E"/>
    <w:rsid w:val="00DA4339"/>
    <w:rsid w:val="00DA4B1B"/>
    <w:rsid w:val="00DA4EFC"/>
    <w:rsid w:val="00DA648D"/>
    <w:rsid w:val="00DA726D"/>
    <w:rsid w:val="00DB3DEA"/>
    <w:rsid w:val="00DB40BD"/>
    <w:rsid w:val="00DB4B8E"/>
    <w:rsid w:val="00DB4F4B"/>
    <w:rsid w:val="00DC070F"/>
    <w:rsid w:val="00DC3858"/>
    <w:rsid w:val="00DC3A57"/>
    <w:rsid w:val="00DC7A95"/>
    <w:rsid w:val="00DD55C2"/>
    <w:rsid w:val="00DD759E"/>
    <w:rsid w:val="00DE314E"/>
    <w:rsid w:val="00DE4CFB"/>
    <w:rsid w:val="00DF045B"/>
    <w:rsid w:val="00DF1ED8"/>
    <w:rsid w:val="00DF3785"/>
    <w:rsid w:val="00DF3D27"/>
    <w:rsid w:val="00DF6074"/>
    <w:rsid w:val="00E02239"/>
    <w:rsid w:val="00E047EC"/>
    <w:rsid w:val="00E07D42"/>
    <w:rsid w:val="00E163E9"/>
    <w:rsid w:val="00E240F5"/>
    <w:rsid w:val="00E30004"/>
    <w:rsid w:val="00E333AC"/>
    <w:rsid w:val="00E3456B"/>
    <w:rsid w:val="00E35C16"/>
    <w:rsid w:val="00E36085"/>
    <w:rsid w:val="00E36813"/>
    <w:rsid w:val="00E42382"/>
    <w:rsid w:val="00E603DF"/>
    <w:rsid w:val="00E63745"/>
    <w:rsid w:val="00E6699F"/>
    <w:rsid w:val="00E67B40"/>
    <w:rsid w:val="00E703AE"/>
    <w:rsid w:val="00E72373"/>
    <w:rsid w:val="00E76AF9"/>
    <w:rsid w:val="00E84EF0"/>
    <w:rsid w:val="00E8649C"/>
    <w:rsid w:val="00E87886"/>
    <w:rsid w:val="00E87CDE"/>
    <w:rsid w:val="00E91FC1"/>
    <w:rsid w:val="00E92D54"/>
    <w:rsid w:val="00E9323C"/>
    <w:rsid w:val="00E95FD8"/>
    <w:rsid w:val="00EA0283"/>
    <w:rsid w:val="00EA5DE1"/>
    <w:rsid w:val="00EB0C86"/>
    <w:rsid w:val="00EB0E16"/>
    <w:rsid w:val="00EB1A57"/>
    <w:rsid w:val="00EB236F"/>
    <w:rsid w:val="00EB237E"/>
    <w:rsid w:val="00EC1546"/>
    <w:rsid w:val="00EC15D5"/>
    <w:rsid w:val="00EC5B23"/>
    <w:rsid w:val="00EC5DED"/>
    <w:rsid w:val="00EC6BD8"/>
    <w:rsid w:val="00ED0356"/>
    <w:rsid w:val="00ED0D71"/>
    <w:rsid w:val="00ED3DCD"/>
    <w:rsid w:val="00ED3DD5"/>
    <w:rsid w:val="00ED56BE"/>
    <w:rsid w:val="00ED74D7"/>
    <w:rsid w:val="00EE40F8"/>
    <w:rsid w:val="00EE6DD6"/>
    <w:rsid w:val="00EF0867"/>
    <w:rsid w:val="00EF1A10"/>
    <w:rsid w:val="00EF1A9F"/>
    <w:rsid w:val="00EF1B27"/>
    <w:rsid w:val="00EF4370"/>
    <w:rsid w:val="00EF5AD7"/>
    <w:rsid w:val="00F03FA7"/>
    <w:rsid w:val="00F048EF"/>
    <w:rsid w:val="00F06AAD"/>
    <w:rsid w:val="00F146BE"/>
    <w:rsid w:val="00F22013"/>
    <w:rsid w:val="00F22356"/>
    <w:rsid w:val="00F226E0"/>
    <w:rsid w:val="00F2522F"/>
    <w:rsid w:val="00F30180"/>
    <w:rsid w:val="00F31A29"/>
    <w:rsid w:val="00F3279A"/>
    <w:rsid w:val="00F37236"/>
    <w:rsid w:val="00F44634"/>
    <w:rsid w:val="00F505EC"/>
    <w:rsid w:val="00F5088F"/>
    <w:rsid w:val="00F51657"/>
    <w:rsid w:val="00F5223C"/>
    <w:rsid w:val="00F57787"/>
    <w:rsid w:val="00F61E82"/>
    <w:rsid w:val="00F6243A"/>
    <w:rsid w:val="00F63323"/>
    <w:rsid w:val="00F636FE"/>
    <w:rsid w:val="00F648B2"/>
    <w:rsid w:val="00F67EBD"/>
    <w:rsid w:val="00F70EA4"/>
    <w:rsid w:val="00F77851"/>
    <w:rsid w:val="00F80FAB"/>
    <w:rsid w:val="00F81E3B"/>
    <w:rsid w:val="00F827E1"/>
    <w:rsid w:val="00F927B5"/>
    <w:rsid w:val="00F94BD0"/>
    <w:rsid w:val="00F95403"/>
    <w:rsid w:val="00F96705"/>
    <w:rsid w:val="00F96750"/>
    <w:rsid w:val="00F9704D"/>
    <w:rsid w:val="00FA0166"/>
    <w:rsid w:val="00FA2400"/>
    <w:rsid w:val="00FA33E9"/>
    <w:rsid w:val="00FA55C8"/>
    <w:rsid w:val="00FA74C6"/>
    <w:rsid w:val="00FB24ED"/>
    <w:rsid w:val="00FB29AF"/>
    <w:rsid w:val="00FB313D"/>
    <w:rsid w:val="00FB4003"/>
    <w:rsid w:val="00FB4EBA"/>
    <w:rsid w:val="00FB7086"/>
    <w:rsid w:val="00FB7A90"/>
    <w:rsid w:val="00FC6733"/>
    <w:rsid w:val="00FD2677"/>
    <w:rsid w:val="00FD28B8"/>
    <w:rsid w:val="00FE0BD8"/>
    <w:rsid w:val="00FE1709"/>
    <w:rsid w:val="00FE1FC9"/>
    <w:rsid w:val="00FF32DE"/>
    <w:rsid w:val="00FF4205"/>
    <w:rsid w:val="00FF5858"/>
    <w:rsid w:val="00FF6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AB6E44"/>
  <w15:docId w15:val="{623B9E68-3536-4AAD-8A38-AE1276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5D5"/>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Heading4">
    <w:name w:val="heading 4"/>
    <w:basedOn w:val="Normal"/>
    <w:next w:val="Normal"/>
    <w:link w:val="Heading4Char"/>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Heading6">
    <w:name w:val="heading 6"/>
    <w:basedOn w:val="Normal"/>
    <w:next w:val="Normal"/>
    <w:link w:val="Heading6Char"/>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rsid w:val="00020300"/>
    <w:rPr>
      <w:rFonts w:asciiTheme="majorHAnsi" w:eastAsiaTheme="majorEastAsia" w:hAnsiTheme="majorHAnsi" w:cstheme="majorBidi"/>
      <w:sz w:val="24"/>
      <w:szCs w:val="22"/>
      <w:lang w:val="en-GB" w:eastAsia="en-GB"/>
    </w:rPr>
  </w:style>
  <w:style w:type="character" w:customStyle="1" w:styleId="Heading3Char">
    <w:name w:val="Heading 3 Char"/>
    <w:basedOn w:val="DefaultParagraphFont"/>
    <w:link w:val="Heading3"/>
    <w:rsid w:val="00020300"/>
    <w:rPr>
      <w:rFonts w:asciiTheme="majorHAnsi" w:eastAsiaTheme="majorEastAsia" w:hAnsiTheme="majorHAnsi" w:cstheme="majorBidi"/>
      <w:sz w:val="24"/>
      <w:szCs w:val="24"/>
      <w:lang w:val="en-GB" w:eastAsia="en-GB"/>
    </w:rPr>
  </w:style>
  <w:style w:type="character" w:customStyle="1" w:styleId="Heading1Char">
    <w:name w:val="Heading 1 Char"/>
    <w:basedOn w:val="DefaultParagraphFont"/>
    <w:link w:val="Heading1"/>
    <w:rsid w:val="00FE0BD8"/>
    <w:rPr>
      <w:rFonts w:asciiTheme="majorHAnsi" w:eastAsiaTheme="majorEastAsia" w:hAnsiTheme="majorHAnsi" w:cstheme="majorBidi"/>
      <w:b/>
      <w:sz w:val="32"/>
      <w:szCs w:val="32"/>
      <w:lang w:val="en-GB" w:eastAsia="en-GB"/>
    </w:rPr>
  </w:style>
  <w:style w:type="character" w:customStyle="1" w:styleId="Heading2Char">
    <w:name w:val="Heading 2 Char"/>
    <w:basedOn w:val="DefaultParagraphFont"/>
    <w:link w:val="Heading2"/>
    <w:rsid w:val="003C167E"/>
    <w:rPr>
      <w:rFonts w:asciiTheme="majorHAnsi" w:eastAsiaTheme="majorEastAsia" w:hAnsiTheme="majorHAnsi" w:cstheme="majorBidi"/>
      <w:b/>
      <w:sz w:val="28"/>
      <w:szCs w:val="28"/>
      <w:lang w:val="en-GB" w:eastAsia="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b/>
      <w:sz w:val="28"/>
    </w:rPr>
  </w:style>
  <w:style w:type="character" w:customStyle="1" w:styleId="Title1Char">
    <w:name w:val="Title 1 Char"/>
    <w:basedOn w:val="DefaultParagraphFont"/>
    <w:link w:val="Title1"/>
    <w:rsid w:val="003C4EB5"/>
    <w:rPr>
      <w:rFonts w:eastAsiaTheme="majorEastAsia" w:cstheme="minorHAnsi"/>
      <w:b/>
      <w:sz w:val="28"/>
      <w:szCs w:val="22"/>
      <w:lang w:val="en-GB" w:eastAsia="en-GB"/>
    </w:rPr>
  </w:style>
  <w:style w:type="paragraph" w:styleId="ListParagraph">
    <w:name w:val="List Paragraph"/>
    <w:aliases w:val="Paragraphe EI,Paragraphe de liste1,EC,Paragraphe de liste,Normal Nivel 1,List Paragraph Main,List first level,List Paragraph_Sections"/>
    <w:basedOn w:val="Normal"/>
    <w:link w:val="ListParagraphChar"/>
    <w:autoRedefine/>
    <w:uiPriority w:val="34"/>
    <w:qFormat/>
    <w:rsid w:val="00695AF2"/>
    <w:pPr>
      <w:numPr>
        <w:numId w:val="8"/>
      </w:numPr>
      <w:tabs>
        <w:tab w:val="left" w:pos="0"/>
        <w:tab w:val="left" w:pos="142"/>
        <w:tab w:val="left" w:pos="284"/>
        <w:tab w:val="left" w:pos="567"/>
      </w:tabs>
      <w:autoSpaceDE w:val="0"/>
      <w:autoSpaceDN w:val="0"/>
      <w:adjustRightInd w:val="0"/>
      <w:spacing w:line="264" w:lineRule="auto"/>
      <w:jc w:val="both"/>
    </w:pPr>
    <w:rPr>
      <w:rFonts w:asciiTheme="minorHAnsi" w:eastAsiaTheme="majorEastAsia" w:hAnsiTheme="minorHAnsi" w:cstheme="minorHAnsi"/>
      <w:sz w:val="22"/>
      <w:szCs w:val="22"/>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b/>
      <w:sz w:val="28"/>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4"/>
      <w:szCs w:val="22"/>
      <w:lang w:val="en-GB" w:eastAsia="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rsid w:val="00AA054E"/>
    <w:rPr>
      <w:rFonts w:asciiTheme="majorHAnsi" w:eastAsiaTheme="majorEastAsia" w:hAnsiTheme="majorHAnsi" w:cstheme="majorBidi"/>
      <w:i/>
      <w:iCs/>
      <w:color w:val="44546A" w:themeColor="text2"/>
      <w:sz w:val="21"/>
      <w:szCs w:val="21"/>
      <w:lang w:val="en-GB" w:eastAsia="en-GB"/>
    </w:rPr>
  </w:style>
  <w:style w:type="paragraph" w:styleId="Title">
    <w:name w:val="Title"/>
    <w:basedOn w:val="Normal"/>
    <w:next w:val="Normal"/>
    <w:link w:val="TitleChar"/>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pPr>
    <w:rPr>
      <w:rFonts w:asciiTheme="majorHAnsi" w:eastAsiaTheme="majorEastAsia" w:hAnsiTheme="majorHAnsi" w:cstheme="majorBidi"/>
      <w:b/>
      <w:sz w:val="28"/>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Heading8Char">
    <w:name w:val="Heading 8 Char"/>
    <w:basedOn w:val="DefaultParagraphFont"/>
    <w:link w:val="Heading8"/>
    <w:rsid w:val="00AA054E"/>
    <w:rPr>
      <w:rFonts w:asciiTheme="majorHAnsi" w:eastAsiaTheme="majorEastAsia" w:hAnsiTheme="majorHAnsi" w:cstheme="majorBidi"/>
      <w:b/>
      <w:bCs/>
      <w:color w:val="44546A" w:themeColor="text2"/>
      <w:sz w:val="24"/>
      <w:szCs w:val="24"/>
      <w:lang w:val="en-GB" w:eastAsia="en-GB"/>
    </w:rPr>
  </w:style>
  <w:style w:type="character" w:customStyle="1" w:styleId="Heading9Char">
    <w:name w:val="Heading 9 Char"/>
    <w:basedOn w:val="DefaultParagraphFont"/>
    <w:link w:val="Heading9"/>
    <w:rsid w:val="00AA054E"/>
    <w:rPr>
      <w:rFonts w:asciiTheme="majorHAnsi" w:eastAsiaTheme="majorEastAsia" w:hAnsiTheme="majorHAnsi" w:cstheme="majorBidi"/>
      <w:b/>
      <w:bCs/>
      <w:i/>
      <w:iCs/>
      <w:color w:val="44546A" w:themeColor="text2"/>
      <w:sz w:val="24"/>
      <w:szCs w:val="24"/>
      <w:lang w:val="en-GB" w:eastAsia="en-GB"/>
    </w:rPr>
  </w:style>
  <w:style w:type="paragraph" w:styleId="Caption">
    <w:name w:val="caption"/>
    <w:basedOn w:val="Normal"/>
    <w:next w:val="Normal"/>
    <w:uiPriority w:val="35"/>
    <w:semiHidden/>
    <w:unhideWhenUsed/>
    <w:qFormat/>
    <w:rsid w:val="00AA054E"/>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aliases w:val="Text,Emphase pâle,Diskret betoning"/>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hAnsi="Georgia"/>
      <w:color w:val="000000"/>
      <w:lang w:eastAsia="de-DE"/>
    </w:rPr>
  </w:style>
  <w:style w:type="paragraph" w:customStyle="1" w:styleId="02Date">
    <w:name w:val="02_Date"/>
    <w:basedOn w:val="Normal"/>
    <w:rsid w:val="00636E02"/>
    <w:pPr>
      <w:spacing w:line="220" w:lineRule="exact"/>
    </w:pPr>
    <w:rPr>
      <w:rFonts w:ascii="Georgia" w:hAnsi="Georgia"/>
      <w:sz w:val="17"/>
      <w:lang w:eastAsia="de-DE"/>
    </w:rPr>
  </w:style>
  <w:style w:type="paragraph" w:styleId="TOC1">
    <w:name w:val="toc 1"/>
    <w:basedOn w:val="Normal"/>
    <w:next w:val="Normal"/>
    <w:autoRedefine/>
    <w:uiPriority w:val="39"/>
    <w:unhideWhenUsed/>
    <w:rsid w:val="00B81A44"/>
    <w:pPr>
      <w:tabs>
        <w:tab w:val="left" w:pos="440"/>
        <w:tab w:val="right" w:leader="dot" w:pos="9062"/>
      </w:tabs>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F77851"/>
    <w:pPr>
      <w:numPr>
        <w:numId w:val="6"/>
      </w:numPr>
      <w:contextualSpacing/>
      <w:jc w:val="both"/>
    </w:pPr>
    <w:rPr>
      <w:rFonts w:asciiTheme="minorHAnsi" w:hAnsiTheme="minorHAnsi" w:cstheme="minorHAnsi"/>
      <w:sz w:val="22"/>
      <w:szCs w:val="22"/>
    </w:rPr>
  </w:style>
  <w:style w:type="character" w:customStyle="1" w:styleId="QuestionstyleChar">
    <w:name w:val="Question style Char"/>
    <w:basedOn w:val="DefaultParagraphFont"/>
    <w:link w:val="Questionstyle"/>
    <w:rsid w:val="00F77851"/>
    <w:rPr>
      <w:rFonts w:eastAsia="Times New Roman" w:cstheme="minorHAnsi"/>
      <w:sz w:val="22"/>
      <w:szCs w:val="22"/>
      <w:lang w:val="en-GB" w:eastAsia="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semiHidden/>
    <w:unhideWhenUsed/>
    <w:qFormat/>
    <w:rsid w:val="006F53E8"/>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16 Point, BVI fnr"/>
    <w:basedOn w:val="DefaultParagraphFo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5"/>
      </w:numPr>
      <w:tabs>
        <w:tab w:val="clear" w:pos="284"/>
        <w:tab w:val="num" w:pos="567"/>
      </w:tabs>
      <w:ind w:left="567" w:hanging="454"/>
    </w:pPr>
    <w:rPr>
      <w:rFonts w:ascii="Georgia" w:hAnsi="Georgia"/>
      <w:sz w:val="20"/>
      <w:lang w:eastAsia="de-DE"/>
    </w:rPr>
  </w:style>
  <w:style w:type="paragraph" w:styleId="BalloonText">
    <w:name w:val="Balloon Text"/>
    <w:basedOn w:val="Normal"/>
    <w:link w:val="BalloonTextChar"/>
    <w:uiPriority w:val="99"/>
    <w:semiHidden/>
    <w:unhideWhenUsed/>
    <w:rsid w:val="003C167E"/>
    <w:rPr>
      <w:rFonts w:ascii="Tahoma" w:hAnsi="Tahoma" w:cs="Tahoma"/>
      <w:sz w:val="16"/>
      <w:szCs w:val="16"/>
    </w:rPr>
  </w:style>
  <w:style w:type="character" w:customStyle="1" w:styleId="BalloonTextChar">
    <w:name w:val="Balloon Text Char"/>
    <w:basedOn w:val="DefaultParagraphFont"/>
    <w:link w:val="BalloonText"/>
    <w:uiPriority w:val="99"/>
    <w:semiHidden/>
    <w:rsid w:val="003C167E"/>
    <w:rPr>
      <w:rFonts w:ascii="Tahoma" w:hAnsi="Tahoma" w:cs="Tahoma"/>
      <w:sz w:val="16"/>
      <w:szCs w:val="16"/>
      <w:lang w:val="en-GB"/>
    </w:rPr>
  </w:style>
  <w:style w:type="character" w:styleId="CommentReference">
    <w:name w:val="annotation reference"/>
    <w:basedOn w:val="DefaultParagraphFont"/>
    <w:uiPriority w:val="99"/>
    <w:semiHidden/>
    <w:unhideWhenUsed/>
    <w:rsid w:val="00FA2400"/>
    <w:rPr>
      <w:sz w:val="16"/>
      <w:szCs w:val="16"/>
    </w:rPr>
  </w:style>
  <w:style w:type="paragraph" w:styleId="CommentText">
    <w:name w:val="annotation text"/>
    <w:basedOn w:val="Normal"/>
    <w:link w:val="CommentTextChar"/>
    <w:uiPriority w:val="99"/>
    <w:unhideWhenUsed/>
    <w:rsid w:val="00FA2400"/>
    <w:rPr>
      <w:sz w:val="20"/>
    </w:rPr>
  </w:style>
  <w:style w:type="character" w:customStyle="1" w:styleId="CommentTextChar">
    <w:name w:val="Comment Text Char"/>
    <w:basedOn w:val="DefaultParagraphFont"/>
    <w:link w:val="CommentText"/>
    <w:uiPriority w:val="99"/>
    <w:rsid w:val="00FA2400"/>
    <w:rPr>
      <w:lang w:val="en-GB"/>
    </w:rPr>
  </w:style>
  <w:style w:type="paragraph" w:styleId="CommentSubject">
    <w:name w:val="annotation subject"/>
    <w:basedOn w:val="CommentText"/>
    <w:next w:val="CommentText"/>
    <w:link w:val="CommentSubjectChar"/>
    <w:uiPriority w:val="99"/>
    <w:semiHidden/>
    <w:unhideWhenUsed/>
    <w:rsid w:val="00FA2400"/>
    <w:rPr>
      <w:b/>
      <w:bCs/>
    </w:rPr>
  </w:style>
  <w:style w:type="character" w:customStyle="1" w:styleId="CommentSubjectChar">
    <w:name w:val="Comment Subject Char"/>
    <w:basedOn w:val="CommentTextChar"/>
    <w:link w:val="CommentSubject"/>
    <w:uiPriority w:val="99"/>
    <w:semiHidden/>
    <w:rsid w:val="00FA2400"/>
    <w:rPr>
      <w:b/>
      <w:bCs/>
      <w:lang w:val="en-GB"/>
    </w:rPr>
  </w:style>
  <w:style w:type="paragraph" w:styleId="Revisio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FollowedHyperlink">
    <w:name w:val="FollowedHyperlink"/>
    <w:basedOn w:val="DefaultParagraphFont"/>
    <w:uiPriority w:val="99"/>
    <w:semiHidden/>
    <w:unhideWhenUsed/>
    <w:rsid w:val="007B354B"/>
    <w:rPr>
      <w:color w:val="954F72" w:themeColor="followedHyperlink"/>
      <w:u w:val="single"/>
    </w:rPr>
  </w:style>
  <w:style w:type="paragraph" w:styleId="NormalWeb">
    <w:name w:val="Normal (Web)"/>
    <w:basedOn w:val="Normal"/>
    <w:uiPriority w:val="99"/>
    <w:semiHidden/>
    <w:unhideWhenUsed/>
    <w:rsid w:val="00B424F5"/>
    <w:pPr>
      <w:spacing w:before="100" w:beforeAutospacing="1" w:after="100" w:afterAutospacing="1"/>
    </w:pPr>
  </w:style>
  <w:style w:type="character" w:customStyle="1" w:styleId="outputecliaff">
    <w:name w:val="outputecliaff"/>
    <w:basedOn w:val="DefaultParagraphFont"/>
    <w:rsid w:val="00595F08"/>
  </w:style>
  <w:style w:type="paragraph" w:customStyle="1" w:styleId="05HeadlinenoIndex">
    <w:name w:val="05_Headline no Index"/>
    <w:basedOn w:val="Normal"/>
    <w:rsid w:val="005C7E1F"/>
    <w:pPr>
      <w:spacing w:after="250" w:line="300" w:lineRule="exact"/>
      <w:jc w:val="both"/>
    </w:pPr>
    <w:rPr>
      <w:rFonts w:ascii="Georgia" w:hAnsi="Georgia"/>
      <w:b/>
      <w:lang w:eastAsia="de-DE"/>
    </w:rPr>
  </w:style>
  <w:style w:type="paragraph" w:customStyle="1" w:styleId="04BodyText">
    <w:name w:val="04_Body Text"/>
    <w:basedOn w:val="Normal"/>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e EI Char,Paragraphe de liste1 Char,EC Char,Paragraphe de liste Char,Normal Nivel 1 Char,List Paragraph Main Char,List first level Char,List Paragraph_Sections Char"/>
    <w:basedOn w:val="DefaultParagraphFont"/>
    <w:link w:val="ListParagraph"/>
    <w:uiPriority w:val="34"/>
    <w:rsid w:val="00695AF2"/>
    <w:rPr>
      <w:rFonts w:eastAsiaTheme="majorEastAsia" w:cstheme="minorHAnsi"/>
      <w:sz w:val="22"/>
      <w:szCs w:val="22"/>
      <w:lang w:val="en-GB" w:eastAsia="en-GB"/>
    </w:rPr>
  </w:style>
  <w:style w:type="table" w:customStyle="1" w:styleId="TableGrid3">
    <w:name w:val="Table Grid3"/>
    <w:basedOn w:val="TableNormal"/>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11D3"/>
    <w:pPr>
      <w:autoSpaceDE w:val="0"/>
      <w:autoSpaceDN w:val="0"/>
      <w:adjustRightInd w:val="0"/>
      <w:spacing w:after="0" w:line="240" w:lineRule="auto"/>
    </w:pPr>
    <w:rPr>
      <w:rFonts w:ascii="Arial" w:eastAsiaTheme="minorHAnsi"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240">
      <w:bodyDiv w:val="1"/>
      <w:marLeft w:val="0"/>
      <w:marRight w:val="0"/>
      <w:marTop w:val="0"/>
      <w:marBottom w:val="0"/>
      <w:divBdr>
        <w:top w:val="none" w:sz="0" w:space="0" w:color="auto"/>
        <w:left w:val="none" w:sz="0" w:space="0" w:color="auto"/>
        <w:bottom w:val="none" w:sz="0" w:space="0" w:color="auto"/>
        <w:right w:val="none" w:sz="0" w:space="0" w:color="auto"/>
      </w:divBdr>
    </w:div>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627320154">
          <w:marLeft w:val="547"/>
          <w:marRight w:val="0"/>
          <w:marTop w:val="120"/>
          <w:marBottom w:val="120"/>
          <w:divBdr>
            <w:top w:val="none" w:sz="0" w:space="0" w:color="auto"/>
            <w:left w:val="none" w:sz="0" w:space="0" w:color="auto"/>
            <w:bottom w:val="none" w:sz="0" w:space="0" w:color="auto"/>
            <w:right w:val="none" w:sz="0" w:space="0" w:color="auto"/>
          </w:divBdr>
        </w:div>
        <w:div w:id="437221792">
          <w:marLeft w:val="547"/>
          <w:marRight w:val="0"/>
          <w:marTop w:val="120"/>
          <w:marBottom w:val="120"/>
          <w:divBdr>
            <w:top w:val="none" w:sz="0" w:space="0" w:color="auto"/>
            <w:left w:val="none" w:sz="0" w:space="0" w:color="auto"/>
            <w:bottom w:val="none" w:sz="0" w:space="0" w:color="auto"/>
            <w:right w:val="none" w:sz="0" w:space="0" w:color="auto"/>
          </w:divBdr>
        </w:div>
      </w:divsChild>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467972504">
          <w:marLeft w:val="547"/>
          <w:marRight w:val="0"/>
          <w:marTop w:val="120"/>
          <w:marBottom w:val="120"/>
          <w:divBdr>
            <w:top w:val="none" w:sz="0" w:space="0" w:color="auto"/>
            <w:left w:val="none" w:sz="0" w:space="0" w:color="auto"/>
            <w:bottom w:val="none" w:sz="0" w:space="0" w:color="auto"/>
            <w:right w:val="none" w:sz="0" w:space="0" w:color="auto"/>
          </w:divBdr>
        </w:div>
        <w:div w:id="1093010987">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554805026">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910724800">
          <w:marLeft w:val="547"/>
          <w:marRight w:val="0"/>
          <w:marTop w:val="120"/>
          <w:marBottom w:val="120"/>
          <w:divBdr>
            <w:top w:val="none" w:sz="0" w:space="0" w:color="auto"/>
            <w:left w:val="none" w:sz="0" w:space="0" w:color="auto"/>
            <w:bottom w:val="none" w:sz="0" w:space="0" w:color="auto"/>
            <w:right w:val="none" w:sz="0" w:space="0" w:color="auto"/>
          </w:divBdr>
        </w:div>
        <w:div w:id="1334718046">
          <w:marLeft w:val="547"/>
          <w:marRight w:val="0"/>
          <w:marTop w:val="120"/>
          <w:marBottom w:val="120"/>
          <w:divBdr>
            <w:top w:val="none" w:sz="0" w:space="0" w:color="auto"/>
            <w:left w:val="none" w:sz="0" w:space="0" w:color="auto"/>
            <w:bottom w:val="none" w:sz="0" w:space="0" w:color="auto"/>
            <w:right w:val="none" w:sz="0" w:space="0" w:color="auto"/>
          </w:divBdr>
        </w:div>
      </w:divsChild>
    </w:div>
    <w:div w:id="1503087984">
      <w:bodyDiv w:val="1"/>
      <w:marLeft w:val="0"/>
      <w:marRight w:val="0"/>
      <w:marTop w:val="0"/>
      <w:marBottom w:val="0"/>
      <w:divBdr>
        <w:top w:val="none" w:sz="0" w:space="0" w:color="auto"/>
        <w:left w:val="none" w:sz="0" w:space="0" w:color="auto"/>
        <w:bottom w:val="none" w:sz="0" w:space="0" w:color="auto"/>
        <w:right w:val="none" w:sz="0" w:space="0" w:color="auto"/>
      </w:divBdr>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2013868382">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1322007622">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384447457">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sma.europa.e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esma.europa.eu/legal-noti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sherpa.esma.europa.eu/sites/MKT/SMK/_layouts/15/DocIdRedir.aspx?ID=ESMA70-156-1484"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olicy Document" ma:contentTypeID="0x01010001BD15C3986B91498E0AE644B715B9EE010D00757D222C6B0DA241B5F74437644107D4" ma:contentTypeVersion="16" ma:contentTypeDescription="" ma:contentTypeScope="" ma:versionID="60d58daf62131746c3ac1b9b4e2bb79e">
  <xsd:schema xmlns:xsd="http://www.w3.org/2001/XMLSchema" xmlns:xs="http://www.w3.org/2001/XMLSchema" xmlns:p="http://schemas.microsoft.com/office/2006/metadata/properties" xmlns:ns1="http://schemas.microsoft.com/sharepoint/v3" xmlns:ns2="20fbe147-bbda-4e53-b6b1-7e8bbff3fe19" xmlns:ns3="http://schemas.microsoft.com/sharepoint/v4" targetNamespace="http://schemas.microsoft.com/office/2006/metadata/properties" ma:root="true" ma:fieldsID="784e366caaeed31c75d3039e996262f4" ns1:_="" ns2:_="" ns3:_="">
    <xsd:import namespace="http://schemas.microsoft.com/sharepoint/v3"/>
    <xsd:import namespace="20fbe147-bbda-4e53-b6b1-7e8bbff3fe19"/>
    <xsd:import namespace="http://schemas.microsoft.com/sharepoint/v4"/>
    <xsd:element name="properties">
      <xsd:complexType>
        <xsd:sequence>
          <xsd:element name="documentManagement">
            <xsd:complexType>
              <xsd:all>
                <xsd:element ref="ns2:_dlc_DocIdPersistId" minOccurs="0"/>
                <xsd:element ref="ns2:TaxCatchAll" minOccurs="0"/>
                <xsd:element ref="ns2:TaxCatchAllLabel"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element ref="ns2:eed0a0b2ea6941718a34434e243f3d8f" minOccurs="0"/>
                <xsd:element ref="ns2:j69a081f486747f6ac8a5aeed63facfd" minOccurs="0"/>
                <xsd:element ref="ns2:Year"/>
                <xsd:element ref="ns2:a9b3b1dad23b4ba58c3f3e36a96e1d9c" minOccurs="0"/>
                <xsd:element ref="ns2:MeetingDate"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Declared Record" ma:hidden="true" ma:internalName="_vti_ItemDeclaredRecord" ma:readOnly="true">
      <xsd:simpleType>
        <xsd:restriction base="dms:DateTime"/>
      </xsd:simpleType>
    </xsd:element>
    <xsd:element name="_vti_ItemHoldRecordStatus" ma:index="2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_dlc_DocIdPersistId" ma:index="4" nillable="true" ma:displayName="Persist ID" ma:description="Keep ID on add." ma:hidden="true" ma:internalName="_dlc_DocIdPersistId" ma:readOnly="true">
      <xsd:simpleType>
        <xsd:restriction base="dms:Boolean"/>
      </xsd:simpleType>
    </xsd:element>
    <xsd:element name="TaxCatchAll" ma:index="5"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12" ma:taxonomy="true" ma:internalName="caa5aeb1a6644849b60fbe2335e12657" ma:taxonomyFieldName="Topic" ma:displayName="Topic" ma:default="" ma:fieldId="{caa5aeb1-a664-4849-b60f-be2335e12657}" ma:sspId="0ac1876e-32bf-4158-94e7-cdbcd053a335" ma:termSetId="7b949606-90e2-4f49-8484-424f131284b3" ma:anchorId="00000000-0000-0000-0000-000000000000" ma:open="false" ma:isKeyword="false">
      <xsd:complexType>
        <xsd:sequence>
          <xsd:element ref="pc:Terms" minOccurs="0" maxOccurs="1"/>
        </xsd:sequence>
      </xsd:complexType>
    </xsd:element>
    <xsd:element name="n644e5dfaa29486bad4a4fc019c6d2df" ma:index="14" nillable="true" ma:taxonomy="true" ma:internalName="n644e5dfaa29486bad4a4fc019c6d2df" ma:taxonomyFieldName="SubTopic" ma:displayName="Sub Topic" ma:readOnly="false" ma:default="" ma:fieldId="{7644e5df-aa29-486b-ad4a-4fc019c6d2df}" ma:sspId="0ac1876e-32bf-4158-94e7-cdbcd053a335" ma:termSetId="c9d88329-36bd-4ba5-881c-dae898303a52" ma:anchorId="00000000-0000-0000-0000-000000000000" ma:open="false" ma:isKeyword="false">
      <xsd:complexType>
        <xsd:sequence>
          <xsd:element ref="pc:Terms" minOccurs="0" maxOccurs="1"/>
        </xsd:sequence>
      </xsd:complexType>
    </xsd:element>
    <xsd:element name="bce29119141747ccb9ac7d87218ed4af" ma:index="16" ma:taxonomy="true" ma:internalName="bce29119141747ccb9ac7d87218ed4af" ma:taxonomyFieldName="TeamName" ma:displayName="Team Name" ma:readOnly="false" ma:default="5;#Secondary Markets|64c18f63-8e0f-46d8-84d6-b5a5f7a39938"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eed0a0b2ea6941718a34434e243f3d8f" ma:index="19"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21" ma:taxonomy="true" ma:internalName="j69a081f486747f6ac8a5aeed63facfd" ma:taxonomyFieldName="ConfidentialityLevel" ma:displayName="Confidentiality Level" ma:readOnly="false" ma:default="14;#Regular|07f1e362-856b-423d-bea6-a14079762141"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Year" ma:index="23" ma:displayName="Year" ma:description="" ma:internalName="Year" ma:readOnly="false">
      <xsd:simpleType>
        <xsd:restriction base="dms:Text">
          <xsd:maxLength value="4"/>
        </xsd:restriction>
      </xsd:simpleType>
    </xsd:element>
    <xsd:element name="a9b3b1dad23b4ba58c3f3e36a96e1d9c" ma:index="24"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eetingDate" ma:index="26" nillable="true" ma:displayName="Meeting Date" ma:description=""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20fbe147-bbda-4e53-b6b1-7e8bbff3fe19">ESMA70-156-4577</_dlc_DocId>
    <TaxCatchAll xmlns="20fbe147-bbda-4e53-b6b1-7e8bbff3fe19">
      <Value>48</Value>
      <Value>5</Value>
      <Value>14</Value>
      <Value>12</Value>
      <Value>384</Value>
    </TaxCatchAll>
    <_dlc_DocIdUrl xmlns="20fbe147-bbda-4e53-b6b1-7e8bbff3fe19">
      <Url>https://sherpa.esma.europa.eu/sites/MKT/SMK/_layouts/15/DocIdRedir.aspx?ID=ESMA70-156-4577</Url>
      <Description>ESMA70-156-4577</Description>
    </_dlc_DocIdUrl>
    <Year xmlns="20fbe147-bbda-4e53-b6b1-7e8bbff3fe19">2020</Year>
    <MeetingDate xmlns="20fbe147-bbda-4e53-b6b1-7e8bbff3fe19" xsi:nil="true"/>
    <IconOverlay xmlns="http://schemas.microsoft.com/sharepoint/v4"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Commodity</TermName>
          <TermId xmlns="http://schemas.microsoft.com/office/infopath/2007/PartnerControls">729cc5dc-fc40-4e6f-89b7-0bed773f437e</TermId>
        </TermInfo>
      </Terms>
    </caa5aeb1a6644849b60fbe2335e12657>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Secondary Markets</TermName>
          <TermId xmlns="http://schemas.microsoft.com/office/infopath/2007/PartnerControls">64c18f63-8e0f-46d8-84d6-b5a5f7a39938</TermId>
        </TermInfo>
      </Terms>
    </bce29119141747ccb9ac7d87218ed4af>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a9b3b1dad23b4ba58c3f3e36a96e1d9c xmlns="20fbe147-bbda-4e53-b6b1-7e8bbff3fe19">
      <Terms xmlns="http://schemas.microsoft.com/office/infopath/2007/PartnerControls"/>
    </a9b3b1dad23b4ba58c3f3e36a96e1d9c>
    <n644e5dfaa29486bad4a4fc019c6d2df xmlns="20fbe147-bbda-4e53-b6b1-7e8bbff3fe19">
      <Terms xmlns="http://schemas.microsoft.com/office/infopath/2007/PartnerControls">
        <TermInfo xmlns="http://schemas.microsoft.com/office/infopath/2007/PartnerControls">
          <TermName xmlns="http://schemas.microsoft.com/office/infopath/2007/PartnerControls">Commodity - Amendment RTS 21</TermName>
          <TermId xmlns="http://schemas.microsoft.com/office/infopath/2007/PartnerControls">57d21c49-400b-4151-a958-bb4978c24367</TermId>
        </TermInfo>
      </Term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78753201-1e9e-4a21-a088-6ff602b5c999</TermId>
        </TermInfo>
      </Terms>
    </eed0a0b2ea6941718a34434e243f3d8f>
  </documentManagement>
</p:properties>
</file>

<file path=customXml/itemProps1.xml><?xml version="1.0" encoding="utf-8"?>
<ds:datastoreItem xmlns:ds="http://schemas.openxmlformats.org/officeDocument/2006/customXml" ds:itemID="{FC2455EB-3D3A-4C02-9873-6A72D376E4F0}">
  <ds:schemaRefs>
    <ds:schemaRef ds:uri="http://schemas.microsoft.com/sharepoint/v3/contenttype/forms"/>
  </ds:schemaRefs>
</ds:datastoreItem>
</file>

<file path=customXml/itemProps2.xml><?xml version="1.0" encoding="utf-8"?>
<ds:datastoreItem xmlns:ds="http://schemas.openxmlformats.org/officeDocument/2006/customXml" ds:itemID="{4F80F4C4-F0A0-4061-B9D6-D46D7D39BCD2}">
  <ds:schemaRefs>
    <ds:schemaRef ds:uri="http://schemas.openxmlformats.org/officeDocument/2006/bibliography"/>
  </ds:schemaRefs>
</ds:datastoreItem>
</file>

<file path=customXml/itemProps3.xml><?xml version="1.0" encoding="utf-8"?>
<ds:datastoreItem xmlns:ds="http://schemas.openxmlformats.org/officeDocument/2006/customXml" ds:itemID="{CC9D69CF-149B-4D2F-89A2-279037685A12}">
  <ds:schemaRefs>
    <ds:schemaRef ds:uri="http://schemas.microsoft.com/sharepoint/events"/>
  </ds:schemaRefs>
</ds:datastoreItem>
</file>

<file path=customXml/itemProps4.xml><?xml version="1.0" encoding="utf-8"?>
<ds:datastoreItem xmlns:ds="http://schemas.openxmlformats.org/officeDocument/2006/customXml" ds:itemID="{DA66DDF4-AF59-4802-B20A-1D51C1856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37F5EE-E87B-49CE-96B5-F95CE63A0DF2}">
  <ds:schemaRefs>
    <ds:schemaRef ds:uri="http://purl.org/dc/terms/"/>
    <ds:schemaRef ds:uri="20fbe147-bbda-4e53-b6b1-7e8bbff3fe1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GuidelinesAndRecommendations_Template_Regular.dotx</Template>
  <TotalTime>15</TotalTime>
  <Pages>11</Pages>
  <Words>2504</Words>
  <Characters>14274</Characters>
  <Application>Microsoft Office Word</Application>
  <DocSecurity>8</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16745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Alina.Dragomir@esma.europa.eu</dc:creator>
  <cp:keywords/>
  <cp:lastModifiedBy>Stella BENFATTO</cp:lastModifiedBy>
  <cp:revision>2</cp:revision>
  <cp:lastPrinted>2017-07-24T14:47:00Z</cp:lastPrinted>
  <dcterms:created xsi:type="dcterms:W3CDTF">2021-07-23T14:38:00Z</dcterms:created>
  <dcterms:modified xsi:type="dcterms:W3CDTF">2021-07-23T14:38:00Z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ConfidentialityLevel">
    <vt:lpwstr>14;#Regular|07f1e362-856b-423d-bea6-a14079762141</vt:lpwstr>
  </property>
  <property fmtid="{D5CDD505-2E9C-101B-9397-08002B2CF9AE}" pid="4" name="ContentTypeId">
    <vt:lpwstr>0x01010001BD15C3986B91498E0AE644B715B9EE010D00757D222C6B0DA241B5F74437644107D4</vt:lpwstr>
  </property>
  <property fmtid="{D5CDD505-2E9C-101B-9397-08002B2CF9AE}" pid="5" name="_dlc_DocIdItemGuid">
    <vt:lpwstr>5b95199f-719f-4c46-9786-4f9cd391e66a</vt:lpwstr>
  </property>
  <property fmtid="{D5CDD505-2E9C-101B-9397-08002B2CF9AE}" pid="6" name="DocumentType">
    <vt:lpwstr>12;#Report|78753201-1e9e-4a21-a088-6ff602b5c999</vt:lpwstr>
  </property>
  <property fmtid="{D5CDD505-2E9C-101B-9397-08002B2CF9AE}" pid="7" name="Topic">
    <vt:lpwstr>48;#Commodity|729cc5dc-fc40-4e6f-89b7-0bed773f437e</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5;#Secondary Markets|64c18f63-8e0f-46d8-84d6-b5a5f7a39938</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SubTopic">
    <vt:lpwstr>384;#Commodity - Amendment RTS 21|57d21c49-400b-4151-a958-bb4978c24367</vt:lpwstr>
  </property>
  <property fmtid="{D5CDD505-2E9C-101B-9397-08002B2CF9AE}" pid="18" name="TeamTopic">
    <vt:lpwstr>87;#Other Work|f1a52b52-917d-42ef-9667-945839604bb2</vt:lpwstr>
  </property>
</Properties>
</file>