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F69ABFC" w:rsidR="00C85C8B" w:rsidRPr="00C85C8B" w:rsidRDefault="00E0294E" w:rsidP="00C85C8B">
                <w:pPr>
                  <w:rPr>
                    <w:rFonts w:ascii="Arial" w:hAnsi="Arial" w:cs="Arial"/>
                    <w:color w:val="808080"/>
                    <w:sz w:val="20"/>
                    <w:lang w:eastAsia="de-DE"/>
                  </w:rPr>
                </w:pPr>
                <w:r>
                  <w:rPr>
                    <w:rFonts w:ascii="Arial" w:hAnsi="Arial" w:cs="Arial"/>
                    <w:color w:val="808080"/>
                    <w:sz w:val="20"/>
                    <w:lang w:eastAsia="de-DE"/>
                  </w:rPr>
                  <w:t>E</w:t>
                </w:r>
                <w:r w:rsidRPr="004229DA">
                  <w:rPr>
                    <w:rFonts w:ascii="Arial" w:hAnsi="Arial" w:cs="Arial"/>
                    <w:color w:val="808080"/>
                    <w:sz w:val="20"/>
                    <w:lang w:eastAsia="de-DE"/>
                  </w:rPr>
                  <w:t>uropean Federation of Energy Traders (EFET)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522A3E7" w:rsidR="00C85C8B" w:rsidRPr="00C85C8B" w:rsidRDefault="004819C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83036">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31A69D0" w:rsidR="00C85C8B" w:rsidRPr="00C85C8B" w:rsidRDefault="00A8303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F228A34" w:rsidR="00C85C8B" w:rsidRPr="00C85C8B" w:rsidRDefault="00F7180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02AF2FF9" w14:textId="2D79ED06" w:rsidR="00C85C8B" w:rsidRDefault="00DF5CF4" w:rsidP="00DF5CF4">
      <w:pPr>
        <w:spacing w:after="250" w:line="276" w:lineRule="auto"/>
        <w:jc w:val="both"/>
        <w:rPr>
          <w:rFonts w:ascii="Arial" w:eastAsiaTheme="minorEastAsia" w:hAnsi="Arial" w:cs="Arial"/>
          <w:sz w:val="22"/>
          <w:szCs w:val="20"/>
          <w:lang w:eastAsia="en-US"/>
        </w:rPr>
      </w:pPr>
      <w:permStart w:id="885457707" w:edGrp="everyone"/>
      <w:r w:rsidRPr="00DF5CF4">
        <w:rPr>
          <w:rFonts w:ascii="Arial" w:eastAsiaTheme="minorEastAsia" w:hAnsi="Arial" w:cs="Arial"/>
          <w:sz w:val="22"/>
          <w:szCs w:val="20"/>
          <w:lang w:eastAsia="en-US"/>
        </w:rPr>
        <w:t>The European Federation of Energy Traders (EFET) promotes and facilitates European energy trading in open, transparent and</w:t>
      </w:r>
      <w:r>
        <w:rPr>
          <w:rFonts w:ascii="Arial" w:eastAsiaTheme="minorEastAsia" w:hAnsi="Arial" w:cs="Arial"/>
          <w:sz w:val="22"/>
          <w:szCs w:val="20"/>
          <w:lang w:eastAsia="en-US"/>
        </w:rPr>
        <w:t xml:space="preserve"> </w:t>
      </w:r>
      <w:r w:rsidRPr="00DF5CF4">
        <w:rPr>
          <w:rFonts w:ascii="Arial" w:eastAsiaTheme="minorEastAsia" w:hAnsi="Arial" w:cs="Arial"/>
          <w:sz w:val="22"/>
          <w:szCs w:val="20"/>
          <w:lang w:eastAsia="en-US"/>
        </w:rPr>
        <w:t>liquid wholesale markets, unhindered by national borders or other undue obstacles. We build trust in power and gas markets</w:t>
      </w:r>
      <w:r>
        <w:rPr>
          <w:rFonts w:ascii="Arial" w:eastAsiaTheme="minorEastAsia" w:hAnsi="Arial" w:cs="Arial"/>
          <w:sz w:val="22"/>
          <w:szCs w:val="20"/>
          <w:lang w:eastAsia="en-US"/>
        </w:rPr>
        <w:t xml:space="preserve"> </w:t>
      </w:r>
      <w:r w:rsidRPr="00DF5CF4">
        <w:rPr>
          <w:rFonts w:ascii="Arial" w:eastAsiaTheme="minorEastAsia" w:hAnsi="Arial" w:cs="Arial"/>
          <w:sz w:val="22"/>
          <w:szCs w:val="20"/>
          <w:lang w:eastAsia="en-US"/>
        </w:rPr>
        <w:t>across Europe, so that they may underpin a sustainable and secure energy supply and enable the transition to a carbon neutral</w:t>
      </w:r>
      <w:r>
        <w:rPr>
          <w:rFonts w:ascii="Arial" w:eastAsiaTheme="minorEastAsia" w:hAnsi="Arial" w:cs="Arial"/>
          <w:sz w:val="22"/>
          <w:szCs w:val="20"/>
          <w:lang w:eastAsia="en-US"/>
        </w:rPr>
        <w:t xml:space="preserve"> </w:t>
      </w:r>
      <w:r w:rsidRPr="00DF5CF4">
        <w:rPr>
          <w:rFonts w:ascii="Arial" w:eastAsiaTheme="minorEastAsia" w:hAnsi="Arial" w:cs="Arial"/>
          <w:sz w:val="22"/>
          <w:szCs w:val="20"/>
          <w:lang w:eastAsia="en-US"/>
        </w:rPr>
        <w:t>economy. EFET currently represents more than 100 energy trading companies, active in over 27 European countries.</w:t>
      </w:r>
    </w:p>
    <w:p w14:paraId="3986C251" w14:textId="37F6EBA1" w:rsidR="007B72DD" w:rsidRPr="00C85C8B" w:rsidRDefault="007B72DD" w:rsidP="00DF5CF4">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We would like to thank ESMA for the opportunity to reply to its proposals on t</w:t>
      </w:r>
      <w:r w:rsidRPr="007B72DD">
        <w:rPr>
          <w:rFonts w:ascii="Arial" w:eastAsiaTheme="minorEastAsia" w:hAnsi="Arial" w:cs="Arial"/>
          <w:sz w:val="22"/>
          <w:szCs w:val="20"/>
          <w:lang w:eastAsia="en-US"/>
        </w:rPr>
        <w:t>echnical standards for commodity derivatives</w:t>
      </w:r>
      <w:r>
        <w:rPr>
          <w:rFonts w:ascii="Arial" w:eastAsiaTheme="minorEastAsia" w:hAnsi="Arial" w:cs="Arial"/>
          <w:sz w:val="22"/>
          <w:szCs w:val="20"/>
          <w:lang w:eastAsia="en-US"/>
        </w:rPr>
        <w:t>. We generally agree and support the amendments brought by the Agency</w:t>
      </w:r>
      <w:r w:rsidR="001C6278">
        <w:rPr>
          <w:rFonts w:ascii="Arial" w:eastAsiaTheme="minorEastAsia" w:hAnsi="Arial" w:cs="Arial"/>
          <w:sz w:val="22"/>
          <w:szCs w:val="20"/>
          <w:lang w:eastAsia="en-US"/>
        </w:rPr>
        <w:t xml:space="preserve">. In some instances, we would like further clarifications </w:t>
      </w:r>
      <w:r w:rsidR="003E4F1B">
        <w:rPr>
          <w:rFonts w:ascii="Arial" w:eastAsiaTheme="minorEastAsia" w:hAnsi="Arial" w:cs="Arial"/>
          <w:sz w:val="22"/>
          <w:szCs w:val="20"/>
          <w:lang w:eastAsia="en-US"/>
        </w:rPr>
        <w:t xml:space="preserve">and </w:t>
      </w:r>
      <w:r w:rsidR="00DF5BA1">
        <w:rPr>
          <w:rFonts w:ascii="Arial" w:eastAsiaTheme="minorEastAsia" w:hAnsi="Arial" w:cs="Arial"/>
          <w:sz w:val="22"/>
          <w:szCs w:val="20"/>
          <w:lang w:eastAsia="en-US"/>
        </w:rPr>
        <w:t xml:space="preserve">we have added some </w:t>
      </w:r>
      <w:r w:rsidR="00EA300B">
        <w:rPr>
          <w:rFonts w:ascii="Arial" w:eastAsiaTheme="minorEastAsia" w:hAnsi="Arial" w:cs="Arial"/>
          <w:sz w:val="22"/>
          <w:szCs w:val="20"/>
          <w:lang w:eastAsia="en-US"/>
        </w:rPr>
        <w:t xml:space="preserve">modifications that we </w:t>
      </w:r>
      <w:r w:rsidR="005F32E4">
        <w:rPr>
          <w:rFonts w:ascii="Arial" w:eastAsiaTheme="minorEastAsia" w:hAnsi="Arial" w:cs="Arial"/>
          <w:sz w:val="22"/>
          <w:szCs w:val="20"/>
          <w:lang w:eastAsia="en-US"/>
        </w:rPr>
        <w:t xml:space="preserve">strongly </w:t>
      </w:r>
      <w:r w:rsidR="00EA300B">
        <w:rPr>
          <w:rFonts w:ascii="Arial" w:eastAsiaTheme="minorEastAsia" w:hAnsi="Arial" w:cs="Arial"/>
          <w:sz w:val="22"/>
          <w:szCs w:val="20"/>
          <w:lang w:eastAsia="en-US"/>
        </w:rPr>
        <w:t>think would improve the RTS</w:t>
      </w:r>
      <w:r w:rsidR="00DF5BA1">
        <w:rPr>
          <w:rFonts w:ascii="Arial" w:eastAsiaTheme="minorEastAsia" w:hAnsi="Arial" w:cs="Arial"/>
          <w:sz w:val="22"/>
          <w:szCs w:val="20"/>
          <w:lang w:eastAsia="en-US"/>
        </w:rPr>
        <w:t>.</w:t>
      </w:r>
    </w:p>
    <w:permEnd w:id="885457707"/>
    <w:p w14:paraId="15D00E65" w14:textId="0F837A3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306B65F" w14:textId="1C915404" w:rsidR="003C1616" w:rsidRDefault="005B2D25" w:rsidP="001F23C9">
      <w:pPr>
        <w:rPr>
          <w:rFonts w:ascii="Arial" w:hAnsi="Arial" w:cs="Arial"/>
        </w:rPr>
      </w:pPr>
      <w:permStart w:id="87702194" w:edGrp="everyone"/>
      <w:r w:rsidRPr="005B2D25">
        <w:rPr>
          <w:rFonts w:ascii="Arial" w:hAnsi="Arial" w:cs="Arial"/>
        </w:rPr>
        <w:t>Yes</w:t>
      </w:r>
      <w:r>
        <w:rPr>
          <w:rFonts w:ascii="Arial" w:hAnsi="Arial" w:cs="Arial"/>
        </w:rPr>
        <w:t>, EFET agrees with the ESMA proposal</w:t>
      </w:r>
      <w:r w:rsidRPr="005B2D25">
        <w:rPr>
          <w:rFonts w:ascii="Arial" w:hAnsi="Arial" w:cs="Arial"/>
        </w:rPr>
        <w:t xml:space="preserve">. </w:t>
      </w:r>
      <w:r w:rsidR="003C1616">
        <w:rPr>
          <w:rFonts w:ascii="Arial" w:hAnsi="Arial" w:cs="Arial"/>
        </w:rPr>
        <w:t>S</w:t>
      </w:r>
      <w:r w:rsidRPr="005B2D25">
        <w:rPr>
          <w:rFonts w:ascii="Arial" w:hAnsi="Arial" w:cs="Arial"/>
        </w:rPr>
        <w:t xml:space="preserve">ince the commodity derivatives entered into by </w:t>
      </w:r>
      <w:r w:rsidR="003C1616">
        <w:rPr>
          <w:rFonts w:ascii="Arial" w:hAnsi="Arial" w:cs="Arial"/>
        </w:rPr>
        <w:t xml:space="preserve">a </w:t>
      </w:r>
      <w:r w:rsidRPr="005B2D25">
        <w:rPr>
          <w:rFonts w:ascii="Arial" w:hAnsi="Arial" w:cs="Arial"/>
        </w:rPr>
        <w:t xml:space="preserve">financial company are aimed at reducing risks related to commercial activities of a non-financial company, the </w:t>
      </w:r>
      <w:r w:rsidRPr="00BD092C">
        <w:rPr>
          <w:rFonts w:ascii="Arial" w:hAnsi="Arial" w:cs="Arial"/>
          <w:i/>
          <w:iCs/>
        </w:rPr>
        <w:t>modus operandi</w:t>
      </w:r>
      <w:r w:rsidRPr="005B2D25">
        <w:rPr>
          <w:rFonts w:ascii="Arial" w:hAnsi="Arial" w:cs="Arial"/>
        </w:rPr>
        <w:t xml:space="preserve"> of the aggregation of positions should be the same as that of non -financial companies. Therefore, these positions should not be aggregated.</w:t>
      </w:r>
    </w:p>
    <w:permEnd w:id="87702194"/>
    <w:p w14:paraId="3E4B5260" w14:textId="414DDC3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1F290B04" w14:textId="5A59FDD1" w:rsidR="00580FEE" w:rsidRDefault="009C1C05" w:rsidP="001F23C9">
      <w:pPr>
        <w:rPr>
          <w:rFonts w:ascii="Arial" w:hAnsi="Arial" w:cs="Arial"/>
        </w:rPr>
      </w:pPr>
      <w:permStart w:id="1839020708" w:edGrp="everyone"/>
      <w:r>
        <w:rPr>
          <w:rFonts w:ascii="Arial" w:hAnsi="Arial" w:cs="Arial"/>
        </w:rPr>
        <w:t xml:space="preserve">EFET </w:t>
      </w:r>
      <w:r w:rsidR="00580FEE" w:rsidRPr="00580FEE">
        <w:rPr>
          <w:rFonts w:ascii="Arial" w:hAnsi="Arial" w:cs="Arial"/>
        </w:rPr>
        <w:t>agree</w:t>
      </w:r>
      <w:r>
        <w:rPr>
          <w:rFonts w:ascii="Arial" w:hAnsi="Arial" w:cs="Arial"/>
        </w:rPr>
        <w:t>s</w:t>
      </w:r>
      <w:r w:rsidR="00580FEE" w:rsidRPr="00580FEE">
        <w:rPr>
          <w:rFonts w:ascii="Arial" w:hAnsi="Arial" w:cs="Arial"/>
        </w:rPr>
        <w:t xml:space="preserve"> with this proposal.</w:t>
      </w:r>
      <w:r w:rsidR="0074297E" w:rsidRPr="0074297E">
        <w:t xml:space="preserve"> </w:t>
      </w:r>
      <w:r w:rsidR="0074297E">
        <w:rPr>
          <w:rFonts w:ascii="Arial" w:hAnsi="Arial" w:cs="Arial"/>
        </w:rPr>
        <w:t>S</w:t>
      </w:r>
      <w:r w:rsidR="0074297E" w:rsidRPr="0074297E">
        <w:rPr>
          <w:rFonts w:ascii="Arial" w:hAnsi="Arial" w:cs="Arial"/>
        </w:rPr>
        <w:t>ince the commodity derivatives entered into by the financial company are aimed at reducing risks related to the commercial activities of a non-financial company, the circumstances under which said positions may qualify as risk-reducing should replicate the circumstances set out in Article 7(1) regarding the positions held by NFEs.</w:t>
      </w:r>
    </w:p>
    <w:permEnd w:id="1839020708"/>
    <w:p w14:paraId="66FEC911" w14:textId="73A1BEF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42A9173B" w14:textId="7902BD88" w:rsidR="001F23C9" w:rsidRDefault="00E1349E" w:rsidP="001F23C9">
      <w:pPr>
        <w:rPr>
          <w:rFonts w:ascii="Arial" w:hAnsi="Arial" w:cs="Arial"/>
        </w:rPr>
      </w:pPr>
      <w:permStart w:id="1383364894" w:edGrp="everyone"/>
      <w:r>
        <w:rPr>
          <w:rFonts w:ascii="Arial" w:hAnsi="Arial" w:cs="Arial"/>
        </w:rPr>
        <w:t>EFET</w:t>
      </w:r>
      <w:r w:rsidR="008A6219" w:rsidRPr="008A6219">
        <w:rPr>
          <w:rFonts w:ascii="Arial" w:hAnsi="Arial" w:cs="Arial"/>
        </w:rPr>
        <w:t xml:space="preserve"> support</w:t>
      </w:r>
      <w:r>
        <w:rPr>
          <w:rFonts w:ascii="Arial" w:hAnsi="Arial" w:cs="Arial"/>
        </w:rPr>
        <w:t xml:space="preserve">s </w:t>
      </w:r>
      <w:r w:rsidR="008A6219" w:rsidRPr="008A6219">
        <w:rPr>
          <w:rFonts w:ascii="Arial" w:hAnsi="Arial" w:cs="Arial"/>
        </w:rPr>
        <w:t>this proposal</w:t>
      </w:r>
      <w:r w:rsidR="0036197B">
        <w:rPr>
          <w:rFonts w:ascii="Arial" w:hAnsi="Arial" w:cs="Arial"/>
        </w:rPr>
        <w:t xml:space="preserve"> to have </w:t>
      </w:r>
      <w:r w:rsidR="00460EFF">
        <w:rPr>
          <w:rFonts w:ascii="Arial" w:hAnsi="Arial" w:cs="Arial"/>
        </w:rPr>
        <w:t>the application</w:t>
      </w:r>
      <w:r w:rsidR="0036197B">
        <w:rPr>
          <w:rFonts w:ascii="Arial" w:hAnsi="Arial" w:cs="Arial"/>
        </w:rPr>
        <w:t xml:space="preserve"> </w:t>
      </w:r>
      <w:r w:rsidR="00E72823" w:rsidRPr="00E72823">
        <w:rPr>
          <w:rFonts w:ascii="Arial" w:hAnsi="Arial" w:cs="Arial"/>
        </w:rPr>
        <w:t xml:space="preserve">procedure </w:t>
      </w:r>
      <w:r w:rsidR="00F07673">
        <w:rPr>
          <w:rFonts w:ascii="Arial" w:hAnsi="Arial" w:cs="Arial"/>
        </w:rPr>
        <w:t xml:space="preserve">for financial entities </w:t>
      </w:r>
      <w:r w:rsidR="000E347E">
        <w:rPr>
          <w:rFonts w:ascii="Arial" w:hAnsi="Arial" w:cs="Arial"/>
        </w:rPr>
        <w:t>similar</w:t>
      </w:r>
      <w:r w:rsidR="00200E72">
        <w:rPr>
          <w:rFonts w:ascii="Arial" w:hAnsi="Arial" w:cs="Arial"/>
        </w:rPr>
        <w:t>,</w:t>
      </w:r>
      <w:r w:rsidR="000E347E">
        <w:rPr>
          <w:rFonts w:ascii="Arial" w:hAnsi="Arial" w:cs="Arial"/>
        </w:rPr>
        <w:t xml:space="preserve"> to the maximum </w:t>
      </w:r>
      <w:r w:rsidR="00134A76">
        <w:rPr>
          <w:rFonts w:ascii="Arial" w:hAnsi="Arial" w:cs="Arial"/>
        </w:rPr>
        <w:t>extent</w:t>
      </w:r>
      <w:r w:rsidR="000E347E">
        <w:rPr>
          <w:rFonts w:ascii="Arial" w:hAnsi="Arial" w:cs="Arial"/>
        </w:rPr>
        <w:t xml:space="preserve"> possible</w:t>
      </w:r>
      <w:r w:rsidR="00200E72">
        <w:rPr>
          <w:rFonts w:ascii="Arial" w:hAnsi="Arial" w:cs="Arial"/>
        </w:rPr>
        <w:t>,</w:t>
      </w:r>
      <w:r w:rsidR="000E347E">
        <w:rPr>
          <w:rFonts w:ascii="Arial" w:hAnsi="Arial" w:cs="Arial"/>
        </w:rPr>
        <w:t xml:space="preserve"> </w:t>
      </w:r>
      <w:r w:rsidR="0012127C">
        <w:rPr>
          <w:rFonts w:ascii="Arial" w:hAnsi="Arial" w:cs="Arial"/>
        </w:rPr>
        <w:t>as the</w:t>
      </w:r>
      <w:r w:rsidR="00E72823" w:rsidRPr="00E72823">
        <w:rPr>
          <w:rFonts w:ascii="Arial" w:hAnsi="Arial" w:cs="Arial"/>
        </w:rPr>
        <w:t xml:space="preserve"> non-financial companies.</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0EE4B201" w14:textId="44394F96" w:rsidR="001F23C9" w:rsidRDefault="00B15E5B" w:rsidP="001F23C9">
      <w:pPr>
        <w:rPr>
          <w:rFonts w:ascii="Arial" w:hAnsi="Arial" w:cs="Arial"/>
        </w:rPr>
      </w:pPr>
      <w:permStart w:id="1723492748" w:edGrp="everyone"/>
      <w:r>
        <w:rPr>
          <w:rFonts w:ascii="Arial" w:hAnsi="Arial" w:cs="Arial"/>
        </w:rPr>
        <w:t>EFET</w:t>
      </w:r>
      <w:r w:rsidRPr="00B15E5B">
        <w:rPr>
          <w:rFonts w:ascii="Arial" w:hAnsi="Arial" w:cs="Arial"/>
        </w:rPr>
        <w:t xml:space="preserve"> </w:t>
      </w:r>
      <w:r w:rsidR="00557F7C">
        <w:rPr>
          <w:rFonts w:ascii="Arial" w:hAnsi="Arial" w:cs="Arial"/>
        </w:rPr>
        <w:t>agrees with</w:t>
      </w:r>
      <w:r w:rsidRPr="00B15E5B">
        <w:rPr>
          <w:rFonts w:ascii="Arial" w:hAnsi="Arial" w:cs="Arial"/>
        </w:rPr>
        <w:t xml:space="preserve"> </w:t>
      </w:r>
      <w:r w:rsidR="004E2CBF">
        <w:rPr>
          <w:rFonts w:ascii="Arial" w:hAnsi="Arial" w:cs="Arial"/>
        </w:rPr>
        <w:t xml:space="preserve">the ESMA </w:t>
      </w:r>
      <w:r w:rsidRPr="00B15E5B">
        <w:rPr>
          <w:rFonts w:ascii="Arial" w:hAnsi="Arial" w:cs="Arial"/>
        </w:rPr>
        <w:t>proposal</w:t>
      </w:r>
      <w:r w:rsidR="00EB6976" w:rsidRPr="00EB6976">
        <w:t xml:space="preserve"> </w:t>
      </w:r>
      <w:r w:rsidR="004E2CBF" w:rsidRPr="004E2CBF">
        <w:rPr>
          <w:rFonts w:ascii="Arial" w:hAnsi="Arial" w:cs="Arial"/>
        </w:rPr>
        <w:t xml:space="preserve">on the application procedure </w:t>
      </w:r>
      <w:r w:rsidR="004E2CBF" w:rsidRPr="00EB6976">
        <w:rPr>
          <w:rFonts w:ascii="Arial" w:hAnsi="Arial" w:cs="Arial"/>
        </w:rPr>
        <w:t xml:space="preserve">for </w:t>
      </w:r>
      <w:r w:rsidR="00EB6976" w:rsidRPr="00EB6976">
        <w:rPr>
          <w:rFonts w:ascii="Arial" w:hAnsi="Arial" w:cs="Arial"/>
        </w:rPr>
        <w:t>mandatory liquidity provision exemption</w:t>
      </w:r>
      <w:r w:rsidR="00724629">
        <w:rPr>
          <w:rFonts w:ascii="Arial" w:hAnsi="Arial" w:cs="Arial"/>
        </w:rPr>
        <w:t>, as we consider that</w:t>
      </w:r>
      <w:r w:rsidR="00724629" w:rsidRPr="00724629">
        <w:t xml:space="preserve"> </w:t>
      </w:r>
      <w:r w:rsidR="00724629" w:rsidRPr="00724629">
        <w:rPr>
          <w:rFonts w:ascii="Arial" w:hAnsi="Arial" w:cs="Arial"/>
        </w:rPr>
        <w:t>the information requested is necessary to prove the nature and purpose of the positions.</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54EFA387" w14:textId="76D28EFC" w:rsidR="001F23C9" w:rsidRDefault="00557F7C" w:rsidP="001F23C9">
      <w:pPr>
        <w:rPr>
          <w:rFonts w:ascii="Arial" w:hAnsi="Arial" w:cs="Arial"/>
        </w:rPr>
      </w:pPr>
      <w:permStart w:id="377302903" w:edGrp="everyone"/>
      <w:r>
        <w:rPr>
          <w:rFonts w:ascii="Arial" w:hAnsi="Arial" w:cs="Arial"/>
        </w:rPr>
        <w:t xml:space="preserve">EFET </w:t>
      </w:r>
      <w:r w:rsidR="00134A76">
        <w:rPr>
          <w:rFonts w:ascii="Arial" w:hAnsi="Arial" w:cs="Arial"/>
        </w:rPr>
        <w:t>agrees</w:t>
      </w:r>
      <w:r>
        <w:rPr>
          <w:rFonts w:ascii="Arial" w:hAnsi="Arial" w:cs="Arial"/>
        </w:rPr>
        <w:t xml:space="preserve"> with </w:t>
      </w:r>
      <w:r w:rsidR="00100B13">
        <w:rPr>
          <w:rFonts w:ascii="Arial" w:hAnsi="Arial" w:cs="Arial"/>
        </w:rPr>
        <w:t>the ESMA proposal on qualifying position</w:t>
      </w:r>
      <w:r w:rsidR="00E42881">
        <w:rPr>
          <w:rFonts w:ascii="Arial" w:hAnsi="Arial" w:cs="Arial"/>
        </w:rPr>
        <w:t>s.</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1CC9618F" w14:textId="33BFC300" w:rsidR="001F23C9" w:rsidRDefault="00F50057" w:rsidP="001F23C9">
      <w:pPr>
        <w:rPr>
          <w:rFonts w:ascii="Arial" w:hAnsi="Arial" w:cs="Arial"/>
        </w:rPr>
      </w:pPr>
      <w:permStart w:id="1290170203" w:edGrp="everyone"/>
      <w:r>
        <w:rPr>
          <w:rFonts w:ascii="Arial" w:hAnsi="Arial" w:cs="Arial"/>
        </w:rPr>
        <w:t xml:space="preserve">EFET </w:t>
      </w:r>
      <w:r w:rsidR="00134A76">
        <w:rPr>
          <w:rFonts w:ascii="Arial" w:hAnsi="Arial" w:cs="Arial"/>
        </w:rPr>
        <w:t>agrees</w:t>
      </w:r>
      <w:r>
        <w:rPr>
          <w:rFonts w:ascii="Arial" w:hAnsi="Arial" w:cs="Arial"/>
        </w:rPr>
        <w:t xml:space="preserve"> with the ESMA proposal </w:t>
      </w:r>
      <w:r w:rsidR="002601D8">
        <w:rPr>
          <w:rFonts w:ascii="Arial" w:hAnsi="Arial" w:cs="Arial"/>
        </w:rPr>
        <w:t>for</w:t>
      </w:r>
      <w:r>
        <w:rPr>
          <w:rFonts w:ascii="Arial" w:hAnsi="Arial" w:cs="Arial"/>
        </w:rPr>
        <w:t xml:space="preserve"> defi</w:t>
      </w:r>
      <w:r w:rsidR="002601D8">
        <w:rPr>
          <w:rFonts w:ascii="Arial" w:hAnsi="Arial" w:cs="Arial"/>
        </w:rPr>
        <w:t>ni</w:t>
      </w:r>
      <w:r>
        <w:rPr>
          <w:rFonts w:ascii="Arial" w:hAnsi="Arial" w:cs="Arial"/>
        </w:rPr>
        <w:t>tion of financial entities</w:t>
      </w:r>
      <w:r w:rsidR="002601D8">
        <w:rPr>
          <w:rFonts w:ascii="Arial" w:hAnsi="Arial" w:cs="Arial"/>
        </w:rPr>
        <w:t>.</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02ED4414" w14:textId="77777777" w:rsidR="000C291F" w:rsidRDefault="00293FCC" w:rsidP="00293FCC">
      <w:permStart w:id="463824392" w:edGrp="everyone"/>
      <w:r>
        <w:rPr>
          <w:rFonts w:ascii="Arial" w:hAnsi="Arial" w:cs="Arial"/>
        </w:rPr>
        <w:t>EFET partially agrees with the ESMA proposal.</w:t>
      </w:r>
      <w:r w:rsidRPr="00293FCC">
        <w:t xml:space="preserve"> </w:t>
      </w:r>
    </w:p>
    <w:p w14:paraId="343D64D2" w14:textId="3DC3EA39" w:rsidR="00293FCC" w:rsidRPr="00293FCC" w:rsidRDefault="00293FCC" w:rsidP="00293FCC">
      <w:r>
        <w:rPr>
          <w:rFonts w:ascii="Arial" w:hAnsi="Arial" w:cs="Arial"/>
        </w:rPr>
        <w:t>We</w:t>
      </w:r>
      <w:r w:rsidRPr="00293FCC">
        <w:rPr>
          <w:rFonts w:ascii="Arial" w:hAnsi="Arial" w:cs="Arial"/>
        </w:rPr>
        <w:t xml:space="preserve"> </w:t>
      </w:r>
      <w:r>
        <w:rPr>
          <w:rFonts w:ascii="Arial" w:hAnsi="Arial" w:cs="Arial"/>
        </w:rPr>
        <w:t>support</w:t>
      </w:r>
      <w:r w:rsidRPr="00293FCC">
        <w:rPr>
          <w:rFonts w:ascii="Arial" w:hAnsi="Arial" w:cs="Arial"/>
        </w:rPr>
        <w:t xml:space="preserve"> the deletion of the reference to “the same commodity derivative” </w:t>
      </w:r>
      <w:r w:rsidR="005F580B" w:rsidRPr="005F580B">
        <w:rPr>
          <w:rFonts w:ascii="Arial" w:hAnsi="Arial" w:cs="Arial"/>
        </w:rPr>
        <w:t>in Article 3(1) of RTS 21</w:t>
      </w:r>
      <w:r w:rsidR="005F580B">
        <w:rPr>
          <w:rFonts w:ascii="Arial" w:hAnsi="Arial" w:cs="Arial"/>
        </w:rPr>
        <w:t xml:space="preserve"> </w:t>
      </w:r>
      <w:r w:rsidRPr="00293FCC">
        <w:rPr>
          <w:rFonts w:ascii="Arial" w:hAnsi="Arial" w:cs="Arial"/>
        </w:rPr>
        <w:t xml:space="preserve">and the treatment of </w:t>
      </w:r>
      <w:r w:rsidR="006123C5" w:rsidRPr="006123C5">
        <w:rPr>
          <w:rFonts w:ascii="Arial" w:hAnsi="Arial" w:cs="Arial"/>
        </w:rPr>
        <w:t>positions of commodity derivatives that are based on the same underlying and share almost the same specifications as the principal or main commodity derivative traded on the same trading venue, such as "minis" and "</w:t>
      </w:r>
      <w:proofErr w:type="spellStart"/>
      <w:r w:rsidR="006123C5" w:rsidRPr="006123C5">
        <w:rPr>
          <w:rFonts w:ascii="Arial" w:hAnsi="Arial" w:cs="Arial"/>
        </w:rPr>
        <w:t>balmos</w:t>
      </w:r>
      <w:proofErr w:type="spellEnd"/>
      <w:r w:rsidR="006123C5" w:rsidRPr="006123C5">
        <w:rPr>
          <w:rFonts w:ascii="Arial" w:hAnsi="Arial" w:cs="Arial"/>
        </w:rPr>
        <w:t>".</w:t>
      </w:r>
    </w:p>
    <w:p w14:paraId="79F4CB3A" w14:textId="7423B26A" w:rsidR="001F23C9" w:rsidRDefault="00293FCC" w:rsidP="00293FCC">
      <w:pPr>
        <w:rPr>
          <w:rFonts w:ascii="Arial" w:hAnsi="Arial" w:cs="Arial"/>
        </w:rPr>
      </w:pPr>
      <w:r w:rsidRPr="00293FCC">
        <w:rPr>
          <w:rFonts w:ascii="Arial" w:hAnsi="Arial" w:cs="Arial"/>
        </w:rPr>
        <w:t xml:space="preserve">However, </w:t>
      </w:r>
      <w:r w:rsidR="00E856CD">
        <w:rPr>
          <w:rFonts w:ascii="Arial" w:hAnsi="Arial" w:cs="Arial"/>
        </w:rPr>
        <w:t>EFET</w:t>
      </w:r>
      <w:r w:rsidRPr="00293FCC">
        <w:rPr>
          <w:rFonts w:ascii="Arial" w:hAnsi="Arial" w:cs="Arial"/>
        </w:rPr>
        <w:t xml:space="preserve"> </w:t>
      </w:r>
      <w:r w:rsidR="00E856CD">
        <w:rPr>
          <w:rFonts w:ascii="Arial" w:hAnsi="Arial" w:cs="Arial"/>
        </w:rPr>
        <w:t>disagrees</w:t>
      </w:r>
      <w:r w:rsidRPr="00293FCC">
        <w:rPr>
          <w:rFonts w:ascii="Arial" w:hAnsi="Arial" w:cs="Arial"/>
        </w:rPr>
        <w:t xml:space="preserve"> </w:t>
      </w:r>
      <w:r w:rsidR="00FF2745">
        <w:rPr>
          <w:rFonts w:ascii="Arial" w:hAnsi="Arial" w:cs="Arial"/>
        </w:rPr>
        <w:t>with the</w:t>
      </w:r>
      <w:r w:rsidRPr="00293FCC">
        <w:rPr>
          <w:rFonts w:ascii="Arial" w:hAnsi="Arial" w:cs="Arial"/>
        </w:rPr>
        <w:t xml:space="preserve"> </w:t>
      </w:r>
      <w:r w:rsidR="00FF2745" w:rsidRPr="00293FCC">
        <w:rPr>
          <w:rFonts w:ascii="Arial" w:hAnsi="Arial" w:cs="Arial"/>
        </w:rPr>
        <w:t>explicit</w:t>
      </w:r>
      <w:r w:rsidRPr="00293FCC">
        <w:rPr>
          <w:rFonts w:ascii="Arial" w:hAnsi="Arial" w:cs="Arial"/>
        </w:rPr>
        <w:t xml:space="preserve"> reference to “spread contracts”.</w:t>
      </w:r>
      <w:r w:rsidR="000C291F">
        <w:rPr>
          <w:rFonts w:ascii="Arial" w:hAnsi="Arial" w:cs="Arial"/>
        </w:rPr>
        <w:t xml:space="preserve"> </w:t>
      </w:r>
      <w:r w:rsidRPr="00293FCC">
        <w:rPr>
          <w:rFonts w:ascii="Arial" w:hAnsi="Arial" w:cs="Arial"/>
        </w:rPr>
        <w:t xml:space="preserve">The spread contracts are </w:t>
      </w:r>
      <w:r w:rsidR="000C291F">
        <w:rPr>
          <w:rFonts w:ascii="Arial" w:hAnsi="Arial" w:cs="Arial"/>
        </w:rPr>
        <w:t>NOT</w:t>
      </w:r>
      <w:r w:rsidRPr="00293FCC">
        <w:rPr>
          <w:rFonts w:ascii="Arial" w:hAnsi="Arial" w:cs="Arial"/>
        </w:rPr>
        <w:t xml:space="preserve"> actual contracts</w:t>
      </w:r>
      <w:r w:rsidR="000C291F">
        <w:rPr>
          <w:rFonts w:ascii="Arial" w:hAnsi="Arial" w:cs="Arial"/>
        </w:rPr>
        <w:t>,</w:t>
      </w:r>
      <w:r w:rsidRPr="00293FCC">
        <w:rPr>
          <w:rFonts w:ascii="Arial" w:hAnsi="Arial" w:cs="Arial"/>
        </w:rPr>
        <w:t xml:space="preserve"> but rather trading strategies whereby the two legs consist of outright contracts that are executed at the same time. Each of the legs already falls under the position limit for the outright contract. Consequently, we </w:t>
      </w:r>
      <w:r w:rsidR="00A135DC">
        <w:rPr>
          <w:rFonts w:ascii="Arial" w:hAnsi="Arial" w:cs="Arial"/>
        </w:rPr>
        <w:t>urge the Agency to</w:t>
      </w:r>
      <w:r w:rsidRPr="00293FCC">
        <w:rPr>
          <w:rFonts w:ascii="Arial" w:hAnsi="Arial" w:cs="Arial"/>
        </w:rPr>
        <w:t xml:space="preserve"> remov</w:t>
      </w:r>
      <w:r w:rsidR="00A135DC">
        <w:rPr>
          <w:rFonts w:ascii="Arial" w:hAnsi="Arial" w:cs="Arial"/>
        </w:rPr>
        <w:t>e</w:t>
      </w:r>
      <w:r w:rsidRPr="00293FCC">
        <w:rPr>
          <w:rFonts w:ascii="Arial" w:hAnsi="Arial" w:cs="Arial"/>
        </w:rPr>
        <w:t xml:space="preserve"> the reference to spreads in Art. 3 (2) or RTS 21a.</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7F906268" w14:textId="05132FB9" w:rsidR="001F23C9" w:rsidRDefault="00BF4450" w:rsidP="001F23C9">
      <w:pPr>
        <w:rPr>
          <w:rFonts w:ascii="Arial" w:hAnsi="Arial" w:cs="Arial"/>
        </w:rPr>
      </w:pPr>
      <w:permStart w:id="71388718" w:edGrp="everyone"/>
      <w:r>
        <w:rPr>
          <w:rFonts w:ascii="Arial" w:hAnsi="Arial" w:cs="Arial"/>
        </w:rPr>
        <w:t>EFET agre</w:t>
      </w:r>
      <w:r w:rsidR="00E80BB7">
        <w:rPr>
          <w:rFonts w:ascii="Arial" w:hAnsi="Arial" w:cs="Arial"/>
        </w:rPr>
        <w:t>e</w:t>
      </w:r>
      <w:r>
        <w:rPr>
          <w:rFonts w:ascii="Arial" w:hAnsi="Arial" w:cs="Arial"/>
        </w:rPr>
        <w:t>s with the ESMA proposal for significant volumes.</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661547D8" w14:textId="07C8E2F7" w:rsidR="00A82520" w:rsidRPr="00A82520" w:rsidRDefault="009764B6" w:rsidP="00A82520">
      <w:pPr>
        <w:rPr>
          <w:rFonts w:ascii="Arial" w:hAnsi="Arial" w:cs="Arial"/>
        </w:rPr>
      </w:pPr>
      <w:permStart w:id="819753946" w:edGrp="everyone"/>
      <w:r>
        <w:rPr>
          <w:rFonts w:ascii="Arial" w:hAnsi="Arial" w:cs="Arial"/>
        </w:rPr>
        <w:t>EFET</w:t>
      </w:r>
      <w:r w:rsidRPr="009764B6">
        <w:rPr>
          <w:rFonts w:ascii="Arial" w:hAnsi="Arial" w:cs="Arial"/>
        </w:rPr>
        <w:t xml:space="preserve"> strongly disagree</w:t>
      </w:r>
      <w:r>
        <w:rPr>
          <w:rFonts w:ascii="Arial" w:hAnsi="Arial" w:cs="Arial"/>
        </w:rPr>
        <w:t>s</w:t>
      </w:r>
      <w:r w:rsidRPr="009764B6">
        <w:rPr>
          <w:rFonts w:ascii="Arial" w:hAnsi="Arial" w:cs="Arial"/>
        </w:rPr>
        <w:t xml:space="preserve"> with </w:t>
      </w:r>
      <w:r>
        <w:rPr>
          <w:rFonts w:ascii="Arial" w:hAnsi="Arial" w:cs="Arial"/>
        </w:rPr>
        <w:t>this proposal</w:t>
      </w:r>
      <w:r w:rsidR="008A2481" w:rsidRPr="008A2481">
        <w:t xml:space="preserve"> </w:t>
      </w:r>
      <w:r w:rsidR="008A2481">
        <w:rPr>
          <w:rFonts w:ascii="Arial" w:hAnsi="Arial" w:cs="Arial"/>
        </w:rPr>
        <w:t>for the m</w:t>
      </w:r>
      <w:r w:rsidR="008A2481" w:rsidRPr="008A2481">
        <w:rPr>
          <w:rFonts w:ascii="Arial" w:hAnsi="Arial" w:cs="Arial"/>
        </w:rPr>
        <w:t>ethodology for determining the baseline figure for spot month limits</w:t>
      </w:r>
      <w:r w:rsidRPr="009764B6">
        <w:rPr>
          <w:rFonts w:ascii="Arial" w:hAnsi="Arial" w:cs="Arial"/>
        </w:rPr>
        <w:t>.</w:t>
      </w:r>
      <w:r w:rsidR="00A82520" w:rsidRPr="00A82520">
        <w:t xml:space="preserve"> </w:t>
      </w:r>
      <w:r w:rsidR="00A82520" w:rsidRPr="00A82520">
        <w:rPr>
          <w:rFonts w:ascii="Arial" w:hAnsi="Arial" w:cs="Arial"/>
        </w:rPr>
        <w:t>We believe that deliverable supply is the appropriate proxy to look at someone’s ability to corner a market</w:t>
      </w:r>
      <w:r w:rsidR="006772A2">
        <w:rPr>
          <w:rFonts w:ascii="Arial" w:hAnsi="Arial" w:cs="Arial"/>
        </w:rPr>
        <w:t xml:space="preserve">; </w:t>
      </w:r>
      <w:r w:rsidR="00134A76">
        <w:rPr>
          <w:rFonts w:ascii="Arial" w:hAnsi="Arial" w:cs="Arial"/>
        </w:rPr>
        <w:t>while</w:t>
      </w:r>
      <w:r w:rsidR="006772A2">
        <w:rPr>
          <w:rFonts w:ascii="Arial" w:hAnsi="Arial" w:cs="Arial"/>
        </w:rPr>
        <w:t xml:space="preserve"> o</w:t>
      </w:r>
      <w:r w:rsidR="00A82520" w:rsidRPr="00A82520">
        <w:rPr>
          <w:rFonts w:ascii="Arial" w:hAnsi="Arial" w:cs="Arial"/>
        </w:rPr>
        <w:t>pen interest</w:t>
      </w:r>
      <w:r w:rsidR="006772A2">
        <w:rPr>
          <w:rFonts w:ascii="Arial" w:hAnsi="Arial" w:cs="Arial"/>
        </w:rPr>
        <w:t xml:space="preserve"> </w:t>
      </w:r>
      <w:r w:rsidR="00A82520" w:rsidRPr="00A82520">
        <w:rPr>
          <w:rFonts w:ascii="Arial" w:hAnsi="Arial" w:cs="Arial"/>
        </w:rPr>
        <w:t>is not. It is crucial that the baseline of the position limit is a proper reflection of a position holder’s ability to corner market.</w:t>
      </w:r>
    </w:p>
    <w:p w14:paraId="5972173D" w14:textId="77777777" w:rsidR="00A82520" w:rsidRPr="00A82520" w:rsidRDefault="00A82520" w:rsidP="00A82520">
      <w:pPr>
        <w:rPr>
          <w:rFonts w:ascii="Arial" w:hAnsi="Arial" w:cs="Arial"/>
        </w:rPr>
      </w:pPr>
    </w:p>
    <w:p w14:paraId="43212C63" w14:textId="730AC572" w:rsidR="001F23C9" w:rsidRDefault="006A0903" w:rsidP="00A82520">
      <w:pPr>
        <w:rPr>
          <w:rFonts w:ascii="Arial" w:hAnsi="Arial" w:cs="Arial"/>
        </w:rPr>
      </w:pPr>
      <w:r>
        <w:rPr>
          <w:rFonts w:ascii="Arial" w:hAnsi="Arial" w:cs="Arial"/>
        </w:rPr>
        <w:t>M</w:t>
      </w:r>
      <w:r w:rsidR="00A82520" w:rsidRPr="00A82520">
        <w:rPr>
          <w:rFonts w:ascii="Arial" w:hAnsi="Arial" w:cs="Arial"/>
        </w:rPr>
        <w:t>arkets for which deliverable supply is substantially higher than open interest are typically small markets for which exchange trading has not been fully developed yet</w:t>
      </w:r>
      <w:r w:rsidR="007F3674">
        <w:rPr>
          <w:rFonts w:ascii="Arial" w:hAnsi="Arial" w:cs="Arial"/>
        </w:rPr>
        <w:t>. Consequently,</w:t>
      </w:r>
      <w:r w:rsidR="00A82520" w:rsidRPr="00A82520">
        <w:rPr>
          <w:rFonts w:ascii="Arial" w:hAnsi="Arial" w:cs="Arial"/>
        </w:rPr>
        <w:t xml:space="preserve"> more trading is taking place outside that market. </w:t>
      </w:r>
      <w:r w:rsidR="009D2014">
        <w:rPr>
          <w:rFonts w:ascii="Arial" w:hAnsi="Arial" w:cs="Arial"/>
        </w:rPr>
        <w:t>U</w:t>
      </w:r>
      <w:r w:rsidR="00A82520" w:rsidRPr="00A82520">
        <w:rPr>
          <w:rFonts w:ascii="Arial" w:hAnsi="Arial" w:cs="Arial"/>
        </w:rPr>
        <w:t>sing open interest could hamper the development of that exchange traded market, without providing any regulatory benefits</w:t>
      </w:r>
      <w:r w:rsidR="008016E5">
        <w:rPr>
          <w:rFonts w:ascii="Arial" w:hAnsi="Arial" w:cs="Arial"/>
        </w:rPr>
        <w:t>. This outcome is compounded by the fact that</w:t>
      </w:r>
      <w:r w:rsidR="00A82520" w:rsidRPr="00A82520">
        <w:rPr>
          <w:rFonts w:ascii="Arial" w:hAnsi="Arial" w:cs="Arial"/>
        </w:rPr>
        <w:t xml:space="preserve"> there is no increased risk of market cornering.</w:t>
      </w:r>
    </w:p>
    <w:p w14:paraId="7F4588DE" w14:textId="1FA3D28B" w:rsidR="005B6C39" w:rsidRDefault="005B6C39" w:rsidP="00A82520">
      <w:pPr>
        <w:rPr>
          <w:rFonts w:ascii="Arial" w:hAnsi="Arial" w:cs="Arial"/>
        </w:rPr>
      </w:pPr>
    </w:p>
    <w:p w14:paraId="6AD0E946" w14:textId="64EDB190" w:rsidR="005B6C39" w:rsidRDefault="005B6C39" w:rsidP="005B6C39">
      <w:pPr>
        <w:rPr>
          <w:rFonts w:ascii="Arial" w:hAnsi="Arial" w:cs="Arial"/>
        </w:rPr>
      </w:pPr>
      <w:r>
        <w:rPr>
          <w:rFonts w:ascii="Arial" w:hAnsi="Arial" w:cs="Arial"/>
        </w:rPr>
        <w:lastRenderedPageBreak/>
        <w:t xml:space="preserve">Additionally, </w:t>
      </w:r>
      <w:r w:rsidRPr="005B6C39">
        <w:rPr>
          <w:rFonts w:ascii="Arial" w:hAnsi="Arial" w:cs="Arial"/>
        </w:rPr>
        <w:t xml:space="preserve">if a low limit is set in these cases, it will not be possible for </w:t>
      </w:r>
      <w:r w:rsidR="003B670B">
        <w:rPr>
          <w:rFonts w:ascii="Arial" w:hAnsi="Arial" w:cs="Arial"/>
        </w:rPr>
        <w:t>small</w:t>
      </w:r>
      <w:r w:rsidRPr="005B6C39">
        <w:rPr>
          <w:rFonts w:ascii="Arial" w:hAnsi="Arial" w:cs="Arial"/>
        </w:rPr>
        <w:t xml:space="preserve"> markets to increase trading, develop and become more liquid. </w:t>
      </w:r>
      <w:r w:rsidR="001E145A">
        <w:rPr>
          <w:rFonts w:ascii="Arial" w:hAnsi="Arial" w:cs="Arial"/>
        </w:rPr>
        <w:t xml:space="preserve">It would actually be counterproductive, as </w:t>
      </w:r>
      <w:r w:rsidRPr="005B6C39">
        <w:rPr>
          <w:rFonts w:ascii="Arial" w:hAnsi="Arial" w:cs="Arial"/>
        </w:rPr>
        <w:t>an illiquid market is more easily manipulated that a liquid one. Therefore, we suggest using the deliverable supply as the baseline for the spot month in all cases.</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9266B68" w14:textId="1EF77407" w:rsidR="001F23C9" w:rsidRDefault="001D25EB" w:rsidP="001F23C9">
      <w:pPr>
        <w:rPr>
          <w:rFonts w:ascii="Arial" w:hAnsi="Arial" w:cs="Arial"/>
        </w:rPr>
      </w:pPr>
      <w:permStart w:id="89662115" w:edGrp="everyone"/>
      <w:r w:rsidRPr="001D25EB">
        <w:rPr>
          <w:rFonts w:ascii="Arial" w:hAnsi="Arial" w:cs="Arial"/>
        </w:rPr>
        <w:t xml:space="preserve">To ensure </w:t>
      </w:r>
      <w:r w:rsidR="00283F16">
        <w:rPr>
          <w:rFonts w:ascii="Arial" w:hAnsi="Arial" w:cs="Arial"/>
        </w:rPr>
        <w:t xml:space="preserve">that </w:t>
      </w:r>
      <w:r w:rsidRPr="001D25EB">
        <w:rPr>
          <w:rFonts w:ascii="Arial" w:hAnsi="Arial" w:cs="Arial"/>
        </w:rPr>
        <w:t xml:space="preserve">the </w:t>
      </w:r>
      <w:r w:rsidR="00283F16">
        <w:rPr>
          <w:rFonts w:ascii="Arial" w:hAnsi="Arial" w:cs="Arial"/>
        </w:rPr>
        <w:t>methodology</w:t>
      </w:r>
      <w:r w:rsidRPr="001D25EB">
        <w:rPr>
          <w:rFonts w:ascii="Arial" w:hAnsi="Arial" w:cs="Arial"/>
        </w:rPr>
        <w:t xml:space="preserve"> works for all asset classes, </w:t>
      </w:r>
      <w:r w:rsidR="005B7D75">
        <w:rPr>
          <w:rFonts w:ascii="Arial" w:hAnsi="Arial" w:cs="Arial"/>
        </w:rPr>
        <w:t>EFET</w:t>
      </w:r>
      <w:r w:rsidRPr="001D25EB">
        <w:rPr>
          <w:rFonts w:ascii="Arial" w:hAnsi="Arial" w:cs="Arial"/>
        </w:rPr>
        <w:t xml:space="preserve"> </w:t>
      </w:r>
      <w:r w:rsidR="005B7D75">
        <w:rPr>
          <w:rFonts w:ascii="Arial" w:hAnsi="Arial" w:cs="Arial"/>
        </w:rPr>
        <w:t>suggests</w:t>
      </w:r>
      <w:r w:rsidRPr="001D25EB">
        <w:rPr>
          <w:rFonts w:ascii="Arial" w:hAnsi="Arial" w:cs="Arial"/>
        </w:rPr>
        <w:t xml:space="preserve"> taking the same approach as </w:t>
      </w:r>
      <w:r w:rsidR="00283F16">
        <w:rPr>
          <w:rFonts w:ascii="Arial" w:hAnsi="Arial" w:cs="Arial"/>
        </w:rPr>
        <w:t xml:space="preserve">it </w:t>
      </w:r>
      <w:r w:rsidRPr="001D25EB">
        <w:rPr>
          <w:rFonts w:ascii="Arial" w:hAnsi="Arial" w:cs="Arial"/>
        </w:rPr>
        <w:t xml:space="preserve">is being proposed for determining the open interest figure in Article 14 of draft RTS 21a, </w:t>
      </w:r>
      <w:r w:rsidR="00134A76" w:rsidRPr="001D25EB">
        <w:rPr>
          <w:rFonts w:ascii="Arial" w:hAnsi="Arial" w:cs="Arial"/>
        </w:rPr>
        <w:t>i.e.,</w:t>
      </w:r>
      <w:r w:rsidRPr="001D25EB">
        <w:rPr>
          <w:rFonts w:ascii="Arial" w:hAnsi="Arial" w:cs="Arial"/>
        </w:rPr>
        <w:t xml:space="preserve"> the NCAs calculates deliverable supply "over a representative period of time" which would depend on the characteristics of the commodity derivative</w:t>
      </w:r>
      <w:r w:rsidR="00DE4E2C">
        <w:rPr>
          <w:rFonts w:ascii="Arial" w:hAnsi="Arial" w:cs="Arial"/>
        </w:rPr>
        <w:t>.</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44AB56D8" w14:textId="77777777" w:rsidR="0069786E" w:rsidRDefault="0080372F" w:rsidP="0080372F">
      <w:pPr>
        <w:rPr>
          <w:rFonts w:ascii="Arial" w:hAnsi="Arial" w:cs="Arial"/>
        </w:rPr>
      </w:pPr>
      <w:permStart w:id="1905472427" w:edGrp="everyone"/>
      <w:r>
        <w:rPr>
          <w:rFonts w:ascii="Arial" w:hAnsi="Arial" w:cs="Arial"/>
        </w:rPr>
        <w:t xml:space="preserve">EFET </w:t>
      </w:r>
      <w:r w:rsidR="0069786E">
        <w:rPr>
          <w:rFonts w:ascii="Arial" w:hAnsi="Arial" w:cs="Arial"/>
        </w:rPr>
        <w:t xml:space="preserve">partially </w:t>
      </w:r>
      <w:r w:rsidRPr="0080372F">
        <w:rPr>
          <w:rFonts w:ascii="Arial" w:hAnsi="Arial" w:cs="Arial"/>
        </w:rPr>
        <w:t>support</w:t>
      </w:r>
      <w:r>
        <w:rPr>
          <w:rFonts w:ascii="Arial" w:hAnsi="Arial" w:cs="Arial"/>
        </w:rPr>
        <w:t>s</w:t>
      </w:r>
      <w:r w:rsidRPr="0080372F">
        <w:rPr>
          <w:rFonts w:ascii="Arial" w:hAnsi="Arial" w:cs="Arial"/>
        </w:rPr>
        <w:t xml:space="preserve"> </w:t>
      </w:r>
      <w:r w:rsidR="0069786E">
        <w:rPr>
          <w:rFonts w:ascii="Arial" w:hAnsi="Arial" w:cs="Arial"/>
        </w:rPr>
        <w:t xml:space="preserve">the </w:t>
      </w:r>
      <w:r>
        <w:rPr>
          <w:rFonts w:ascii="Arial" w:hAnsi="Arial" w:cs="Arial"/>
        </w:rPr>
        <w:t xml:space="preserve">ESMA </w:t>
      </w:r>
      <w:r w:rsidRPr="0080372F">
        <w:rPr>
          <w:rFonts w:ascii="Arial" w:hAnsi="Arial" w:cs="Arial"/>
        </w:rPr>
        <w:t>proposal</w:t>
      </w:r>
      <w:r w:rsidR="0069786E">
        <w:rPr>
          <w:rFonts w:ascii="Arial" w:hAnsi="Arial" w:cs="Arial"/>
        </w:rPr>
        <w:t>.</w:t>
      </w:r>
    </w:p>
    <w:p w14:paraId="521F5D91" w14:textId="112A44BC" w:rsidR="0080372F" w:rsidRPr="0080372F" w:rsidRDefault="0069786E" w:rsidP="0080372F">
      <w:pPr>
        <w:rPr>
          <w:rFonts w:ascii="Arial" w:hAnsi="Arial" w:cs="Arial"/>
        </w:rPr>
      </w:pPr>
      <w:r>
        <w:rPr>
          <w:rFonts w:ascii="Arial" w:hAnsi="Arial" w:cs="Arial"/>
        </w:rPr>
        <w:t>We agree</w:t>
      </w:r>
      <w:r w:rsidR="0080372F" w:rsidRPr="0080372F">
        <w:rPr>
          <w:rFonts w:ascii="Arial" w:hAnsi="Arial" w:cs="Arial"/>
        </w:rPr>
        <w:t xml:space="preserve"> to calculate open interest "over a representative period of time"</w:t>
      </w:r>
      <w:r>
        <w:rPr>
          <w:rFonts w:ascii="Arial" w:hAnsi="Arial" w:cs="Arial"/>
        </w:rPr>
        <w:t>,</w:t>
      </w:r>
      <w:r w:rsidR="0080372F" w:rsidRPr="0080372F">
        <w:rPr>
          <w:rFonts w:ascii="Arial" w:hAnsi="Arial" w:cs="Arial"/>
        </w:rPr>
        <w:t xml:space="preserve"> which would depend on the characteristics of the commodity derivative. However, we believe the same flexibility is needed in special circumstances, as outlined in Art. 14 par. 2.</w:t>
      </w:r>
    </w:p>
    <w:p w14:paraId="73303E6C" w14:textId="1F85C21F" w:rsidR="001F23C9" w:rsidRDefault="0080372F" w:rsidP="0080372F">
      <w:pPr>
        <w:rPr>
          <w:rFonts w:ascii="Arial" w:hAnsi="Arial" w:cs="Arial"/>
        </w:rPr>
      </w:pPr>
      <w:r w:rsidRPr="0080372F">
        <w:rPr>
          <w:rFonts w:ascii="Arial" w:hAnsi="Arial" w:cs="Arial"/>
        </w:rPr>
        <w:t>We disagree with the use of position reporting data insofar as it relates to reported economically equivalent OTC positions</w:t>
      </w:r>
      <w:r w:rsidR="002E3780">
        <w:rPr>
          <w:rFonts w:ascii="Arial" w:hAnsi="Arial" w:cs="Arial"/>
        </w:rPr>
        <w:t xml:space="preserve"> (EEOTC)</w:t>
      </w:r>
      <w:r w:rsidRPr="0080372F">
        <w:rPr>
          <w:rFonts w:ascii="Arial" w:hAnsi="Arial" w:cs="Arial"/>
        </w:rPr>
        <w:t xml:space="preserve">. </w:t>
      </w:r>
      <w:r w:rsidR="002E3780">
        <w:rPr>
          <w:rFonts w:ascii="Arial" w:hAnsi="Arial" w:cs="Arial"/>
        </w:rPr>
        <w:t>EFET is</w:t>
      </w:r>
      <w:r w:rsidRPr="0080372F">
        <w:rPr>
          <w:rFonts w:ascii="Arial" w:hAnsi="Arial" w:cs="Arial"/>
        </w:rPr>
        <w:t xml:space="preserve"> not aware of any EEOTC contract having been identified by a</w:t>
      </w:r>
      <w:r w:rsidR="00BB3AD8">
        <w:rPr>
          <w:rFonts w:ascii="Arial" w:hAnsi="Arial" w:cs="Arial"/>
        </w:rPr>
        <w:t>n</w:t>
      </w:r>
      <w:r w:rsidRPr="0080372F">
        <w:rPr>
          <w:rFonts w:ascii="Arial" w:hAnsi="Arial" w:cs="Arial"/>
        </w:rPr>
        <w:t xml:space="preserve"> NCA or ESMA</w:t>
      </w:r>
      <w:r w:rsidR="0035020E">
        <w:rPr>
          <w:rFonts w:ascii="Arial" w:hAnsi="Arial" w:cs="Arial"/>
        </w:rPr>
        <w:t>,</w:t>
      </w:r>
      <w:r w:rsidRPr="0080372F">
        <w:rPr>
          <w:rFonts w:ascii="Arial" w:hAnsi="Arial" w:cs="Arial"/>
        </w:rPr>
        <w:t xml:space="preserve"> due to the narrow definition of EEOTC. </w:t>
      </w:r>
      <w:r w:rsidR="0035020E">
        <w:rPr>
          <w:rFonts w:ascii="Arial" w:hAnsi="Arial" w:cs="Arial"/>
        </w:rPr>
        <w:t>P</w:t>
      </w:r>
      <w:r w:rsidRPr="0080372F">
        <w:rPr>
          <w:rFonts w:ascii="Arial" w:hAnsi="Arial" w:cs="Arial"/>
        </w:rPr>
        <w:t>osition reports based on the interpretation of the definition by a small minority of market participants should not be taken as evidence of EEOTC and</w:t>
      </w:r>
      <w:r w:rsidR="00AF5248">
        <w:rPr>
          <w:rFonts w:ascii="Arial" w:hAnsi="Arial" w:cs="Arial"/>
        </w:rPr>
        <w:t>,</w:t>
      </w:r>
      <w:r w:rsidRPr="0080372F">
        <w:rPr>
          <w:rFonts w:ascii="Arial" w:hAnsi="Arial" w:cs="Arial"/>
        </w:rPr>
        <w:t xml:space="preserve"> thus</w:t>
      </w:r>
      <w:r w:rsidR="00AF5248">
        <w:rPr>
          <w:rFonts w:ascii="Arial" w:hAnsi="Arial" w:cs="Arial"/>
        </w:rPr>
        <w:t>,</w:t>
      </w:r>
      <w:r w:rsidRPr="0080372F">
        <w:rPr>
          <w:rFonts w:ascii="Arial" w:hAnsi="Arial" w:cs="Arial"/>
        </w:rPr>
        <w:t xml:space="preserve"> </w:t>
      </w:r>
      <w:r w:rsidR="00AF5248">
        <w:rPr>
          <w:rFonts w:ascii="Arial" w:hAnsi="Arial" w:cs="Arial"/>
        </w:rPr>
        <w:t>should NOT</w:t>
      </w:r>
      <w:r w:rsidR="00E72AB9">
        <w:rPr>
          <w:rFonts w:ascii="Arial" w:hAnsi="Arial" w:cs="Arial"/>
        </w:rPr>
        <w:t xml:space="preserve"> be</w:t>
      </w:r>
      <w:r w:rsidRPr="0080372F">
        <w:rPr>
          <w:rFonts w:ascii="Arial" w:hAnsi="Arial" w:cs="Arial"/>
        </w:rPr>
        <w:t xml:space="preserve"> used as basis for inclusion in the open interest calculation.</w:t>
      </w:r>
    </w:p>
    <w:permEnd w:id="1905472427"/>
    <w:p w14:paraId="1CD7B3CA" w14:textId="4A49DD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4DE94D38" w14:textId="565E73E9" w:rsidR="001F23C9" w:rsidRDefault="00AF5357" w:rsidP="001F23C9">
      <w:pPr>
        <w:rPr>
          <w:rFonts w:ascii="Arial" w:hAnsi="Arial" w:cs="Arial"/>
        </w:rPr>
      </w:pPr>
      <w:permStart w:id="436235028" w:edGrp="everyone"/>
      <w:r>
        <w:rPr>
          <w:rFonts w:ascii="Arial" w:hAnsi="Arial" w:cs="Arial"/>
        </w:rPr>
        <w:t>N</w:t>
      </w:r>
      <w:r w:rsidR="00417065">
        <w:rPr>
          <w:rFonts w:ascii="Arial" w:hAnsi="Arial" w:cs="Arial"/>
        </w:rPr>
        <w:t>o applicable to EFET, no comment.</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220AF7A7" w14:textId="19CB7346" w:rsidR="00D12984" w:rsidRDefault="00AD5841" w:rsidP="001F23C9">
      <w:pPr>
        <w:rPr>
          <w:rFonts w:ascii="Arial" w:hAnsi="Arial" w:cs="Arial"/>
        </w:rPr>
      </w:pPr>
      <w:permStart w:id="1785143847" w:edGrp="everyone"/>
      <w:r>
        <w:rPr>
          <w:rFonts w:ascii="Arial" w:hAnsi="Arial" w:cs="Arial"/>
        </w:rPr>
        <w:t xml:space="preserve">EFET is </w:t>
      </w:r>
      <w:r w:rsidRPr="00AD5841">
        <w:rPr>
          <w:rFonts w:ascii="Arial" w:hAnsi="Arial" w:cs="Arial"/>
        </w:rPr>
        <w:t>supportive of clarifying in Art. 19 par. 3</w:t>
      </w:r>
      <w:r w:rsidR="00D12984">
        <w:rPr>
          <w:rFonts w:ascii="Arial" w:hAnsi="Arial" w:cs="Arial"/>
        </w:rPr>
        <w:t>,</w:t>
      </w:r>
      <w:r w:rsidRPr="00AD5841">
        <w:rPr>
          <w:rFonts w:ascii="Arial" w:hAnsi="Arial" w:cs="Arial"/>
        </w:rPr>
        <w:t xml:space="preserve"> that where the open interest is significantly lower than the deliverable supply, NCAs shall adjust the other months’ position limit upwards to avoid the risk of unduly constraining trading. </w:t>
      </w:r>
    </w:p>
    <w:p w14:paraId="2A789FA6" w14:textId="76EE04CC" w:rsidR="001F23C9" w:rsidRDefault="00AD5841" w:rsidP="001F23C9">
      <w:pPr>
        <w:rPr>
          <w:rFonts w:ascii="Arial" w:hAnsi="Arial" w:cs="Arial"/>
        </w:rPr>
      </w:pPr>
      <w:r w:rsidRPr="00AD5841">
        <w:rPr>
          <w:rFonts w:ascii="Arial" w:hAnsi="Arial" w:cs="Arial"/>
        </w:rPr>
        <w:lastRenderedPageBreak/>
        <w:t xml:space="preserve">However, as mentioned </w:t>
      </w:r>
      <w:r w:rsidR="00D12984">
        <w:rPr>
          <w:rFonts w:ascii="Arial" w:hAnsi="Arial" w:cs="Arial"/>
        </w:rPr>
        <w:t xml:space="preserve">in </w:t>
      </w:r>
      <w:r w:rsidRPr="00AD5841">
        <w:rPr>
          <w:rFonts w:ascii="Arial" w:hAnsi="Arial" w:cs="Arial"/>
        </w:rPr>
        <w:t>our answer to Q9, we do not see an increased risk of market manipulation and</w:t>
      </w:r>
      <w:r w:rsidR="00650B14">
        <w:rPr>
          <w:rFonts w:ascii="Arial" w:hAnsi="Arial" w:cs="Arial"/>
        </w:rPr>
        <w:t>,</w:t>
      </w:r>
      <w:r w:rsidRPr="00AD5841">
        <w:rPr>
          <w:rFonts w:ascii="Arial" w:hAnsi="Arial" w:cs="Arial"/>
        </w:rPr>
        <w:t xml:space="preserve"> </w:t>
      </w:r>
      <w:r w:rsidR="00650B14">
        <w:rPr>
          <w:rFonts w:ascii="Arial" w:hAnsi="Arial" w:cs="Arial"/>
        </w:rPr>
        <w:t>conse</w:t>
      </w:r>
      <w:r w:rsidR="00BC13FA">
        <w:rPr>
          <w:rFonts w:ascii="Arial" w:hAnsi="Arial" w:cs="Arial"/>
        </w:rPr>
        <w:t>qu</w:t>
      </w:r>
      <w:r w:rsidR="00650B14">
        <w:rPr>
          <w:rFonts w:ascii="Arial" w:hAnsi="Arial" w:cs="Arial"/>
        </w:rPr>
        <w:t>ently,</w:t>
      </w:r>
      <w:r w:rsidRPr="00AD5841">
        <w:rPr>
          <w:rFonts w:ascii="Arial" w:hAnsi="Arial" w:cs="Arial"/>
        </w:rPr>
        <w:t xml:space="preserve"> we </w:t>
      </w:r>
      <w:r w:rsidR="00BC13FA">
        <w:rPr>
          <w:rFonts w:ascii="Arial" w:hAnsi="Arial" w:cs="Arial"/>
        </w:rPr>
        <w:t>disagree with</w:t>
      </w:r>
      <w:r w:rsidRPr="00AD5841">
        <w:rPr>
          <w:rFonts w:ascii="Arial" w:hAnsi="Arial" w:cs="Arial"/>
        </w:rPr>
        <w:t xml:space="preserve"> the need to adjust the spot month position limit downwards. </w:t>
      </w:r>
      <w:r w:rsidR="007F12C1">
        <w:rPr>
          <w:rFonts w:ascii="Arial" w:hAnsi="Arial" w:cs="Arial"/>
        </w:rPr>
        <w:t>This</w:t>
      </w:r>
      <w:r w:rsidRPr="00AD5841">
        <w:rPr>
          <w:rFonts w:ascii="Arial" w:hAnsi="Arial" w:cs="Arial"/>
        </w:rPr>
        <w:t xml:space="preserve"> situation is inherent to markets for which exchange</w:t>
      </w:r>
      <w:r w:rsidR="00BC13FA">
        <w:rPr>
          <w:rFonts w:ascii="Arial" w:hAnsi="Arial" w:cs="Arial"/>
        </w:rPr>
        <w:t xml:space="preserve"> </w:t>
      </w:r>
      <w:r w:rsidRPr="00AD5841">
        <w:rPr>
          <w:rFonts w:ascii="Arial" w:hAnsi="Arial" w:cs="Arial"/>
        </w:rPr>
        <w:t xml:space="preserve">trading has not developed yet. The proposal would hamper </w:t>
      </w:r>
      <w:r w:rsidR="007F12C1">
        <w:rPr>
          <w:rFonts w:ascii="Arial" w:hAnsi="Arial" w:cs="Arial"/>
        </w:rPr>
        <w:t xml:space="preserve">the development of </w:t>
      </w:r>
      <w:r w:rsidRPr="00AD5841">
        <w:rPr>
          <w:rFonts w:ascii="Arial" w:hAnsi="Arial" w:cs="Arial"/>
        </w:rPr>
        <w:t>such illiquid markets</w:t>
      </w:r>
      <w:r w:rsidR="007F12C1">
        <w:rPr>
          <w:rFonts w:ascii="Arial" w:hAnsi="Arial" w:cs="Arial"/>
        </w:rPr>
        <w:t xml:space="preserve">, </w:t>
      </w:r>
      <w:r w:rsidRPr="00AD5841">
        <w:rPr>
          <w:rFonts w:ascii="Arial" w:hAnsi="Arial" w:cs="Arial"/>
        </w:rPr>
        <w:t>without providing any benefit.</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0AAD40E4" w14:textId="7132F65D" w:rsidR="00E80BB7" w:rsidRDefault="00E80BB7" w:rsidP="001F23C9">
      <w:pPr>
        <w:rPr>
          <w:rFonts w:ascii="Arial" w:hAnsi="Arial" w:cs="Arial"/>
        </w:rPr>
      </w:pPr>
      <w:permStart w:id="1033585913" w:edGrp="everyone"/>
      <w:r w:rsidRPr="00E80BB7">
        <w:rPr>
          <w:rFonts w:ascii="Arial" w:hAnsi="Arial" w:cs="Arial"/>
        </w:rPr>
        <w:t>EFET agrees with the ESMA proposal regarding the upward adjustment factor.</w:t>
      </w:r>
    </w:p>
    <w:permEnd w:id="1033585913"/>
    <w:p w14:paraId="74A6F289" w14:textId="7B0F07D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39AD994" w14:textId="031548E6" w:rsidR="00265794" w:rsidRDefault="00265794" w:rsidP="001F23C9">
      <w:pPr>
        <w:rPr>
          <w:rFonts w:ascii="Arial" w:hAnsi="Arial" w:cs="Arial"/>
        </w:rPr>
      </w:pPr>
      <w:permStart w:id="360059141" w:edGrp="everyone"/>
      <w:r>
        <w:rPr>
          <w:rFonts w:ascii="Arial" w:hAnsi="Arial" w:cs="Arial"/>
        </w:rPr>
        <w:t>EFET</w:t>
      </w:r>
      <w:r w:rsidRPr="00265794">
        <w:rPr>
          <w:rFonts w:ascii="Arial" w:hAnsi="Arial" w:cs="Arial"/>
        </w:rPr>
        <w:t xml:space="preserve"> agree</w:t>
      </w:r>
      <w:r>
        <w:rPr>
          <w:rFonts w:ascii="Arial" w:hAnsi="Arial" w:cs="Arial"/>
        </w:rPr>
        <w:t>s</w:t>
      </w:r>
      <w:r w:rsidRPr="00265794">
        <w:rPr>
          <w:rFonts w:ascii="Arial" w:hAnsi="Arial" w:cs="Arial"/>
        </w:rPr>
        <w:t xml:space="preserve"> with the proposal to delete securitized derivatives from ITS 4.</w:t>
      </w:r>
    </w:p>
    <w:permEnd w:id="360059141"/>
    <w:p w14:paraId="24463A6B" w14:textId="51E0AEB3"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1C372D28" w14:textId="6B9E6351" w:rsidR="00E20F1B" w:rsidRPr="00E20F1B" w:rsidRDefault="00E20F1B" w:rsidP="00E20F1B">
      <w:pPr>
        <w:rPr>
          <w:rFonts w:ascii="Arial" w:hAnsi="Arial" w:cs="Arial"/>
        </w:rPr>
      </w:pPr>
      <w:permStart w:id="1365146390" w:edGrp="everyone"/>
      <w:r>
        <w:rPr>
          <w:rFonts w:ascii="Arial" w:hAnsi="Arial" w:cs="Arial"/>
        </w:rPr>
        <w:t>EFET</w:t>
      </w:r>
      <w:r w:rsidRPr="00E20F1B">
        <w:rPr>
          <w:rFonts w:ascii="Arial" w:hAnsi="Arial" w:cs="Arial"/>
        </w:rPr>
        <w:t xml:space="preserve"> </w:t>
      </w:r>
      <w:r w:rsidR="00C5735F">
        <w:rPr>
          <w:rFonts w:ascii="Arial" w:hAnsi="Arial" w:cs="Arial"/>
        </w:rPr>
        <w:t>agrees with</w:t>
      </w:r>
      <w:r w:rsidRPr="00E20F1B">
        <w:rPr>
          <w:rFonts w:ascii="Arial" w:hAnsi="Arial" w:cs="Arial"/>
        </w:rPr>
        <w:t xml:space="preserve"> the proposal for trading venues to have arrangements in place for the ongoing monitoring of positions. </w:t>
      </w:r>
    </w:p>
    <w:p w14:paraId="6FDAFA91" w14:textId="4B284AA6" w:rsidR="00E20F1B" w:rsidRDefault="00E20F1B" w:rsidP="001F23C9">
      <w:pPr>
        <w:rPr>
          <w:rFonts w:ascii="Arial" w:hAnsi="Arial" w:cs="Arial"/>
        </w:rPr>
      </w:pPr>
      <w:r w:rsidRPr="00E20F1B">
        <w:rPr>
          <w:rFonts w:ascii="Arial" w:hAnsi="Arial" w:cs="Arial"/>
        </w:rPr>
        <w:t xml:space="preserve">However, the level at which monitoring requirements and accountability levels should apply, </w:t>
      </w:r>
      <w:r w:rsidR="003A47CF" w:rsidRPr="00E20F1B">
        <w:rPr>
          <w:rFonts w:ascii="Arial" w:hAnsi="Arial" w:cs="Arial"/>
        </w:rPr>
        <w:t>i.e.,</w:t>
      </w:r>
      <w:r w:rsidRPr="00E20F1B">
        <w:rPr>
          <w:rFonts w:ascii="Arial" w:hAnsi="Arial" w:cs="Arial"/>
        </w:rPr>
        <w:t xml:space="preserve"> persons with close links, is a foreign concept for EU commodity derivative trading venues, which have no access to such information. </w:t>
      </w:r>
      <w:r w:rsidR="00673BD3">
        <w:rPr>
          <w:rFonts w:ascii="Arial" w:hAnsi="Arial" w:cs="Arial"/>
        </w:rPr>
        <w:t xml:space="preserve">In addition the concept of close links can cause other issues as often companies which fall into the category of close links run their trading independently to avoid market abuse risks (passing on of inside information). </w:t>
      </w:r>
      <w:r w:rsidRPr="00E20F1B">
        <w:rPr>
          <w:rFonts w:ascii="Arial" w:hAnsi="Arial" w:cs="Arial"/>
        </w:rPr>
        <w:t>It is therefore highly recommended that ESMA uses the existing reporting formats</w:t>
      </w:r>
      <w:r w:rsidR="005C398B">
        <w:rPr>
          <w:rFonts w:ascii="Arial" w:hAnsi="Arial" w:cs="Arial"/>
        </w:rPr>
        <w:t>,</w:t>
      </w:r>
      <w:r w:rsidRPr="00E20F1B">
        <w:rPr>
          <w:rFonts w:ascii="Arial" w:hAnsi="Arial" w:cs="Arial"/>
        </w:rPr>
        <w:t xml:space="preserve"> which include information on end position holder and parent undertaking.</w:t>
      </w:r>
    </w:p>
    <w:permEnd w:id="1365146390"/>
    <w:p w14:paraId="78E3242B" w14:textId="2DE61C5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04E0F5EB" w14:textId="6312B3A6" w:rsidR="00DF2B52" w:rsidRDefault="006C33BC" w:rsidP="006C33BC">
      <w:pPr>
        <w:rPr>
          <w:rFonts w:ascii="Arial" w:hAnsi="Arial" w:cs="Arial"/>
        </w:rPr>
      </w:pPr>
      <w:permStart w:id="1933463559" w:edGrp="everyone"/>
      <w:r>
        <w:rPr>
          <w:rFonts w:ascii="Arial" w:hAnsi="Arial" w:cs="Arial"/>
        </w:rPr>
        <w:t xml:space="preserve">EFET is </w:t>
      </w:r>
      <w:r w:rsidRPr="006C33BC">
        <w:rPr>
          <w:rFonts w:ascii="Arial" w:hAnsi="Arial" w:cs="Arial"/>
        </w:rPr>
        <w:t xml:space="preserve">supportive of trading venues having position management in </w:t>
      </w:r>
      <w:r w:rsidR="00D70E1E" w:rsidRPr="006C33BC">
        <w:rPr>
          <w:rFonts w:ascii="Arial" w:hAnsi="Arial" w:cs="Arial"/>
        </w:rPr>
        <w:t>place</w:t>
      </w:r>
      <w:r w:rsidR="000C16B2">
        <w:rPr>
          <w:rFonts w:ascii="Arial" w:hAnsi="Arial" w:cs="Arial"/>
        </w:rPr>
        <w:t xml:space="preserve">, </w:t>
      </w:r>
      <w:r w:rsidR="00D70E1E" w:rsidRPr="006C33BC">
        <w:rPr>
          <w:rFonts w:ascii="Arial" w:hAnsi="Arial" w:cs="Arial"/>
        </w:rPr>
        <w:t>but</w:t>
      </w:r>
      <w:r w:rsidR="00C10008">
        <w:rPr>
          <w:rFonts w:ascii="Arial" w:hAnsi="Arial" w:cs="Arial"/>
        </w:rPr>
        <w:t xml:space="preserve"> </w:t>
      </w:r>
      <w:r w:rsidR="000C16B2">
        <w:rPr>
          <w:rFonts w:ascii="Arial" w:hAnsi="Arial" w:cs="Arial"/>
        </w:rPr>
        <w:t xml:space="preserve">it </w:t>
      </w:r>
      <w:r w:rsidR="00C10008">
        <w:rPr>
          <w:rFonts w:ascii="Arial" w:hAnsi="Arial" w:cs="Arial"/>
        </w:rPr>
        <w:t>is</w:t>
      </w:r>
      <w:r w:rsidRPr="006C33BC">
        <w:rPr>
          <w:rFonts w:ascii="Arial" w:hAnsi="Arial" w:cs="Arial"/>
        </w:rPr>
        <w:t xml:space="preserve"> </w:t>
      </w:r>
      <w:r w:rsidR="005B1B1B">
        <w:rPr>
          <w:rFonts w:ascii="Arial" w:hAnsi="Arial" w:cs="Arial"/>
        </w:rPr>
        <w:t xml:space="preserve">deeply </w:t>
      </w:r>
      <w:r w:rsidRPr="006C33BC">
        <w:rPr>
          <w:rFonts w:ascii="Arial" w:hAnsi="Arial" w:cs="Arial"/>
        </w:rPr>
        <w:t>concerned</w:t>
      </w:r>
      <w:r w:rsidR="00C10008">
        <w:rPr>
          <w:rFonts w:ascii="Arial" w:hAnsi="Arial" w:cs="Arial"/>
        </w:rPr>
        <w:t xml:space="preserve"> that</w:t>
      </w:r>
      <w:r w:rsidRPr="006C33BC">
        <w:rPr>
          <w:rFonts w:ascii="Arial" w:hAnsi="Arial" w:cs="Arial"/>
        </w:rPr>
        <w:t xml:space="preserve"> the proposal </w:t>
      </w:r>
      <w:r w:rsidR="007177FC">
        <w:rPr>
          <w:rFonts w:ascii="Arial" w:hAnsi="Arial" w:cs="Arial"/>
        </w:rPr>
        <w:t xml:space="preserve">in its current form </w:t>
      </w:r>
      <w:r w:rsidRPr="006C33BC">
        <w:rPr>
          <w:rFonts w:ascii="Arial" w:hAnsi="Arial" w:cs="Arial"/>
        </w:rPr>
        <w:t xml:space="preserve">will create considerable burdens for both the trading venues and market participants. </w:t>
      </w:r>
      <w:r w:rsidR="000C16B2">
        <w:rPr>
          <w:rFonts w:ascii="Arial" w:hAnsi="Arial" w:cs="Arial"/>
        </w:rPr>
        <w:t>P</w:t>
      </w:r>
      <w:r w:rsidRPr="006C33BC">
        <w:rPr>
          <w:rFonts w:ascii="Arial" w:hAnsi="Arial" w:cs="Arial"/>
        </w:rPr>
        <w:t xml:space="preserve">ositions are already </w:t>
      </w:r>
      <w:r w:rsidRPr="006C33BC">
        <w:rPr>
          <w:rFonts w:ascii="Arial" w:hAnsi="Arial" w:cs="Arial"/>
        </w:rPr>
        <w:lastRenderedPageBreak/>
        <w:t xml:space="preserve">monitored and investigated as part of sophisticated market surveillance arrangements, for example under MAR and </w:t>
      </w:r>
      <w:r w:rsidR="0059024F">
        <w:rPr>
          <w:rFonts w:ascii="Arial" w:hAnsi="Arial" w:cs="Arial"/>
        </w:rPr>
        <w:t>REMIT</w:t>
      </w:r>
      <w:r w:rsidRPr="006C33BC">
        <w:rPr>
          <w:rFonts w:ascii="Arial" w:hAnsi="Arial" w:cs="Arial"/>
        </w:rPr>
        <w:t xml:space="preserve">. </w:t>
      </w:r>
    </w:p>
    <w:p w14:paraId="2BD62B9C" w14:textId="396DCD7C" w:rsidR="006C33BC" w:rsidRPr="006C33BC" w:rsidRDefault="006C33BC" w:rsidP="006C33BC">
      <w:pPr>
        <w:rPr>
          <w:rFonts w:ascii="Arial" w:hAnsi="Arial" w:cs="Arial"/>
        </w:rPr>
      </w:pPr>
      <w:r w:rsidRPr="006C33BC">
        <w:rPr>
          <w:rFonts w:ascii="Arial" w:hAnsi="Arial" w:cs="Arial"/>
        </w:rPr>
        <w:t>Therefore, we believe that the only way for the accountability levels to properly function would be on the condition that discretion is given to the trading venue</w:t>
      </w:r>
      <w:r w:rsidR="00BB08AE">
        <w:rPr>
          <w:rFonts w:ascii="Arial" w:hAnsi="Arial" w:cs="Arial"/>
        </w:rPr>
        <w:t>s</w:t>
      </w:r>
      <w:r w:rsidRPr="006C33BC">
        <w:rPr>
          <w:rFonts w:ascii="Arial" w:hAnsi="Arial" w:cs="Arial"/>
        </w:rPr>
        <w:t xml:space="preserve"> to determine on which contracts to set those accountability levels, when to actively monitor them (spot month and/or other month or even closer to delivery) and whether indeed to request additional information if an accountability level is exceeded. </w:t>
      </w:r>
      <w:r w:rsidR="002355D5">
        <w:rPr>
          <w:rFonts w:ascii="Arial" w:hAnsi="Arial" w:cs="Arial"/>
        </w:rPr>
        <w:t>Without such discretion</w:t>
      </w:r>
      <w:r w:rsidRPr="006C33BC">
        <w:rPr>
          <w:rFonts w:ascii="Arial" w:hAnsi="Arial" w:cs="Arial"/>
        </w:rPr>
        <w:t>, the position management controls will put a heavy burden on both the exchanges’ market surveillance departments and trading participants’ compliance departments.</w:t>
      </w:r>
    </w:p>
    <w:p w14:paraId="06081452" w14:textId="6BE9D123" w:rsidR="001F23C9" w:rsidRDefault="008B610D" w:rsidP="006C33BC">
      <w:pPr>
        <w:rPr>
          <w:rFonts w:ascii="Arial" w:hAnsi="Arial" w:cs="Arial"/>
        </w:rPr>
      </w:pPr>
      <w:r>
        <w:rPr>
          <w:rFonts w:ascii="Arial" w:hAnsi="Arial" w:cs="Arial"/>
        </w:rPr>
        <w:t>As a practical solution, EFET</w:t>
      </w:r>
      <w:r w:rsidR="006C33BC" w:rsidRPr="006C33BC">
        <w:rPr>
          <w:rFonts w:ascii="Arial" w:hAnsi="Arial" w:cs="Arial"/>
        </w:rPr>
        <w:t xml:space="preserve"> recommend</w:t>
      </w:r>
      <w:r>
        <w:rPr>
          <w:rFonts w:ascii="Arial" w:hAnsi="Arial" w:cs="Arial"/>
        </w:rPr>
        <w:t>s</w:t>
      </w:r>
      <w:r w:rsidR="006C33BC" w:rsidRPr="006C33BC">
        <w:rPr>
          <w:rFonts w:ascii="Arial" w:hAnsi="Arial" w:cs="Arial"/>
        </w:rPr>
        <w:t xml:space="preserve"> that in Art. 2 par. 1, 2 and 3, as well as the second part of paragraph 4, the words “shall” are replaced by “may”.</w:t>
      </w:r>
      <w:r w:rsidR="00B64D54">
        <w:rPr>
          <w:rFonts w:ascii="Arial" w:hAnsi="Arial" w:cs="Arial"/>
        </w:rPr>
        <w:t xml:space="preserve"> </w:t>
      </w:r>
      <w:r w:rsidR="006C33BC" w:rsidRPr="006C33BC">
        <w:rPr>
          <w:rFonts w:ascii="Arial" w:hAnsi="Arial" w:cs="Arial"/>
        </w:rPr>
        <w:t>Providing the trading venues with the discretion to set those accountability levels as they deem it necessary and appropriate would be in line with the CFTC rulemaking on position management controls, as well as with MiFID II Art. 57 par. 8</w:t>
      </w:r>
      <w:r w:rsidR="00B64D54">
        <w:rPr>
          <w:rFonts w:ascii="Arial" w:hAnsi="Arial" w:cs="Arial"/>
        </w:rPr>
        <w:t xml:space="preserve">, </w:t>
      </w:r>
      <w:r w:rsidR="006C33BC" w:rsidRPr="006C33BC">
        <w:rPr>
          <w:rFonts w:ascii="Arial" w:hAnsi="Arial" w:cs="Arial"/>
        </w:rPr>
        <w:t>which lays down the powers for trading venues to establish position management controls.</w:t>
      </w:r>
    </w:p>
    <w:permEnd w:id="1933463559"/>
    <w:p w14:paraId="7F003725" w14:textId="6422BA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14C56A9C" w14:textId="2E078940" w:rsidR="00580BC1" w:rsidRPr="00580BC1" w:rsidRDefault="00580BC1" w:rsidP="00580BC1">
      <w:pPr>
        <w:rPr>
          <w:rFonts w:ascii="Arial" w:hAnsi="Arial" w:cs="Arial"/>
        </w:rPr>
      </w:pPr>
      <w:permStart w:id="1388730375" w:edGrp="everyone"/>
      <w:r>
        <w:rPr>
          <w:rFonts w:ascii="Arial" w:hAnsi="Arial" w:cs="Arial"/>
        </w:rPr>
        <w:t>EFET</w:t>
      </w:r>
      <w:r w:rsidR="00700F94">
        <w:rPr>
          <w:rFonts w:ascii="Arial" w:hAnsi="Arial" w:cs="Arial"/>
        </w:rPr>
        <w:t xml:space="preserve"> </w:t>
      </w:r>
      <w:r w:rsidR="006A3DF6">
        <w:rPr>
          <w:rFonts w:ascii="Arial" w:hAnsi="Arial" w:cs="Arial"/>
        </w:rPr>
        <w:t>considers that</w:t>
      </w:r>
      <w:r w:rsidRPr="00580BC1">
        <w:rPr>
          <w:rFonts w:ascii="Arial" w:hAnsi="Arial" w:cs="Arial"/>
        </w:rPr>
        <w:t xml:space="preserve"> positions qualifying as reducing risks directly related to commercial activities and transactions entered into to fulfil obligations to provide liquidity should not count towards the accountability levels.</w:t>
      </w:r>
    </w:p>
    <w:p w14:paraId="03C0CA4B" w14:textId="5659179B" w:rsidR="001F23C9" w:rsidRDefault="00580BC1" w:rsidP="00580BC1">
      <w:pPr>
        <w:rPr>
          <w:rFonts w:ascii="Arial" w:hAnsi="Arial" w:cs="Arial"/>
        </w:rPr>
      </w:pPr>
      <w:r w:rsidRPr="00580BC1">
        <w:rPr>
          <w:rFonts w:ascii="Arial" w:hAnsi="Arial" w:cs="Arial"/>
        </w:rPr>
        <w:t xml:space="preserve">In order to </w:t>
      </w:r>
      <w:r w:rsidR="004C5247">
        <w:rPr>
          <w:rFonts w:ascii="Arial" w:hAnsi="Arial" w:cs="Arial"/>
        </w:rPr>
        <w:t>be exempted</w:t>
      </w:r>
      <w:r w:rsidRPr="00580BC1">
        <w:rPr>
          <w:rFonts w:ascii="Arial" w:hAnsi="Arial" w:cs="Arial"/>
        </w:rPr>
        <w:t xml:space="preserve"> for these transactions </w:t>
      </w:r>
      <w:r w:rsidR="004C5247">
        <w:rPr>
          <w:rFonts w:ascii="Arial" w:hAnsi="Arial" w:cs="Arial"/>
        </w:rPr>
        <w:t>counting</w:t>
      </w:r>
      <w:r w:rsidRPr="00580BC1">
        <w:rPr>
          <w:rFonts w:ascii="Arial" w:hAnsi="Arial" w:cs="Arial"/>
        </w:rPr>
        <w:t xml:space="preserve"> for position limits, </w:t>
      </w:r>
      <w:r w:rsidR="007B60D1">
        <w:rPr>
          <w:rFonts w:ascii="Arial" w:hAnsi="Arial" w:cs="Arial"/>
        </w:rPr>
        <w:t>market participants</w:t>
      </w:r>
      <w:r w:rsidRPr="00580BC1">
        <w:rPr>
          <w:rFonts w:ascii="Arial" w:hAnsi="Arial" w:cs="Arial"/>
        </w:rPr>
        <w:t xml:space="preserve"> have to send to </w:t>
      </w:r>
      <w:r w:rsidR="007B60D1">
        <w:rPr>
          <w:rFonts w:ascii="Arial" w:hAnsi="Arial" w:cs="Arial"/>
        </w:rPr>
        <w:t>NCAs</w:t>
      </w:r>
      <w:r w:rsidRPr="00580BC1">
        <w:rPr>
          <w:rFonts w:ascii="Arial" w:hAnsi="Arial" w:cs="Arial"/>
        </w:rPr>
        <w:t xml:space="preserve"> detailed information regarding said positions.</w:t>
      </w:r>
      <w:r w:rsidR="002C1ED0">
        <w:rPr>
          <w:rFonts w:ascii="Arial" w:hAnsi="Arial" w:cs="Arial"/>
        </w:rPr>
        <w:t xml:space="preserve"> </w:t>
      </w:r>
      <w:r w:rsidR="00AC4C8E">
        <w:rPr>
          <w:rFonts w:ascii="Arial" w:hAnsi="Arial" w:cs="Arial"/>
        </w:rPr>
        <w:t xml:space="preserve">It would be redundant </w:t>
      </w:r>
      <w:r w:rsidRPr="00580BC1">
        <w:rPr>
          <w:rFonts w:ascii="Arial" w:hAnsi="Arial" w:cs="Arial"/>
        </w:rPr>
        <w:t>to send again this same information regarding the nature and purpose of the position to the trading venues.</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 xml:space="preserve">Do you agree with </w:t>
      </w:r>
      <w:bookmarkStart w:id="1" w:name="_Hlk76410942"/>
      <w:r w:rsidR="00EC15D5" w:rsidRPr="00EC15D5">
        <w:t>ESMA’s suggestion to introduce requirements for the review of accountability levels</w:t>
      </w:r>
      <w:bookmarkEnd w:id="1"/>
      <w:r w:rsidR="00EC15D5" w:rsidRPr="00EC15D5">
        <w:t>?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2F3E0E33" w14:textId="6F92F5AE" w:rsidR="00EC15D5" w:rsidRPr="00EC15D5" w:rsidRDefault="00673BD3" w:rsidP="00EC15D5">
      <w:pPr>
        <w:rPr>
          <w:rFonts w:ascii="Arial" w:hAnsi="Arial" w:cs="Arial"/>
        </w:rPr>
      </w:pPr>
      <w:permStart w:id="1252535276" w:edGrp="everyone"/>
      <w:r>
        <w:rPr>
          <w:rFonts w:ascii="Arial" w:hAnsi="Arial" w:cs="Arial"/>
        </w:rPr>
        <w:t>Open</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08C73245" w14:textId="59C3B8F8" w:rsidR="0041605E" w:rsidRDefault="008D1949" w:rsidP="00EC15D5">
      <w:pPr>
        <w:rPr>
          <w:rFonts w:ascii="Arial" w:hAnsi="Arial" w:cs="Arial"/>
        </w:rPr>
      </w:pPr>
      <w:permStart w:id="133526605" w:edGrp="everyone"/>
      <w:r>
        <w:rPr>
          <w:rFonts w:ascii="Arial" w:hAnsi="Arial" w:cs="Arial"/>
        </w:rPr>
        <w:t xml:space="preserve">As previously </w:t>
      </w:r>
      <w:r w:rsidR="00AF3D09">
        <w:rPr>
          <w:rFonts w:ascii="Arial" w:hAnsi="Arial" w:cs="Arial"/>
        </w:rPr>
        <w:t>explained</w:t>
      </w:r>
      <w:r>
        <w:rPr>
          <w:rFonts w:ascii="Arial" w:hAnsi="Arial" w:cs="Arial"/>
        </w:rPr>
        <w:t xml:space="preserve"> in Q</w:t>
      </w:r>
      <w:r w:rsidR="0041605E">
        <w:rPr>
          <w:rFonts w:ascii="Arial" w:hAnsi="Arial" w:cs="Arial"/>
        </w:rPr>
        <w:t>17</w:t>
      </w:r>
      <w:r w:rsidR="00D97100">
        <w:rPr>
          <w:rFonts w:ascii="Arial" w:hAnsi="Arial" w:cs="Arial"/>
        </w:rPr>
        <w:t>, EFET</w:t>
      </w:r>
      <w:r w:rsidRPr="008D1949">
        <w:rPr>
          <w:rFonts w:ascii="Arial" w:hAnsi="Arial" w:cs="Arial"/>
        </w:rPr>
        <w:t xml:space="preserve"> do</w:t>
      </w:r>
      <w:r w:rsidR="00D97100">
        <w:rPr>
          <w:rFonts w:ascii="Arial" w:hAnsi="Arial" w:cs="Arial"/>
        </w:rPr>
        <w:t>es</w:t>
      </w:r>
      <w:r w:rsidRPr="008D1949">
        <w:rPr>
          <w:rFonts w:ascii="Arial" w:hAnsi="Arial" w:cs="Arial"/>
        </w:rPr>
        <w:t xml:space="preserve"> not </w:t>
      </w:r>
      <w:r w:rsidR="00186762">
        <w:rPr>
          <w:rFonts w:ascii="Arial" w:hAnsi="Arial" w:cs="Arial"/>
        </w:rPr>
        <w:t xml:space="preserve">consider </w:t>
      </w:r>
      <w:r w:rsidRPr="008D1949">
        <w:rPr>
          <w:rFonts w:ascii="Arial" w:hAnsi="Arial" w:cs="Arial"/>
        </w:rPr>
        <w:t>that any position management controls</w:t>
      </w:r>
      <w:r w:rsidR="00186762">
        <w:rPr>
          <w:rFonts w:ascii="Arial" w:hAnsi="Arial" w:cs="Arial"/>
        </w:rPr>
        <w:t>,</w:t>
      </w:r>
      <w:r w:rsidRPr="008D1949">
        <w:rPr>
          <w:rFonts w:ascii="Arial" w:hAnsi="Arial" w:cs="Arial"/>
        </w:rPr>
        <w:t xml:space="preserve"> beyond those </w:t>
      </w:r>
      <w:r w:rsidR="00D97100">
        <w:rPr>
          <w:rFonts w:ascii="Arial" w:hAnsi="Arial" w:cs="Arial"/>
        </w:rPr>
        <w:t xml:space="preserve">already </w:t>
      </w:r>
      <w:r w:rsidRPr="008D1949">
        <w:rPr>
          <w:rFonts w:ascii="Arial" w:hAnsi="Arial" w:cs="Arial"/>
        </w:rPr>
        <w:t>proposed</w:t>
      </w:r>
      <w:r w:rsidR="00186762">
        <w:rPr>
          <w:rFonts w:ascii="Arial" w:hAnsi="Arial" w:cs="Arial"/>
        </w:rPr>
        <w:t>,</w:t>
      </w:r>
      <w:r w:rsidRPr="008D1949">
        <w:rPr>
          <w:rFonts w:ascii="Arial" w:hAnsi="Arial" w:cs="Arial"/>
        </w:rPr>
        <w:t xml:space="preserve"> should be </w:t>
      </w:r>
      <w:r w:rsidR="0041605E">
        <w:rPr>
          <w:rFonts w:ascii="Arial" w:hAnsi="Arial" w:cs="Arial"/>
        </w:rPr>
        <w:t xml:space="preserve">further </w:t>
      </w:r>
      <w:r w:rsidR="003001A1">
        <w:rPr>
          <w:rFonts w:ascii="Arial" w:hAnsi="Arial" w:cs="Arial"/>
        </w:rPr>
        <w:t>introduced</w:t>
      </w:r>
      <w:r w:rsidRPr="008D1949">
        <w:rPr>
          <w:rFonts w:ascii="Arial" w:hAnsi="Arial" w:cs="Arial"/>
        </w:rPr>
        <w:t xml:space="preserve"> by ESMA. </w:t>
      </w:r>
      <w:r w:rsidR="00AF3D09" w:rsidRPr="008D1949">
        <w:rPr>
          <w:rFonts w:ascii="Arial" w:hAnsi="Arial" w:cs="Arial"/>
        </w:rPr>
        <w:t>Instead</w:t>
      </w:r>
      <w:r w:rsidRPr="008D1949">
        <w:rPr>
          <w:rFonts w:ascii="Arial" w:hAnsi="Arial" w:cs="Arial"/>
        </w:rPr>
        <w:t xml:space="preserve">, trading venues should have the discretion to introduce relevant measures, </w:t>
      </w:r>
      <w:r w:rsidR="00AF3D09">
        <w:rPr>
          <w:rFonts w:ascii="Arial" w:hAnsi="Arial" w:cs="Arial"/>
        </w:rPr>
        <w:t xml:space="preserve">if and </w:t>
      </w:r>
      <w:r w:rsidRPr="008D1949">
        <w:rPr>
          <w:rFonts w:ascii="Arial" w:hAnsi="Arial" w:cs="Arial"/>
        </w:rPr>
        <w:t>where necessary.</w:t>
      </w:r>
    </w:p>
    <w:permEnd w:id="133526605"/>
    <w:p w14:paraId="0CC67D21" w14:textId="4061F37F"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lastRenderedPageBreak/>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5545B3AC" w14:textId="77777777" w:rsidR="00EC15D5" w:rsidRPr="00EC15D5" w:rsidRDefault="00EC15D5" w:rsidP="00EC15D5">
      <w:pPr>
        <w:rPr>
          <w:rFonts w:ascii="Arial" w:hAnsi="Arial" w:cs="Arial"/>
        </w:rPr>
      </w:pPr>
      <w:permStart w:id="448079908" w:edGrp="everyone"/>
      <w:r w:rsidRPr="00EC15D5">
        <w:rPr>
          <w:rFonts w:ascii="Arial" w:hAnsi="Arial" w:cs="Arial"/>
        </w:rPr>
        <w:t>TYPE YOUR TEXT HERE</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77777777" w:rsidR="00EC15D5" w:rsidRPr="00EC15D5" w:rsidRDefault="00EC15D5" w:rsidP="00EC15D5">
      <w:pPr>
        <w:rPr>
          <w:rFonts w:ascii="Arial" w:hAnsi="Arial" w:cs="Arial"/>
        </w:rPr>
      </w:pPr>
      <w:permStart w:id="1125347083" w:edGrp="everyone"/>
      <w:r w:rsidRPr="00EC15D5">
        <w:rPr>
          <w:rFonts w:ascii="Arial" w:hAnsi="Arial" w:cs="Arial"/>
        </w:rPr>
        <w:t>TYPE YOUR TEXT HERE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E26B" w14:textId="77777777" w:rsidR="00886340" w:rsidRDefault="00886340" w:rsidP="007E7997">
      <w:r>
        <w:separator/>
      </w:r>
    </w:p>
  </w:endnote>
  <w:endnote w:type="continuationSeparator" w:id="0">
    <w:p w14:paraId="2EC80411" w14:textId="77777777" w:rsidR="00886340" w:rsidRDefault="00886340" w:rsidP="007E7997">
      <w:r>
        <w:continuationSeparator/>
      </w:r>
    </w:p>
  </w:endnote>
  <w:endnote w:type="continuationNotice" w:id="1">
    <w:p w14:paraId="1733A662" w14:textId="77777777" w:rsidR="00886340" w:rsidRDefault="00886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A077" w14:textId="77777777" w:rsidR="00886340" w:rsidRDefault="00886340" w:rsidP="007E7997">
      <w:r>
        <w:separator/>
      </w:r>
    </w:p>
  </w:footnote>
  <w:footnote w:type="continuationSeparator" w:id="0">
    <w:p w14:paraId="60D857DB" w14:textId="77777777" w:rsidR="00886340" w:rsidRDefault="00886340" w:rsidP="007E7997">
      <w:r>
        <w:continuationSeparator/>
      </w:r>
    </w:p>
  </w:footnote>
  <w:footnote w:type="continuationNotice" w:id="1">
    <w:p w14:paraId="7034A5CE" w14:textId="77777777" w:rsidR="00886340" w:rsidRDefault="00886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789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3"/>
  </w:num>
  <w:num w:numId="5">
    <w:abstractNumId w:val="11"/>
  </w:num>
  <w:num w:numId="6">
    <w:abstractNumId w:val="21"/>
  </w:num>
  <w:num w:numId="7">
    <w:abstractNumId w:val="10"/>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9"/>
  </w:num>
  <w:num w:numId="21">
    <w:abstractNumId w:val="18"/>
  </w:num>
  <w:num w:numId="22">
    <w:abstractNumId w:val="12"/>
  </w:num>
  <w:num w:numId="23">
    <w:abstractNumId w:val="15"/>
  </w:num>
  <w:num w:numId="24">
    <w:abstractNumId w:val="0"/>
  </w:num>
  <w:num w:numId="25">
    <w:abstractNumId w:val="14"/>
  </w:num>
  <w:num w:numId="26">
    <w:abstractNumId w:val="13"/>
  </w:num>
  <w:num w:numId="27">
    <w:abstractNumId w:val="8"/>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6B2"/>
    <w:rsid w:val="000C2400"/>
    <w:rsid w:val="000C291F"/>
    <w:rsid w:val="000C299C"/>
    <w:rsid w:val="000C371A"/>
    <w:rsid w:val="000C5ACC"/>
    <w:rsid w:val="000D0293"/>
    <w:rsid w:val="000D0850"/>
    <w:rsid w:val="000D1038"/>
    <w:rsid w:val="000D11A9"/>
    <w:rsid w:val="000D2D7B"/>
    <w:rsid w:val="000E2232"/>
    <w:rsid w:val="000E347E"/>
    <w:rsid w:val="000E3DB1"/>
    <w:rsid w:val="000F0169"/>
    <w:rsid w:val="000F0951"/>
    <w:rsid w:val="000F2598"/>
    <w:rsid w:val="000F29C0"/>
    <w:rsid w:val="000F2BE6"/>
    <w:rsid w:val="000F474D"/>
    <w:rsid w:val="000F5C90"/>
    <w:rsid w:val="000F5EA6"/>
    <w:rsid w:val="000F7998"/>
    <w:rsid w:val="001000D7"/>
    <w:rsid w:val="00100ADC"/>
    <w:rsid w:val="00100B13"/>
    <w:rsid w:val="0010429A"/>
    <w:rsid w:val="00105424"/>
    <w:rsid w:val="001075EC"/>
    <w:rsid w:val="00113D82"/>
    <w:rsid w:val="00117E71"/>
    <w:rsid w:val="00120F0D"/>
    <w:rsid w:val="0012127C"/>
    <w:rsid w:val="001214DA"/>
    <w:rsid w:val="0012722A"/>
    <w:rsid w:val="00130EF9"/>
    <w:rsid w:val="001319C7"/>
    <w:rsid w:val="001348AD"/>
    <w:rsid w:val="00134A76"/>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762"/>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6278"/>
    <w:rsid w:val="001C7E0A"/>
    <w:rsid w:val="001D0112"/>
    <w:rsid w:val="001D19F5"/>
    <w:rsid w:val="001D25EB"/>
    <w:rsid w:val="001D385A"/>
    <w:rsid w:val="001D6B39"/>
    <w:rsid w:val="001E145A"/>
    <w:rsid w:val="001E1ECD"/>
    <w:rsid w:val="001E3E0D"/>
    <w:rsid w:val="001E4A45"/>
    <w:rsid w:val="001E5E30"/>
    <w:rsid w:val="001F0479"/>
    <w:rsid w:val="001F1F10"/>
    <w:rsid w:val="001F23C9"/>
    <w:rsid w:val="001F3999"/>
    <w:rsid w:val="001F3D9D"/>
    <w:rsid w:val="001F4AC8"/>
    <w:rsid w:val="00200894"/>
    <w:rsid w:val="00200E72"/>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5D5"/>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1D8"/>
    <w:rsid w:val="00261CCB"/>
    <w:rsid w:val="002630C0"/>
    <w:rsid w:val="0026332A"/>
    <w:rsid w:val="002645A8"/>
    <w:rsid w:val="0026493B"/>
    <w:rsid w:val="00265566"/>
    <w:rsid w:val="00265794"/>
    <w:rsid w:val="00265F44"/>
    <w:rsid w:val="002665E3"/>
    <w:rsid w:val="0027199C"/>
    <w:rsid w:val="00272C4E"/>
    <w:rsid w:val="002751FC"/>
    <w:rsid w:val="002753BD"/>
    <w:rsid w:val="00282B3A"/>
    <w:rsid w:val="00282D38"/>
    <w:rsid w:val="00282FBE"/>
    <w:rsid w:val="00283F16"/>
    <w:rsid w:val="00284AF2"/>
    <w:rsid w:val="0028536B"/>
    <w:rsid w:val="00285CED"/>
    <w:rsid w:val="00285EB5"/>
    <w:rsid w:val="00287C8F"/>
    <w:rsid w:val="00290893"/>
    <w:rsid w:val="002917B9"/>
    <w:rsid w:val="00291A55"/>
    <w:rsid w:val="0029394C"/>
    <w:rsid w:val="00293FCC"/>
    <w:rsid w:val="002A13B0"/>
    <w:rsid w:val="002A2C91"/>
    <w:rsid w:val="002A6C21"/>
    <w:rsid w:val="002A780E"/>
    <w:rsid w:val="002B144C"/>
    <w:rsid w:val="002B53F3"/>
    <w:rsid w:val="002C03FD"/>
    <w:rsid w:val="002C044D"/>
    <w:rsid w:val="002C1AA5"/>
    <w:rsid w:val="002C1ED0"/>
    <w:rsid w:val="002C2A46"/>
    <w:rsid w:val="002C3048"/>
    <w:rsid w:val="002D2992"/>
    <w:rsid w:val="002D37A0"/>
    <w:rsid w:val="002D5AB5"/>
    <w:rsid w:val="002D6667"/>
    <w:rsid w:val="002D79F3"/>
    <w:rsid w:val="002E1C11"/>
    <w:rsid w:val="002E3780"/>
    <w:rsid w:val="002E3D0B"/>
    <w:rsid w:val="002E3E7D"/>
    <w:rsid w:val="002F6279"/>
    <w:rsid w:val="003001A1"/>
    <w:rsid w:val="003013B7"/>
    <w:rsid w:val="00301993"/>
    <w:rsid w:val="00301E55"/>
    <w:rsid w:val="00307397"/>
    <w:rsid w:val="003101EF"/>
    <w:rsid w:val="00312BDD"/>
    <w:rsid w:val="00314117"/>
    <w:rsid w:val="00317EDF"/>
    <w:rsid w:val="00324FA4"/>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20E"/>
    <w:rsid w:val="0035030F"/>
    <w:rsid w:val="003519DD"/>
    <w:rsid w:val="00353C4B"/>
    <w:rsid w:val="003545A6"/>
    <w:rsid w:val="00356C60"/>
    <w:rsid w:val="003578D1"/>
    <w:rsid w:val="0036197B"/>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47CF"/>
    <w:rsid w:val="003A62C2"/>
    <w:rsid w:val="003A73A4"/>
    <w:rsid w:val="003B102E"/>
    <w:rsid w:val="003B4E3D"/>
    <w:rsid w:val="003B670B"/>
    <w:rsid w:val="003B6D48"/>
    <w:rsid w:val="003C1616"/>
    <w:rsid w:val="003C167E"/>
    <w:rsid w:val="003C481D"/>
    <w:rsid w:val="003C4EB5"/>
    <w:rsid w:val="003D2CED"/>
    <w:rsid w:val="003D344A"/>
    <w:rsid w:val="003D3BB8"/>
    <w:rsid w:val="003D7C07"/>
    <w:rsid w:val="003E13FD"/>
    <w:rsid w:val="003E1C24"/>
    <w:rsid w:val="003E4F1B"/>
    <w:rsid w:val="003E61FC"/>
    <w:rsid w:val="003E77BC"/>
    <w:rsid w:val="003F03EA"/>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1605E"/>
    <w:rsid w:val="00417065"/>
    <w:rsid w:val="00420FD4"/>
    <w:rsid w:val="004242B3"/>
    <w:rsid w:val="00426D62"/>
    <w:rsid w:val="00427A89"/>
    <w:rsid w:val="00430C5B"/>
    <w:rsid w:val="00431517"/>
    <w:rsid w:val="00431968"/>
    <w:rsid w:val="00433936"/>
    <w:rsid w:val="0043475E"/>
    <w:rsid w:val="00435FE9"/>
    <w:rsid w:val="00436279"/>
    <w:rsid w:val="0044199E"/>
    <w:rsid w:val="0044206D"/>
    <w:rsid w:val="00444803"/>
    <w:rsid w:val="00445696"/>
    <w:rsid w:val="00446E5F"/>
    <w:rsid w:val="00450C4E"/>
    <w:rsid w:val="00455577"/>
    <w:rsid w:val="00456795"/>
    <w:rsid w:val="00460EFF"/>
    <w:rsid w:val="0046150E"/>
    <w:rsid w:val="00461CC8"/>
    <w:rsid w:val="00462B2F"/>
    <w:rsid w:val="00462E09"/>
    <w:rsid w:val="00465EAA"/>
    <w:rsid w:val="004708CA"/>
    <w:rsid w:val="004709E7"/>
    <w:rsid w:val="00470ADE"/>
    <w:rsid w:val="004712C7"/>
    <w:rsid w:val="004759EB"/>
    <w:rsid w:val="00477919"/>
    <w:rsid w:val="004819C9"/>
    <w:rsid w:val="00482611"/>
    <w:rsid w:val="00482A27"/>
    <w:rsid w:val="00487DCE"/>
    <w:rsid w:val="004950B7"/>
    <w:rsid w:val="00497FEA"/>
    <w:rsid w:val="004A75F5"/>
    <w:rsid w:val="004B07B2"/>
    <w:rsid w:val="004B0955"/>
    <w:rsid w:val="004B143D"/>
    <w:rsid w:val="004B1842"/>
    <w:rsid w:val="004B25D0"/>
    <w:rsid w:val="004B3553"/>
    <w:rsid w:val="004B5E92"/>
    <w:rsid w:val="004C0A30"/>
    <w:rsid w:val="004C357C"/>
    <w:rsid w:val="004C3D18"/>
    <w:rsid w:val="004C5247"/>
    <w:rsid w:val="004D42B1"/>
    <w:rsid w:val="004D526F"/>
    <w:rsid w:val="004E19C0"/>
    <w:rsid w:val="004E1C54"/>
    <w:rsid w:val="004E2C37"/>
    <w:rsid w:val="004E2CBF"/>
    <w:rsid w:val="004E5285"/>
    <w:rsid w:val="004F0CF3"/>
    <w:rsid w:val="004F3B65"/>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57F7C"/>
    <w:rsid w:val="00560A96"/>
    <w:rsid w:val="005619CB"/>
    <w:rsid w:val="00561B71"/>
    <w:rsid w:val="00561F98"/>
    <w:rsid w:val="00564607"/>
    <w:rsid w:val="00565193"/>
    <w:rsid w:val="005725BD"/>
    <w:rsid w:val="005730B0"/>
    <w:rsid w:val="00575DCC"/>
    <w:rsid w:val="00580BC1"/>
    <w:rsid w:val="00580FEE"/>
    <w:rsid w:val="005821B0"/>
    <w:rsid w:val="0059024F"/>
    <w:rsid w:val="0059175F"/>
    <w:rsid w:val="00591AAC"/>
    <w:rsid w:val="00595F08"/>
    <w:rsid w:val="00595FBE"/>
    <w:rsid w:val="005A1C55"/>
    <w:rsid w:val="005B169D"/>
    <w:rsid w:val="005B1B1B"/>
    <w:rsid w:val="005B2D25"/>
    <w:rsid w:val="005B467C"/>
    <w:rsid w:val="005B4ACA"/>
    <w:rsid w:val="005B6B12"/>
    <w:rsid w:val="005B6C39"/>
    <w:rsid w:val="005B7D75"/>
    <w:rsid w:val="005C19E9"/>
    <w:rsid w:val="005C2DBC"/>
    <w:rsid w:val="005C398B"/>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2E4"/>
    <w:rsid w:val="005F3F22"/>
    <w:rsid w:val="005F4FC0"/>
    <w:rsid w:val="005F540F"/>
    <w:rsid w:val="005F5491"/>
    <w:rsid w:val="005F580B"/>
    <w:rsid w:val="005F6144"/>
    <w:rsid w:val="005F6573"/>
    <w:rsid w:val="00601541"/>
    <w:rsid w:val="0060361E"/>
    <w:rsid w:val="00604A25"/>
    <w:rsid w:val="00606683"/>
    <w:rsid w:val="006123C5"/>
    <w:rsid w:val="00613BF6"/>
    <w:rsid w:val="00616D27"/>
    <w:rsid w:val="006234FE"/>
    <w:rsid w:val="00623840"/>
    <w:rsid w:val="006255EC"/>
    <w:rsid w:val="00625A25"/>
    <w:rsid w:val="0062736A"/>
    <w:rsid w:val="0063565E"/>
    <w:rsid w:val="00636E02"/>
    <w:rsid w:val="0064163C"/>
    <w:rsid w:val="00641DB1"/>
    <w:rsid w:val="00642297"/>
    <w:rsid w:val="00644A34"/>
    <w:rsid w:val="00650B14"/>
    <w:rsid w:val="00654824"/>
    <w:rsid w:val="00661766"/>
    <w:rsid w:val="00662882"/>
    <w:rsid w:val="0066298C"/>
    <w:rsid w:val="00663008"/>
    <w:rsid w:val="00663093"/>
    <w:rsid w:val="00665A7C"/>
    <w:rsid w:val="00665B0B"/>
    <w:rsid w:val="006705CD"/>
    <w:rsid w:val="00671363"/>
    <w:rsid w:val="00672780"/>
    <w:rsid w:val="00672842"/>
    <w:rsid w:val="00673BD3"/>
    <w:rsid w:val="00676CFC"/>
    <w:rsid w:val="00677133"/>
    <w:rsid w:val="006772A2"/>
    <w:rsid w:val="00681482"/>
    <w:rsid w:val="00687BF0"/>
    <w:rsid w:val="006904CF"/>
    <w:rsid w:val="006912FB"/>
    <w:rsid w:val="00695AF2"/>
    <w:rsid w:val="00696A2B"/>
    <w:rsid w:val="00696BD5"/>
    <w:rsid w:val="0069786E"/>
    <w:rsid w:val="006A04AE"/>
    <w:rsid w:val="006A0903"/>
    <w:rsid w:val="006A0AE4"/>
    <w:rsid w:val="006A23F3"/>
    <w:rsid w:val="006A2CF3"/>
    <w:rsid w:val="006A3DF6"/>
    <w:rsid w:val="006A5047"/>
    <w:rsid w:val="006A7A10"/>
    <w:rsid w:val="006B0DA4"/>
    <w:rsid w:val="006B1B6B"/>
    <w:rsid w:val="006B2C57"/>
    <w:rsid w:val="006B391B"/>
    <w:rsid w:val="006B79E0"/>
    <w:rsid w:val="006C0B2D"/>
    <w:rsid w:val="006C1633"/>
    <w:rsid w:val="006C33BC"/>
    <w:rsid w:val="006C5BF8"/>
    <w:rsid w:val="006C7CCB"/>
    <w:rsid w:val="006D3BFA"/>
    <w:rsid w:val="006D6009"/>
    <w:rsid w:val="006D7D41"/>
    <w:rsid w:val="006E2F4D"/>
    <w:rsid w:val="006E3FDD"/>
    <w:rsid w:val="006E58FB"/>
    <w:rsid w:val="006E5D82"/>
    <w:rsid w:val="006E66B2"/>
    <w:rsid w:val="006E6C50"/>
    <w:rsid w:val="006E7A69"/>
    <w:rsid w:val="006E7DE4"/>
    <w:rsid w:val="006F53E8"/>
    <w:rsid w:val="006F5FB8"/>
    <w:rsid w:val="0070017B"/>
    <w:rsid w:val="00700F94"/>
    <w:rsid w:val="00703B75"/>
    <w:rsid w:val="0070427E"/>
    <w:rsid w:val="00704D53"/>
    <w:rsid w:val="007056C3"/>
    <w:rsid w:val="00706072"/>
    <w:rsid w:val="00713644"/>
    <w:rsid w:val="007177FC"/>
    <w:rsid w:val="00721256"/>
    <w:rsid w:val="007217AD"/>
    <w:rsid w:val="00723BA1"/>
    <w:rsid w:val="00724629"/>
    <w:rsid w:val="00724A1B"/>
    <w:rsid w:val="0073173E"/>
    <w:rsid w:val="007319C3"/>
    <w:rsid w:val="0073454F"/>
    <w:rsid w:val="00735C00"/>
    <w:rsid w:val="007364C6"/>
    <w:rsid w:val="00740BF3"/>
    <w:rsid w:val="00741D5C"/>
    <w:rsid w:val="0074297E"/>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60D1"/>
    <w:rsid w:val="007B72DD"/>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2C1"/>
    <w:rsid w:val="007F1DE9"/>
    <w:rsid w:val="007F25C2"/>
    <w:rsid w:val="007F3674"/>
    <w:rsid w:val="007F4F88"/>
    <w:rsid w:val="007F5822"/>
    <w:rsid w:val="007F5B86"/>
    <w:rsid w:val="00800A7F"/>
    <w:rsid w:val="008016E5"/>
    <w:rsid w:val="0080285D"/>
    <w:rsid w:val="0080372F"/>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86128"/>
    <w:rsid w:val="00886340"/>
    <w:rsid w:val="008872C9"/>
    <w:rsid w:val="0089075A"/>
    <w:rsid w:val="00890F80"/>
    <w:rsid w:val="00892BFD"/>
    <w:rsid w:val="0089338A"/>
    <w:rsid w:val="00894199"/>
    <w:rsid w:val="008948BE"/>
    <w:rsid w:val="008A1E27"/>
    <w:rsid w:val="008A2481"/>
    <w:rsid w:val="008A2C86"/>
    <w:rsid w:val="008A6000"/>
    <w:rsid w:val="008A6219"/>
    <w:rsid w:val="008A70A8"/>
    <w:rsid w:val="008A7FAC"/>
    <w:rsid w:val="008B1FD9"/>
    <w:rsid w:val="008B2AF1"/>
    <w:rsid w:val="008B5191"/>
    <w:rsid w:val="008B610D"/>
    <w:rsid w:val="008B710D"/>
    <w:rsid w:val="008B7CA1"/>
    <w:rsid w:val="008C0177"/>
    <w:rsid w:val="008C0389"/>
    <w:rsid w:val="008C27D3"/>
    <w:rsid w:val="008C4B2B"/>
    <w:rsid w:val="008C5E91"/>
    <w:rsid w:val="008C686D"/>
    <w:rsid w:val="008C6B18"/>
    <w:rsid w:val="008C75E6"/>
    <w:rsid w:val="008C767A"/>
    <w:rsid w:val="008C7A73"/>
    <w:rsid w:val="008D0569"/>
    <w:rsid w:val="008D194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65826"/>
    <w:rsid w:val="00973F43"/>
    <w:rsid w:val="009764B6"/>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1C05"/>
    <w:rsid w:val="009C3E04"/>
    <w:rsid w:val="009C4FB0"/>
    <w:rsid w:val="009C75D1"/>
    <w:rsid w:val="009C7694"/>
    <w:rsid w:val="009D0570"/>
    <w:rsid w:val="009D2014"/>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35D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520"/>
    <w:rsid w:val="00A8284E"/>
    <w:rsid w:val="00A83036"/>
    <w:rsid w:val="00A86065"/>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32F0"/>
    <w:rsid w:val="00AC4C8E"/>
    <w:rsid w:val="00AC70C7"/>
    <w:rsid w:val="00AC79E0"/>
    <w:rsid w:val="00AD32CE"/>
    <w:rsid w:val="00AD5187"/>
    <w:rsid w:val="00AD5841"/>
    <w:rsid w:val="00AD6B11"/>
    <w:rsid w:val="00AD6B34"/>
    <w:rsid w:val="00AD6F90"/>
    <w:rsid w:val="00AE0286"/>
    <w:rsid w:val="00AE247F"/>
    <w:rsid w:val="00AE4A24"/>
    <w:rsid w:val="00AE4FC7"/>
    <w:rsid w:val="00AF01E3"/>
    <w:rsid w:val="00AF23AE"/>
    <w:rsid w:val="00AF2EF7"/>
    <w:rsid w:val="00AF3741"/>
    <w:rsid w:val="00AF3B5C"/>
    <w:rsid w:val="00AF3D09"/>
    <w:rsid w:val="00AF5248"/>
    <w:rsid w:val="00AF5357"/>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5E5B"/>
    <w:rsid w:val="00B16A6E"/>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02F"/>
    <w:rsid w:val="00B51FCB"/>
    <w:rsid w:val="00B5289B"/>
    <w:rsid w:val="00B52E10"/>
    <w:rsid w:val="00B5331D"/>
    <w:rsid w:val="00B543D6"/>
    <w:rsid w:val="00B556B0"/>
    <w:rsid w:val="00B57687"/>
    <w:rsid w:val="00B578E3"/>
    <w:rsid w:val="00B57CE5"/>
    <w:rsid w:val="00B648F2"/>
    <w:rsid w:val="00B64D54"/>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08AE"/>
    <w:rsid w:val="00BB3AD8"/>
    <w:rsid w:val="00BB449C"/>
    <w:rsid w:val="00BB44D7"/>
    <w:rsid w:val="00BC13FA"/>
    <w:rsid w:val="00BC2561"/>
    <w:rsid w:val="00BC3E3E"/>
    <w:rsid w:val="00BC422A"/>
    <w:rsid w:val="00BC5128"/>
    <w:rsid w:val="00BC5608"/>
    <w:rsid w:val="00BD04C9"/>
    <w:rsid w:val="00BD092C"/>
    <w:rsid w:val="00BD3536"/>
    <w:rsid w:val="00BD37FD"/>
    <w:rsid w:val="00BE0B46"/>
    <w:rsid w:val="00BE225E"/>
    <w:rsid w:val="00BE237E"/>
    <w:rsid w:val="00BE3703"/>
    <w:rsid w:val="00BE567F"/>
    <w:rsid w:val="00BF0A29"/>
    <w:rsid w:val="00BF25CD"/>
    <w:rsid w:val="00BF4450"/>
    <w:rsid w:val="00BF5553"/>
    <w:rsid w:val="00BF75CD"/>
    <w:rsid w:val="00C00F1C"/>
    <w:rsid w:val="00C0346D"/>
    <w:rsid w:val="00C0358F"/>
    <w:rsid w:val="00C03BB0"/>
    <w:rsid w:val="00C041CF"/>
    <w:rsid w:val="00C0696A"/>
    <w:rsid w:val="00C10008"/>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735F"/>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2984"/>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0E1E"/>
    <w:rsid w:val="00D73338"/>
    <w:rsid w:val="00D775F3"/>
    <w:rsid w:val="00D77868"/>
    <w:rsid w:val="00D77F25"/>
    <w:rsid w:val="00D84C2A"/>
    <w:rsid w:val="00D9064B"/>
    <w:rsid w:val="00D97100"/>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55F4"/>
    <w:rsid w:val="00DD759E"/>
    <w:rsid w:val="00DE314E"/>
    <w:rsid w:val="00DE4CFB"/>
    <w:rsid w:val="00DE4E2C"/>
    <w:rsid w:val="00DF045B"/>
    <w:rsid w:val="00DF1ED8"/>
    <w:rsid w:val="00DF2B52"/>
    <w:rsid w:val="00DF3785"/>
    <w:rsid w:val="00DF3D27"/>
    <w:rsid w:val="00DF5BA1"/>
    <w:rsid w:val="00DF5CF4"/>
    <w:rsid w:val="00DF6074"/>
    <w:rsid w:val="00E02239"/>
    <w:rsid w:val="00E0294E"/>
    <w:rsid w:val="00E047EC"/>
    <w:rsid w:val="00E07D42"/>
    <w:rsid w:val="00E1349E"/>
    <w:rsid w:val="00E163E9"/>
    <w:rsid w:val="00E20F1B"/>
    <w:rsid w:val="00E240F5"/>
    <w:rsid w:val="00E30004"/>
    <w:rsid w:val="00E333AC"/>
    <w:rsid w:val="00E3456B"/>
    <w:rsid w:val="00E35C16"/>
    <w:rsid w:val="00E36085"/>
    <w:rsid w:val="00E36813"/>
    <w:rsid w:val="00E42382"/>
    <w:rsid w:val="00E42881"/>
    <w:rsid w:val="00E603DF"/>
    <w:rsid w:val="00E63745"/>
    <w:rsid w:val="00E6699F"/>
    <w:rsid w:val="00E67B40"/>
    <w:rsid w:val="00E703AE"/>
    <w:rsid w:val="00E72373"/>
    <w:rsid w:val="00E72823"/>
    <w:rsid w:val="00E72AB9"/>
    <w:rsid w:val="00E76AF9"/>
    <w:rsid w:val="00E80BB7"/>
    <w:rsid w:val="00E82E2E"/>
    <w:rsid w:val="00E84EF0"/>
    <w:rsid w:val="00E856CD"/>
    <w:rsid w:val="00E8649C"/>
    <w:rsid w:val="00E87886"/>
    <w:rsid w:val="00E87CDE"/>
    <w:rsid w:val="00E91FC1"/>
    <w:rsid w:val="00E92D54"/>
    <w:rsid w:val="00E9323C"/>
    <w:rsid w:val="00E95FD8"/>
    <w:rsid w:val="00EA0283"/>
    <w:rsid w:val="00EA300B"/>
    <w:rsid w:val="00EA5DE1"/>
    <w:rsid w:val="00EB0C86"/>
    <w:rsid w:val="00EB0E16"/>
    <w:rsid w:val="00EB1A57"/>
    <w:rsid w:val="00EB236F"/>
    <w:rsid w:val="00EB237E"/>
    <w:rsid w:val="00EB6976"/>
    <w:rsid w:val="00EC1546"/>
    <w:rsid w:val="00EC15D5"/>
    <w:rsid w:val="00EC5B23"/>
    <w:rsid w:val="00EC5DED"/>
    <w:rsid w:val="00EC6BD8"/>
    <w:rsid w:val="00ED0356"/>
    <w:rsid w:val="00ED0D71"/>
    <w:rsid w:val="00ED3DCD"/>
    <w:rsid w:val="00ED3DD5"/>
    <w:rsid w:val="00ED56BE"/>
    <w:rsid w:val="00ED74D7"/>
    <w:rsid w:val="00EE40F8"/>
    <w:rsid w:val="00EE4DA3"/>
    <w:rsid w:val="00EE6DD6"/>
    <w:rsid w:val="00EF0867"/>
    <w:rsid w:val="00EF1A10"/>
    <w:rsid w:val="00EF1A9F"/>
    <w:rsid w:val="00EF1B27"/>
    <w:rsid w:val="00EF4370"/>
    <w:rsid w:val="00EF5AD7"/>
    <w:rsid w:val="00F03FA7"/>
    <w:rsid w:val="00F048EF"/>
    <w:rsid w:val="00F06AAD"/>
    <w:rsid w:val="00F07673"/>
    <w:rsid w:val="00F146BE"/>
    <w:rsid w:val="00F22013"/>
    <w:rsid w:val="00F22356"/>
    <w:rsid w:val="00F226E0"/>
    <w:rsid w:val="00F2522F"/>
    <w:rsid w:val="00F30180"/>
    <w:rsid w:val="00F31A29"/>
    <w:rsid w:val="00F3279A"/>
    <w:rsid w:val="00F37236"/>
    <w:rsid w:val="00F44634"/>
    <w:rsid w:val="00F50057"/>
    <w:rsid w:val="00F505EC"/>
    <w:rsid w:val="00F5088F"/>
    <w:rsid w:val="00F51657"/>
    <w:rsid w:val="00F5223C"/>
    <w:rsid w:val="00F57787"/>
    <w:rsid w:val="00F61E82"/>
    <w:rsid w:val="00F6243A"/>
    <w:rsid w:val="00F63323"/>
    <w:rsid w:val="00F636FE"/>
    <w:rsid w:val="00F648B2"/>
    <w:rsid w:val="00F67EBD"/>
    <w:rsid w:val="00F70EA4"/>
    <w:rsid w:val="00F7180A"/>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2745"/>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51A4CC5-18AF-4283-8D9F-CFEB7EC71CA2}">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2747</Words>
  <Characters>15659</Characters>
  <Application>Microsoft Office Word</Application>
  <DocSecurity>12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Lorenzo Biglia</cp:lastModifiedBy>
  <cp:revision>2</cp:revision>
  <cp:lastPrinted>2017-07-24T14:47:00Z</cp:lastPrinted>
  <dcterms:created xsi:type="dcterms:W3CDTF">2021-07-23T13:46:00Z</dcterms:created>
  <dcterms:modified xsi:type="dcterms:W3CDTF">2021-07-23T13:46:00Z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